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20549-1004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6" w:lineRule="exact"/>
        <w:rPr>
          <w:sz w:val="24"/>
          <w:szCs w:val="24"/>
          <w:color w:val="auto"/>
        </w:rPr>
      </w:pPr>
    </w:p>
    <w:p>
      <w:pPr>
        <w:ind w:left="460" w:right="2040" w:hanging="452"/>
        <w:spacing w:after="0" w:line="344" w:lineRule="auto"/>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60" w:hanging="452"/>
        <w:spacing w:after="0" w:line="180" w:lineRule="auto"/>
        <w:tabs>
          <w:tab w:leader="none" w:pos="46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284" w:lineRule="exact"/>
        <w:rPr>
          <w:sz w:val="24"/>
          <w:szCs w:val="24"/>
          <w:color w:val="auto"/>
        </w:rPr>
      </w:pPr>
    </w:p>
    <w:p>
      <w:pPr>
        <w:ind w:left="460"/>
        <w:spacing w:after="0"/>
        <w:tabs>
          <w:tab w:leader="none" w:pos="3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GENERAL MOTORS COMPANY</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192"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STATE OF 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jc w:val="center"/>
        <w:ind w:right="172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jc w:val="center"/>
        <w:ind w:right="172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17" w:lineRule="exact"/>
        <w:rPr>
          <w:sz w:val="24"/>
          <w:szCs w:val="24"/>
          <w:color w:val="auto"/>
        </w:rPr>
      </w:pPr>
    </w:p>
    <w:p>
      <w:pPr>
        <w:sectPr>
          <w:pgSz w:w="11900" w:h="16838" w:orient="portrait"/>
          <w:cols w:equalWidth="0" w:num="2">
            <w:col w:w="7460" w:space="720"/>
            <w:col w:w="3240"/>
          </w:cols>
          <w:pgMar w:left="240" w:top="230" w:right="2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1780"/>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(Zip Code)</w:t>
      </w:r>
    </w:p>
    <w:p>
      <w:pPr>
        <w:spacing w:after="0" w:line="160" w:lineRule="exact"/>
        <w:rPr>
          <w:sz w:val="24"/>
          <w:szCs w:val="24"/>
          <w:color w:val="auto"/>
        </w:rPr>
      </w:pPr>
    </w:p>
    <w:p>
      <w:pPr>
        <w:sectPr>
          <w:pgSz w:w="11900" w:h="16838" w:orient="portrait"/>
          <w:cols w:equalWidth="0" w:num="2">
            <w:col w:w="7680" w:space="720"/>
            <w:col w:w="302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w:t>
      </w:r>
    </w:p>
    <w:p>
      <w:pPr>
        <w:sectPr>
          <w:pgSz w:w="11900" w:h="16838" w:orient="portrait"/>
          <w:cols w:equalWidth="0" w:num="1">
            <w:col w:w="11420"/>
          </w:cols>
          <w:pgMar w:left="240" w:top="230" w:right="239" w:bottom="1440" w:gutter="0" w:footer="0" w:header="0"/>
          <w:type w:val="continuous"/>
        </w:sectPr>
      </w:pP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165" w:lineRule="exact"/>
        <w:rPr>
          <w:sz w:val="24"/>
          <w:szCs w:val="24"/>
          <w:color w:val="auto"/>
        </w:rPr>
      </w:pPr>
    </w:p>
    <w:p>
      <w:pPr>
        <w:ind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20"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20" w:firstLine="228"/>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“large accelerated filer,” “accelerated filer” and “smaller reporting company” in Rule 12b-2 of the Exchange Act. (Check one):</w:t>
      </w:r>
    </w:p>
    <w:p>
      <w:pPr>
        <w:spacing w:after="0" w:line="18"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 not check if smaller reporting company</w:t>
      </w:r>
    </w:p>
    <w:p>
      <w:pPr>
        <w:spacing w:after="0" w:line="125" w:lineRule="exact"/>
        <w:rPr>
          <w:sz w:val="24"/>
          <w:szCs w:val="24"/>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As of May 2, 2011, the number of shares outstanding of common stock was 1,560,786,154 shares.</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177" w:lineRule="exact"/>
        <w:rPr>
          <w:sz w:val="24"/>
          <w:szCs w:val="24"/>
          <w:color w:val="auto"/>
        </w:rPr>
      </w:pPr>
    </w:p>
    <w:p>
      <w:pPr>
        <w:ind w:right="300" w:firstLine="228"/>
        <w:spacing w:after="0" w:line="306"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gridSpan w:val="8"/>
            <w:vMerge w:val="restart"/>
          </w:tcPr>
          <w:p>
            <w:pPr>
              <w:jc w:val="center"/>
              <w:ind w:right="3080"/>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Part I — Financial Information</w:t>
              </w:r>
            </w:hyperlink>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Page No.</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gridSpan w:val="8"/>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740" w:type="dxa"/>
            <w:vAlign w:val="bottom"/>
            <w:gridSpan w:val="3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2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Income Statements</w:t>
              </w:r>
            </w:hyperlink>
          </w:p>
        </w:tc>
        <w:tc>
          <w:tcPr>
            <w:tcW w:w="548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w:t>
              </w:r>
            </w:hyperlink>
          </w:p>
        </w:tc>
        <w:tc>
          <w:tcPr>
            <w:tcW w:w="260" w:type="dxa"/>
            <w:vAlign w:val="bottom"/>
            <w:tcBorders>
              <w:top w:val="single" w:sz="8" w:color="0000EE"/>
            </w:tcBorders>
            <w:gridSpan w:val="3"/>
          </w:tcPr>
          <w:p>
            <w:pPr>
              <w:spacing w:after="0"/>
              <w:rPr>
                <w:sz w:val="17"/>
                <w:szCs w:val="17"/>
                <w:color w:val="auto"/>
              </w:rPr>
            </w:pPr>
          </w:p>
        </w:tc>
        <w:tc>
          <w:tcPr>
            <w:tcW w:w="6600" w:type="dxa"/>
            <w:vAlign w:val="bottom"/>
            <w:gridSpan w:val="1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280" w:type="dxa"/>
            <w:vAlign w:val="bottom"/>
            <w:tcBorders>
              <w:bottom w:val="single" w:sz="8" w:color="0000EE"/>
            </w:tcBorders>
            <w:gridSpan w:val="2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Equity</w:t>
              </w:r>
            </w:hyperlink>
          </w:p>
        </w:tc>
        <w:tc>
          <w:tcPr>
            <w:tcW w:w="646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640" w:type="dxa"/>
            <w:vAlign w:val="bottom"/>
            <w:tcBorders>
              <w:bottom w:val="single" w:sz="8" w:color="0000EE"/>
            </w:tcBorders>
            <w:gridSpan w:val="29"/>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Cash Flows</w:t>
              </w:r>
            </w:hyperlink>
          </w:p>
        </w:tc>
        <w:tc>
          <w:tcPr>
            <w:tcW w:w="610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740" w:type="dxa"/>
            <w:vAlign w:val="bottom"/>
            <w:gridSpan w:val="3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tcBorders>
              <w:top w:val="single" w:sz="8" w:color="0000EE"/>
            </w:tcBorders>
            <w:gridSpan w:val="4"/>
          </w:tcPr>
          <w:p>
            <w:pPr>
              <w:ind w:left="220"/>
              <w:spacing w:after="0" w:line="196" w:lineRule="exact"/>
              <w:rPr>
                <w:sz w:val="20"/>
                <w:szCs w:val="20"/>
                <w:color w:val="auto"/>
              </w:rPr>
            </w:pPr>
            <w:r>
              <w:rPr>
                <w:rFonts w:ascii="Arial" w:cs="Arial" w:eastAsia="Arial" w:hAnsi="Arial"/>
                <w:sz w:val="18"/>
                <w:szCs w:val="18"/>
                <w:color w:val="auto"/>
              </w:rPr>
              <w:t>Note 1.</w:t>
            </w:r>
          </w:p>
        </w:tc>
        <w:tc>
          <w:tcPr>
            <w:tcW w:w="15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Nature of Operations</w:t>
              </w:r>
            </w:hyperlink>
          </w:p>
        </w:tc>
        <w:tc>
          <w:tcPr>
            <w:tcW w:w="1280" w:type="dxa"/>
            <w:vAlign w:val="bottom"/>
            <w:tcBorders>
              <w:top w:val="single" w:sz="8" w:color="0000EE"/>
            </w:tcBorders>
            <w:gridSpan w:val="15"/>
          </w:tcPr>
          <w:p>
            <w:pPr>
              <w:spacing w:after="0"/>
              <w:rPr>
                <w:sz w:val="17"/>
                <w:szCs w:val="17"/>
                <w:color w:val="auto"/>
              </w:rPr>
            </w:pPr>
          </w:p>
        </w:tc>
        <w:tc>
          <w:tcPr>
            <w:tcW w:w="584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w:t>
            </w:r>
          </w:p>
        </w:tc>
        <w:tc>
          <w:tcPr>
            <w:tcW w:w="8620" w:type="dxa"/>
            <w:vAlign w:val="bottom"/>
            <w:gridSpan w:val="3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Basis of Presentation and Recent Accounting Standards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3.</w:t>
            </w:r>
          </w:p>
        </w:tc>
        <w:tc>
          <w:tcPr>
            <w:tcW w:w="286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Acquisition and Disposals of Businesses</w:t>
              </w:r>
            </w:hyperlink>
          </w:p>
        </w:tc>
        <w:tc>
          <w:tcPr>
            <w:tcW w:w="1060" w:type="dxa"/>
            <w:vAlign w:val="bottom"/>
            <w:tcBorders>
              <w:top w:val="single" w:sz="8" w:color="0000EE"/>
            </w:tcBorders>
            <w:gridSpan w:val="3"/>
          </w:tcPr>
          <w:p>
            <w:pPr>
              <w:spacing w:after="0"/>
              <w:rPr>
                <w:sz w:val="17"/>
                <w:szCs w:val="17"/>
                <w:color w:val="auto"/>
              </w:rPr>
            </w:pPr>
          </w:p>
        </w:tc>
        <w:tc>
          <w:tcPr>
            <w:tcW w:w="470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4.</w:t>
            </w:r>
          </w:p>
        </w:tc>
        <w:tc>
          <w:tcPr>
            <w:tcW w:w="15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Marketable Securities</w:t>
              </w:r>
            </w:hyperlink>
          </w:p>
        </w:tc>
        <w:tc>
          <w:tcPr>
            <w:tcW w:w="7060" w:type="dxa"/>
            <w:vAlign w:val="bottom"/>
            <w:gridSpan w:val="2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5.</w:t>
            </w:r>
          </w:p>
        </w:tc>
        <w:tc>
          <w:tcPr>
            <w:tcW w:w="176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12">
              <w:r>
                <w:rPr>
                  <w:rFonts w:ascii="Arial" w:cs="Arial" w:eastAsia="Arial" w:hAnsi="Arial"/>
                  <w:sz w:val="18"/>
                  <w:szCs w:val="18"/>
                  <w:color w:val="0000EE"/>
                  <w:w w:val="86"/>
                </w:rPr>
                <w:t>Finance Receivables, net</w:t>
              </w:r>
            </w:hyperlink>
          </w:p>
        </w:tc>
        <w:tc>
          <w:tcPr>
            <w:tcW w:w="6860" w:type="dxa"/>
            <w:vAlign w:val="bottom"/>
            <w:gridSpan w:val="1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6.</w:t>
            </w:r>
          </w:p>
        </w:tc>
        <w:tc>
          <w:tcPr>
            <w:tcW w:w="10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Securitizations</w:t>
              </w:r>
            </w:hyperlink>
          </w:p>
        </w:tc>
        <w:tc>
          <w:tcPr>
            <w:tcW w:w="7560" w:type="dxa"/>
            <w:vAlign w:val="bottom"/>
            <w:gridSpan w:val="2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7.</w:t>
            </w:r>
          </w:p>
        </w:tc>
        <w:tc>
          <w:tcPr>
            <w:tcW w:w="8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Inventories</w:t>
              </w:r>
            </w:hyperlink>
          </w:p>
        </w:tc>
        <w:tc>
          <w:tcPr>
            <w:tcW w:w="7820" w:type="dxa"/>
            <w:vAlign w:val="bottom"/>
            <w:gridSpan w:val="3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8.</w:t>
            </w:r>
          </w:p>
        </w:tc>
        <w:tc>
          <w:tcPr>
            <w:tcW w:w="8620" w:type="dxa"/>
            <w:vAlign w:val="bottom"/>
            <w:gridSpan w:val="3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Equity in Net Assets of Nonconsolidated Affiliates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9.</w:t>
            </w:r>
          </w:p>
        </w:tc>
        <w:tc>
          <w:tcPr>
            <w:tcW w:w="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Goodwill</w:t>
              </w:r>
            </w:hyperlink>
          </w:p>
        </w:tc>
        <w:tc>
          <w:tcPr>
            <w:tcW w:w="2900" w:type="dxa"/>
            <w:vAlign w:val="bottom"/>
            <w:tcBorders>
              <w:top w:val="single" w:sz="8" w:color="0000EE"/>
            </w:tcBorders>
            <w:gridSpan w:val="25"/>
          </w:tcPr>
          <w:p>
            <w:pPr>
              <w:spacing w:after="0"/>
              <w:rPr>
                <w:sz w:val="17"/>
                <w:szCs w:val="17"/>
                <w:color w:val="auto"/>
              </w:rPr>
            </w:pPr>
          </w:p>
        </w:tc>
        <w:tc>
          <w:tcPr>
            <w:tcW w:w="504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10.</w:t>
            </w:r>
          </w:p>
        </w:tc>
        <w:tc>
          <w:tcPr>
            <w:tcW w:w="8620" w:type="dxa"/>
            <w:vAlign w:val="bottom"/>
            <w:gridSpan w:val="3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Intangible Assets, net</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11.</w:t>
            </w:r>
          </w:p>
        </w:tc>
        <w:tc>
          <w:tcPr>
            <w:tcW w:w="8620" w:type="dxa"/>
            <w:vAlign w:val="bottom"/>
            <w:gridSpan w:val="3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Variable Interest Entities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12.</w:t>
            </w:r>
          </w:p>
        </w:tc>
        <w:tc>
          <w:tcPr>
            <w:tcW w:w="22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Depreciation and Amortization</w:t>
              </w:r>
            </w:hyperlink>
          </w:p>
        </w:tc>
        <w:tc>
          <w:tcPr>
            <w:tcW w:w="642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13.</w:t>
            </w: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Debt</w:t>
              </w:r>
            </w:hyperlink>
          </w:p>
        </w:tc>
        <w:tc>
          <w:tcPr>
            <w:tcW w:w="8260" w:type="dxa"/>
            <w:vAlign w:val="bottom"/>
            <w:gridSpan w:val="3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14</w:t>
            </w:r>
          </w:p>
        </w:tc>
        <w:tc>
          <w:tcPr>
            <w:tcW w:w="19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Product Warranty Liability</w:t>
              </w:r>
            </w:hyperlink>
          </w:p>
        </w:tc>
        <w:tc>
          <w:tcPr>
            <w:tcW w:w="672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15.</w:t>
            </w:r>
          </w:p>
        </w:tc>
        <w:tc>
          <w:tcPr>
            <w:tcW w:w="314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Pensions and Other Postretirement Benefits</w:t>
              </w:r>
            </w:hyperlink>
          </w:p>
        </w:tc>
        <w:tc>
          <w:tcPr>
            <w:tcW w:w="548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16.</w:t>
            </w:r>
          </w:p>
        </w:tc>
        <w:tc>
          <w:tcPr>
            <w:tcW w:w="8620" w:type="dxa"/>
            <w:vAlign w:val="bottom"/>
            <w:gridSpan w:val="3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Derivative Financial Instruments and Risk Management</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17.</w:t>
            </w:r>
          </w:p>
        </w:tc>
        <w:tc>
          <w:tcPr>
            <w:tcW w:w="23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Commitments and Contingencies</w:t>
              </w:r>
            </w:hyperlink>
          </w:p>
        </w:tc>
        <w:tc>
          <w:tcPr>
            <w:tcW w:w="1580" w:type="dxa"/>
            <w:vAlign w:val="bottom"/>
            <w:tcBorders>
              <w:top w:val="single" w:sz="8" w:color="0000EE"/>
            </w:tcBorders>
            <w:gridSpan w:val="8"/>
          </w:tcPr>
          <w:p>
            <w:pPr>
              <w:spacing w:after="0"/>
              <w:rPr>
                <w:sz w:val="17"/>
                <w:szCs w:val="17"/>
                <w:color w:val="auto"/>
              </w:rPr>
            </w:pPr>
          </w:p>
        </w:tc>
        <w:tc>
          <w:tcPr>
            <w:tcW w:w="468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18.</w:t>
            </w:r>
          </w:p>
        </w:tc>
        <w:tc>
          <w:tcPr>
            <w:tcW w:w="8620" w:type="dxa"/>
            <w:vAlign w:val="bottom"/>
            <w:gridSpan w:val="3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Income Taxes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19.</w:t>
            </w:r>
          </w:p>
        </w:tc>
        <w:tc>
          <w:tcPr>
            <w:tcW w:w="8620" w:type="dxa"/>
            <w:vAlign w:val="bottom"/>
            <w:gridSpan w:val="3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Fair Value Measurements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20.</w:t>
            </w:r>
          </w:p>
        </w:tc>
        <w:tc>
          <w:tcPr>
            <w:tcW w:w="24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Restructuring and Other Initiatives</w:t>
              </w:r>
            </w:hyperlink>
          </w:p>
        </w:tc>
        <w:tc>
          <w:tcPr>
            <w:tcW w:w="616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21.</w:t>
            </w:r>
          </w:p>
        </w:tc>
        <w:tc>
          <w:tcPr>
            <w:tcW w:w="9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Impairments</w:t>
              </w:r>
            </w:hyperlink>
          </w:p>
        </w:tc>
        <w:tc>
          <w:tcPr>
            <w:tcW w:w="7720" w:type="dxa"/>
            <w:vAlign w:val="bottom"/>
            <w:gridSpan w:val="2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22.</w:t>
            </w:r>
          </w:p>
        </w:tc>
        <w:tc>
          <w:tcPr>
            <w:tcW w:w="136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43">
              <w:r>
                <w:rPr>
                  <w:rFonts w:ascii="Arial" w:cs="Arial" w:eastAsia="Arial" w:hAnsi="Arial"/>
                  <w:sz w:val="18"/>
                  <w:szCs w:val="18"/>
                  <w:color w:val="0000EE"/>
                  <w:w w:val="85"/>
                </w:rPr>
                <w:t>Earnings Per Share</w:t>
              </w:r>
            </w:hyperlink>
          </w:p>
        </w:tc>
        <w:tc>
          <w:tcPr>
            <w:tcW w:w="7260" w:type="dxa"/>
            <w:vAlign w:val="bottom"/>
            <w:gridSpan w:val="2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23.</w:t>
            </w:r>
          </w:p>
        </w:tc>
        <w:tc>
          <w:tcPr>
            <w:tcW w:w="15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Stock Incentive Plans</w:t>
              </w:r>
            </w:hyperlink>
          </w:p>
        </w:tc>
        <w:tc>
          <w:tcPr>
            <w:tcW w:w="7080" w:type="dxa"/>
            <w:vAlign w:val="bottom"/>
            <w:gridSpan w:val="2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24.</w:t>
            </w:r>
          </w:p>
        </w:tc>
        <w:tc>
          <w:tcPr>
            <w:tcW w:w="8620" w:type="dxa"/>
            <w:vAlign w:val="bottom"/>
            <w:gridSpan w:val="3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Transactions with Ally Financial</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25.</w:t>
            </w:r>
          </w:p>
        </w:tc>
        <w:tc>
          <w:tcPr>
            <w:tcW w:w="1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Segment Reporting</w:t>
              </w:r>
            </w:hyperlink>
          </w:p>
        </w:tc>
        <w:tc>
          <w:tcPr>
            <w:tcW w:w="920" w:type="dxa"/>
            <w:vAlign w:val="bottom"/>
            <w:tcBorders>
              <w:top w:val="single" w:sz="8" w:color="0000EE"/>
            </w:tcBorders>
            <w:gridSpan w:val="12"/>
          </w:tcPr>
          <w:p>
            <w:pPr>
              <w:spacing w:after="0"/>
              <w:rPr>
                <w:sz w:val="17"/>
                <w:szCs w:val="17"/>
                <w:color w:val="auto"/>
              </w:rPr>
            </w:pPr>
          </w:p>
        </w:tc>
        <w:tc>
          <w:tcPr>
            <w:tcW w:w="632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740" w:type="dxa"/>
            <w:vAlign w:val="bottom"/>
            <w:gridSpan w:val="3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Quantitative and Qualitative Disclosures About Market Risk</w:t>
              </w:r>
            </w:hyperlink>
          </w:p>
        </w:tc>
        <w:tc>
          <w:tcPr>
            <w:tcW w:w="344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Controls and Procedures</w:t>
              </w:r>
            </w:hyperlink>
          </w:p>
        </w:tc>
        <w:tc>
          <w:tcPr>
            <w:tcW w:w="548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Borders>
              <w:bottom w:val="single" w:sz="8" w:color="0000EE"/>
            </w:tcBorders>
            <w:gridSpan w:val="5"/>
          </w:tcPr>
          <w:p>
            <w:pPr>
              <w:jc w:val="center"/>
              <w:spacing w:after="0" w:line="196" w:lineRule="exact"/>
              <w:rPr>
                <w:rFonts w:ascii="Arial" w:cs="Arial" w:eastAsia="Arial" w:hAnsi="Arial"/>
                <w:sz w:val="18"/>
                <w:szCs w:val="18"/>
                <w:b w:val="1"/>
                <w:bCs w:val="1"/>
                <w:color w:val="0000EE"/>
                <w:w w:val="93"/>
              </w:rPr>
            </w:pPr>
            <w:hyperlink w:anchor="page88">
              <w:r>
                <w:rPr>
                  <w:rFonts w:ascii="Arial" w:cs="Arial" w:eastAsia="Arial" w:hAnsi="Arial"/>
                  <w:sz w:val="18"/>
                  <w:szCs w:val="18"/>
                  <w:b w:val="1"/>
                  <w:bCs w:val="1"/>
                  <w:color w:val="0000EE"/>
                  <w:w w:val="93"/>
                </w:rPr>
                <w:t>Part II — Other Information</w:t>
              </w:r>
            </w:hyperlink>
          </w:p>
        </w:tc>
        <w:tc>
          <w:tcPr>
            <w:tcW w:w="33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740" w:type="dxa"/>
            <w:vAlign w:val="bottom"/>
            <w:gridSpan w:val="39"/>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Legal Proceedings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88">
              <w:r>
                <w:rPr>
                  <w:rFonts w:ascii="Arial" w:cs="Arial" w:eastAsia="Arial" w:hAnsi="Arial"/>
                  <w:sz w:val="18"/>
                  <w:szCs w:val="18"/>
                  <w:color w:val="0000EE"/>
                  <w:w w:val="87"/>
                </w:rPr>
                <w:t>Risk Factors</w:t>
              </w:r>
            </w:hyperlink>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Exhibits</w:t>
              </w:r>
            </w:hyperlink>
          </w:p>
        </w:tc>
        <w:tc>
          <w:tcPr>
            <w:tcW w:w="52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Signature</w:t>
              </w:r>
            </w:hyperlink>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3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March</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March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4"/>
              </w:rPr>
              <w:t>31, 2011</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8"/>
              </w:rPr>
              <w:t>31, 2010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and revenue</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Automotive sales</w:t>
            </w:r>
          </w:p>
        </w:tc>
        <w:tc>
          <w:tcPr>
            <w:tcW w:w="242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35,879</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GM Financial revenue</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Other automotive revenue</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net sales and revenue</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36,194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31,476</w:t>
            </w:r>
          </w:p>
        </w:tc>
        <w:tc>
          <w:tcPr>
            <w:tcW w:w="0" w:type="dxa"/>
            <w:vAlign w:val="bottom"/>
          </w:tcPr>
          <w:p>
            <w:pPr>
              <w:spacing w:after="0"/>
              <w:rPr>
                <w:sz w:val="1"/>
                <w:szCs w:val="1"/>
                <w:color w:val="auto"/>
              </w:rPr>
            </w:pPr>
          </w:p>
        </w:tc>
      </w:tr>
      <w:tr>
        <w:trPr>
          <w:trHeight w:val="222"/>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Automotive cost of sales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31,685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GM Financial operating and other expenses</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165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Automotive selling, general and administrative expense</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Other automotive expenses, net</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34,850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Goodwill impairment charges</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Automotive interest expense</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equity income</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Income tax expense</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Equity income, net of tax and gain on disposal of investments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4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3,411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stockholders</w:t>
            </w:r>
          </w:p>
        </w:tc>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4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3,366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dividends on preferred stock</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3,151</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242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1,504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 attributable to common stockholders</w:t>
            </w:r>
          </w:p>
        </w:tc>
        <w:tc>
          <w:tcPr>
            <w:tcW w:w="242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1.77</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6"/>
              </w:rPr>
              <w:t>March 31, 2011</w:t>
            </w:r>
          </w:p>
        </w:tc>
        <w:tc>
          <w:tcPr>
            <w:tcW w:w="6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shd w:val="clear" w:color="auto" w:fill="CCEEFF"/>
          </w:tcPr>
          <w:p>
            <w:pPr>
              <w:ind w:left="3780"/>
              <w:spacing w:after="0" w:line="142" w:lineRule="exact"/>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Current Assets</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20,975</w:t>
            </w:r>
          </w:p>
        </w:tc>
        <w:tc>
          <w:tcPr>
            <w:tcW w:w="10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Marketable securities</w:t>
            </w: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8,618</w:t>
            </w:r>
          </w:p>
        </w:tc>
        <w:tc>
          <w:tcPr>
            <w:tcW w:w="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5,555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cash, cash equivalents and marketable securities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29,593</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Accounts and notes receivable (net of allowance of $336 and $252)</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12,990</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8,699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13,991</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Equipment on operating leases, net</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3,099</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current assets and deferred income taxes</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3,276</w:t>
            </w:r>
          </w:p>
        </w:tc>
        <w:tc>
          <w:tcPr>
            <w:tcW w:w="6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55" w:lineRule="exact"/>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62,949</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53,053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Automotive Non-current Assets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Equity in net assets of nonconsolidated affiliates</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6,937</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8,529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Property, net</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19,944</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28,752</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30,513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Intangible assets, net</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11,488</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Other assets and deferred income taxes</w:t>
            </w: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4,249</w:t>
            </w:r>
          </w:p>
        </w:tc>
        <w:tc>
          <w:tcPr>
            <w:tcW w:w="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4,754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non-current assets</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71,370</w:t>
            </w:r>
          </w:p>
        </w:tc>
        <w:tc>
          <w:tcPr>
            <w:tcW w:w="6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Automotive Assets</w:t>
            </w: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134,319</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127,966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GM Financial Assets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Finance receivables, net (including gross finance receivables transferred to special purpose entities of $8,603 and $7,156)</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8,276</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1,201</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1,265</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 (including leased assets transferred to special purpose entities of $188 at March 31, 2011)</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785</w:t>
            </w:r>
          </w:p>
        </w:tc>
        <w:tc>
          <w:tcPr>
            <w:tcW w:w="6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GM Financial Assets</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11,527</w:t>
            </w:r>
          </w:p>
        </w:tc>
        <w:tc>
          <w:tcPr>
            <w:tcW w:w="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145,846</w:t>
            </w:r>
          </w:p>
        </w:tc>
        <w:tc>
          <w:tcPr>
            <w:tcW w:w="10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138,898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316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Automotive Current Liabilities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(principally trade)</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24,739</w:t>
            </w:r>
          </w:p>
        </w:tc>
        <w:tc>
          <w:tcPr>
            <w:tcW w:w="10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21,497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Short-term debt and current portion of long-term debt (including debt at GM Korea of $117 and $70; Note 11)</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1,743</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Accrued liabilities (including derivative liabilities at GM Korea of $49 and $111; Note 11)</w:t>
            </w: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25,200</w:t>
            </w:r>
          </w:p>
        </w:tc>
        <w:tc>
          <w:tcPr>
            <w:tcW w:w="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24,044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51,682</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Non-current Liabilities</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Long-term debt (including certain debt at GM Korea of $8 and $835; Note 11)</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3,268</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9,396</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Pensions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21,660</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Other liabilities and deferred income taxes</w:t>
            </w: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12,851</w:t>
            </w:r>
          </w:p>
        </w:tc>
        <w:tc>
          <w:tcPr>
            <w:tcW w:w="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non-current liabilities</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47,175</w:t>
            </w:r>
          </w:p>
        </w:tc>
        <w:tc>
          <w:tcPr>
            <w:tcW w:w="6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47,223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Automotive Liabilities</w:t>
            </w: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98,857</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94,380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GM Financial Liabilities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Securitization notes payable</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6,061</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Credit facilities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1,412</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430</w:t>
            </w:r>
          </w:p>
        </w:tc>
        <w:tc>
          <w:tcPr>
            <w:tcW w:w="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GM Financial Liabilities</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7,903</w:t>
            </w:r>
          </w:p>
        </w:tc>
        <w:tc>
          <w:tcPr>
            <w:tcW w:w="6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106,760</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101,739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17)</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$0.01 par value, 2,000,000,000 shares authorized:</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w w:val="96"/>
              </w:rPr>
              <w:t>Series A (276,101,695 shares issued and outstanding (each with a $25.00 liquidation preference) at March 31, 2011 and December 31, 2010)</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5,536</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Series B (100,000,000 shares issued and outstanding (each with a $50.00 liquidation preference) at March 31, 2011 and December 31, 2010)</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4,855</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680" w:type="dxa"/>
            <w:vAlign w:val="bottom"/>
          </w:tcPr>
          <w:p>
            <w:pPr>
              <w:spacing w:after="0" w:line="138" w:lineRule="exact"/>
              <w:rPr>
                <w:sz w:val="20"/>
                <w:szCs w:val="20"/>
                <w:color w:val="auto"/>
              </w:rPr>
            </w:pPr>
            <w:r>
              <w:rPr>
                <w:rFonts w:ascii="Arial" w:cs="Arial" w:eastAsia="Arial" w:hAnsi="Arial"/>
                <w:sz w:val="14"/>
                <w:szCs w:val="14"/>
                <w:color w:val="auto"/>
                <w:w w:val="95"/>
              </w:rPr>
              <w:t>Common stock, $0.01 par value (5,000,000,000 shares authorized, 1,560,755,989 and 1,500,149,928 shares issued and outstanding at March 31,</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80" w:type="dxa"/>
            <w:vAlign w:val="bottom"/>
          </w:tcPr>
          <w:p>
            <w:pPr>
              <w:ind w:left="200"/>
              <w:spacing w:after="0" w:line="159" w:lineRule="exact"/>
              <w:rPr>
                <w:sz w:val="20"/>
                <w:szCs w:val="20"/>
                <w:color w:val="auto"/>
              </w:rPr>
            </w:pPr>
            <w:r>
              <w:rPr>
                <w:rFonts w:ascii="Arial" w:cs="Arial" w:eastAsia="Arial" w:hAnsi="Arial"/>
                <w:sz w:val="14"/>
                <w:szCs w:val="14"/>
                <w:color w:val="auto"/>
              </w:rPr>
              <w:t>2011 and 1,500,136,998 shares issued and outstanding at December 31, 2010)</w:t>
            </w:r>
          </w:p>
        </w:tc>
        <w:tc>
          <w:tcPr>
            <w:tcW w:w="2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surplus (principally additional paid-in capital)</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24,347</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1,951</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1,494</w:t>
            </w:r>
          </w:p>
        </w:tc>
        <w:tc>
          <w:tcPr>
            <w:tcW w:w="6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700" w:type="dxa"/>
            <w:vAlign w:val="bottom"/>
            <w:gridSpan w:val="2"/>
          </w:tcPr>
          <w:p>
            <w:pPr>
              <w:spacing w:after="0" w:line="155" w:lineRule="exact"/>
              <w:rPr>
                <w:sz w:val="20"/>
                <w:szCs w:val="20"/>
                <w:color w:val="auto"/>
              </w:rPr>
            </w:pPr>
            <w:r>
              <w:rPr>
                <w:rFonts w:ascii="Arial" w:cs="Arial" w:eastAsia="Arial" w:hAnsi="Arial"/>
                <w:sz w:val="14"/>
                <w:szCs w:val="14"/>
                <w:color w:val="auto"/>
              </w:rPr>
              <w:t>Total stockholders’ equity</w:t>
            </w: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38,198</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36,180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888</w:t>
            </w:r>
          </w:p>
        </w:tc>
        <w:tc>
          <w:tcPr>
            <w:tcW w:w="6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Equity</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39,086</w:t>
            </w:r>
          </w:p>
        </w:tc>
        <w:tc>
          <w:tcPr>
            <w:tcW w:w="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37,159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145,846</w:t>
            </w:r>
          </w:p>
        </w:tc>
        <w:tc>
          <w:tcPr>
            <w:tcW w:w="10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138,898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Common Stockholders’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7"/>
              </w:rPr>
              <w:t>Retained</w:t>
            </w: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Accumulated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Series A</w:t>
            </w:r>
          </w:p>
        </w:tc>
        <w:tc>
          <w:tcPr>
            <w:tcW w:w="7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Series B</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Earnings</w:t>
            </w:r>
          </w:p>
        </w:tc>
        <w:tc>
          <w:tcPr>
            <w:tcW w:w="1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Preferred</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Preferred</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Capital</w:t>
            </w:r>
          </w:p>
        </w:tc>
        <w:tc>
          <w:tcPr>
            <w:tcW w:w="124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Surplus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8"/>
              </w:rPr>
              <w:t>Deficit)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Income</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$24,040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$21,957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1,068</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1,196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Other comprehensive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ind w:left="44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660"/>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flow hedging gains,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440"/>
              <w:spacing w:after="0"/>
              <w:rPr>
                <w:sz w:val="20"/>
                <w:szCs w:val="20"/>
                <w:color w:val="auto"/>
              </w:rPr>
            </w:pPr>
            <w:r>
              <w:rPr>
                <w:rFonts w:ascii="Arial" w:cs="Arial" w:eastAsia="Arial" w:hAnsi="Arial"/>
                <w:sz w:val="18"/>
                <w:szCs w:val="18"/>
                <w:color w:val="auto"/>
              </w:rPr>
              <w:t>Unrealized loss on securities</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Defined benefit plans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660"/>
              <w:spacing w:after="0"/>
              <w:rPr>
                <w:sz w:val="20"/>
                <w:szCs w:val="20"/>
                <w:color w:val="auto"/>
              </w:rPr>
            </w:pPr>
            <w:r>
              <w:rPr>
                <w:rFonts w:ascii="Arial" w:cs="Arial" w:eastAsia="Arial" w:hAnsi="Arial"/>
                <w:sz w:val="18"/>
                <w:szCs w:val="18"/>
                <w:color w:val="auto"/>
              </w:rPr>
              <w:t>Net prior service cost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actuarial gain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40"/>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w w:val="96"/>
              </w:rPr>
              <w:t>Effects of adoption of amendments to ASC</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00" w:type="dxa"/>
            <w:vAlign w:val="bottom"/>
          </w:tcPr>
          <w:p>
            <w:pPr>
              <w:ind w:left="220"/>
              <w:spacing w:after="0"/>
              <w:rPr>
                <w:sz w:val="20"/>
                <w:szCs w:val="20"/>
                <w:color w:val="auto"/>
              </w:rPr>
            </w:pPr>
            <w:r>
              <w:rPr>
                <w:rFonts w:ascii="Arial" w:cs="Arial" w:eastAsia="Arial" w:hAnsi="Arial"/>
                <w:sz w:val="18"/>
                <w:szCs w:val="18"/>
                <w:color w:val="auto"/>
                <w:w w:val="92"/>
              </w:rPr>
              <w:t>810-10 regarding variable interest entities</w:t>
            </w: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dividends paid on Series A Preferred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Arial" w:cs="Arial" w:eastAsia="Arial" w:hAnsi="Arial"/>
                <w:sz w:val="18"/>
                <w:szCs w:val="18"/>
                <w:color w:val="auto"/>
                <w:w w:val="93"/>
              </w:rPr>
              <w:t>Dividends declared or paid to noncontrolling</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tcPr>
          <w:p>
            <w:pPr>
              <w:ind w:left="220"/>
              <w:spacing w:after="0"/>
              <w:rPr>
                <w:sz w:val="20"/>
                <w:szCs w:val="20"/>
                <w:color w:val="auto"/>
              </w:rPr>
            </w:pPr>
            <w:r>
              <w:rPr>
                <w:rFonts w:ascii="Arial" w:cs="Arial" w:eastAsia="Arial" w:hAnsi="Arial"/>
                <w:sz w:val="18"/>
                <w:szCs w:val="18"/>
                <w:color w:val="auto"/>
              </w:rPr>
              <w:t>interests</w:t>
            </w: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8"/>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Balance March 31, 2010</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24,040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(3,529)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1,713</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23,053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4,855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$24,257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$37,159</w:t>
            </w: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Arial" w:cs="Arial" w:eastAsia="Arial" w:hAnsi="Arial"/>
                <w:sz w:val="18"/>
                <w:szCs w:val="18"/>
                <w:color w:val="auto"/>
                <w:w w:val="99"/>
              </w:rPr>
              <w:t>Effect of adoption of amendments in ASU</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w w:val="98"/>
              </w:rPr>
              <w:t>2010-28 regarding goodwill impairment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tcPr>
          <w:p>
            <w:pPr>
              <w:ind w:left="220"/>
              <w:spacing w:after="0"/>
              <w:rPr>
                <w:sz w:val="20"/>
                <w:szCs w:val="20"/>
                <w:color w:val="auto"/>
              </w:rPr>
            </w:pPr>
            <w:r>
              <w:rPr>
                <w:rFonts w:ascii="Arial" w:cs="Arial" w:eastAsia="Arial" w:hAnsi="Arial"/>
                <w:sz w:val="18"/>
                <w:szCs w:val="18"/>
                <w:color w:val="auto"/>
              </w:rPr>
              <w:t>(Notes 2 and 9)</w:t>
            </w: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(1,466)</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8"/>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b w:val="1"/>
                <w:bCs w:val="1"/>
                <w:color w:val="auto"/>
              </w:rPr>
              <w:t>Other comprehensive   income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adjustments</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440"/>
              <w:spacing w:after="0"/>
              <w:rPr>
                <w:sz w:val="20"/>
                <w:szCs w:val="20"/>
                <w:color w:val="auto"/>
              </w:rPr>
            </w:pPr>
            <w:r>
              <w:rPr>
                <w:rFonts w:ascii="Arial" w:cs="Arial" w:eastAsia="Arial" w:hAnsi="Arial"/>
                <w:sz w:val="18"/>
                <w:szCs w:val="18"/>
                <w:color w:val="auto"/>
              </w:rPr>
              <w:t>Cash flow hedging gains, net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Defined benefit plans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660"/>
              <w:spacing w:after="0"/>
              <w:rPr>
                <w:sz w:val="20"/>
                <w:szCs w:val="20"/>
                <w:color w:val="auto"/>
              </w:rPr>
            </w:pPr>
            <w:r>
              <w:rPr>
                <w:rFonts w:ascii="Arial" w:cs="Arial" w:eastAsia="Arial" w:hAnsi="Arial"/>
                <w:sz w:val="18"/>
                <w:szCs w:val="18"/>
                <w:color w:val="auto"/>
              </w:rPr>
              <w:t>Net prior service cost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actuarial gain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ind w:left="440"/>
              <w:spacing w:after="0"/>
              <w:rPr>
                <w:sz w:val="20"/>
                <w:szCs w:val="20"/>
                <w:color w:val="auto"/>
              </w:rPr>
            </w:pPr>
            <w:r>
              <w:rPr>
                <w:rFonts w:ascii="Arial" w:cs="Arial" w:eastAsia="Arial" w:hAnsi="Arial"/>
                <w:sz w:val="18"/>
                <w:szCs w:val="18"/>
                <w:color w:val="auto"/>
              </w:rPr>
              <w:t>Sale of interest in nonconsolidated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00" w:type="dxa"/>
            <w:vAlign w:val="bottom"/>
          </w:tcPr>
          <w:p>
            <w:pPr>
              <w:ind w:left="660"/>
              <w:spacing w:after="0"/>
              <w:rPr>
                <w:sz w:val="20"/>
                <w:szCs w:val="20"/>
                <w:color w:val="auto"/>
              </w:rPr>
            </w:pPr>
            <w:r>
              <w:rPr>
                <w:rFonts w:ascii="Arial" w:cs="Arial" w:eastAsia="Arial" w:hAnsi="Arial"/>
                <w:sz w:val="18"/>
                <w:szCs w:val="18"/>
                <w:color w:val="auto"/>
              </w:rPr>
              <w:t>affiliate</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2"/>
        </w:trPr>
        <w:tc>
          <w:tcPr>
            <w:tcW w:w="3300" w:type="dxa"/>
            <w:vAlign w:val="bottom"/>
          </w:tcPr>
          <w:p>
            <w:pPr>
              <w:ind w:left="660"/>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3,672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7"/>
              </w:rPr>
              <w:t>Purchase of noncontrolling interest shares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8"/>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dividends on Series A Preferred Stock</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cumulative dividends on Series 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Arial" w:cs="Arial" w:eastAsia="Arial" w:hAnsi="Arial"/>
                <w:sz w:val="18"/>
                <w:szCs w:val="18"/>
                <w:color w:val="auto"/>
                <w:w w:val="93"/>
              </w:rPr>
              <w:t>Dividends declared or paid to noncontrolling</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tcPr>
          <w:p>
            <w:pPr>
              <w:ind w:left="220"/>
              <w:spacing w:after="0"/>
              <w:rPr>
                <w:sz w:val="20"/>
                <w:szCs w:val="20"/>
                <w:color w:val="auto"/>
              </w:rPr>
            </w:pPr>
            <w:r>
              <w:rPr>
                <w:rFonts w:ascii="Arial" w:cs="Arial" w:eastAsia="Arial" w:hAnsi="Arial"/>
                <w:sz w:val="18"/>
                <w:szCs w:val="18"/>
                <w:color w:val="auto"/>
              </w:rPr>
              <w:t>interests</w:t>
            </w: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8"/>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Balance March 31, 2011</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5,536</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4,855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24,347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1,951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1,494</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39,086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1"/>
              </w:rPr>
              <w:t>Three Months</w:t>
            </w:r>
          </w:p>
        </w:tc>
        <w:tc>
          <w:tcPr>
            <w:tcW w:w="36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Ended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2011</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March 31,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 — Automotive</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(596)</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 — GM Financial</w:t>
            </w:r>
          </w:p>
        </w:tc>
        <w:tc>
          <w:tcPr>
            <w:tcW w:w="1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Expenditures for property</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Available-for-sale marketable securities, acquisitions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(7,287)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marketable securities, acquisitions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Available-for-sale marketable securities, liquidations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4,262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marketable securities, liquidations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Acquisition of companies, net of cash acquired</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leases, liquidations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Proceeds from sale of business units/investments, net</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4,805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restricted cash and marketable securities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Decrease in restricted cash and marketable securities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222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investing activities</w:t>
            </w:r>
          </w:p>
        </w:tc>
        <w:tc>
          <w:tcPr>
            <w:tcW w:w="1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investing activities — Automotive</w:t>
            </w:r>
          </w:p>
        </w:tc>
        <w:tc>
          <w:tcPr>
            <w:tcW w:w="1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receivables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Principal collections and recoveries on receivables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954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investing activities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 — GM Financial</w:t>
            </w:r>
          </w:p>
        </w:tc>
        <w:tc>
          <w:tcPr>
            <w:tcW w:w="1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gridSpan w:val="2"/>
            <w:vMerge w:val="continue"/>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(599)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short-term debt</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Proceeds from issuance of debt (original maturities greater than three months)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debt (original maturities greater than three months)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Payments to acquire noncontrolling interest</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 — Automotive</w:t>
            </w:r>
          </w:p>
        </w:tc>
        <w:tc>
          <w:tcPr>
            <w:tcW w:w="1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gridSpan w:val="2"/>
            <w:vMerge w:val="continue"/>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debt (original maturities greater than three months)</w:t>
            </w:r>
          </w:p>
        </w:tc>
        <w:tc>
          <w:tcPr>
            <w:tcW w:w="1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Payments on debt (original maturities greater than three months)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(1,461)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 — GM Financial</w:t>
            </w:r>
          </w:p>
        </w:tc>
        <w:tc>
          <w:tcPr>
            <w:tcW w:w="1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200"/>
              <w:spacing w:after="0"/>
              <w:rPr>
                <w:sz w:val="20"/>
                <w:szCs w:val="20"/>
                <w:color w:val="auto"/>
              </w:rPr>
            </w:pPr>
            <w:r>
              <w:rPr>
                <w:rFonts w:ascii="Arial" w:cs="Arial" w:eastAsia="Arial" w:hAnsi="Arial"/>
                <w:sz w:val="18"/>
                <w:szCs w:val="18"/>
                <w:color w:val="auto"/>
              </w:rPr>
              <w:t xml:space="preserve">Effect of exchange rate changes on cash and cash equivalents </w:t>
            </w:r>
            <w:r>
              <w:rPr>
                <w:rFonts w:ascii="Arial" w:cs="Arial" w:eastAsia="Arial" w:hAnsi="Arial"/>
                <w:sz w:val="18"/>
                <w:szCs w:val="18"/>
                <w:b w:val="1"/>
                <w:bCs w:val="1"/>
                <w:color w:val="auto"/>
              </w:rPr>
              <w:t>—</w:t>
            </w:r>
            <w:r>
              <w:rPr>
                <w:rFonts w:ascii="Arial" w:cs="Arial" w:eastAsia="Arial" w:hAnsi="Arial"/>
                <w:sz w:val="18"/>
                <w:szCs w:val="18"/>
                <w:color w:val="auto"/>
              </w:rPr>
              <w:t xml:space="preserve"> Automotive</w:t>
            </w:r>
          </w:p>
        </w:tc>
        <w:tc>
          <w:tcPr>
            <w:tcW w:w="1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cash and cash equivalents — Automotive</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Net increase in cash and cash equivalents — GM Financial</w:t>
            </w:r>
          </w:p>
        </w:tc>
        <w:tc>
          <w:tcPr>
            <w:tcW w:w="1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reclassified as assets held for sale — Automotive</w:t>
            </w:r>
          </w:p>
        </w:tc>
        <w:tc>
          <w:tcPr>
            <w:tcW w:w="1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 — Automotive</w:t>
            </w:r>
          </w:p>
        </w:tc>
        <w:tc>
          <w:tcPr>
            <w:tcW w:w="1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21,061</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 — GM Financial</w:t>
            </w:r>
          </w:p>
        </w:tc>
        <w:tc>
          <w:tcPr>
            <w:tcW w:w="1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 — Automotive</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20,975</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 — GM Financial</w:t>
            </w:r>
          </w:p>
        </w:tc>
        <w:tc>
          <w:tcPr>
            <w:tcW w:w="16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333</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177"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General Motors Company is sometimes referred to in this Quarterly Report on Form 10-Q as “we,” “our,” “us,” “ourselves,” the “Company,” “General Motors” or “GM.” General Motors Corporation is sometimes referred to in this Quarterly Report on Form 10-Q, for the periods on or before July 9, 2009, as “Old GM.” On July 10, 2009 in connection with the 363 Sale relating to Old GM’s Chapter 11 bankruptcy proceedings, General Motors Corporation changed its name to Motors Liquidation Company, which is sometimes referred to in this Quarterly Report on Form 10-Q for the periods after July 10, 2009 as “MLC.” MLC continues to exist as a distinct legal entity for the sole purpose of liquidating its remaining assets and liabilities.</w:t>
      </w:r>
    </w:p>
    <w:p>
      <w:pPr>
        <w:spacing w:after="0" w:line="116" w:lineRule="exact"/>
        <w:rPr>
          <w:sz w:val="20"/>
          <w:szCs w:val="20"/>
          <w:color w:val="auto"/>
        </w:rPr>
      </w:pPr>
    </w:p>
    <w:p>
      <w:pPr>
        <w:ind w:right="620" w:firstLine="228"/>
        <w:spacing w:after="0" w:line="332" w:lineRule="auto"/>
        <w:rPr>
          <w:sz w:val="20"/>
          <w:szCs w:val="20"/>
          <w:color w:val="auto"/>
        </w:rPr>
      </w:pPr>
      <w:r>
        <w:rPr>
          <w:rFonts w:ascii="Arial" w:cs="Arial" w:eastAsia="Arial" w:hAnsi="Arial"/>
          <w:sz w:val="16"/>
          <w:szCs w:val="16"/>
          <w:color w:val="auto"/>
        </w:rPr>
        <w:t>We design, build and sell cars, trucks and parts worldwide. We also conduct finance operations through General Motors Financial Company, Inc. (GM Financial). These financing operations consist principally of financing automobile purchases and leases for retail customers.</w:t>
      </w:r>
    </w:p>
    <w:p>
      <w:pPr>
        <w:spacing w:after="0" w:line="85"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We analyze the results of our business through our five segments, which are GM North America (GMNA), GM Europe (GME), GM International Operations (GMIO), GM South America (GMSA) and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43"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We own a 9.9% equity interest in Ally Financial, which is accounted for as a cost method investment because we are not able to exercise significant influence. Ally Financial provides a broad range of financial services, including consumer vehicle financing, automotive dealership and other commercial financing, residential mortgage services and automobile service contracts.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Recent Accounting Standards</w:t>
      </w:r>
    </w:p>
    <w:p>
      <w:pPr>
        <w:spacing w:after="0" w:line="177"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The accompanying condensed consolidated financial statements have been prepared pursuant to the rules and regulations of the Securities and Exchange Commission (SEC) for interim financial information. Accordingly, they do not include all of the information and footnotes required by U.S. GAAP for complete financial statements. The accompanying condensed consolidated financial statements include all adjustments, composed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Annual Report on Form 10-K for the year ended December 31, 2010 (2010 Form 10-K) as filed with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The condensed consolidated financial statements include our accounts and those of our subsidiaries that we control due to ownership of a majority voting interest. We continually evaluate our involvement with variable interest entities (VIEs) to determine whether we have variable interests and are the primary beneficiary of the VIE. When this criteria is met, we are required to consolidate the VIE. Our share of earnings or losses of nonconsolidated affiliates is included in our consolidated operating results using the equity method of accounting when we are able to exercise significant influence over the operating and financial decisions of the affiliate. We use the cost method of accounting if we are not able to exercise significant influence over the operating and financial decisions of the affiliate. All intercompany balances and transactions have been eliminated in consolidation.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177"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requires the use of estimates, judgments and assumptions that affect the amounts of assets and liabilities at the reporting date and the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77" w:lineRule="exact"/>
        <w:rPr>
          <w:sz w:val="20"/>
          <w:szCs w:val="20"/>
          <w:color w:val="auto"/>
        </w:rPr>
      </w:pPr>
    </w:p>
    <w:p>
      <w:pPr>
        <w:ind w:right="180" w:firstLine="228"/>
        <w:spacing w:after="0" w:line="298" w:lineRule="auto"/>
        <w:rPr>
          <w:sz w:val="20"/>
          <w:szCs w:val="20"/>
          <w:color w:val="auto"/>
        </w:rPr>
      </w:pPr>
      <w:r>
        <w:rPr>
          <w:rFonts w:ascii="Arial" w:cs="Arial" w:eastAsia="Arial" w:hAnsi="Arial"/>
          <w:sz w:val="16"/>
          <w:szCs w:val="16"/>
          <w:color w:val="auto"/>
        </w:rPr>
        <w:t>The assets and liabilities of GM Financial, our automotive finance operations, are presented on a non-classified basis. The amounts presented for GM Financial have been adjusted to include the effect of our tax attributes on GM Financial’s deferred tax positions and provision for income taxes since the date of acquisition, which are not applicable to GM Financial on a stand-alone basis, and to eliminate the effect of transactions between GM Financial and the other members of the consolidated group. Accordingly, the amounts presented will differ from those presented by GM Financial on a stand-alone basis.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Financial Statements Conformed to Current Period Presentation</w:t>
      </w:r>
    </w:p>
    <w:p>
      <w:pPr>
        <w:spacing w:after="0" w:line="177" w:lineRule="exact"/>
        <w:rPr>
          <w:sz w:val="20"/>
          <w:szCs w:val="20"/>
          <w:color w:val="auto"/>
        </w:rPr>
      </w:pPr>
    </w:p>
    <w:p>
      <w:pPr>
        <w:ind w:right="20" w:firstLine="228"/>
        <w:spacing w:after="0" w:line="318" w:lineRule="auto"/>
        <w:rPr>
          <w:sz w:val="20"/>
          <w:szCs w:val="20"/>
          <w:color w:val="auto"/>
        </w:rPr>
      </w:pPr>
      <w:r>
        <w:rPr>
          <w:rFonts w:ascii="Arial" w:cs="Arial" w:eastAsia="Arial" w:hAnsi="Arial"/>
          <w:sz w:val="15"/>
          <w:szCs w:val="15"/>
          <w:color w:val="auto"/>
        </w:rPr>
        <w:t>In the three months ended March 31, 2011 we have recorded foreign currency exchange gains and losses on debt as non-operating items. This is a change from prior period presentations in which foreign currency exchange gains and losses on debt were recorded in Automotive cost of sales. We have reclassified the prior periods of General Motors Company to conform to our current presentation. The effects of this reclassification will decrease Automotive cost of sales and Interest income and other non-operating income, net by $34 million from July 10, 2009 through December 31, 2009 and $38 million in the quarter ended March 31, 2010 while increasing Automotive cost of sales and Interest income and other non-operating income, net by $107 million for the year ended December 31, 2010.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177"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Our Venezuelan subsidiaries changed their functional currency from Bolivar Fuerte (BsF), the local currency, to the U.S. Dollar, our reporting currency, on January 1, 2010 because of the hyperinflationary status of the Venezuelan economy. Pursuant to the official devaluation of the Venezuelan currency and establishment of the dual fixed exchange rates (essential rate of BsF 2.60 to $1.00 and nonessential rate of BsF 4.30 to $1.00) in January 2010, we remeasured the BsF denominated monetary assets and liabilities held by our Venezuelan subsidiaries at the nonessential rate of 4.30 BsF to $1.00. The remeasurement resulted in a charge of $25 million recorded in Automotive cost of sales in the three months ended March 31, 2010.</w:t>
      </w:r>
    </w:p>
    <w:p>
      <w:pPr>
        <w:spacing w:after="0" w:line="116" w:lineRule="exact"/>
        <w:rPr>
          <w:sz w:val="20"/>
          <w:szCs w:val="20"/>
          <w:color w:val="auto"/>
        </w:rPr>
      </w:pPr>
    </w:p>
    <w:p>
      <w:pPr>
        <w:ind w:right="260" w:firstLine="228"/>
        <w:spacing w:after="0" w:line="294" w:lineRule="auto"/>
        <w:rPr>
          <w:sz w:val="20"/>
          <w:szCs w:val="20"/>
          <w:color w:val="auto"/>
        </w:rPr>
      </w:pPr>
      <w:r>
        <w:rPr>
          <w:rFonts w:ascii="Arial" w:cs="Arial" w:eastAsia="Arial" w:hAnsi="Arial"/>
          <w:sz w:val="16"/>
          <w:szCs w:val="16"/>
          <w:color w:val="auto"/>
        </w:rPr>
        <w:t>In June 2010 the Venezuelan government introduced additional foreign currency exchange control regulations, which imposed restrictions on the use of the parallel foreign currency exchange market, thereby making it more difficult to convert BsF to U.S. Dollars. We periodically accessed the parallel exchange market, which historically enabled entities to obtain foreign currency for transactions that could not be processed by the Commission for the Administration of Currency Exchange (CADIVI). The restrictions on the foreign currency exchange market could affect our Venezuelan subsidiaries’ ability to pay non-BsF denominated obligations that do not qualify to be processed by CADIVI at the official exchange rates as well as our ability to benefit from those operations.</w:t>
      </w:r>
    </w:p>
    <w:p>
      <w:pPr>
        <w:spacing w:after="0" w:line="116" w:lineRule="exact"/>
        <w:rPr>
          <w:sz w:val="20"/>
          <w:szCs w:val="20"/>
          <w:color w:val="auto"/>
        </w:rPr>
      </w:pPr>
    </w:p>
    <w:p>
      <w:pPr>
        <w:ind w:right="340" w:firstLine="228"/>
        <w:spacing w:after="0" w:line="256" w:lineRule="auto"/>
        <w:rPr>
          <w:sz w:val="20"/>
          <w:szCs w:val="20"/>
          <w:color w:val="auto"/>
        </w:rPr>
      </w:pPr>
      <w:r>
        <w:rPr>
          <w:rFonts w:ascii="Arial" w:cs="Arial" w:eastAsia="Arial" w:hAnsi="Arial"/>
          <w:sz w:val="18"/>
          <w:szCs w:val="18"/>
          <w:color w:val="auto"/>
        </w:rPr>
        <w:t>In December 2010 another official devaluation of the Venezuelan currency was announced that eliminated the essential rate effective January 1, 2011. The devaluation did not have an effect on the 2010 consolidated financial statements, however, it will affect results of operations in subsequent years because our Venezuelan subsidiaries will no longer realize gains that result from favorable foreign currency exchanges processed by CADIVI at the essential rate for the requests submitted subsequent to the devaluation date.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provide financial information for our Venezuelan subsidiaries at March 31, 2011 and December 31, 2010 and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2011 and 2010 which include amounts receivable from and payable to, and transactions with, affiliated entities (dollars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March 31, 2011</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0"/>
        </w:trPr>
        <w:tc>
          <w:tcPr>
            <w:tcW w:w="43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automotive assets (a)</w:t>
            </w:r>
          </w:p>
        </w:tc>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1,320</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Total automotive liabilities (b)</w:t>
            </w:r>
          </w:p>
        </w:tc>
        <w:tc>
          <w:tcPr>
            <w:tcW w:w="428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980</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r>
      <w:tr>
        <w:trPr>
          <w:trHeight w:val="346"/>
        </w:trPr>
        <w:tc>
          <w:tcPr>
            <w:tcW w:w="4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1"/>
              </w:rPr>
              <w:t>Three Months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3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Ended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4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March 31, 2011</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8"/>
              </w:rPr>
              <w:t>March 31, 2010</w:t>
            </w:r>
          </w:p>
        </w:tc>
        <w:tc>
          <w:tcPr>
            <w:tcW w:w="100" w:type="dxa"/>
            <w:vAlign w:val="bottom"/>
          </w:tcPr>
          <w:p>
            <w:pPr>
              <w:spacing w:after="0"/>
              <w:rPr>
                <w:sz w:val="14"/>
                <w:szCs w:val="14"/>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4280" w:type="dxa"/>
            <w:vAlign w:val="bottom"/>
            <w:gridSpan w:val="2"/>
            <w:shd w:val="clear" w:color="auto" w:fill="CCEEFF"/>
          </w:tcPr>
          <w:p>
            <w:pPr>
              <w:ind w:left="4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372</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Net income attributable to stockholders (c)</w:t>
            </w:r>
          </w:p>
        </w:tc>
        <w:tc>
          <w:tcPr>
            <w:tcW w:w="428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r>
      <w:tr>
        <w:trPr>
          <w:trHeight w:val="356"/>
        </w:trPr>
        <w:tc>
          <w:tcPr>
            <w:tcW w:w="4340" w:type="dxa"/>
            <w:vAlign w:val="bottom"/>
          </w:tcPr>
          <w:p>
            <w:pPr>
              <w:spacing w:after="0"/>
              <w:rPr>
                <w:sz w:val="24"/>
                <w:szCs w:val="24"/>
                <w:color w:val="auto"/>
              </w:rPr>
            </w:pPr>
          </w:p>
        </w:tc>
        <w:tc>
          <w:tcPr>
            <w:tcW w:w="4100" w:type="dxa"/>
            <w:vAlign w:val="bottom"/>
          </w:tcPr>
          <w:p>
            <w:pPr>
              <w:jc w:val="right"/>
              <w:ind w:right="2592"/>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2" w:lineRule="exact"/>
        <w:rPr>
          <w:sz w:val="20"/>
          <w:szCs w:val="20"/>
          <w:color w:val="auto"/>
        </w:rPr>
      </w:pPr>
    </w:p>
    <w:p>
      <w:pPr>
        <w:ind w:left="460" w:right="40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BsF denominated and non-BsF denominated monetary assets of $271 million and $639 million at March 31, 2011 and $393 million and $527 million at December 31, 2010.</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BsF denominated and non-BsF denominated monetary liabilities of $528 million and $452 million at March 31, 2011 and $661 million and $324 million at December 31, 2010.</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three months ended March 31, 2010 a gain of $119 million is included related to the devaluation of the BsF in January 2010 which was offset by a</w:t>
      </w:r>
    </w:p>
    <w:p>
      <w:pPr>
        <w:spacing w:after="0" w:line="38" w:lineRule="exact"/>
        <w:rPr>
          <w:rFonts w:ascii="Arial" w:cs="Arial" w:eastAsia="Arial" w:hAnsi="Arial"/>
          <w:sz w:val="16"/>
          <w:szCs w:val="16"/>
          <w:color w:val="auto"/>
        </w:rPr>
      </w:pPr>
    </w:p>
    <w:p>
      <w:pPr>
        <w:ind w:left="460" w:right="20"/>
        <w:spacing w:after="0" w:line="254" w:lineRule="auto"/>
        <w:rPr>
          <w:rFonts w:ascii="Arial" w:cs="Arial" w:eastAsia="Arial" w:hAnsi="Arial"/>
          <w:sz w:val="16"/>
          <w:szCs w:val="16"/>
          <w:color w:val="auto"/>
        </w:rPr>
      </w:pPr>
      <w:r>
        <w:rPr>
          <w:rFonts w:ascii="Arial" w:cs="Arial" w:eastAsia="Arial" w:hAnsi="Arial"/>
          <w:sz w:val="18"/>
          <w:szCs w:val="18"/>
          <w:color w:val="auto"/>
        </w:rPr>
        <w:t>$144 million loss recorded by U.S. entities on BsF denominated assets, which is not included in the Net income attributable to stockholders reported above. Included in the three months ended March 31, 2011 and 2010 are gains of $5 million and $15 million due to favorable foreign currency exchanges that were processed by CADIVI at the essential rate. The gain in the three months ended March 31, 2011 is related to requests for foreign currency exchanges submitted to CADIVI prior to the devaluation effective January 1, 2011.</w:t>
      </w:r>
    </w:p>
    <w:p>
      <w:pPr>
        <w:spacing w:after="0" w:line="144" w:lineRule="exact"/>
        <w:rPr>
          <w:sz w:val="20"/>
          <w:szCs w:val="20"/>
          <w:color w:val="auto"/>
        </w:rPr>
      </w:pPr>
    </w:p>
    <w:p>
      <w:pPr>
        <w:ind w:right="40" w:firstLine="228"/>
        <w:spacing w:after="0" w:line="306" w:lineRule="auto"/>
        <w:rPr>
          <w:sz w:val="20"/>
          <w:szCs w:val="20"/>
          <w:color w:val="auto"/>
        </w:rPr>
      </w:pPr>
      <w:r>
        <w:rPr>
          <w:rFonts w:ascii="Arial" w:cs="Arial" w:eastAsia="Arial" w:hAnsi="Arial"/>
          <w:sz w:val="16"/>
          <w:szCs w:val="16"/>
          <w:color w:val="auto"/>
        </w:rPr>
        <w:t>The total amount pending government approval for settlement at March 31, 2011 and December 31, 2010 was BsF 2.4 billion (equivalent to $554 million) and BsF 1.9 billion (equivalent to $432 million), for which some requests have been pending from 2007. The amounts outstanding at March 31, 2011 and December 31, 2010 include payables to affiliated entities of $364 million and $263 million, each of which include dividends payable of $144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Non-Cash Activity—Investing Cash Flows</w:t>
      </w:r>
    </w:p>
    <w:p>
      <w:pPr>
        <w:spacing w:after="0" w:line="96"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The following table summarizes accrued expenditures for property. These amounts are excluded from Expenditures for property within the investing section of the condensed consolidated statements of cash flows because no cash has been expended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80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8"/>
              </w:rPr>
              <w:t>Ended</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7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2011</w:t>
            </w:r>
          </w:p>
        </w:tc>
        <w:tc>
          <w:tcPr>
            <w:tcW w:w="8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100" w:type="dxa"/>
            <w:vAlign w:val="bottom"/>
          </w:tcPr>
          <w:p>
            <w:pPr>
              <w:spacing w:after="0"/>
              <w:rPr>
                <w:sz w:val="14"/>
                <w:szCs w:val="14"/>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Accrued expenditures for property</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9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Presentation in Condensed Consolidated Financial Statements</w:t>
      </w:r>
    </w:p>
    <w:p>
      <w:pPr>
        <w:spacing w:after="0" w:line="177" w:lineRule="exact"/>
        <w:rPr>
          <w:sz w:val="20"/>
          <w:szCs w:val="20"/>
          <w:color w:val="auto"/>
        </w:rPr>
      </w:pPr>
    </w:p>
    <w:p>
      <w:pPr>
        <w:jc w:val="both"/>
        <w:ind w:right="60" w:firstLine="228"/>
        <w:spacing w:after="0" w:line="306" w:lineRule="auto"/>
        <w:rPr>
          <w:sz w:val="20"/>
          <w:szCs w:val="20"/>
          <w:color w:val="auto"/>
        </w:rPr>
      </w:pPr>
      <w:r>
        <w:rPr>
          <w:rFonts w:ascii="Arial" w:cs="Arial" w:eastAsia="Arial" w:hAnsi="Arial"/>
          <w:sz w:val="16"/>
          <w:szCs w:val="16"/>
          <w:color w:val="auto"/>
        </w:rPr>
        <w:t>As disclosed in previous filings, in the three months ended June 30, 2010 we identified several items which had not been properly classified in our condensed consolidated statement of cash flows for the three months ended March 31, 2010. We consider the effects of these errors to be immaterial. The originally reported and corrected amounts for the three months ended March 31, 2010 are summarized in the following table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Originally</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Reported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6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As Corrected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 — Automotive</w:t>
            </w:r>
          </w:p>
        </w:tc>
        <w:tc>
          <w:tcPr>
            <w:tcW w:w="13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cash provided by (used in) investing activities — Automotive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 — Automotive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(1,688)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 — Automotive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reclassified as assets held for sale — Automotive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Cash and cash equivalents at beginning of period — Automotive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22,679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22,679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 — Automotive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23,310</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228"/>
        <w:spacing w:after="0" w:line="298" w:lineRule="auto"/>
        <w:rPr>
          <w:sz w:val="20"/>
          <w:szCs w:val="20"/>
          <w:color w:val="auto"/>
        </w:rPr>
      </w:pPr>
      <w:r>
        <w:rPr>
          <w:rFonts w:ascii="Arial" w:cs="Arial" w:eastAsia="Arial" w:hAnsi="Arial"/>
          <w:sz w:val="16"/>
          <w:szCs w:val="16"/>
          <w:color w:val="auto"/>
        </w:rPr>
        <w:t>In addition, we have corrected certain amounts disclosed in the notes to the consolidated financial statements included in our 2010 Form 10-K and our condensed consolidated financial statements included in our Quarterly Report for the period ended March 31, 2010. Although we do not consider the effects of these disclosure errors to be material, we have corrected the amounts in the notes to the condensed consolidated financial statements. Originally reported and corrected amounts are included in the affected notes to the condensed consolidated financial statements which follow.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177" w:lineRule="exact"/>
        <w:rPr>
          <w:sz w:val="20"/>
          <w:szCs w:val="20"/>
          <w:color w:val="auto"/>
        </w:rPr>
      </w:pPr>
    </w:p>
    <w:p>
      <w:pPr>
        <w:ind w:right="240" w:firstLine="228"/>
        <w:spacing w:after="0" w:line="290" w:lineRule="auto"/>
        <w:rPr>
          <w:sz w:val="20"/>
          <w:szCs w:val="20"/>
          <w:color w:val="auto"/>
        </w:rPr>
      </w:pPr>
      <w:r>
        <w:rPr>
          <w:rFonts w:ascii="Arial" w:cs="Arial" w:eastAsia="Arial" w:hAnsi="Arial"/>
          <w:sz w:val="16"/>
          <w:szCs w:val="16"/>
          <w:color w:val="auto"/>
        </w:rPr>
        <w:t>In September 2009 the FASB issued Accounting Standard Update (ASU) 2009-13, “Multiple-Deliverable Revenue Arrangements” (ASU 2009-13). ASU 2009-13 addresses the unit of accounting for multiple-element arrangements. In addition, ASU 2009-13 revises the method by which consideration is allocated among the units of accounting. Specifically, the overall consideration is allocated to each deliverable by establishing a selling price for individual deliverables based on a hierarchy of evidence, involving vendor-specific objective evidence, other third party evidence of the selling price or the reporting entity’s best estimate of the selling price of individual deliverables in the arrangement. ASU 2009-13 was effective prospectively for revenue arrangements entered into or materially modified in fiscal years beginning on or after June 15, 2010. The adoption of ASU 2009-13 did not have a material effect on the condensed consolidated financial statements.</w:t>
      </w:r>
    </w:p>
    <w:p>
      <w:pPr>
        <w:spacing w:after="0" w:line="118" w:lineRule="exact"/>
        <w:rPr>
          <w:sz w:val="20"/>
          <w:szCs w:val="20"/>
          <w:color w:val="auto"/>
        </w:rPr>
      </w:pPr>
    </w:p>
    <w:p>
      <w:pPr>
        <w:ind w:right="40" w:firstLine="228"/>
        <w:spacing w:after="0" w:line="253" w:lineRule="auto"/>
        <w:rPr>
          <w:sz w:val="20"/>
          <w:szCs w:val="20"/>
          <w:color w:val="auto"/>
        </w:rPr>
      </w:pPr>
      <w:r>
        <w:rPr>
          <w:rFonts w:ascii="Arial" w:cs="Arial" w:eastAsia="Arial" w:hAnsi="Arial"/>
          <w:sz w:val="18"/>
          <w:szCs w:val="18"/>
          <w:color w:val="auto"/>
        </w:rPr>
        <w:t>In December 2010 the FASB issued ASU 2010-28, “Intangibles — Goodwill and Other: When to Perform Step 2 of the Goodwill Impairment Test for Reporting Units with Zero or Negative Carrying Amounts” (ASU 2010-28). The amendments in ASU 2010-28 modify Step 1 of the goodwill impairment test for reporting units with zero or negative carrying amounts. For those reporting units, an entity is required to perform Step 2 of the goodwill impairment test if it is more likely than not that a goodwill impairment exists. ASU 2010-28 is effective for fiscal years, and interim periods within those years, beginning after December 15, 2010. Any resulting goodwill impairment is recorded as a cumulative-effect adjustment to beginning Retained earnings at the date of adoption with future impairments recorded to earnings. Refer to Note 9 for additional information on the adoption of ASU 2010-28 and its effect on the condensed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and Disposals of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Additional GM Korea Interests</w:t>
      </w:r>
    </w:p>
    <w:p>
      <w:pPr>
        <w:spacing w:after="0" w:line="177"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On March 31, 2011 we completed the acquisition of an additional 6.9% interest in GM Korea Company, formerly GM Daewoo Auto &amp; Technology Co. (GM Korea) for a cash purchase price of $100 million. The transaction was accounted for as an equity transaction as we retain the controlling financial interest in GM Korea. As a result of this transaction we reduced our equity attributable to Noncontrolling interests by $134 million and our Accumulated other comprehensive income by $7 million, and increased our Capital surplus by $41 million. After completing this transaction, we now own 77.0% of the outstanding shares of GM Korea.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Saab Sale</w:t>
      </w:r>
    </w:p>
    <w:p>
      <w:pPr>
        <w:spacing w:after="0" w:line="177"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In February 2010 we completed the sale of Saab Automobile AB (Saab) and in May 2010 we completed the sale of Saab Automobile GB to Spyker Cars NV. Of the negotiated cash purchase price of $74 million, we received $50 million at closing and received the remaining $24 million in July 2010. We also received preference shares in Saab with a face value of $326 million and an estimated fair value that is insignificant and received $114 million as repayment of the debtor-in-possession financing that we provided to Saab during 2009. In the three months March 31, 2010 we recorded a gain of $123 million in Interest income and other non-operating income, net reflecting cash received of $166 million less net assets with a book value of $43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GM Financial</w:t>
      </w:r>
    </w:p>
    <w:p>
      <w:pPr>
        <w:spacing w:after="0" w:line="177" w:lineRule="exact"/>
        <w:rPr>
          <w:sz w:val="20"/>
          <w:szCs w:val="20"/>
          <w:color w:val="auto"/>
        </w:rPr>
      </w:pPr>
    </w:p>
    <w:p>
      <w:pPr>
        <w:ind w:right="280" w:firstLine="228"/>
        <w:spacing w:after="0" w:line="298" w:lineRule="auto"/>
        <w:rPr>
          <w:sz w:val="20"/>
          <w:szCs w:val="20"/>
          <w:color w:val="auto"/>
        </w:rPr>
      </w:pPr>
      <w:r>
        <w:rPr>
          <w:rFonts w:ascii="Arial" w:cs="Arial" w:eastAsia="Arial" w:hAnsi="Arial"/>
          <w:sz w:val="16"/>
          <w:szCs w:val="16"/>
          <w:color w:val="auto"/>
        </w:rPr>
        <w:t>In October 2010 we acquired 100% of the outstanding equity interests of GM Financial (formerly AmeriCredit Corp.), an automotive finance company, for cash of $3.5 billion. The results of GM Financial are included in our results beginning October 1, 2010. The following table summarizes the actual amounts of revenue and earnings of GM Financial included in our condensed consolidated financial statements for the three months ended March 31, 2011 and the supplemental pro forma revenue and earnings of the combined entity as if the acquisition had occurred on January 1, 2010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GM Financial</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2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Amounts Included In</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85"/>
              </w:rPr>
              <w:t>Results For</w:t>
            </w:r>
          </w:p>
        </w:tc>
        <w:tc>
          <w:tcPr>
            <w:tcW w:w="118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Pro Forma-Combined</w:t>
            </w:r>
          </w:p>
        </w:tc>
      </w:tr>
      <w:tr>
        <w:trPr>
          <w:trHeight w:val="149"/>
        </w:trPr>
        <w:tc>
          <w:tcPr>
            <w:tcW w:w="42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180" w:type="dxa"/>
            <w:vAlign w:val="bottom"/>
          </w:tcPr>
          <w:p>
            <w:pPr>
              <w:spacing w:after="0"/>
              <w:rPr>
                <w:sz w:val="12"/>
                <w:szCs w:val="12"/>
                <w:color w:val="auto"/>
              </w:rPr>
            </w:pPr>
          </w:p>
        </w:tc>
        <w:tc>
          <w:tcPr>
            <w:tcW w:w="14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8"/>
              </w:rPr>
              <w:t>Three Months Ended</w:t>
            </w:r>
          </w:p>
        </w:tc>
      </w:tr>
      <w:tr>
        <w:trPr>
          <w:trHeight w:val="161"/>
        </w:trPr>
        <w:tc>
          <w:tcPr>
            <w:tcW w:w="42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Ended March 31, 2011</w:t>
            </w: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4"/>
              </w:rPr>
              <w:t>March 31, 2010</w:t>
            </w:r>
          </w:p>
        </w:tc>
        <w:tc>
          <w:tcPr>
            <w:tcW w:w="100" w:type="dxa"/>
            <w:vAlign w:val="bottom"/>
          </w:tcPr>
          <w:p>
            <w:pPr>
              <w:spacing w:after="0"/>
              <w:rPr>
                <w:sz w:val="14"/>
                <w:szCs w:val="14"/>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3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3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31,824</w:t>
            </w:r>
          </w:p>
        </w:tc>
        <w:tc>
          <w:tcPr>
            <w:tcW w:w="100" w:type="dxa"/>
            <w:vAlign w:val="bottom"/>
            <w:shd w:val="clear" w:color="auto" w:fill="CCEEFF"/>
          </w:tcPr>
          <w:p>
            <w:pPr>
              <w:spacing w:after="0"/>
              <w:rPr>
                <w:sz w:val="18"/>
                <w:szCs w:val="18"/>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Net income attributable to stockholders</w:t>
            </w:r>
          </w:p>
        </w:tc>
        <w:tc>
          <w:tcPr>
            <w:tcW w:w="3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3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r>
      <w:tr>
        <w:trPr>
          <w:trHeight w:val="356"/>
        </w:trPr>
        <w:tc>
          <w:tcPr>
            <w:tcW w:w="4220" w:type="dxa"/>
            <w:vAlign w:val="bottom"/>
          </w:tcPr>
          <w:p>
            <w:pPr>
              <w:spacing w:after="0"/>
              <w:rPr>
                <w:sz w:val="24"/>
                <w:szCs w:val="24"/>
                <w:color w:val="auto"/>
              </w:rPr>
            </w:pPr>
          </w:p>
        </w:tc>
        <w:tc>
          <w:tcPr>
            <w:tcW w:w="3300" w:type="dxa"/>
            <w:vAlign w:val="bottom"/>
          </w:tcPr>
          <w:p>
            <w:pPr>
              <w:jc w:val="right"/>
              <w:ind w:right="1672"/>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information regarding marketable securities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March 31, 2011</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5"/>
              </w:rPr>
              <w:t>December 31, 2010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Cost</w:t>
            </w:r>
          </w:p>
        </w:tc>
        <w:tc>
          <w:tcPr>
            <w:tcW w:w="3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Gains</w:t>
            </w:r>
          </w:p>
        </w:tc>
        <w:tc>
          <w:tcPr>
            <w:tcW w:w="280" w:type="dxa"/>
            <w:vAlign w:val="bottom"/>
          </w:tcPr>
          <w:p>
            <w:pPr>
              <w:spacing w:after="0"/>
              <w:rPr>
                <w:sz w:val="12"/>
                <w:szCs w:val="12"/>
                <w:color w:val="auto"/>
              </w:rPr>
            </w:pPr>
          </w:p>
        </w:tc>
        <w:tc>
          <w:tcPr>
            <w:tcW w:w="3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Losses</w:t>
            </w:r>
          </w:p>
        </w:tc>
        <w:tc>
          <w:tcPr>
            <w:tcW w:w="280" w:type="dxa"/>
            <w:vAlign w:val="bottom"/>
          </w:tcPr>
          <w:p>
            <w:pPr>
              <w:spacing w:after="0"/>
              <w:rPr>
                <w:sz w:val="12"/>
                <w:szCs w:val="12"/>
                <w:color w:val="auto"/>
              </w:rPr>
            </w:pPr>
          </w:p>
        </w:tc>
        <w:tc>
          <w:tcPr>
            <w:tcW w:w="78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Value</w:t>
            </w:r>
          </w:p>
        </w:tc>
        <w:tc>
          <w:tcPr>
            <w:tcW w:w="5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2"/>
                <w:szCs w:val="12"/>
                <w:color w:val="auto"/>
              </w:rPr>
            </w:pPr>
          </w:p>
        </w:tc>
        <w:tc>
          <w:tcPr>
            <w:tcW w:w="6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Gains</w:t>
            </w:r>
          </w:p>
        </w:tc>
        <w:tc>
          <w:tcPr>
            <w:tcW w:w="3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Losses</w:t>
            </w:r>
          </w:p>
        </w:tc>
        <w:tc>
          <w:tcPr>
            <w:tcW w:w="280" w:type="dxa"/>
            <w:vAlign w:val="bottom"/>
          </w:tcPr>
          <w:p>
            <w:pPr>
              <w:spacing w:after="0"/>
              <w:rPr>
                <w:sz w:val="12"/>
                <w:szCs w:val="12"/>
                <w:color w:val="auto"/>
              </w:rPr>
            </w:pPr>
          </w:p>
        </w:tc>
        <w:tc>
          <w:tcPr>
            <w:tcW w:w="6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4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agencies</w:t>
            </w:r>
          </w:p>
        </w:tc>
        <w:tc>
          <w:tcPr>
            <w:tcW w:w="2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$5,834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$5,834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$2,023</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2220" w:type="dxa"/>
            <w:vAlign w:val="bottom"/>
            <w:gridSpan w:val="3"/>
          </w:tcPr>
          <w:p>
            <w:pPr>
              <w:jc w:val="right"/>
              <w:ind w:right="280"/>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623</w:t>
            </w:r>
          </w:p>
        </w:tc>
        <w:tc>
          <w:tcPr>
            <w:tcW w:w="500" w:type="dxa"/>
            <w:vAlign w:val="bottom"/>
          </w:tcPr>
          <w:p>
            <w:pPr>
              <w:jc w:val="right"/>
              <w:spacing w:after="0"/>
              <w:rPr>
                <w:sz w:val="20"/>
                <w:szCs w:val="20"/>
                <w:color w:val="auto"/>
              </w:rPr>
            </w:pPr>
            <w:r>
              <w:rPr>
                <w:rFonts w:ascii="Arial" w:cs="Arial" w:eastAsia="Arial" w:hAnsi="Arial"/>
                <w:sz w:val="18"/>
                <w:szCs w:val="18"/>
                <w:color w:val="auto"/>
              </w:rPr>
              <w:t>773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2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14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1,699</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1,697</w:t>
            </w:r>
          </w:p>
        </w:tc>
        <w:tc>
          <w:tcPr>
            <w:tcW w:w="500" w:type="dxa"/>
            <w:vAlign w:val="bottom"/>
          </w:tcPr>
          <w:p>
            <w:pPr>
              <w:jc w:val="right"/>
              <w:spacing w:after="0"/>
              <w:rPr>
                <w:sz w:val="20"/>
                <w:szCs w:val="20"/>
                <w:color w:val="auto"/>
              </w:rPr>
            </w:pPr>
            <w:r>
              <w:rPr>
                <w:rFonts w:ascii="Arial" w:cs="Arial" w:eastAsia="Arial" w:hAnsi="Arial"/>
                <w:sz w:val="18"/>
                <w:szCs w:val="18"/>
                <w:color w:val="auto"/>
              </w:rPr>
              <w:t>1,670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8,485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8,483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trading securities</w:t>
            </w:r>
          </w:p>
        </w:tc>
        <w:tc>
          <w:tcPr>
            <w:tcW w:w="14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135</w:t>
            </w: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5,549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60" w:firstLine="228"/>
        <w:spacing w:after="0" w:line="259" w:lineRule="auto"/>
        <w:rPr>
          <w:sz w:val="20"/>
          <w:szCs w:val="20"/>
          <w:color w:val="auto"/>
        </w:rPr>
      </w:pPr>
      <w:r>
        <w:rPr>
          <w:rFonts w:ascii="Arial" w:cs="Arial" w:eastAsia="Arial" w:hAnsi="Arial"/>
          <w:sz w:val="18"/>
          <w:szCs w:val="18"/>
          <w:color w:val="auto"/>
        </w:rPr>
        <w:t>We maintained $89 million of the above trading securities as compensating balances to support letters of credit of $74 million at March 31, 2011 and December 31, 2010. We have access to these securities in the normal course of business; however, the letters of credit may be withdrawn if the minimum collateral balance is not maintained.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securities classified as Cash and cash equivalents and restricted cash and marketable securities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March 31, 2011</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0"/>
        </w:trPr>
        <w:tc>
          <w:tcPr>
            <w:tcW w:w="6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Securities classified as cash and cash equivalents</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13,898</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Securities classified as restricted cash and marketable securities (a)</w:t>
            </w:r>
          </w:p>
        </w:tc>
        <w:tc>
          <w:tcPr>
            <w:tcW w:w="216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1,481</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240" w:right="2020" w:hanging="232"/>
        <w:spacing w:after="0" w:line="526" w:lineRule="auto"/>
        <w:tabs>
          <w:tab w:leader="none" w:pos="458" w:val="left"/>
        </w:tabs>
        <w:numPr>
          <w:ilvl w:val="0"/>
          <w:numId w:val="4"/>
        </w:numPr>
        <w:rPr>
          <w:rFonts w:ascii="Arial" w:cs="Arial" w:eastAsia="Arial" w:hAnsi="Arial"/>
          <w:sz w:val="15"/>
          <w:szCs w:val="15"/>
          <w:color w:val="auto"/>
        </w:rPr>
      </w:pPr>
      <w:r>
        <w:rPr>
          <w:rFonts w:ascii="Arial" w:cs="Arial" w:eastAsia="Arial" w:hAnsi="Arial"/>
          <w:sz w:val="15"/>
          <w:szCs w:val="15"/>
          <w:color w:val="auto"/>
        </w:rPr>
        <w:t>Securities classified as restricted cash and marketable securities are recorded in Other current assets and deferred income taxes. Refer to Note 19 for classes of securities underlying Cash and cash equivalents and restricted cash and marketable securities.</w:t>
      </w:r>
    </w:p>
    <w:p>
      <w:pPr>
        <w:ind w:right="200" w:firstLine="228"/>
        <w:spacing w:after="0" w:line="268" w:lineRule="auto"/>
        <w:rPr>
          <w:sz w:val="20"/>
          <w:szCs w:val="20"/>
          <w:color w:val="auto"/>
        </w:rPr>
      </w:pPr>
      <w:r>
        <w:rPr>
          <w:rFonts w:ascii="Arial" w:cs="Arial" w:eastAsia="Arial" w:hAnsi="Arial"/>
          <w:sz w:val="18"/>
          <w:szCs w:val="18"/>
          <w:color w:val="auto"/>
        </w:rPr>
        <w:t>The following table summarizes proceeds from and realized gains and losses on disposals of investments in marketable securities classified as available-for-sale and sold prior to maturity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6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w w:val="91"/>
              </w:rPr>
              <w:t>Three Months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33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33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31, 2010</w:t>
            </w:r>
          </w:p>
        </w:tc>
      </w:tr>
      <w:tr>
        <w:trPr>
          <w:trHeight w:val="20"/>
        </w:trPr>
        <w:tc>
          <w:tcPr>
            <w:tcW w:w="33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Sales proceeds</w:t>
            </w:r>
          </w:p>
        </w:tc>
        <w:tc>
          <w:tcPr>
            <w:tcW w:w="5340" w:type="dxa"/>
            <w:vAlign w:val="bottom"/>
            <w:gridSpan w:val="2"/>
            <w:shd w:val="clear" w:color="auto" w:fill="CCEEFF"/>
          </w:tcPr>
          <w:p>
            <w:pPr>
              <w:ind w:left="51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Realized gains</w:t>
            </w:r>
          </w:p>
        </w:tc>
        <w:tc>
          <w:tcPr>
            <w:tcW w:w="5340" w:type="dxa"/>
            <w:vAlign w:val="bottom"/>
            <w:gridSpan w:val="2"/>
          </w:tcPr>
          <w:p>
            <w:pPr>
              <w:ind w:left="51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w:t>
            </w:r>
          </w:p>
        </w:tc>
        <w:tc>
          <w:tcPr>
            <w:tcW w:w="5340" w:type="dxa"/>
            <w:vAlign w:val="bottom"/>
            <w:gridSpan w:val="2"/>
            <w:shd w:val="clear" w:color="auto" w:fill="CCEEFF"/>
          </w:tcPr>
          <w:p>
            <w:pPr>
              <w:ind w:left="51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363"/>
        </w:trPr>
        <w:tc>
          <w:tcPr>
            <w:tcW w:w="3380" w:type="dxa"/>
            <w:vAlign w:val="bottom"/>
          </w:tcPr>
          <w:p>
            <w:pPr>
              <w:spacing w:after="0"/>
              <w:rPr>
                <w:sz w:val="24"/>
                <w:szCs w:val="24"/>
                <w:color w:val="auto"/>
              </w:rPr>
            </w:pPr>
          </w:p>
        </w:tc>
        <w:tc>
          <w:tcPr>
            <w:tcW w:w="5180" w:type="dxa"/>
            <w:vAlign w:val="bottom"/>
          </w:tcPr>
          <w:p>
            <w:pPr>
              <w:jc w:val="right"/>
              <w:ind w:right="2712"/>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The following table summarizes the fair value of investments classified as available-for-sale securities by contractual maturity at March 31, 2011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86"/>
              </w:rPr>
              <w:t>Amortized Cost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w:t>
            </w:r>
          </w:p>
        </w:tc>
        <w:tc>
          <w:tcPr>
            <w:tcW w:w="76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maturities of available-for-sale securities</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w:t>
            </w:r>
          </w:p>
        </w:tc>
        <w:tc>
          <w:tcPr>
            <w:tcW w:w="76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Finance Receivables, net</w:t>
            </w: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4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Automotive Financing</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400" w:type="dxa"/>
            <w:vAlign w:val="bottom"/>
          </w:tcPr>
          <w:p>
            <w:pPr>
              <w:ind w:left="220"/>
              <w:spacing w:after="0"/>
              <w:rPr>
                <w:sz w:val="20"/>
                <w:szCs w:val="20"/>
                <w:color w:val="auto"/>
              </w:rPr>
            </w:pPr>
            <w:r>
              <w:rPr>
                <w:rFonts w:ascii="Arial" w:cs="Arial" w:eastAsia="Arial" w:hAnsi="Arial"/>
                <w:sz w:val="18"/>
                <w:szCs w:val="18"/>
                <w:color w:val="auto"/>
              </w:rPr>
              <w:t>The following table summarizes the components of Finance receivables, net (dollars in millions):</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8"/>
              </w:rPr>
              <w:t>March 31, 2011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5"/>
              </w:rPr>
              <w:t>December 31, 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Pre-acquisition finance receivables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6,745</w:t>
            </w: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Post-acquisition finance receivables</w:t>
            </w: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8,750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Purchase price premium</w:t>
            </w:r>
          </w:p>
        </w:tc>
        <w:tc>
          <w:tcPr>
            <w:tcW w:w="3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355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Less non-accretable discount on pre-acquisition finance receivables</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Less allowance for loan losses on post-acquisition receivables</w:t>
            </w:r>
          </w:p>
        </w:tc>
        <w:tc>
          <w:tcPr>
            <w:tcW w:w="3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 net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vMerge w:val="restart"/>
          </w:tcPr>
          <w:p>
            <w:pPr>
              <w:ind w:left="220"/>
              <w:spacing w:after="0"/>
              <w:rPr>
                <w:sz w:val="20"/>
                <w:szCs w:val="20"/>
                <w:color w:val="auto"/>
              </w:rPr>
            </w:pPr>
            <w:r>
              <w:rPr>
                <w:rFonts w:ascii="Arial" w:cs="Arial" w:eastAsia="Arial" w:hAnsi="Arial"/>
                <w:sz w:val="18"/>
                <w:szCs w:val="18"/>
                <w:color w:val="auto"/>
              </w:rPr>
              <w:t>The following table summarizes activity for finance receivables (dollars in millions):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4"/>
          </w:tcPr>
          <w:p>
            <w:pPr>
              <w:jc w:val="right"/>
              <w:ind w:right="3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8"/>
              </w:rPr>
              <w:t>March 31, 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Loans purchased</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Principal collections and other</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228"/>
        <w:spacing w:after="0" w:line="259" w:lineRule="auto"/>
        <w:rPr>
          <w:sz w:val="20"/>
          <w:szCs w:val="20"/>
          <w:color w:val="auto"/>
        </w:rPr>
      </w:pPr>
      <w:r>
        <w:rPr>
          <w:rFonts w:ascii="Arial" w:cs="Arial" w:eastAsia="Arial" w:hAnsi="Arial"/>
          <w:sz w:val="18"/>
          <w:szCs w:val="18"/>
          <w:color w:val="auto"/>
        </w:rPr>
        <w:t>Finance contracts are purchased by GM Financial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40"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At March 31, 2011 and December 31, 2010 the accrual of finance charge income has been suspended on delinquent finance receivables of $355 million and $491 million.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activity for purchase price premium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6700" w:type="dxa"/>
            <w:vAlign w:val="bottom"/>
            <w:gridSpan w:val="2"/>
            <w:shd w:val="clear" w:color="auto" w:fill="CCEEFF"/>
          </w:tcPr>
          <w:p>
            <w:pPr>
              <w:ind w:left="65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Amortization of premium</w:t>
            </w:r>
          </w:p>
        </w:tc>
        <w:tc>
          <w:tcPr>
            <w:tcW w:w="6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65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520" w:type="dxa"/>
            <w:vAlign w:val="bottom"/>
            <w:vMerge w:val="restart"/>
          </w:tcPr>
          <w:p>
            <w:pPr>
              <w:jc w:val="right"/>
              <w:ind w:right="4532"/>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400" w:type="dxa"/>
            <w:vAlign w:val="bottom"/>
          </w:tcPr>
          <w:p>
            <w:pPr>
              <w:jc w:val="center"/>
              <w:ind w:left="892"/>
              <w:spacing w:after="0"/>
              <w:rPr>
                <w:sz w:val="20"/>
                <w:szCs w:val="20"/>
                <w:color w:val="auto"/>
              </w:rPr>
            </w:pPr>
            <w:r>
              <w:rPr>
                <w:rFonts w:ascii="Arial" w:cs="Arial" w:eastAsia="Arial" w:hAnsi="Arial"/>
                <w:sz w:val="18"/>
                <w:szCs w:val="18"/>
                <w:b w:val="1"/>
                <w:bCs w:val="1"/>
                <w:color w:val="auto"/>
                <w:w w:val="97"/>
              </w:rPr>
              <w:t>GENERAL MOTORS COMPANY AND SUBSIDIARIES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400" w:type="dxa"/>
            <w:vAlign w:val="bottom"/>
          </w:tcPr>
          <w:p>
            <w:pPr>
              <w:jc w:val="center"/>
              <w:ind w:left="912"/>
              <w:spacing w:after="0"/>
              <w:rPr>
                <w:sz w:val="20"/>
                <w:szCs w:val="20"/>
                <w:color w:val="auto"/>
              </w:rPr>
            </w:pPr>
            <w:r>
              <w:rPr>
                <w:rFonts w:ascii="Arial" w:cs="Arial" w:eastAsia="Arial" w:hAnsi="Arial"/>
                <w:sz w:val="18"/>
                <w:szCs w:val="18"/>
                <w:b w:val="1"/>
                <w:bCs w:val="1"/>
                <w:color w:val="auto"/>
                <w:w w:val="96"/>
              </w:rPr>
              <w:t>NOTES TO CONDENSED CONSOLIDATED FINANCIAL STATEMENTS — (Continued)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00" w:type="dxa"/>
            <w:vAlign w:val="bottom"/>
          </w:tcPr>
          <w:p>
            <w:pPr>
              <w:ind w:left="220"/>
              <w:spacing w:after="0"/>
              <w:rPr>
                <w:sz w:val="20"/>
                <w:szCs w:val="20"/>
                <w:color w:val="auto"/>
              </w:rPr>
            </w:pPr>
            <w:r>
              <w:rPr>
                <w:rFonts w:ascii="Arial" w:cs="Arial" w:eastAsia="Arial" w:hAnsi="Arial"/>
                <w:sz w:val="18"/>
                <w:szCs w:val="18"/>
                <w:color w:val="auto"/>
              </w:rPr>
              <w:t>The following table summarizes activity for non-accretable discount (dollars in millions):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0400" w:type="dxa"/>
            <w:vAlign w:val="bottom"/>
          </w:tcPr>
          <w:p>
            <w:pPr>
              <w:spacing w:after="0"/>
              <w:rPr>
                <w:sz w:val="24"/>
                <w:szCs w:val="2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Recoveries</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1"/>
        </w:trPr>
        <w:tc>
          <w:tcPr>
            <w:tcW w:w="1042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0" w:type="dxa"/>
            <w:vAlign w:val="bottom"/>
            <w:vMerge w:val="restart"/>
          </w:tcPr>
          <w:p>
            <w:pPr>
              <w:ind w:left="220"/>
              <w:spacing w:after="0"/>
              <w:rPr>
                <w:sz w:val="20"/>
                <w:szCs w:val="20"/>
                <w:color w:val="auto"/>
              </w:rPr>
            </w:pPr>
            <w:r>
              <w:rPr>
                <w:rFonts w:ascii="Arial" w:cs="Arial" w:eastAsia="Arial" w:hAnsi="Arial"/>
                <w:sz w:val="18"/>
                <w:szCs w:val="18"/>
                <w:color w:val="auto"/>
              </w:rPr>
              <w:t>The following table summarizes activity for the allowance for loan losses (dollars in millions):</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0400" w:type="dxa"/>
            <w:vAlign w:val="bottom"/>
          </w:tcPr>
          <w:p>
            <w:pPr>
              <w:spacing w:after="0"/>
              <w:rPr>
                <w:sz w:val="24"/>
                <w:szCs w:val="2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Charge-offs</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Quality</w:t>
      </w:r>
    </w:p>
    <w:p>
      <w:pPr>
        <w:spacing w:after="0" w:line="171" w:lineRule="exact"/>
        <w:rPr>
          <w:sz w:val="20"/>
          <w:szCs w:val="20"/>
          <w:color w:val="auto"/>
        </w:rPr>
      </w:pPr>
    </w:p>
    <w:p>
      <w:pPr>
        <w:ind w:right="280" w:firstLine="228"/>
        <w:spacing w:after="0" w:line="332" w:lineRule="auto"/>
        <w:rPr>
          <w:sz w:val="20"/>
          <w:szCs w:val="20"/>
          <w:color w:val="auto"/>
        </w:rPr>
      </w:pPr>
      <w:r>
        <w:rPr>
          <w:rFonts w:ascii="Arial" w:cs="Arial" w:eastAsia="Arial" w:hAnsi="Arial"/>
          <w:sz w:val="16"/>
          <w:szCs w:val="16"/>
          <w:color w:val="auto"/>
        </w:rPr>
        <w:t>Credit bureau scores, generally referred to as FICO scores, are determined during GM Financial’s automotive loan origination process. The following table summarizes the credit risk profile of finance receivables by FICO score band, determined at origination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March 31, 2011</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FICO score less than 540</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1,477</w:t>
            </w: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FICO score 540 to 599</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3,551</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FICO score 600 to 659</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2,681</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FICO score 660 and greater</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1,041</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8,750</w:t>
            </w: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Delinquency</w:t>
      </w:r>
    </w:p>
    <w:p>
      <w:pPr>
        <w:spacing w:after="0" w:line="171" w:lineRule="exact"/>
        <w:rPr>
          <w:sz w:val="20"/>
          <w:szCs w:val="20"/>
          <w:color w:val="auto"/>
        </w:rPr>
      </w:pPr>
    </w:p>
    <w:p>
      <w:pPr>
        <w:jc w:val="both"/>
        <w:ind w:right="100" w:firstLine="228"/>
        <w:spacing w:after="0" w:line="268" w:lineRule="auto"/>
        <w:rPr>
          <w:sz w:val="20"/>
          <w:szCs w:val="20"/>
          <w:color w:val="auto"/>
        </w:rPr>
      </w:pPr>
      <w:r>
        <w:rPr>
          <w:rFonts w:ascii="Arial" w:cs="Arial" w:eastAsia="Arial" w:hAnsi="Arial"/>
          <w:sz w:val="18"/>
          <w:szCs w:val="18"/>
          <w:color w:val="auto"/>
        </w:rPr>
        <w:t>The following summarizes finance receivables more than 30 days delinquent, but not yet in repossession, and in repossession, but not yet charged-off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w w:val="94"/>
              </w:rPr>
              <w:t>March 31, 2011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400" w:type="dxa"/>
            <w:vAlign w:val="bottom"/>
          </w:tcPr>
          <w:p>
            <w:pPr>
              <w:spacing w:after="0"/>
              <w:rPr>
                <w:sz w:val="12"/>
                <w:szCs w:val="12"/>
                <w:color w:val="auto"/>
              </w:rPr>
            </w:pPr>
          </w:p>
        </w:tc>
        <w:tc>
          <w:tcPr>
            <w:tcW w:w="9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Delinquent contracts</w:t>
            </w:r>
          </w:p>
        </w:tc>
        <w:tc>
          <w:tcPr>
            <w:tcW w:w="27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31 to 60 days</w:t>
            </w:r>
          </w:p>
        </w:tc>
        <w:tc>
          <w:tcPr>
            <w:tcW w:w="2940" w:type="dxa"/>
            <w:vAlign w:val="bottom"/>
            <w:gridSpan w:val="2"/>
          </w:tcPr>
          <w:p>
            <w:pPr>
              <w:ind w:left="27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333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535</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Greater-than-60 days</w:t>
            </w:r>
          </w:p>
        </w:tc>
        <w:tc>
          <w:tcPr>
            <w:tcW w:w="2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60" w:type="dxa"/>
            <w:vAlign w:val="bottom"/>
          </w:tcPr>
          <w:p>
            <w:pPr>
              <w:spacing w:after="0"/>
              <w:rPr>
                <w:sz w:val="20"/>
                <w:szCs w:val="20"/>
                <w:color w:val="auto"/>
              </w:rPr>
            </w:pPr>
            <w:r>
              <w:rPr>
                <w:rFonts w:ascii="Arial" w:cs="Arial" w:eastAsia="Arial" w:hAnsi="Arial"/>
                <w:sz w:val="18"/>
                <w:szCs w:val="18"/>
                <w:color w:val="auto"/>
              </w:rPr>
              <w:t>Total finance receivables more than 30 days delinquent</w:t>
            </w:r>
          </w:p>
        </w:tc>
        <w:tc>
          <w:tcPr>
            <w:tcW w:w="2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747</w:t>
            </w: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 repossession</w:t>
            </w:r>
          </w:p>
        </w:tc>
        <w:tc>
          <w:tcPr>
            <w:tcW w:w="2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60" w:type="dxa"/>
            <w:vAlign w:val="bottom"/>
          </w:tcPr>
          <w:p>
            <w:pPr>
              <w:spacing w:after="0"/>
              <w:rPr>
                <w:sz w:val="20"/>
                <w:szCs w:val="20"/>
                <w:color w:val="auto"/>
              </w:rPr>
            </w:pPr>
            <w:r>
              <w:rPr>
                <w:rFonts w:ascii="Arial" w:cs="Arial" w:eastAsia="Arial" w:hAnsi="Arial"/>
                <w:sz w:val="18"/>
                <w:szCs w:val="18"/>
                <w:color w:val="auto"/>
                <w:w w:val="89"/>
              </w:rPr>
              <w:t>Total finance receivables more than 30 days delinquent and in repossession</w:t>
            </w:r>
          </w:p>
        </w:tc>
        <w:tc>
          <w:tcPr>
            <w:tcW w:w="2940" w:type="dxa"/>
            <w:vAlign w:val="bottom"/>
            <w:gridSpan w:val="2"/>
          </w:tcPr>
          <w:p>
            <w:pPr>
              <w:ind w:left="27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494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775</w:t>
            </w:r>
          </w:p>
        </w:tc>
        <w:tc>
          <w:tcPr>
            <w:tcW w:w="4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780" w:type="dxa"/>
            <w:vAlign w:val="bottom"/>
            <w:vMerge w:val="restart"/>
          </w:tcPr>
          <w:p>
            <w:pPr>
              <w:jc w:val="right"/>
              <w:ind w:right="2352"/>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An account is considered delinquent if a substantial portion of a scheduled payment has not been received by the date such payment was contractually due.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Delinquencies may vary from period to period based upon the average age of the portfolio, seasonality within the calendar year and economic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Securitizations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securitization activity and cash flows from special purpose entities (SPEs) used for securitizations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Three Months</w:t>
            </w:r>
          </w:p>
        </w:tc>
      </w:tr>
      <w:tr>
        <w:trPr>
          <w:trHeight w:val="149"/>
        </w:trPr>
        <w:tc>
          <w:tcPr>
            <w:tcW w:w="6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63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6"/>
              </w:rPr>
              <w:t>March 31, 2011</w:t>
            </w:r>
          </w:p>
        </w:tc>
      </w:tr>
      <w:tr>
        <w:trPr>
          <w:trHeight w:val="20"/>
        </w:trPr>
        <w:tc>
          <w:tcPr>
            <w:tcW w:w="6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Receivables securitized</w:t>
            </w:r>
          </w:p>
        </w:tc>
        <w:tc>
          <w:tcPr>
            <w:tcW w:w="424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Net proceeds from securitization</w:t>
            </w:r>
          </w:p>
        </w:tc>
        <w:tc>
          <w:tcPr>
            <w:tcW w:w="4240" w:type="dxa"/>
            <w:vAlign w:val="bottom"/>
            <w:gridSpan w:val="2"/>
          </w:tcPr>
          <w:p>
            <w:pPr>
              <w:ind w:left="40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Servicing fees</w:t>
            </w:r>
          </w:p>
        </w:tc>
        <w:tc>
          <w:tcPr>
            <w:tcW w:w="424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Distributions from trusts</w:t>
            </w:r>
          </w:p>
        </w:tc>
        <w:tc>
          <w:tcPr>
            <w:tcW w:w="4240" w:type="dxa"/>
            <w:vAlign w:val="bottom"/>
            <w:gridSpan w:val="2"/>
          </w:tcPr>
          <w:p>
            <w:pPr>
              <w:ind w:left="40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right="100" w:firstLine="228"/>
        <w:spacing w:after="0" w:line="268" w:lineRule="auto"/>
        <w:rPr>
          <w:sz w:val="20"/>
          <w:szCs w:val="20"/>
          <w:color w:val="auto"/>
        </w:rPr>
      </w:pPr>
      <w:r>
        <w:rPr>
          <w:rFonts w:ascii="Arial" w:cs="Arial" w:eastAsia="Arial" w:hAnsi="Arial"/>
          <w:sz w:val="18"/>
          <w:szCs w:val="18"/>
          <w:color w:val="auto"/>
        </w:rPr>
        <w:t>GM Financial retains servicing responsibilities for receivables transferred to certain SPEs. At March 31, 2011 and December 31, 2010 GM Financial serviced finance receivables that have been transferred to certain SPEs of $7.0 billion and $7.2 billion.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our inventories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March 31, 2011</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Productive material, work in process and supplies</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6,367</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Finished product, including service parts</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7,624</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13,991</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 Net Assets of Nonconsolidated Affiliates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Equity income, net of tax and gain on disposal of investments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right"/>
              <w:ind w:right="116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51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2011</w:t>
            </w:r>
          </w:p>
        </w:tc>
        <w:tc>
          <w:tcPr>
            <w:tcW w:w="90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China JVs</w:t>
            </w:r>
          </w:p>
        </w:tc>
        <w:tc>
          <w:tcPr>
            <w:tcW w:w="362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448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New Delphi (including gain on disposition)</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1,727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80" w:type="dxa"/>
            <w:vAlign w:val="bottom"/>
          </w:tcPr>
          <w:p>
            <w:pPr>
              <w:spacing w:after="0"/>
              <w:rPr>
                <w:sz w:val="20"/>
                <w:szCs w:val="20"/>
                <w:color w:val="auto"/>
              </w:rPr>
            </w:pPr>
            <w:r>
              <w:rPr>
                <w:rFonts w:ascii="Arial" w:cs="Arial" w:eastAsia="Arial" w:hAnsi="Arial"/>
                <w:sz w:val="18"/>
                <w:szCs w:val="18"/>
                <w:color w:val="auto"/>
                <w:w w:val="97"/>
              </w:rPr>
              <w:t>Total equity income, net of tax and gain on disposal of investments</w:t>
            </w:r>
          </w:p>
        </w:tc>
        <w:tc>
          <w:tcPr>
            <w:tcW w:w="3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9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440" w:type="dxa"/>
            <w:vAlign w:val="bottom"/>
            <w:vMerge w:val="restart"/>
          </w:tcPr>
          <w:p>
            <w:pPr>
              <w:jc w:val="right"/>
              <w:ind w:right="2732"/>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New Delphi</w:t>
      </w:r>
    </w:p>
    <w:p>
      <w:pPr>
        <w:spacing w:after="0" w:line="171"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In March 2011 we sold our Class A Membership Interests in Delphi Automotive LLP (New Delphi) to New Delphi for $3.8 billion. The Class A Membership Interests sold represented 100% of our direct and indirect interests in New Delphi and 100% of New Delphi’s Class A Membership Interests issued and outstanding. The sale terminated any direct and indirect obligation to loan New Delphi up to $500 million under a term loan facility established in October 2009 when New Delphi was created and the Class A Membership Interests were issued. New Delphi had not borrowed under this loan facility. We recorded a gain of $1.6 billion related to the sale in Equity income, net of tax and gain on disposal of investments in the three months ended March 31, 2011. Our existing supply contracts with New Delphi were not affected by this transaction.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Investment in HKJV</w:t>
      </w:r>
    </w:p>
    <w:p>
      <w:pPr>
        <w:spacing w:after="0" w:line="171"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In December 2009 we and SAIC Motor Hong Kong Investment Limited (SAIC-HK) entered into a joint venture, SAIC GM Investment Limited (HKJV) to invest in automotive projects outside of markets in China, initially focusing on markets in India. On February 1, 2010 we sold certain of our operations in India (GM India), part of our GMIO segment to HKJV, in exchange for a promissory note due in 2013. The amount due under the promissory note may be partially reduced, or increased, based on GM India’s cumulative earnings before interest and taxes (EBIT) for the three year period ending December 31, 2012. In connection with the sale we recorded net consideration of $185 million and an insignificant gain. The sale transaction resulted in a loss of control and the deconsolidation of GM India on February 1, 2010. Accordingly, we removed the assets and liabilities of GM India from our consolidated financial statements and recorded an equity interest in HKJV to reflect cash of $50 million we contributed to HKJV and a $123 million commitment to provide additional capital that we are required to make in accordance with the terms of the joint venture agreement. We recorded a corresponding liability to reflect our obligation to provide additional capital.</w:t>
      </w:r>
    </w:p>
    <w:p>
      <w:pPr>
        <w:spacing w:after="0" w:line="341"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In March 2011 there was a change in the local tax regulations which significantly extended the period of time over which GM India will receive certain value added tax based investment incentives. The delay in recovery of these incentives significantly affected GM India’s cash flow and EBIT forecasts, resulting in a decrease in the fair value of HKJV. The fair value of our investment in HKJV at March 31, 2011 was determined to be $112 million compared to a carrying amount of $151 million. The loss in value was considered to be other than temporary and, therefore, we recorded an impairment charge of $39 million in the three months ended March 31, 2011. In addition, we recorded other charges totaling $67 million related to our investment in the HKJV in the three months ended March 31, 2011.</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in China JVs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ownership interests in our Chinese joint ventures, collectively referred to as China JVs: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780" w:type="dxa"/>
            <w:vAlign w:val="bottom"/>
            <w:gridSpan w:val="4"/>
          </w:tcPr>
          <w:p>
            <w:pPr>
              <w:ind w:left="780"/>
              <w:spacing w:after="0"/>
              <w:rPr>
                <w:sz w:val="20"/>
                <w:szCs w:val="20"/>
                <w:color w:val="auto"/>
              </w:rPr>
            </w:pPr>
            <w:r>
              <w:rPr>
                <w:rFonts w:ascii="Arial" w:cs="Arial" w:eastAsia="Arial" w:hAnsi="Arial"/>
                <w:sz w:val="14"/>
                <w:szCs w:val="14"/>
                <w:b w:val="1"/>
                <w:bCs w:val="1"/>
                <w:color w:val="auto"/>
              </w:rPr>
              <w:t>Ownership Interest</w:t>
            </w:r>
          </w:p>
        </w:tc>
      </w:tr>
      <w:tr>
        <w:trPr>
          <w:trHeight w:val="129"/>
        </w:trPr>
        <w:tc>
          <w:tcPr>
            <w:tcW w:w="864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9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1"/>
                <w:szCs w:val="11"/>
                <w:color w:val="auto"/>
              </w:rPr>
            </w:pPr>
          </w:p>
        </w:tc>
      </w:tr>
      <w:tr>
        <w:trPr>
          <w:trHeight w:val="149"/>
        </w:trPr>
        <w:tc>
          <w:tcPr>
            <w:tcW w:w="8640" w:type="dxa"/>
            <w:vAlign w:val="bottom"/>
          </w:tcPr>
          <w:p>
            <w:pPr>
              <w:spacing w:after="0"/>
              <w:rPr>
                <w:sz w:val="12"/>
                <w:szCs w:val="12"/>
                <w:color w:val="auto"/>
              </w:rPr>
            </w:pPr>
          </w:p>
        </w:tc>
        <w:tc>
          <w:tcPr>
            <w:tcW w:w="880" w:type="dxa"/>
            <w:vAlign w:val="bottom"/>
          </w:tcPr>
          <w:p>
            <w:pPr>
              <w:jc w:val="right"/>
              <w:ind w:right="158"/>
              <w:spacing w:after="0" w:line="149" w:lineRule="exact"/>
              <w:rPr>
                <w:sz w:val="20"/>
                <w:szCs w:val="20"/>
                <w:color w:val="auto"/>
              </w:rPr>
            </w:pPr>
            <w:r>
              <w:rPr>
                <w:rFonts w:ascii="Arial" w:cs="Arial" w:eastAsia="Arial" w:hAnsi="Arial"/>
                <w:sz w:val="14"/>
                <w:szCs w:val="14"/>
                <w:b w:val="1"/>
                <w:bCs w:val="1"/>
                <w:color w:val="auto"/>
              </w:rPr>
              <w:t>Ended</w:t>
            </w:r>
          </w:p>
        </w:tc>
        <w:tc>
          <w:tcPr>
            <w:tcW w:w="9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6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March 31, 2011</w:t>
            </w:r>
          </w:p>
        </w:tc>
        <w:tc>
          <w:tcPr>
            <w:tcW w:w="9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March 31, 2010</w:t>
            </w:r>
          </w:p>
        </w:tc>
        <w:tc>
          <w:tcPr>
            <w:tcW w:w="100" w:type="dxa"/>
            <w:vAlign w:val="bottom"/>
          </w:tcPr>
          <w:p>
            <w:pPr>
              <w:spacing w:after="0"/>
              <w:rPr>
                <w:sz w:val="14"/>
                <w:szCs w:val="14"/>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Shanghai General Motors Co. Ltd. (SGM) (a)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Shanghai GM (Shenyang) Norsom Motor Co., Ltd. (SGM Norsom)</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Shanghai GM Dong Yue Motors Co., Ltd. (SGM DY)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Shanghai GM Dong Yue Powertrain (SGM DYPT)</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SAIC-GM-Wuling Automobile Co., Ltd. (SGMW)</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FAW-GM Light Duty Commercial Vehicle, Ltd. (FAW-GM)</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Pan Asia Technical Automotive Center Co., Ltd. (PATAC)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Shanghai OnStar Telematics Co., Ltd. (Shanghai OnStar)</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Shanghai Chengxin Used Car Operation and Management Co., Ltd. (Used Car JV)</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1600" w:hanging="5612"/>
        <w:spacing w:after="0" w:line="440" w:lineRule="auto"/>
        <w:tabs>
          <w:tab w:leader="none" w:pos="448" w:val="left"/>
        </w:tabs>
        <w:numPr>
          <w:ilvl w:val="0"/>
          <w:numId w:val="5"/>
        </w:numPr>
        <w:rPr>
          <w:rFonts w:ascii="Arial" w:cs="Arial" w:eastAsia="Arial" w:hAnsi="Arial"/>
          <w:sz w:val="18"/>
          <w:szCs w:val="18"/>
          <w:color w:val="auto"/>
        </w:rPr>
      </w:pPr>
      <w:r>
        <w:rPr>
          <w:rFonts w:ascii="Arial" w:cs="Arial" w:eastAsia="Arial" w:hAnsi="Arial"/>
          <w:sz w:val="18"/>
          <w:szCs w:val="18"/>
          <w:color w:val="auto"/>
        </w:rPr>
        <w:t>Ownership interest in SGM was 49% in the period February 1, 2010 through March 31, 2010 and 50% in the month of January 2010. 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Sales and income of our China JVs are not consolidated into our financial statements; rather, our proportionate share of the earnings of each joint venture is reflected as Equity income, net of tax and gain on disposal of investments.</w:t>
      </w:r>
    </w:p>
    <w:p>
      <w:pPr>
        <w:spacing w:after="0" w:line="132"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SGM is a joint venture established by Shanghai Automotive Industry Corporation (SAIC) (51%) and us (49%) in 1997. SGM has interests in three other joint ventures in China — SGM Norsom, SGM DY and SGM DYPT. These three joint ventures are jointly held by SGM (50%), SAIC (25%) and us (25%). The four joint ventures (SGM Group) are engaged in the production, import, and sale of a comprehensive range of products under the brands of Buick, Chevrolet and Cadillac.</w:t>
      </w:r>
    </w:p>
    <w:p>
      <w:pPr>
        <w:spacing w:after="0" w:line="143" w:lineRule="exact"/>
        <w:rPr>
          <w:sz w:val="20"/>
          <w:szCs w:val="20"/>
          <w:color w:val="auto"/>
        </w:rPr>
      </w:pPr>
    </w:p>
    <w:p>
      <w:pPr>
        <w:ind w:right="320" w:firstLine="228"/>
        <w:spacing w:after="0" w:line="255" w:lineRule="auto"/>
        <w:rPr>
          <w:sz w:val="20"/>
          <w:szCs w:val="20"/>
          <w:color w:val="auto"/>
        </w:rPr>
      </w:pPr>
      <w:r>
        <w:rPr>
          <w:rFonts w:ascii="Arial" w:cs="Arial" w:eastAsia="Arial" w:hAnsi="Arial"/>
          <w:sz w:val="18"/>
          <w:szCs w:val="18"/>
          <w:color w:val="auto"/>
        </w:rPr>
        <w:t>In February 2010 we sold a 1% ownership interest in SGM to SAIC-HK, reducing our ownership interest to 49%. The sale of the 1% ownership interest to SAIC was predicated on our ability to work with SAIC to obtain a $400 million line of credit from a commercial bank to us. We also received a call option to repurchase the 1% which is contingently exercisable based on events which we do not unilaterally control. As part of the loan arrangement SAIC provided a commitment whereby, in the event of default, SAIC will purchase the ownership interest in SGM that we pledged as collateral for the loan. We recorded an insignificant gain on this transaction.</w:t>
      </w:r>
    </w:p>
    <w:p>
      <w:pPr>
        <w:spacing w:after="0" w:line="143"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In November 2010 we purchased an additional 10% interest in SGMW from the Liuzhou Wuling Motors Co., Ltd. and Liuzhou Mini Vehicles Factory, collectively the Wuling Group, for cash of $52 million plus an agreement to provide technical services to the Wuling Group for a period of three years. As a result of this transaction, we own 44%, SAIC owns 50.1% and certain Liuzhou investors own 5.9% of the outstanding stock of SGMW.</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Transactions with Nonconsolidated Affiliates</w:t>
      </w:r>
    </w:p>
    <w:p>
      <w:pPr>
        <w:spacing w:after="0" w:line="171"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Nonconsolidated affiliates are involved in various aspects of the development, production and marketing of cars, trucks and parts, and we purchase component parts and vehicles from certain nonconsolidated affiliates for resale to dealers. The following tables summarize the effects of transactions with nonconsolidated affiliates, which are not eliminated in consolidation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4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r>
      <w:tr>
        <w:trPr>
          <w:trHeight w:val="149"/>
        </w:trPr>
        <w:tc>
          <w:tcPr>
            <w:tcW w:w="6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6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March</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March</w:t>
            </w:r>
          </w:p>
        </w:tc>
      </w:tr>
      <w:tr>
        <w:trPr>
          <w:trHeight w:val="161"/>
        </w:trPr>
        <w:tc>
          <w:tcPr>
            <w:tcW w:w="6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4"/>
              </w:rPr>
              <w:t>31, 2011</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4"/>
              </w:rPr>
              <w:t>31, 2010</w:t>
            </w:r>
          </w:p>
        </w:tc>
        <w:tc>
          <w:tcPr>
            <w:tcW w:w="140" w:type="dxa"/>
            <w:vAlign w:val="bottom"/>
          </w:tcPr>
          <w:p>
            <w:pPr>
              <w:spacing w:after="0"/>
              <w:rPr>
                <w:sz w:val="14"/>
                <w:szCs w:val="14"/>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 of Operations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Automotive sales</w:t>
            </w:r>
          </w:p>
        </w:tc>
        <w:tc>
          <w:tcPr>
            <w:tcW w:w="182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835</w:t>
            </w:r>
          </w:p>
        </w:tc>
        <w:tc>
          <w:tcPr>
            <w:tcW w:w="54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779*</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Automotive purchases, net</w:t>
            </w:r>
          </w:p>
        </w:tc>
        <w:tc>
          <w:tcPr>
            <w:tcW w:w="18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Automotive selling, general and administrative expense</w:t>
            </w:r>
          </w:p>
        </w:tc>
        <w:tc>
          <w:tcPr>
            <w:tcW w:w="182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18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22"/>
        </w:trPr>
        <w:tc>
          <w:tcPr>
            <w:tcW w:w="6960" w:type="dxa"/>
            <w:vAlign w:val="bottom"/>
          </w:tcPr>
          <w:p>
            <w:pPr>
              <w:spacing w:after="0"/>
              <w:rPr>
                <w:sz w:val="20"/>
                <w:szCs w:val="20"/>
                <w:color w:val="auto"/>
              </w:rPr>
            </w:pPr>
            <w:r>
              <w:rPr>
                <w:rFonts w:ascii="Arial" w:cs="Arial" w:eastAsia="Arial" w:hAnsi="Arial"/>
                <w:sz w:val="18"/>
                <w:szCs w:val="18"/>
                <w:color w:val="auto"/>
              </w:rPr>
              <w:t>Automotive interest income and other non-operating income (expense), net</w:t>
            </w:r>
          </w:p>
        </w:tc>
        <w:tc>
          <w:tcPr>
            <w:tcW w:w="182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Amounts originally reported as $430, $752 and $(4) in our Quarterly Report on Form 10-Q for the three months ended March 31, 2010. Refer to Note 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2011</w:t>
            </w:r>
          </w:p>
        </w:tc>
        <w:tc>
          <w:tcPr>
            <w:tcW w:w="4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Position</w:t>
            </w:r>
          </w:p>
        </w:tc>
        <w:tc>
          <w:tcPr>
            <w:tcW w:w="4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4500" w:type="dxa"/>
            <w:vAlign w:val="bottom"/>
            <w:gridSpan w:val="2"/>
          </w:tcPr>
          <w:p>
            <w:pPr>
              <w:ind w:left="4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1,662</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(principally trade)</w:t>
            </w:r>
          </w:p>
        </w:tc>
        <w:tc>
          <w:tcPr>
            <w:tcW w:w="4500" w:type="dxa"/>
            <w:vAlign w:val="bottom"/>
            <w:gridSpan w:val="2"/>
            <w:shd w:val="clear" w:color="auto" w:fill="CCEEFF"/>
          </w:tcPr>
          <w:p>
            <w:pPr>
              <w:ind w:left="4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Deferred revenue and customer deposits</w:t>
            </w:r>
          </w:p>
        </w:tc>
        <w:tc>
          <w:tcPr>
            <w:tcW w:w="4500" w:type="dxa"/>
            <w:vAlign w:val="bottom"/>
            <w:gridSpan w:val="2"/>
          </w:tcPr>
          <w:p>
            <w:pPr>
              <w:ind w:left="4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84</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356"/>
        </w:trPr>
        <w:tc>
          <w:tcPr>
            <w:tcW w:w="4240" w:type="dxa"/>
            <w:vAlign w:val="bottom"/>
          </w:tcPr>
          <w:p>
            <w:pPr>
              <w:spacing w:after="0"/>
              <w:rPr>
                <w:sz w:val="24"/>
                <w:szCs w:val="24"/>
                <w:color w:val="auto"/>
              </w:rPr>
            </w:pPr>
          </w:p>
        </w:tc>
        <w:tc>
          <w:tcPr>
            <w:tcW w:w="4200" w:type="dxa"/>
            <w:vAlign w:val="bottom"/>
          </w:tcPr>
          <w:p>
            <w:pPr>
              <w:jc w:val="right"/>
              <w:ind w:right="2552"/>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Three Months</w:t>
            </w:r>
          </w:p>
        </w:tc>
        <w:tc>
          <w:tcPr>
            <w:tcW w:w="9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r>
      <w:tr>
        <w:trPr>
          <w:trHeight w:val="149"/>
        </w:trPr>
        <w:tc>
          <w:tcPr>
            <w:tcW w:w="8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8"/>
              </w:rPr>
              <w:t>Ended</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8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2"/>
              </w:rPr>
              <w:t>March</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March</w:t>
            </w:r>
          </w:p>
        </w:tc>
      </w:tr>
      <w:tr>
        <w:trPr>
          <w:trHeight w:val="161"/>
        </w:trPr>
        <w:tc>
          <w:tcPr>
            <w:tcW w:w="8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4"/>
              </w:rPr>
              <w:t>31, 2011</w:t>
            </w: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4"/>
              </w:rPr>
              <w:t>31, 2010</w:t>
            </w:r>
          </w:p>
        </w:tc>
        <w:tc>
          <w:tcPr>
            <w:tcW w:w="140" w:type="dxa"/>
            <w:vAlign w:val="bottom"/>
          </w:tcPr>
          <w:p>
            <w:pPr>
              <w:spacing w:after="0"/>
              <w:rPr>
                <w:sz w:val="14"/>
                <w:szCs w:val="14"/>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Investing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r>
      <w:tr>
        <w:trPr>
          <w:trHeight w:val="222"/>
        </w:trPr>
        <w:tc>
          <w:tcPr>
            <w:tcW w:w="8660" w:type="dxa"/>
            <w:vAlign w:val="bottom"/>
          </w:tcPr>
          <w:p>
            <w:pPr>
              <w:spacing w:after="0"/>
              <w:rPr>
                <w:sz w:val="20"/>
                <w:szCs w:val="20"/>
                <w:color w:val="auto"/>
              </w:rPr>
            </w:pPr>
            <w:r>
              <w:rPr>
                <w:rFonts w:ascii="Arial" w:cs="Arial" w:eastAsia="Arial" w:hAnsi="Arial"/>
                <w:sz w:val="18"/>
                <w:szCs w:val="18"/>
                <w:color w:val="auto"/>
              </w:rPr>
              <w:t>Financing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originally reported as $(197) in our Quarterly Report on Form 10-Q for the three months ended March 31, 2010. Refer to Note 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changes in the carrying amount of Goodwill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GM</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GMNA</w:t>
            </w:r>
          </w:p>
        </w:tc>
        <w:tc>
          <w:tcPr>
            <w:tcW w:w="28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GME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GMIO</w:t>
            </w: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w w:val="90"/>
              </w:rPr>
              <w:t>GMSA</w:t>
            </w:r>
          </w:p>
        </w:tc>
        <w:tc>
          <w:tcPr>
            <w:tcW w:w="1140" w:type="dxa"/>
            <w:vAlign w:val="bottom"/>
            <w:gridSpan w:val="4"/>
          </w:tcPr>
          <w:p>
            <w:pPr>
              <w:ind w:left="280"/>
              <w:spacing w:after="0"/>
              <w:rPr>
                <w:sz w:val="20"/>
                <w:szCs w:val="20"/>
                <w:color w:val="auto"/>
              </w:rPr>
            </w:pPr>
            <w:r>
              <w:rPr>
                <w:rFonts w:ascii="Arial" w:cs="Arial" w:eastAsia="Arial" w:hAnsi="Arial"/>
                <w:sz w:val="14"/>
                <w:szCs w:val="14"/>
                <w:b w:val="1"/>
                <w:bCs w:val="1"/>
                <w:color w:val="auto"/>
              </w:rPr>
              <w:t>Automotive</w:t>
            </w: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Financial</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26,394</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$ 3,053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901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165</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30,513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1,265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Effect of adoption of ASU 2010-28</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Effect of foreign currency translation and other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2011</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26,394</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$ 1,266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924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28,752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1,265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30,017</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Accumulated impairment charges</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gridSpan w:val="2"/>
            <w:vMerge w:val="continue"/>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$(1,861)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(1,861)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(1,861)</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We adopted the provisions of ASU 2010-28 on January 1, 2011. GME has a negative carrying amount and despite the fair value of GME’s equity being greater than its carrying amount, we performed Step 2 of the goodwill impairment testing analysis. The adoption of ASU 2010-28 resulted in the recognition of a cumulative-effect adjustment to beginning Retained earnings of $1.5 billion for our GME reporting unit. In addition, because GME continued to have a negative carrying amount and it was more likely than not that a further goodwill impairment existed at March 31, 2011, an impairment charge of $395 million was recorded in Goodwill impairment charges during the three months ended March 31, 2011. Refer to Note 2 for additional information on ASU 2010-28.</w:t>
      </w:r>
    </w:p>
    <w:p>
      <w:pPr>
        <w:spacing w:after="0" w:line="116"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The valuation methodologies utilized to perform our goodwill impairment testing for GME were consistent with those used in our application of fresh-start reporting on July 10, 2009, as discussed in Note 2 to our consolidated financial statements contained in our 2010 Form 10-K, and in our 2010 annual goodwill impairment testing at October 1, 2010. The fair value measures used in our analyses were Level 3 measures. Because the fair value of goodwill can be measured only as a residual amount and cannot be determined directly, we calculated GME’s implied goodwill in the same manner that goodwill is recognized in a business combination pursuant to Accounting Standards Codification (ASC) 805 “Business Combinations” (ASC 805).</w:t>
      </w:r>
    </w:p>
    <w:p>
      <w:pPr>
        <w:spacing w:after="0" w:line="116" w:lineRule="exact"/>
        <w:rPr>
          <w:sz w:val="20"/>
          <w:szCs w:val="20"/>
          <w:color w:val="auto"/>
        </w:rPr>
      </w:pPr>
    </w:p>
    <w:p>
      <w:pPr>
        <w:ind w:right="20" w:firstLine="228"/>
        <w:spacing w:after="0" w:line="302" w:lineRule="auto"/>
        <w:rPr>
          <w:sz w:val="20"/>
          <w:szCs w:val="20"/>
          <w:color w:val="auto"/>
        </w:rPr>
      </w:pPr>
      <w:r>
        <w:rPr>
          <w:rFonts w:ascii="Arial" w:cs="Arial" w:eastAsia="Arial" w:hAnsi="Arial"/>
          <w:sz w:val="15"/>
          <w:szCs w:val="15"/>
          <w:color w:val="auto"/>
        </w:rPr>
        <w:t>In performing our Step 2 analyses, we utilized a discounted cash flow methodology to estimate the fair values of GME at January 1, 2011 and March 31, 2011. These fair value estimates utilized a weighted-average cost of capital of 17.0% and 16.5 % at January 1, 2011 and March 31, 20011 that considered various factors including bond yields, risk premiums, and tax rates; a terminal value that was determined using a growth model that applied a long-term growth rate of 0.5% to our projected cash flows beyond 2015; and industry sales of 18.4 million and a market share for GME of 6.56% in 2011 increasing to industry sales of</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22.0 million vehicles and a 7.42% market share in 2015. The fair value of property was determined based on its highest and best use utilizing a combination of the market or sales comparison approach, the cost approach and/or the income approach. The fair values of GME’s brands were determined based on a relief from royalty method and the fair value of GME’s dealer network was determined on a cost approach. Based on these fair value measures, we determined GME’s implied goodwill represents only the fair-value-to-U.S. GAAP differences attributable to those assets and liabilities that gave rise to goodwill upon application of fresh-start reporting.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Our Step 2 analyses indicated GME’s implied goodwill was less that its recorded goodwill; therefore, goodwill was adjusted at January 1, 2011 and March 31, 2011. The adjustments to goodwill represent the net decreases, from July 10, 2009 through January 1, 2011 and from January 1, 2011 through March 31, 2011, in the fair-value-to-U.S. GAAP differences attributable to those assets and liabilities that gave rise to goodwill upon our application of fresh-start reporting. The net decreases resulted primarily from: (1) a decrease in our nonperformance risk and an improvement in our incremental borrowing rates since July 10, 2009; (2) an increase in high quality corporate bond rates utilized to measure our employee benefit plan obligations since January 1, 2011; and (3) a decrease in credit spreads between high quality corporate bond rates and market interest rates for companies with similar nonperformance risk.</w:t>
      </w:r>
    </w:p>
    <w:p>
      <w:pPr>
        <w:spacing w:after="0" w:line="120"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Future goodwill impairments could occur within GME should the fair-value-to-U.S. GAAP differences decrease, GME continues to have a negative carrying amount, and the fair value of the GME reporting unit does not increase sufficiently to offset such decreases or such increase in fair value results in a corresponding increase in the fair value of other identifiable assets without giving rise to additional implied goodwill. The difference between these fair-value-to-U.S. GAAP differences would decrease upon an improvement in our credit rating or a decrease in credit spreads between high quality corporate bond rates and market interest rates, thus resulting in a decrease in the spread between our employee benefit related obligations under U.S. GAAP and their fair values. The fair-value-to-U.S. GAAP differences that gave rise to goodwill upon our application of fresh-start reporting within GME also included deferred tax asset valuation allowances. Similarly, a decrease would also occur upon reversal of our deferred tax asset valuation allowances within GME. Should the fair-value-to-U.S. GAAP differences decrease for these reasons, without an increase in the fair value of the GME reporting unit sufficient to offset such decreases, the implied goodwill balance will decline and future goodwill impairments would occur and may be material. Any declines would have a negative effect on our earnings and would be included in Goodwill impairment charges. Future goodwill impairments could also occur within our other reporting units, including GMNA, should we first fail Step 1 of the goodwill impairment testing analysis and the fair-value-to-U.S. GAAP differences noted above also decrease.</w:t>
      </w:r>
    </w:p>
    <w:p>
      <w:pPr>
        <w:spacing w:after="0" w:line="127" w:lineRule="exact"/>
        <w:rPr>
          <w:sz w:val="20"/>
          <w:szCs w:val="20"/>
          <w:color w:val="auto"/>
        </w:rPr>
      </w:pPr>
    </w:p>
    <w:p>
      <w:pPr>
        <w:jc w:val="both"/>
        <w:ind w:right="300" w:firstLine="228"/>
        <w:spacing w:after="0" w:line="259" w:lineRule="auto"/>
        <w:rPr>
          <w:sz w:val="20"/>
          <w:szCs w:val="20"/>
          <w:color w:val="auto"/>
        </w:rPr>
      </w:pPr>
      <w:r>
        <w:rPr>
          <w:rFonts w:ascii="Arial" w:cs="Arial" w:eastAsia="Arial" w:hAnsi="Arial"/>
          <w:sz w:val="18"/>
          <w:szCs w:val="18"/>
          <w:color w:val="auto"/>
        </w:rPr>
        <w:t>We believe future goodwill impairment charges could occur in 2011 related to GME because GME has a negative carrying amount and it is possible: (1) a decrease in the credit spreads between high quality corporate bond rates and market interest rates for companies with similar nonperformance risk could occur and/or (2) a decrease in our nonperformance risk or improvement in our credit rating could occur.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net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intangible assets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8"/>
              </w:rPr>
              <w:t>March 31, 2011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December 31, 2010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Technology and intellectual property</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7,762</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4,066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3,696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7,751</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3,650</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Brands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Dealer network and customer relationships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2,222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2,172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Favorable contracts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amortizing intangible assets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15,907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 amortizing in-process research and development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16,082</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0" w:type="dxa"/>
            <w:vAlign w:val="bottom"/>
            <w:vMerge w:val="restart"/>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amortization expense related to intangible assets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6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9"/>
              </w:rPr>
              <w:t>Three Months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60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60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6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8"/>
              </w:rPr>
              <w:t>March 31, 2011</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March 31, 2010</w:t>
            </w:r>
          </w:p>
        </w:tc>
      </w:tr>
      <w:tr>
        <w:trPr>
          <w:trHeight w:val="20"/>
        </w:trPr>
        <w:tc>
          <w:tcPr>
            <w:tcW w:w="6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 related to intangible assets</w:t>
            </w:r>
          </w:p>
        </w:tc>
        <w:tc>
          <w:tcPr>
            <w:tcW w:w="27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501</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estimated amortization expense related to intangible assets in each of the next five fiscal years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10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Amortization</w:t>
            </w:r>
          </w:p>
        </w:tc>
      </w:tr>
      <w:tr>
        <w:trPr>
          <w:trHeight w:val="161"/>
        </w:trPr>
        <w:tc>
          <w:tcPr>
            <w:tcW w:w="10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Expense</w:t>
            </w:r>
          </w:p>
        </w:tc>
      </w:tr>
      <w:tr>
        <w:trPr>
          <w:trHeight w:val="210"/>
        </w:trPr>
        <w:tc>
          <w:tcPr>
            <w:tcW w:w="10540" w:type="dxa"/>
            <w:vAlign w:val="bottom"/>
            <w:shd w:val="clear" w:color="auto" w:fill="CCEEFF"/>
          </w:tcPr>
          <w:p>
            <w:pPr>
              <w:jc w:val="right"/>
              <w:ind w:right="10092"/>
              <w:spacing w:after="0"/>
              <w:rPr>
                <w:sz w:val="20"/>
                <w:szCs w:val="20"/>
                <w:color w:val="auto"/>
              </w:rPr>
            </w:pPr>
            <w:r>
              <w:rPr>
                <w:rFonts w:ascii="Arial" w:cs="Arial" w:eastAsia="Arial" w:hAnsi="Arial"/>
                <w:sz w:val="18"/>
                <w:szCs w:val="18"/>
                <w:color w:val="auto"/>
                <w:w w:val="84"/>
              </w:rPr>
              <w:t>2012</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jc w:val="right"/>
              <w:ind w:right="10092"/>
              <w:spacing w:after="0"/>
              <w:rPr>
                <w:sz w:val="20"/>
                <w:szCs w:val="20"/>
                <w:color w:val="auto"/>
              </w:rPr>
            </w:pPr>
            <w:r>
              <w:rPr>
                <w:rFonts w:ascii="Arial" w:cs="Arial" w:eastAsia="Arial" w:hAnsi="Arial"/>
                <w:sz w:val="18"/>
                <w:szCs w:val="18"/>
                <w:color w:val="auto"/>
                <w:w w:val="84"/>
              </w:rPr>
              <w:t>2013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8"/>
                <w:szCs w:val="18"/>
                <w:color w:val="auto"/>
              </w:rPr>
            </w:pPr>
          </w:p>
        </w:tc>
      </w:tr>
      <w:tr>
        <w:trPr>
          <w:trHeight w:val="216"/>
        </w:trPr>
        <w:tc>
          <w:tcPr>
            <w:tcW w:w="10540" w:type="dxa"/>
            <w:vAlign w:val="bottom"/>
            <w:shd w:val="clear" w:color="auto" w:fill="CCEEFF"/>
          </w:tcPr>
          <w:p>
            <w:pPr>
              <w:jc w:val="right"/>
              <w:ind w:right="10092"/>
              <w:spacing w:after="0"/>
              <w:rPr>
                <w:sz w:val="20"/>
                <w:szCs w:val="20"/>
                <w:color w:val="auto"/>
              </w:rPr>
            </w:pPr>
            <w:r>
              <w:rPr>
                <w:rFonts w:ascii="Arial" w:cs="Arial" w:eastAsia="Arial" w:hAnsi="Arial"/>
                <w:sz w:val="18"/>
                <w:szCs w:val="18"/>
                <w:color w:val="auto"/>
                <w:w w:val="84"/>
              </w:rPr>
              <w:t>2014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jc w:val="right"/>
              <w:ind w:right="10092"/>
              <w:spacing w:after="0"/>
              <w:rPr>
                <w:sz w:val="20"/>
                <w:szCs w:val="20"/>
                <w:color w:val="auto"/>
              </w:rPr>
            </w:pPr>
            <w:r>
              <w:rPr>
                <w:rFonts w:ascii="Arial" w:cs="Arial" w:eastAsia="Arial" w:hAnsi="Arial"/>
                <w:sz w:val="18"/>
                <w:szCs w:val="18"/>
                <w:color w:val="auto"/>
                <w:w w:val="84"/>
              </w:rPr>
              <w:t>2015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r>
      <w:tr>
        <w:trPr>
          <w:trHeight w:val="216"/>
        </w:trPr>
        <w:tc>
          <w:tcPr>
            <w:tcW w:w="10540" w:type="dxa"/>
            <w:vAlign w:val="bottom"/>
            <w:shd w:val="clear" w:color="auto" w:fill="CCEEFF"/>
          </w:tcPr>
          <w:p>
            <w:pPr>
              <w:jc w:val="right"/>
              <w:ind w:right="10092"/>
              <w:spacing w:after="0"/>
              <w:rPr>
                <w:sz w:val="20"/>
                <w:szCs w:val="20"/>
                <w:color w:val="auto"/>
              </w:rPr>
            </w:pPr>
            <w:r>
              <w:rPr>
                <w:rFonts w:ascii="Arial" w:cs="Arial" w:eastAsia="Arial" w:hAnsi="Arial"/>
                <w:sz w:val="18"/>
                <w:szCs w:val="18"/>
                <w:color w:val="auto"/>
                <w:w w:val="84"/>
              </w:rPr>
              <w:t>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Variable Interest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140" w:firstLine="228"/>
        <w:spacing w:after="0" w:line="332" w:lineRule="auto"/>
        <w:rPr>
          <w:sz w:val="20"/>
          <w:szCs w:val="20"/>
          <w:color w:val="auto"/>
        </w:rPr>
      </w:pPr>
      <w:r>
        <w:rPr>
          <w:rFonts w:ascii="Arial" w:cs="Arial" w:eastAsia="Arial" w:hAnsi="Arial"/>
          <w:sz w:val="16"/>
          <w:szCs w:val="16"/>
          <w:color w:val="auto"/>
        </w:rPr>
        <w:t>VIEs that we do not control through a majority voting interest that are consolidated because we are the primary beneficiary primarily include certain vehicles sales and marketing joint ventures, the most significant of which is GM Egypt, and certain other automotive or financial support entities.</w:t>
      </w:r>
    </w:p>
    <w:p>
      <w:pPr>
        <w:spacing w:after="0" w:line="85"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Liabilities recognized as a result of consolidating VIEs generally do not represent claims to us and assets recognized generally are for the benefit of the VIE operations and cannot be used to satisfy our obligations. GM Korea, a non-wholly owned consolidated subsidiary that we control through a majority voting interest, is also a VIE because in the future it may require additional subordinated financial support. The creditors of GM Korea’s short-term debt of $117 million and $70 million, current derivative liabilities of $49 million and $111 million and long-term debt of $8 million and $835 million at March 31, 2011 and December 31, 2010 do not have recourse to our general credit. In February 2011 we provided a guarantee to Korean Development Bank, a minority shareholder in GM Korea, to redeem GM Korea’s preferred shares should GM Korea not have sufficient legally distributable earnings. This guarantee decreased the amount of long-term debt which did not have recourse to our general credit in the three months ended March 31, 2011.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carrying amount of consolidated VIEs that we do not control through a majority voting interest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2011</w:t>
            </w:r>
          </w:p>
        </w:tc>
        <w:tc>
          <w:tcPr>
            <w:tcW w:w="10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133</w:t>
            </w:r>
          </w:p>
        </w:tc>
        <w:tc>
          <w:tcPr>
            <w:tcW w:w="15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marketable securities</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Property, net</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5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(principally trade)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5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5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The following table summarizes the amounts recorded in earnings related to consolidated VIEs we do not control through a majority voting interest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86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9"/>
              </w:rPr>
              <w:t>Three Months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8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56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31, 2010</w:t>
            </w:r>
          </w:p>
        </w:tc>
      </w:tr>
      <w:tr>
        <w:trPr>
          <w:trHeight w:val="21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Automotive cost of sales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Automotive selling, general and administrative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Other automotive expenses, net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Interest income and other non-operating income, net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2"/>
        </w:trPr>
        <w:tc>
          <w:tcPr>
            <w:tcW w:w="85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9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 Financing</w:t>
      </w:r>
    </w:p>
    <w:p>
      <w:pPr>
        <w:spacing w:after="0" w:line="171" w:lineRule="exact"/>
        <w:rPr>
          <w:sz w:val="20"/>
          <w:szCs w:val="20"/>
          <w:color w:val="auto"/>
        </w:rPr>
      </w:pPr>
    </w:p>
    <w:p>
      <w:pPr>
        <w:ind w:right="300" w:firstLine="228"/>
        <w:spacing w:after="0" w:line="332" w:lineRule="auto"/>
        <w:rPr>
          <w:sz w:val="20"/>
          <w:szCs w:val="20"/>
          <w:color w:val="auto"/>
        </w:rPr>
      </w:pPr>
      <w:r>
        <w:rPr>
          <w:rFonts w:ascii="Arial" w:cs="Arial" w:eastAsia="Arial" w:hAnsi="Arial"/>
          <w:sz w:val="16"/>
          <w:szCs w:val="16"/>
          <w:color w:val="auto"/>
        </w:rPr>
        <w:t>GM Financial finances its loan and lease origination volume through the use of credit facilities and securitization trusts that issue asset-backed securities to investors. GM Financial retains an interest in these credit facilities and securitization trusts which are structured without recourse.</w:t>
      </w:r>
    </w:p>
    <w:p>
      <w:pPr>
        <w:spacing w:after="0" w:line="85" w:lineRule="exact"/>
        <w:rPr>
          <w:sz w:val="20"/>
          <w:szCs w:val="20"/>
          <w:color w:val="auto"/>
        </w:rPr>
      </w:pPr>
    </w:p>
    <w:p>
      <w:pPr>
        <w:jc w:val="both"/>
        <w:ind w:right="140" w:firstLine="228"/>
        <w:spacing w:after="0" w:line="298" w:lineRule="auto"/>
        <w:rPr>
          <w:sz w:val="20"/>
          <w:szCs w:val="20"/>
          <w:color w:val="auto"/>
        </w:rPr>
      </w:pPr>
      <w:r>
        <w:rPr>
          <w:rFonts w:ascii="Arial" w:cs="Arial" w:eastAsia="Arial" w:hAnsi="Arial"/>
          <w:sz w:val="16"/>
          <w:szCs w:val="16"/>
          <w:color w:val="auto"/>
        </w:rPr>
        <w:t>GM Financial’s continuing involvement with the credit facilities and securitization trusts includes servicing loans and leases held by the SPEs and holding a residual interest in the SPE. The SPEs are considered VIEs because they do not have sufficient equity at risk, and are consolidated because GM Financial is the primary beneficiary and has the power over those activities that most significantly affect the economic performance of the SPEs, and has an obligation to absorb losses or the right to receive benefits from the SPEs which are potentially significant.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380" w:firstLine="228"/>
        <w:spacing w:after="0" w:line="332" w:lineRule="auto"/>
        <w:rPr>
          <w:sz w:val="20"/>
          <w:szCs w:val="20"/>
          <w:color w:val="auto"/>
        </w:rPr>
      </w:pPr>
      <w:r>
        <w:rPr>
          <w:rFonts w:ascii="Arial" w:cs="Arial" w:eastAsia="Arial" w:hAnsi="Arial"/>
          <w:sz w:val="16"/>
          <w:szCs w:val="16"/>
          <w:color w:val="auto"/>
        </w:rPr>
        <w:t>GM Financial is not required to provide any additional financial support to its sponsored credit facilities and securitization SPEs. The finance receivables, leased assets and other assets held by these subsidiaries are not available to our creditors or creditors of our other subsidiaries.</w:t>
      </w:r>
    </w:p>
    <w:p>
      <w:pPr>
        <w:spacing w:after="0" w:line="85" w:lineRule="exact"/>
        <w:rPr>
          <w:sz w:val="20"/>
          <w:szCs w:val="20"/>
          <w:color w:val="auto"/>
        </w:rPr>
      </w:pPr>
    </w:p>
    <w:p>
      <w:pPr>
        <w:ind w:right="620" w:firstLine="228"/>
        <w:spacing w:after="0" w:line="268" w:lineRule="auto"/>
        <w:rPr>
          <w:sz w:val="20"/>
          <w:szCs w:val="20"/>
          <w:color w:val="auto"/>
        </w:rPr>
      </w:pPr>
      <w:r>
        <w:rPr>
          <w:rFonts w:ascii="Arial" w:cs="Arial" w:eastAsia="Arial" w:hAnsi="Arial"/>
          <w:sz w:val="18"/>
          <w:szCs w:val="18"/>
          <w:color w:val="auto"/>
        </w:rPr>
        <w:t>Refer to Notes 5, 6 and 13 for additional information on GM Financial’s involvement with the SPEs and disclosures related to the amounts held by the consolidated SPEs as of the balance sheet dates.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520" w:firstLine="228"/>
        <w:spacing w:after="0" w:line="332" w:lineRule="auto"/>
        <w:rPr>
          <w:sz w:val="20"/>
          <w:szCs w:val="20"/>
          <w:color w:val="auto"/>
        </w:rPr>
      </w:pPr>
      <w:r>
        <w:rPr>
          <w:rFonts w:ascii="Arial" w:cs="Arial" w:eastAsia="Arial" w:hAnsi="Arial"/>
          <w:sz w:val="16"/>
          <w:szCs w:val="16"/>
          <w:color w:val="auto"/>
        </w:rPr>
        <w:t>VIEs that are not consolidated because we are not the primary beneficiary primarily include certain vehicle sales and marketing joint ventures and other automotive or financial support entities, including American Axle and Manufacturing Holdings, Inc. (American Axle), Ally Financial, Saab and HKJV.</w:t>
      </w:r>
    </w:p>
    <w:p>
      <w:pPr>
        <w:spacing w:after="0" w:line="85" w:lineRule="exact"/>
        <w:rPr>
          <w:sz w:val="20"/>
          <w:szCs w:val="20"/>
          <w:color w:val="auto"/>
        </w:rPr>
      </w:pPr>
    </w:p>
    <w:p>
      <w:pPr>
        <w:ind w:right="160" w:firstLine="228"/>
        <w:spacing w:after="0" w:line="290" w:lineRule="auto"/>
        <w:rPr>
          <w:sz w:val="20"/>
          <w:szCs w:val="20"/>
          <w:color w:val="auto"/>
        </w:rPr>
      </w:pPr>
      <w:r>
        <w:rPr>
          <w:rFonts w:ascii="Arial" w:cs="Arial" w:eastAsia="Arial" w:hAnsi="Arial"/>
          <w:sz w:val="16"/>
          <w:szCs w:val="16"/>
          <w:color w:val="auto"/>
        </w:rPr>
        <w:t>Variable interests in nonconsolidated VIEs include guarantees and financial support provided to certain current or previously divested suppliers in order to ensure that supply needs for production are not disrupted due to a supplier’s liquidity concerns or possible shutdowns. The maximum exposure to loss related to these VIEs is not expected to be in excess of the amount of net accounts and notes receivable recorded with the suppliers and any related guarantees and loan commitments. Investments in joint ventures that manufacture, market and sell vehicles in certain markets are typically self-funded and financed with no contractual terms that require us to provide future financial support. Future funding is required for HKJV, as subsequently discussed. The maximum exposure to loss is not expected to be in excess of the carrying amount of the investments recorded in Equity in net assets of nonconsolidated affiliates and in any related capital funding requirements.</w:t>
      </w:r>
    </w:p>
    <w:p>
      <w:pPr>
        <w:spacing w:after="0" w:line="118"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The following table summarizes the amounts recorded for nonconsolidated VIEs and the related off-balance sheet guarantees and maximum exposure to loss, excluding Ally Financial that is disclosed in Note 24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March 31, 2011</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December 31,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Maximum</w:t>
            </w:r>
          </w:p>
        </w:tc>
        <w:tc>
          <w:tcPr>
            <w:tcW w:w="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Carrying</w:t>
            </w:r>
          </w:p>
        </w:tc>
        <w:tc>
          <w:tcPr>
            <w:tcW w:w="5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Exposure</w:t>
            </w:r>
          </w:p>
        </w:tc>
        <w:tc>
          <w:tcPr>
            <w:tcW w:w="58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Carrying</w:t>
            </w:r>
          </w:p>
        </w:tc>
        <w:tc>
          <w:tcPr>
            <w:tcW w:w="56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Exposure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w w:val="80"/>
              </w:rPr>
              <w:t>to Loss</w:t>
            </w:r>
          </w:p>
        </w:tc>
        <w:tc>
          <w:tcPr>
            <w:tcW w:w="5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6"/>
              </w:rPr>
              <w:t>to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Accounts and notes receivable, net</w:t>
            </w:r>
          </w:p>
        </w:tc>
        <w:tc>
          <w:tcPr>
            <w:tcW w:w="216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108</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net assets of nonconsolidated affiliates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3"/>
            <w:vMerge w:val="continue"/>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(principally trade)</w:t>
            </w:r>
          </w:p>
        </w:tc>
        <w:tc>
          <w:tcPr>
            <w:tcW w:w="21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Off-Balance Sheet</w:t>
            </w: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3"/>
            <w:vMerge w:val="continue"/>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commitments (a)</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 guarantees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liquidity arrangements (b)</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3"/>
          </w:tcPr>
          <w:p>
            <w:pPr>
              <w:spacing w:after="0"/>
              <w:rPr>
                <w:sz w:val="20"/>
                <w:szCs w:val="20"/>
                <w:color w:val="auto"/>
              </w:rPr>
            </w:pPr>
            <w:r>
              <w:rPr>
                <w:rFonts w:ascii="Arial" w:cs="Arial" w:eastAsia="Arial" w:hAnsi="Arial"/>
                <w:sz w:val="18"/>
                <w:szCs w:val="18"/>
                <w:color w:val="auto"/>
              </w:rPr>
              <w:t>Total guarantees and liquidity arrangements</w:t>
            </w: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348</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at March 31, 2011 and December 31, 2010 included undrawn loan commitments, primarily $100 million related to American Axle.</w:t>
      </w:r>
    </w:p>
    <w:p>
      <w:pPr>
        <w:spacing w:after="0" w:line="113"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at March 31, 2011 and December 31, 2010 included capital funding requirements, primarily an additional contingent future funding requirement of up to $231 million and $223 million related to HKJV.</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Stated contractual voting or similar rights for certain of our joint venture arrangements provide various parties with shared power over the activities that most significantly affect the economic performance of certain nonconsolidated VIEs. Such nonconsolidated VIEs are operating joint ventures located in developing international markets.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American Axle</w:t>
      </w:r>
    </w:p>
    <w:p>
      <w:pPr>
        <w:spacing w:after="0" w:line="171"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We concluded that American Axle was a VIE for which we were not the primary beneficiary and we currently lack the power through voting or similar rights to direct those activities of American Axle that most significantly affect its economic performance. Our variable interest in American Axle is a second lien term loan facility in which American Axle can borrow up to $100 million. Warrants to purchase American Axle common stock will be granted if amounts are drawn on the second lien term loan facility. At March 31, 2011 no amounts were outstanding under the second lien term loan facility. Refer to Note 16 for additional information on previously granted and sold American Axle warrants.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Ally Financial</w:t>
      </w:r>
    </w:p>
    <w:p>
      <w:pPr>
        <w:spacing w:after="0" w:line="171"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We own 9.9% of Ally Financial’s common stock. Ally Financial is a VIE as it does not have sufficient equity at risk; however, we are not the primary beneficiary and we currently lack the power through voting or similar rights to direct those activities of Ally Financial that most significantly affect its economic performance. Refer to Notes 19 and 24 for additional information on Ally Financial, including our investment, sale of our Ally Financial preferred stock in March 2011 and our maximum exposure under agreements with Ally Financial.</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Saab</w:t>
      </w:r>
    </w:p>
    <w:p>
      <w:pPr>
        <w:spacing w:after="0" w:line="171"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Our primary variable interest in Saab is the preference shares that we received in connection with the sale, which have a face value of $326 million and were recorded at an estimated fair value that is insignificant. We concluded that Saab is a VIE as it does not have sufficient equity at risk. We also determined that we are not the primary beneficiary because we lack the power to direct those activities that most significantly affect its economic performance. We continue to be obligated to fund certain Saab related liabilities, primarily warranty obligations related to vehicles sold prior to the disposition of Saab. Refer to Note 3 for additional information on the sale of Saab.</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HKJV</w:t>
      </w:r>
    </w:p>
    <w:p>
      <w:pPr>
        <w:spacing w:after="0" w:line="171" w:lineRule="exact"/>
        <w:rPr>
          <w:sz w:val="20"/>
          <w:szCs w:val="20"/>
          <w:color w:val="auto"/>
        </w:rPr>
      </w:pPr>
    </w:p>
    <w:p>
      <w:pPr>
        <w:ind w:right="820" w:firstLine="228"/>
        <w:spacing w:after="0" w:line="332" w:lineRule="auto"/>
        <w:rPr>
          <w:sz w:val="20"/>
          <w:szCs w:val="20"/>
          <w:color w:val="auto"/>
        </w:rPr>
      </w:pPr>
      <w:r>
        <w:rPr>
          <w:rFonts w:ascii="Arial" w:cs="Arial" w:eastAsia="Arial" w:hAnsi="Arial"/>
          <w:sz w:val="16"/>
          <w:szCs w:val="16"/>
          <w:color w:val="auto"/>
        </w:rPr>
        <w:t>We determined that HKJV is a VIE because it will require additional subordinated financial support, and we determined that we are not the primary beneficiary because we share the power with SAIC-HK to direct those activities that most significantly affect HKJV’s economic performance.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Depreciation and Amortization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The following table summarizes depreciation and amortization, including asset impairment charges, included in Automotive cost of sales, Automotive selling, general and administrative expense and Other automotive expenses, net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Three Months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Ended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8"/>
              </w:rPr>
              <w:t>March 31, 2011</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 of plants and equipment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9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Amortization and impairment of special tools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 of equipment on operating leases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501</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amortization and asset impairment charges</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9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Debt</w:t>
            </w: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Automotive Financing</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34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Credit Facilities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w w:val="93"/>
              </w:rPr>
              <w:t>The following table summarizes amounts outstanding under GM Financial credit facilities (dollars in millions):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March 31, 2011</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Syndicated warehouse facility</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Medium-term note facility</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439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Lease warehouse facility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Bank funding facilities</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credit facilities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1,412</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further details regarding terms and availability of GM Financial credit facilities at March 31, 2011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Restricted</w:t>
            </w:r>
          </w:p>
        </w:tc>
      </w:tr>
      <w:tr>
        <w:trPr>
          <w:trHeight w:val="149"/>
        </w:trPr>
        <w:tc>
          <w:tcPr>
            <w:tcW w:w="116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1"/>
              </w:rPr>
              <w:t>Facility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78"/>
              </w:rPr>
              <w:t>Advances</w:t>
            </w:r>
          </w:p>
        </w:tc>
        <w:tc>
          <w:tcPr>
            <w:tcW w:w="40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Cash</w:t>
            </w:r>
          </w:p>
        </w:tc>
      </w:tr>
      <w:tr>
        <w:trPr>
          <w:trHeight w:val="161"/>
        </w:trPr>
        <w:tc>
          <w:tcPr>
            <w:tcW w:w="11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4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Pledged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Pledged (a)</w:t>
            </w:r>
          </w:p>
        </w:tc>
        <w:tc>
          <w:tcPr>
            <w:tcW w:w="100" w:type="dxa"/>
            <w:vAlign w:val="bottom"/>
          </w:tcPr>
          <w:p>
            <w:pPr>
              <w:spacing w:after="0"/>
              <w:rPr>
                <w:sz w:val="14"/>
                <w:szCs w:val="14"/>
                <w:color w:val="auto"/>
              </w:rPr>
            </w:pPr>
          </w:p>
        </w:tc>
      </w:tr>
      <w:tr>
        <w:trPr>
          <w:trHeight w:val="210"/>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Syndicated warehouse facility (b)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$1,091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Lease warehouse facility (c)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Medium-term note facility (d)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Bank funding facilities (e)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amounts do not include cash collected on finance receivables pledged of $45 million which is included in GM Financial Restricted cash at March 31, 2011.</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February 2011 GM Financial extended the maturity date of the syndicated warehouse facility to May 2012 and increased the borrowing capacity to $2.0 billion from $1.3 billion.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right="40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January 2011 GM Financial entered into a lease warehouse facility for lease originations in the U.S. Borrowings on the facility are collateralized by leased assets.</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revolving period under this facility has ended and the outstanding debt balance will be repaid over time based on the amortization of the receivables pledged until October 2016 when any remaining amount outstanding will be due and payable.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outstanding debt balance under the bank funding facilities is secured by asset-backed securities of $53 million.</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Securitization Notes Payable</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Securitization notes payable represents debt issued by GM Financial in securitization transactions. Debt issuance costs are amortized over the expected term of the securitizations on an effective yield basis.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Securitization notes payable at March 31, 2011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Original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Original</w:t>
            </w: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4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Maturity Dates (a)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Note</w:t>
            </w: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Interest</w:t>
            </w:r>
          </w:p>
        </w:tc>
        <w:tc>
          <w:tcPr>
            <w:tcW w:w="82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w w:val="79"/>
              </w:rPr>
              <w:t>Receivables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61"/>
        </w:trPr>
        <w:tc>
          <w:tcPr>
            <w:tcW w:w="3620" w:type="dxa"/>
            <w:vAlign w:val="bottom"/>
            <w:gridSpan w:val="4"/>
          </w:tcPr>
          <w:p>
            <w:pPr>
              <w:spacing w:after="0"/>
              <w:rPr>
                <w:sz w:val="20"/>
                <w:szCs w:val="20"/>
                <w:color w:val="auto"/>
              </w:rPr>
            </w:pPr>
            <w:r>
              <w:rPr>
                <w:rFonts w:ascii="Arial" w:cs="Arial" w:eastAsia="Arial" w:hAnsi="Arial"/>
                <w:sz w:val="14"/>
                <w:szCs w:val="14"/>
                <w:b w:val="1"/>
                <w:bCs w:val="1"/>
                <w:color w:val="auto"/>
              </w:rPr>
              <w:t>Year of Transactions</w:t>
            </w:r>
          </w:p>
        </w:tc>
        <w:tc>
          <w:tcPr>
            <w:tcW w:w="3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Amounts</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Rates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4"/>
                <w:szCs w:val="14"/>
                <w:b w:val="1"/>
                <w:bCs w:val="1"/>
                <w:color w:val="auto"/>
                <w:w w:val="80"/>
              </w:rPr>
              <w:t>Pledged</w:t>
            </w:r>
          </w:p>
        </w:tc>
        <w:tc>
          <w:tcPr>
            <w:tcW w:w="42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May 2013 – January 2014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945 - 1,350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 - 5.6%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October 2013 – March 2016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1,000 - 1,500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 - 5.5%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2008 (b)</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October 2014 – April 2015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500 - 750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6.0% - 10.5%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January 2016 – July 2017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227 - 725</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 - 7.5%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June 2016 – January 2018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200 - 850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 - 3.8%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February 2017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BV2005 (c)</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February 2014 – June 2014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186 - 220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 - 5.1%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LB2006/LB2007 (c)</w:t>
            </w:r>
          </w:p>
        </w:tc>
        <w:tc>
          <w:tcPr>
            <w:tcW w:w="3240" w:type="dxa"/>
            <w:vAlign w:val="bottom"/>
          </w:tcPr>
          <w:p>
            <w:pPr>
              <w:spacing w:after="0"/>
              <w:rPr>
                <w:sz w:val="20"/>
                <w:szCs w:val="20"/>
                <w:color w:val="auto"/>
              </w:rPr>
            </w:pPr>
            <w:r>
              <w:rPr>
                <w:rFonts w:ascii="Arial" w:cs="Arial" w:eastAsia="Arial" w:hAnsi="Arial"/>
                <w:sz w:val="18"/>
                <w:szCs w:val="18"/>
                <w:color w:val="auto"/>
              </w:rPr>
              <w:t>September 2013 – January 2014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486 - 500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 - 5.2%</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gridSpan w:val="4"/>
            <w:vMerge w:val="restart"/>
          </w:tcPr>
          <w:p>
            <w:pPr>
              <w:spacing w:after="0"/>
              <w:rPr>
                <w:sz w:val="20"/>
                <w:szCs w:val="20"/>
                <w:color w:val="auto"/>
              </w:rPr>
            </w:pPr>
            <w:r>
              <w:rPr>
                <w:rFonts w:ascii="Arial" w:cs="Arial" w:eastAsia="Arial" w:hAnsi="Arial"/>
                <w:sz w:val="18"/>
                <w:szCs w:val="18"/>
                <w:color w:val="auto"/>
              </w:rPr>
              <w:t>Purchase accounting premium</w:t>
            </w:r>
          </w:p>
        </w:tc>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gridSpan w:val="4"/>
            <w:vMerge w:val="continue"/>
          </w:tcPr>
          <w:p>
            <w:pPr>
              <w:spacing w:after="0"/>
              <w:rPr>
                <w:sz w:val="18"/>
                <w:szCs w:val="18"/>
                <w:color w:val="auto"/>
              </w:rPr>
            </w:pPr>
          </w:p>
        </w:tc>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securitization notes payable</w:t>
            </w: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Maturity date represents final legal maturity of Securitization notes payable. Securitization notes payable are expected to be paid based on amortization of the finance receivables pledged to the trusts.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Note balance does not include asset-backed securities of $53 million pledged to the bank funding facilities.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Transactions relate to certain SPEs acquired by GM Financial.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Product Warranty Liability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activity for policy, product warranty, recall campaigns and certified used vehicle warranty liabilities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38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Three Months</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3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2010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620" w:type="dxa"/>
            <w:vAlign w:val="bottom"/>
            <w:gridSpan w:val="2"/>
            <w:shd w:val="clear" w:color="auto" w:fill="CCEEFF"/>
          </w:tcPr>
          <w:p>
            <w:pPr>
              <w:ind w:left="4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Warranties issued and assumed in period</w:t>
            </w: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Adjustments to pre-existing warranties</w:t>
            </w: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4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40" w:type="dxa"/>
            <w:vAlign w:val="bottom"/>
            <w:vMerge w:val="continue"/>
          </w:tcPr>
          <w:p>
            <w:pPr>
              <w:spacing w:after="0"/>
              <w:rPr>
                <w:sz w:val="19"/>
                <w:szCs w:val="19"/>
                <w:color w:val="auto"/>
              </w:rPr>
            </w:pPr>
          </w:p>
        </w:tc>
        <w:tc>
          <w:tcPr>
            <w:tcW w:w="4620" w:type="dxa"/>
            <w:vAlign w:val="bottom"/>
            <w:gridSpan w:val="2"/>
          </w:tcPr>
          <w:p>
            <w:pPr>
              <w:ind w:left="44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6,768</w:t>
            </w:r>
          </w:p>
        </w:tc>
        <w:tc>
          <w:tcPr>
            <w:tcW w:w="440" w:type="dxa"/>
            <w:vAlign w:val="bottom"/>
          </w:tcPr>
          <w:p>
            <w:pPr>
              <w:spacing w:after="0"/>
              <w:rPr>
                <w:sz w:val="19"/>
                <w:szCs w:val="19"/>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460" w:type="dxa"/>
            <w:vAlign w:val="bottom"/>
            <w:vMerge w:val="restart"/>
          </w:tcPr>
          <w:p>
            <w:pPr>
              <w:jc w:val="right"/>
              <w:ind w:right="2812"/>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77" w:lineRule="exact"/>
        <w:rPr>
          <w:sz w:val="20"/>
          <w:szCs w:val="20"/>
          <w:color w:val="auto"/>
        </w:rPr>
      </w:pPr>
    </w:p>
    <w:p>
      <w:pPr>
        <w:ind w:right="280" w:firstLine="228"/>
        <w:spacing w:after="0" w:line="255" w:lineRule="auto"/>
        <w:rPr>
          <w:sz w:val="20"/>
          <w:szCs w:val="20"/>
          <w:color w:val="auto"/>
        </w:rPr>
      </w:pPr>
      <w:r>
        <w:rPr>
          <w:rFonts w:ascii="Arial" w:cs="Arial" w:eastAsia="Arial" w:hAnsi="Arial"/>
          <w:sz w:val="18"/>
          <w:szCs w:val="18"/>
          <w:color w:val="auto"/>
        </w:rPr>
        <w:t>In January 2011 we completed the previously announced voluntary contribution of 61 million shares of our common stock to our U.S. hourly and salaried pension plans. At the time of contribution, the fair value was $2.2 billion for funding purposes. This was a voluntary contribution that is above our minimum funding requirements of the pension plans. The contributed shares qualify as a plan asset for funding purposes immediately, and will qualify as a plan asset for accounting purposes when certain transfer restrictions are removed, which is expected in 2011. We are evaluating whether we will make additional voluntary contributions to our U.S. pension plans in 2011.</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pension and other postretirement benefits (OPEB) expense (income)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U.S. Plans</w:t>
            </w:r>
          </w:p>
        </w:tc>
        <w:tc>
          <w:tcPr>
            <w:tcW w:w="100" w:type="dxa"/>
            <w:vAlign w:val="bottom"/>
          </w:tcPr>
          <w:p>
            <w:pPr>
              <w:spacing w:after="0"/>
              <w:rPr>
                <w:sz w:val="14"/>
                <w:szCs w:val="14"/>
                <w:color w:val="auto"/>
              </w:rPr>
            </w:pPr>
          </w:p>
        </w:tc>
        <w:tc>
          <w:tcPr>
            <w:tcW w:w="17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Non-U.S. Plans</w:t>
            </w:r>
          </w:p>
        </w:tc>
        <w:tc>
          <w:tcPr>
            <w:tcW w:w="100" w:type="dxa"/>
            <w:vAlign w:val="bottom"/>
          </w:tcPr>
          <w:p>
            <w:pPr>
              <w:spacing w:after="0"/>
              <w:rPr>
                <w:sz w:val="14"/>
                <w:szCs w:val="14"/>
                <w:color w:val="auto"/>
              </w:rPr>
            </w:pPr>
          </w:p>
        </w:tc>
        <w:tc>
          <w:tcPr>
            <w:tcW w:w="1420" w:type="dxa"/>
            <w:vAlign w:val="bottom"/>
            <w:gridSpan w:val="5"/>
          </w:tcPr>
          <w:p>
            <w:pPr>
              <w:jc w:val="right"/>
              <w:ind w:right="358"/>
              <w:spacing w:after="0"/>
              <w:rPr>
                <w:sz w:val="20"/>
                <w:szCs w:val="20"/>
                <w:color w:val="auto"/>
              </w:rPr>
            </w:pPr>
            <w:r>
              <w:rPr>
                <w:rFonts w:ascii="Arial" w:cs="Arial" w:eastAsia="Arial" w:hAnsi="Arial"/>
                <w:sz w:val="14"/>
                <w:szCs w:val="14"/>
                <w:b w:val="1"/>
                <w:bCs w:val="1"/>
                <w:color w:val="auto"/>
              </w:rPr>
              <w:t>U.S. Other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b w:val="1"/>
                <w:bCs w:val="1"/>
                <w:color w:val="auto"/>
              </w:rPr>
              <w:t>Non-U.S.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6"/>
              </w:rPr>
              <w:t>Pension Benefits</w:t>
            </w:r>
          </w:p>
        </w:tc>
        <w:tc>
          <w:tcPr>
            <w:tcW w:w="100" w:type="dxa"/>
            <w:vAlign w:val="bottom"/>
          </w:tcPr>
          <w:p>
            <w:pPr>
              <w:spacing w:after="0"/>
              <w:rPr>
                <w:sz w:val="14"/>
                <w:szCs w:val="14"/>
                <w:color w:val="auto"/>
              </w:rPr>
            </w:pPr>
          </w:p>
        </w:tc>
        <w:tc>
          <w:tcPr>
            <w:tcW w:w="1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8"/>
              </w:rPr>
              <w:t>Pension Benefits</w:t>
            </w:r>
          </w:p>
        </w:tc>
        <w:tc>
          <w:tcPr>
            <w:tcW w:w="100" w:type="dxa"/>
            <w:vAlign w:val="bottom"/>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rPr>
              <w:t>Benefits</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Other Benefits</w:t>
            </w: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4"/>
              </w:rPr>
              <w:t>Three</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9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Months</w:t>
            </w:r>
          </w:p>
        </w:tc>
        <w:tc>
          <w:tcPr>
            <w:tcW w:w="10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Three</w:t>
            </w: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Three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Three</w:t>
            </w:r>
          </w:p>
        </w:tc>
        <w:tc>
          <w:tcPr>
            <w:tcW w:w="100" w:type="dxa"/>
            <w:vAlign w:val="bottom"/>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Three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Three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Three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Ended</w:t>
            </w: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Months</w:t>
            </w: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Months</w:t>
            </w: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Months</w:t>
            </w: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320" w:type="dxa"/>
            <w:vAlign w:val="bottom"/>
          </w:tcPr>
          <w:p>
            <w:pPr>
              <w:spacing w:after="0"/>
              <w:rPr>
                <w:sz w:val="12"/>
                <w:szCs w:val="12"/>
                <w:color w:val="auto"/>
              </w:rPr>
            </w:pP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9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March</w:t>
            </w:r>
          </w:p>
        </w:tc>
        <w:tc>
          <w:tcPr>
            <w:tcW w:w="10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rPr>
              <w:t>31,</w:t>
            </w:r>
          </w:p>
        </w:tc>
        <w:tc>
          <w:tcPr>
            <w:tcW w:w="34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March 31,</w:t>
            </w:r>
          </w:p>
        </w:tc>
        <w:tc>
          <w:tcPr>
            <w:tcW w:w="14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March 31,</w:t>
            </w: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320" w:type="dxa"/>
            <w:vAlign w:val="bottom"/>
          </w:tcPr>
          <w:p>
            <w:pPr>
              <w:spacing w:after="0"/>
              <w:rPr>
                <w:sz w:val="12"/>
                <w:szCs w:val="12"/>
                <w:color w:val="auto"/>
              </w:rPr>
            </w:pP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March 31,</w:t>
            </w:r>
          </w:p>
        </w:tc>
        <w:tc>
          <w:tcPr>
            <w:tcW w:w="14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6"/>
              </w:rPr>
              <w:t>2011</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2010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(income) expense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1,229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(1,674)</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(1,638)</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Curtailments, settlements and 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Net periodic pension and OPEB (income) expense</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177"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In the three months ended March 31, 2011 certain pension plans in GME were remeasured as part of our Goodwill impairment analysis, resulting in a decrease of $272 million in the Pensions liability and a pre-tax increase in the net actuarial gain component of Accumulated other comprehensive income. Refer to Notes 2 and 9 for additional information on our Goodwill impairment.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 and Risk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and Hedge Accounting</w:t>
      </w:r>
    </w:p>
    <w:p>
      <w:pPr>
        <w:spacing w:after="0" w:line="171"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In accordance with our risk management policy, we enter into a variety of foreign currency exchange rate and commodity derivative contracts in connection with the management of exposure to fluctuations in foreign currency exchange rates and certain commodity prices.</w:t>
      </w:r>
    </w:p>
    <w:p>
      <w:pPr>
        <w:spacing w:after="0" w:line="132"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Our derivative instruments consist primarily of forward contracts and options. At March 31, 2011 and December 31, 2010 no outstanding derivative contracts were designated in hedging relationships other than those derivative contracts designated in a hedging relationship by GM Financial. Refer to Note 19 for additional information on the fair value measurements of our derivative instruments.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71"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Derivative financial instruments contain an element of credit risk attributable to the counterparties’ ability to meet the terms of the agreements. Certain of our agreements with counterparties require, under certain circumstances, that the counterparty post collateral with us for net asset positions. Agreements are entered into with counterparties that allow the set-off of certain exposures in order to manage the risk. The following table summarizes our counterparty credit risk related to derivative positions (dollars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2011</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0"/>
        </w:trPr>
        <w:tc>
          <w:tcPr>
            <w:tcW w:w="59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Collateral held from counterparties (a)</w:t>
            </w:r>
          </w:p>
        </w:tc>
        <w:tc>
          <w:tcPr>
            <w:tcW w:w="2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Gross derivative asset position exposed to loss (b)</w:t>
            </w:r>
          </w:p>
        </w:tc>
        <w:tc>
          <w:tcPr>
            <w:tcW w:w="278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85</w:t>
            </w: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asset position exposed to loss (c)</w:t>
            </w:r>
          </w:p>
        </w:tc>
        <w:tc>
          <w:tcPr>
            <w:tcW w:w="278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Related obligation recorded in Accrued liabilities.</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maximum exposure to loss on derivative asset positions calculated as the gross derivative asset position less collateral we held (excluding embedded derivatives).</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exposure to loss calculated as net derivative asset position for all counterparties with which we were in a net asset position, less the collateral we held (excluding embedded derivatives).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March 31, 2011 substantially all derivative counterparty exposures were with counterparties that were rated A- or higher.</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Risk Related Contingent Features</w:t>
      </w:r>
    </w:p>
    <w:p>
      <w:pPr>
        <w:spacing w:after="0" w:line="171"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Certain of our agreements with counterparties require that we provide cash collateral for net liability positions that we may have with such counterparty. At March 31, 2011 no collateral was posted related to derivative instruments, and we did not have any agreements with counterparties to derivative instruments containing covenants requiring the maintenance of certain credit rating levels or credit risk ratios that would require the posting of collateral in the event that such covenants are violated.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fair value of our derivative instruments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March 31, 2011</w:t>
            </w:r>
          </w:p>
        </w:tc>
        <w:tc>
          <w:tcPr>
            <w:tcW w:w="8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0"/>
              </w:rPr>
              <w:t>December 31, 2010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720" w:type="dxa"/>
            <w:vAlign w:val="bottom"/>
          </w:tcPr>
          <w:p>
            <w:pPr>
              <w:ind w:left="380"/>
              <w:spacing w:after="0" w:line="129" w:lineRule="exact"/>
              <w:rPr>
                <w:sz w:val="20"/>
                <w:szCs w:val="20"/>
                <w:color w:val="auto"/>
              </w:rPr>
            </w:pPr>
            <w:r>
              <w:rPr>
                <w:rFonts w:ascii="Arial" w:cs="Arial" w:eastAsia="Arial" w:hAnsi="Arial"/>
                <w:sz w:val="14"/>
                <w:szCs w:val="14"/>
                <w:b w:val="1"/>
                <w:bCs w:val="1"/>
                <w:color w:val="auto"/>
                <w:w w:val="83"/>
              </w:rPr>
              <w:t>Asset</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Liability</w:t>
            </w:r>
          </w:p>
        </w:tc>
        <w:tc>
          <w:tcPr>
            <w:tcW w:w="800" w:type="dxa"/>
            <w:vAlign w:val="bottom"/>
          </w:tcPr>
          <w:p>
            <w:pPr>
              <w:spacing w:after="0"/>
              <w:rPr>
                <w:sz w:val="11"/>
                <w:szCs w:val="11"/>
                <w:color w:val="auto"/>
              </w:rPr>
            </w:pPr>
          </w:p>
        </w:tc>
        <w:tc>
          <w:tcPr>
            <w:tcW w:w="700" w:type="dxa"/>
            <w:vAlign w:val="bottom"/>
          </w:tcPr>
          <w:p>
            <w:pPr>
              <w:ind w:left="360"/>
              <w:spacing w:after="0" w:line="129" w:lineRule="exact"/>
              <w:rPr>
                <w:sz w:val="20"/>
                <w:szCs w:val="20"/>
                <w:color w:val="auto"/>
              </w:rPr>
            </w:pPr>
            <w:r>
              <w:rPr>
                <w:rFonts w:ascii="Arial" w:cs="Arial" w:eastAsia="Arial" w:hAnsi="Arial"/>
                <w:sz w:val="14"/>
                <w:szCs w:val="14"/>
                <w:b w:val="1"/>
                <w:bCs w:val="1"/>
                <w:color w:val="auto"/>
                <w:w w:val="83"/>
              </w:rPr>
              <w:t>Asset</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174"/>
              <w:spacing w:after="0" w:line="129" w:lineRule="exact"/>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0"/>
              </w:rPr>
              <w:t>Derivatives</w:t>
            </w:r>
          </w:p>
        </w:tc>
        <w:tc>
          <w:tcPr>
            <w:tcW w:w="11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1"/>
              </w:rPr>
              <w:t>(a)(b)</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89"/>
              </w:rPr>
              <w:t>Derivatives (c)(d)</w:t>
            </w:r>
          </w:p>
        </w:tc>
        <w:tc>
          <w:tcPr>
            <w:tcW w:w="8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Derivatives</w:t>
            </w:r>
          </w:p>
        </w:tc>
        <w:tc>
          <w:tcPr>
            <w:tcW w:w="11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1"/>
              </w:rPr>
              <w:t>(a)(b)</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8"/>
              </w:rPr>
              <w:t>Derivatives (c)(d)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Instruments</w:t>
            </w: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Current Portion</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exchange</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5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Embedded foreign currency exchange</w:t>
            </w:r>
          </w:p>
        </w:tc>
        <w:tc>
          <w:tcPr>
            <w:tcW w:w="720" w:type="dxa"/>
            <w:vAlign w:val="bottom"/>
          </w:tcPr>
          <w:p>
            <w:pPr>
              <w:spacing w:after="0"/>
              <w:rPr>
                <w:sz w:val="18"/>
                <w:szCs w:val="18"/>
                <w:color w:val="auto"/>
              </w:rPr>
            </w:pPr>
          </w:p>
        </w:tc>
        <w:tc>
          <w:tcPr>
            <w:tcW w:w="1140" w:type="dxa"/>
            <w:vAlign w:val="bottom"/>
            <w:gridSpan w:val="2"/>
          </w:tcPr>
          <w:p>
            <w:pPr>
              <w:jc w:val="right"/>
              <w:ind w:right="8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w:t>
            </w:r>
          </w:p>
        </w:tc>
        <w:tc>
          <w:tcPr>
            <w:tcW w:w="7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Total current portion</w:t>
            </w: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gridSpan w:val="3"/>
            <w:vMerge w:val="continue"/>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15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Portion</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Embedded foreign currency exchange</w:t>
            </w: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w:t>
            </w:r>
          </w:p>
        </w:tc>
        <w:tc>
          <w:tcPr>
            <w:tcW w:w="7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720" w:type="dxa"/>
            <w:vAlign w:val="bottom"/>
          </w:tcPr>
          <w:p>
            <w:pPr>
              <w:spacing w:after="0"/>
              <w:rPr>
                <w:sz w:val="18"/>
                <w:szCs w:val="18"/>
                <w:color w:val="auto"/>
              </w:rPr>
            </w:pPr>
          </w:p>
        </w:tc>
        <w:tc>
          <w:tcPr>
            <w:tcW w:w="11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2"/>
          </w:tcPr>
          <w:p>
            <w:pPr>
              <w:jc w:val="right"/>
              <w:ind w:right="80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 portion</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5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portion recorded in Other current assets and deferred income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Non-current portion recorded in Other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portion recorded in Accrued liabilities.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Non-current portion recorded in Other liabilities and deferred income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Gains and (Losses) on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gains and (losses) on derivatives recorded in earnings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1"/>
              </w:rPr>
              <w:t>Three Months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Three Months</w:t>
            </w: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7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 2011</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2010</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Instruments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Foreign currency exchange</w:t>
            </w:r>
          </w:p>
        </w:tc>
        <w:tc>
          <w:tcPr>
            <w:tcW w:w="128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(10)</w:t>
            </w:r>
          </w:p>
        </w:tc>
        <w:tc>
          <w:tcPr>
            <w:tcW w:w="8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Embedded foreign currency exchange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Commodity derivatives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color w:val="auto"/>
              </w:rPr>
              <w:t>Total gains (losses) recorded in interest income and other non-operating income, net</w:t>
            </w: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53</w:t>
            </w:r>
          </w:p>
        </w:tc>
        <w:tc>
          <w:tcPr>
            <w:tcW w:w="8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ind w:left="240"/>
              <w:spacing w:after="0"/>
              <w:rPr>
                <w:sz w:val="20"/>
                <w:szCs w:val="20"/>
                <w:color w:val="auto"/>
              </w:rPr>
            </w:pPr>
            <w:r>
              <w:rPr>
                <w:rFonts w:ascii="Arial" w:cs="Arial" w:eastAsia="Arial" w:hAnsi="Arial"/>
                <w:sz w:val="18"/>
                <w:szCs w:val="18"/>
                <w:b w:val="1"/>
                <w:bCs w:val="1"/>
                <w:i w:val="1"/>
                <w:iCs w:val="1"/>
                <w:color w:val="auto"/>
              </w:rPr>
              <w:t>Commodity Notionals</w:t>
            </w: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1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0" w:type="dxa"/>
            <w:vAlign w:val="bottom"/>
            <w:gridSpan w:val="2"/>
          </w:tcPr>
          <w:p>
            <w:pPr>
              <w:ind w:left="240"/>
              <w:spacing w:after="0"/>
              <w:rPr>
                <w:sz w:val="20"/>
                <w:szCs w:val="20"/>
                <w:color w:val="auto"/>
              </w:rPr>
            </w:pPr>
            <w:r>
              <w:rPr>
                <w:rFonts w:ascii="Arial" w:cs="Arial" w:eastAsia="Arial" w:hAnsi="Arial"/>
                <w:sz w:val="18"/>
                <w:szCs w:val="18"/>
                <w:color w:val="auto"/>
                <w:w w:val="91"/>
              </w:rPr>
              <w:t>The following table summarizes the notional amounts of our commodity derivative contracts (units in thousands):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1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March 31, 2011</w:t>
            </w:r>
          </w:p>
        </w:tc>
        <w:tc>
          <w:tcPr>
            <w:tcW w:w="520" w:type="dxa"/>
            <w:vAlign w:val="bottom"/>
          </w:tcPr>
          <w:p>
            <w:pPr>
              <w:spacing w:after="0"/>
              <w:rPr>
                <w:sz w:val="24"/>
                <w:szCs w:val="24"/>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4"/>
              </w:rPr>
              <w:t>December 31, 2010</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Commodity</w:t>
            </w: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Aluminum and aluminum alloy</w:t>
            </w:r>
          </w:p>
        </w:tc>
        <w:tc>
          <w:tcPr>
            <w:tcW w:w="1280" w:type="dxa"/>
            <w:vAlign w:val="bottom"/>
          </w:tcPr>
          <w:p>
            <w:pPr>
              <w:spacing w:after="0"/>
              <w:rPr>
                <w:sz w:val="20"/>
                <w:szCs w:val="20"/>
                <w:color w:val="auto"/>
              </w:rPr>
            </w:pPr>
            <w:r>
              <w:rPr>
                <w:rFonts w:ascii="Arial" w:cs="Arial" w:eastAsia="Arial" w:hAnsi="Arial"/>
                <w:sz w:val="18"/>
                <w:szCs w:val="18"/>
                <w:color w:val="auto"/>
              </w:rPr>
              <w:t>Metric tons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501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Copper</w:t>
            </w: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Metric tons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Lead</w:t>
            </w:r>
          </w:p>
        </w:tc>
        <w:tc>
          <w:tcPr>
            <w:tcW w:w="1280" w:type="dxa"/>
            <w:vAlign w:val="bottom"/>
          </w:tcPr>
          <w:p>
            <w:pPr>
              <w:spacing w:after="0"/>
              <w:rPr>
                <w:sz w:val="20"/>
                <w:szCs w:val="20"/>
                <w:color w:val="auto"/>
              </w:rPr>
            </w:pPr>
            <w:r>
              <w:rPr>
                <w:rFonts w:ascii="Arial" w:cs="Arial" w:eastAsia="Arial" w:hAnsi="Arial"/>
                <w:sz w:val="18"/>
                <w:szCs w:val="18"/>
                <w:color w:val="auto"/>
              </w:rPr>
              <w:t>Metric tons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Heating oil</w:t>
            </w: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Gallons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127,092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Palladium</w:t>
            </w:r>
          </w:p>
        </w:tc>
        <w:tc>
          <w:tcPr>
            <w:tcW w:w="1280" w:type="dxa"/>
            <w:vAlign w:val="bottom"/>
          </w:tcPr>
          <w:p>
            <w:pPr>
              <w:spacing w:after="0"/>
              <w:rPr>
                <w:sz w:val="20"/>
                <w:szCs w:val="20"/>
                <w:color w:val="auto"/>
              </w:rPr>
            </w:pPr>
            <w:r>
              <w:rPr>
                <w:rFonts w:ascii="Arial" w:cs="Arial" w:eastAsia="Arial" w:hAnsi="Arial"/>
                <w:sz w:val="18"/>
                <w:szCs w:val="18"/>
                <w:color w:val="auto"/>
              </w:rPr>
              <w:t>Troy ounce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470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Platinum</w:t>
            </w: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Troy ounce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20" w:type="dxa"/>
            <w:vAlign w:val="bottom"/>
          </w:tcPr>
          <w:p>
            <w:pPr>
              <w:spacing w:after="0"/>
              <w:rPr>
                <w:sz w:val="20"/>
                <w:szCs w:val="20"/>
                <w:color w:val="auto"/>
              </w:rPr>
            </w:pPr>
            <w:r>
              <w:rPr>
                <w:rFonts w:ascii="Arial" w:cs="Arial" w:eastAsia="Arial" w:hAnsi="Arial"/>
                <w:sz w:val="18"/>
                <w:szCs w:val="18"/>
                <w:color w:val="auto"/>
              </w:rPr>
              <w:t>Electricity (embedded derivative)</w:t>
            </w:r>
          </w:p>
        </w:tc>
        <w:tc>
          <w:tcPr>
            <w:tcW w:w="1280" w:type="dxa"/>
            <w:vAlign w:val="bottom"/>
          </w:tcPr>
          <w:p>
            <w:pPr>
              <w:spacing w:after="0"/>
              <w:rPr>
                <w:sz w:val="20"/>
                <w:szCs w:val="20"/>
                <w:color w:val="auto"/>
              </w:rPr>
            </w:pPr>
            <w:r>
              <w:rPr>
                <w:rFonts w:ascii="Arial" w:cs="Arial" w:eastAsia="Arial" w:hAnsi="Arial"/>
                <w:sz w:val="18"/>
                <w:szCs w:val="18"/>
                <w:color w:val="auto"/>
              </w:rPr>
              <w:t>MWh</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1,340</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Notionals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notional amounts of our foreign currency exchange derivatives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March 31, 2011</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2010</w:t>
            </w:r>
          </w:p>
        </w:tc>
      </w:tr>
      <w:tr>
        <w:trPr>
          <w:trHeight w:val="20"/>
        </w:trPr>
        <w:tc>
          <w:tcPr>
            <w:tcW w:w="59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derivatives</w:t>
            </w:r>
          </w:p>
        </w:tc>
        <w:tc>
          <w:tcPr>
            <w:tcW w:w="2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5,911</w:t>
            </w: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00" w:type="dxa"/>
            <w:vAlign w:val="bottom"/>
            <w:shd w:val="clear" w:color="auto" w:fill="CCEEFF"/>
          </w:tcPr>
          <w:p>
            <w:pPr>
              <w:spacing w:after="0"/>
              <w:rPr>
                <w:sz w:val="18"/>
                <w:szCs w:val="18"/>
                <w:color w:val="auto"/>
              </w:rPr>
            </w:pP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Embedded foreign currency exchange derivatives</w:t>
            </w:r>
          </w:p>
        </w:tc>
        <w:tc>
          <w:tcPr>
            <w:tcW w:w="278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1,502</w:t>
            </w:r>
          </w:p>
        </w:tc>
        <w:tc>
          <w:tcPr>
            <w:tcW w:w="84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In 2010 we entered into a long-term supply agreement which provides for pricing to be partially denominated in a currency other than the functional currency of the parties to the contract. This pricing feature was determined to be an embedded derivative which we have bifurcated for valuation and accounting purposes. The fair value of this embedded derivative was $57 million at March 31, 2011 and insignificant at December 31, 2010.</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Derivatives</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February 2011 we exercised our warrants to purchase American Axle common stock. The shares acquired upon exercise were sold in February 2011 and we received proceeds of $48 million. At December 31, 2010 the fair value of these warrants was $44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In connection with our investment in New Delphi, which we accounted for using the equity method, we recorded our share of New Delphi’s other comprehensive income (loss) in Accumulated other comprehensive income. In the three months ended March 31, 2011 and 2010 we recorded cash flow hedging gains of $13 million and $14 million related to our share of New Delphi’s hedging gains. In the three months ended March 31, 2011 we sold our interests in New Delphi. As a result, previously recorded cash flow hedging losses of $10 million in Accumulated other comprehensive income were reclassified to earnings and recorded in the gain on sale of New Delphi. Refer to Note 8 for additional information on the sale of New Delphi.</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w:t>
      </w:r>
    </w:p>
    <w:p>
      <w:pPr>
        <w:spacing w:after="0" w:line="177"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GM Financial is exposed to market risks arising from adverse changes in interest rates due to floating interest rate exposure on its credit facilities and on certain securitization notes payable.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effect of derivative instruments on earnings and Accumulated other comprehensive income was insignificant for the three months ended March 31,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interest rate swaps, caps and foreign currency exchange derivatives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3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6"/>
              </w:rPr>
              <w:t>March 31, 2011</w:t>
            </w:r>
          </w:p>
        </w:tc>
        <w:tc>
          <w:tcPr>
            <w:tcW w:w="2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88"/>
              </w:rPr>
              <w:t>December 31, 2010</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Notional</w:t>
            </w:r>
          </w:p>
        </w:tc>
        <w:tc>
          <w:tcPr>
            <w:tcW w:w="480" w:type="dxa"/>
            <w:vAlign w:val="bottom"/>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50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Notional</w:t>
            </w:r>
          </w:p>
        </w:tc>
        <w:tc>
          <w:tcPr>
            <w:tcW w:w="480" w:type="dxa"/>
            <w:vAlign w:val="bottom"/>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$1,005</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$1,227</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4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4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2,555</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2,173</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(b)</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$1,005</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$1,227</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Foreign currency exchange derivatives (c)</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2,512</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2,108</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Recorded in GM Financial Other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Recorded in GM Financial Other liabilities.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Notional has been translated from Canadian Dollars to U.S. Dollars at the March 31, 2011 and December 31, 2010 rates.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Risk Related Contingent Features</w:t>
      </w:r>
    </w:p>
    <w:p>
      <w:pPr>
        <w:spacing w:after="0" w:line="171" w:lineRule="exact"/>
        <w:rPr>
          <w:sz w:val="20"/>
          <w:szCs w:val="20"/>
          <w:color w:val="auto"/>
        </w:rPr>
      </w:pPr>
    </w:p>
    <w:p>
      <w:pPr>
        <w:jc w:val="both"/>
        <w:ind w:right="520" w:firstLine="228"/>
        <w:spacing w:after="0" w:line="259" w:lineRule="auto"/>
        <w:rPr>
          <w:sz w:val="20"/>
          <w:szCs w:val="20"/>
          <w:color w:val="auto"/>
        </w:rPr>
      </w:pPr>
      <w:r>
        <w:rPr>
          <w:rFonts w:ascii="Arial" w:cs="Arial" w:eastAsia="Arial" w:hAnsi="Arial"/>
          <w:sz w:val="18"/>
          <w:szCs w:val="18"/>
          <w:color w:val="auto"/>
        </w:rPr>
        <w:t>Under the terms of the above derivative financial instruments, GM Financial is required to pledge certain funds to be held in restricted cash accounts as collateral for the outstanding derivative transactions. At March 31, 2011 and December 31, 2010 these restricted cash accounts totaled $37 million and $33 million and are included in GM Financial Restricted cash.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ind w:left="220"/>
              <w:spacing w:after="0"/>
              <w:rPr>
                <w:sz w:val="20"/>
                <w:szCs w:val="20"/>
                <w:color w:val="auto"/>
              </w:rPr>
            </w:pPr>
            <w:r>
              <w:rPr>
                <w:rFonts w:ascii="Arial" w:cs="Arial" w:eastAsia="Arial" w:hAnsi="Arial"/>
                <w:sz w:val="14"/>
                <w:szCs w:val="14"/>
                <w:b w:val="1"/>
                <w:bCs w:val="1"/>
                <w:color w:val="auto"/>
                <w:w w:val="90"/>
              </w:rPr>
              <w:t>March 31, 2011</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6"/>
              </w:rPr>
              <w:t>December 31, 2010</w:t>
            </w:r>
          </w:p>
        </w:tc>
      </w:tr>
      <w:tr>
        <w:trPr>
          <w:trHeight w:val="129"/>
        </w:trPr>
        <w:tc>
          <w:tcPr>
            <w:tcW w:w="6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Maximum</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Maximum</w:t>
            </w:r>
          </w:p>
        </w:tc>
        <w:tc>
          <w:tcPr>
            <w:tcW w:w="140" w:type="dxa"/>
            <w:vAlign w:val="bottom"/>
          </w:tcPr>
          <w:p>
            <w:pPr>
              <w:spacing w:after="0"/>
              <w:rPr>
                <w:sz w:val="11"/>
                <w:szCs w:val="11"/>
                <w:color w:val="auto"/>
              </w:rPr>
            </w:pPr>
          </w:p>
        </w:tc>
      </w:tr>
      <w:tr>
        <w:trPr>
          <w:trHeight w:val="149"/>
        </w:trPr>
        <w:tc>
          <w:tcPr>
            <w:tcW w:w="6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Liability</w:t>
            </w:r>
          </w:p>
        </w:tc>
        <w:tc>
          <w:tcPr>
            <w:tcW w:w="640" w:type="dxa"/>
            <w:vAlign w:val="bottom"/>
          </w:tcPr>
          <w:p>
            <w:pPr>
              <w:spacing w:after="0"/>
              <w:rPr>
                <w:sz w:val="12"/>
                <w:szCs w:val="12"/>
                <w:color w:val="auto"/>
              </w:rPr>
            </w:pPr>
          </w:p>
        </w:tc>
        <w:tc>
          <w:tcPr>
            <w:tcW w:w="9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Liability</w:t>
            </w:r>
          </w:p>
        </w:tc>
        <w:tc>
          <w:tcPr>
            <w:tcW w:w="320" w:type="dxa"/>
            <w:vAlign w:val="bottom"/>
          </w:tcPr>
          <w:p>
            <w:pPr>
              <w:spacing w:after="0"/>
              <w:rPr>
                <w:sz w:val="12"/>
                <w:szCs w:val="12"/>
                <w:color w:val="auto"/>
              </w:rPr>
            </w:pPr>
          </w:p>
        </w:tc>
        <w:tc>
          <w:tcPr>
            <w:tcW w:w="122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8"/>
              </w:rPr>
              <w:t>Liability</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Liability</w:t>
            </w:r>
          </w:p>
        </w:tc>
      </w:tr>
      <w:tr>
        <w:trPr>
          <w:trHeight w:val="161"/>
        </w:trPr>
        <w:tc>
          <w:tcPr>
            <w:tcW w:w="6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Recorded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Recorded</w:t>
            </w:r>
          </w:p>
        </w:tc>
        <w:tc>
          <w:tcPr>
            <w:tcW w:w="160" w:type="dxa"/>
            <w:vAlign w:val="bottom"/>
          </w:tcPr>
          <w:p>
            <w:pPr>
              <w:spacing w:after="0"/>
              <w:rPr>
                <w:sz w:val="14"/>
                <w:szCs w:val="14"/>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Guarantees (b)</w:t>
            </w:r>
          </w:p>
        </w:tc>
        <w:tc>
          <w:tcPr>
            <w:tcW w:w="9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Operating leases</w:t>
            </w: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Ally Financial commercial loans</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Supplier commitments, third party commercial loans and other obligations</w:t>
            </w: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123</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product-related claims</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870</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originally reported as $63 and $442 in our 2010 Form 10-K. Refer to Note 2.</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as future undiscounted payments.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residual support and risk sharing programs and vehicle repurchase of obligations related to Ally Financial.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March 31, 2011</w:t>
            </w:r>
          </w:p>
        </w:tc>
        <w:tc>
          <w:tcPr>
            <w:tcW w:w="5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142"/>
        </w:trPr>
        <w:tc>
          <w:tcPr>
            <w:tcW w:w="816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Liability Recorded</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Liability Recorded</w:t>
            </w:r>
          </w:p>
        </w:tc>
        <w:tc>
          <w:tcPr>
            <w:tcW w:w="100" w:type="dxa"/>
            <w:vAlign w:val="bottom"/>
          </w:tcPr>
          <w:p>
            <w:pPr>
              <w:spacing w:after="0"/>
              <w:rPr>
                <w:sz w:val="12"/>
                <w:szCs w:val="12"/>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liability (a)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190</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Product liability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402</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litigation-related liabilities and tax administrative matters (b)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1,493</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$38 million and $45 million recorded in Accrued liabilities at March 31, 2011 and December 31, 2010, and the remainder was recorded in Other liabilities and deferred income taxes.</w:t>
      </w:r>
    </w:p>
    <w:p>
      <w:pPr>
        <w:spacing w:after="0" w:line="5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primarily of tax related litigation and administrative matters not recorded pursuant to ASC 740, “Income Taxes” (ASC 740) as well as various non-U.S. labor related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7"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We have provided guarantees related to the residual value of certain operating leases. These guarantees terminate in years ranging from 2011 to 2035. Certain leases contain renewal options.</w:t>
      </w:r>
    </w:p>
    <w:p>
      <w:pPr>
        <w:spacing w:after="0" w:line="132" w:lineRule="exact"/>
        <w:rPr>
          <w:sz w:val="20"/>
          <w:szCs w:val="20"/>
          <w:color w:val="auto"/>
        </w:rPr>
      </w:pPr>
    </w:p>
    <w:p>
      <w:pPr>
        <w:ind w:right="460" w:firstLine="228"/>
        <w:spacing w:after="0" w:line="306" w:lineRule="auto"/>
        <w:rPr>
          <w:sz w:val="20"/>
          <w:szCs w:val="20"/>
          <w:color w:val="auto"/>
        </w:rPr>
      </w:pPr>
      <w:r>
        <w:rPr>
          <w:rFonts w:ascii="Arial" w:cs="Arial" w:eastAsia="Arial" w:hAnsi="Arial"/>
          <w:sz w:val="16"/>
          <w:szCs w:val="16"/>
          <w:color w:val="auto"/>
        </w:rPr>
        <w:t>We provide payment guarantees on commercial loans made by Ally Financial and outstanding with certain third parties, such as dealers or rental car companies. These guarantees either expire in years ranging from 2012 to 2029 or are ongoing. We determined the value ascribed to the guarantees to be insignificant based on the credit worthiness of the third parties. Refer to Note 24 for additional information on guarantees that we provide to Ally Financial.</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have agreements with third parties that guarantee the fulfillment of certain suppliers’ commitments, third party commercial loans and other obligations.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guarantees expire in years ranging from 2011 to 2018 or upon the occurrence of specific events.</w:t>
      </w:r>
    </w:p>
    <w:p>
      <w:pPr>
        <w:spacing w:after="0" w:line="165"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In some instances, certain assets of the party whose debt or performance we have guaranteed may offset, to some degree, the cost of the guarantee. The offset of certain of our payables to guaranteed parties may also offset certain guarantees, if triggered. At March 31, 2011 any proceeds we would receive from collateral were insignificant.</w:t>
      </w:r>
    </w:p>
    <w:p>
      <w:pPr>
        <w:spacing w:after="0" w:line="140"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In connection with certain divestitures of assets or operating businesses, we have entered into agreements indemnifying certain buyers and other parties with respect to environmental conditions pertaining to real property we owned. We have provided guarantees with respect to benefits to be paid to former employees of divested businesses relating to pensions, postretirement healthcare and life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insurance. We periodically enter into agreements that incorporate indemnification provisions in the normal course of business. It is not possible to estimate our maximum exposure under these indemnifications or guarantees due to the conditional nature of these obligations. No amounts have been recorded for such obligations as they are not probable or estimable at this time, and the fair value of the guarantees at issuance was insignificant.</w:t>
      </w:r>
    </w:p>
    <w:p>
      <w:pPr>
        <w:spacing w:after="0" w:line="107"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addition to the guarantees and indemnifying agreements mentioned previously, we periodically enter into agreements that incorporate indemnification provisions in the normal course of business. Due to the nature of these agreements, the maximum potential amount of future undiscounted payments to which we may be exposed cannot be estimated. No amounts have been recorded for such indemnities as our obligations under them are not probable or estimable at this time, and the fair value of the guarantees at issuance was insignificant.</w:t>
      </w:r>
    </w:p>
    <w:p>
      <w:pPr>
        <w:spacing w:after="0" w:line="143" w:lineRule="exact"/>
        <w:rPr>
          <w:sz w:val="20"/>
          <w:szCs w:val="20"/>
          <w:color w:val="auto"/>
        </w:rPr>
      </w:pPr>
    </w:p>
    <w:p>
      <w:pPr>
        <w:ind w:right="780" w:firstLine="228"/>
        <w:spacing w:after="0" w:line="268"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32"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terminate in years ranging from 2020 to 2026.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pacing w:after="0" w:line="177" w:lineRule="exact"/>
        <w:rPr>
          <w:sz w:val="20"/>
          <w:szCs w:val="20"/>
          <w:color w:val="auto"/>
        </w:rPr>
      </w:pPr>
    </w:p>
    <w:p>
      <w:pPr>
        <w:ind w:right="140" w:firstLine="228"/>
        <w:spacing w:after="0" w:line="323" w:lineRule="auto"/>
        <w:rPr>
          <w:sz w:val="20"/>
          <w:szCs w:val="20"/>
          <w:color w:val="auto"/>
        </w:rPr>
      </w:pPr>
      <w:r>
        <w:rPr>
          <w:rFonts w:ascii="Arial" w:cs="Arial" w:eastAsia="Arial" w:hAnsi="Arial"/>
          <w:sz w:val="15"/>
          <w:szCs w:val="15"/>
          <w:color w:val="auto"/>
        </w:rPr>
        <w:t>Automotive operations, like operations of other companies engaged in similar businesses, are subject to a wide range of environmental protection laws, including laws regulating air emissions, water discharges, waste management and environmental remediation. We are in various stages of investigation or remediation for sites where contamination has been alleged. We are involved in a number of actions to remediate hazardous wastes as required by federal and state laws. Such statutes require that responsible parties fund remediation actions regardless of fault, legality of original disposal or ownership of a disposal site.</w:t>
      </w:r>
    </w:p>
    <w:p>
      <w:pPr>
        <w:spacing w:after="0" w:line="98"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The future effect of environmental matters, including potential liabilities, is often difficult to estimate. An environmental reserve is recorded when it is probable that a liability has been incurred and the amount of the liability can be reasonably estimated. This practice is followed whether the claims are asserted or unasserted. Liabilities have been recorded for the expected costs to be paid over the periods of remediation for the applicable sites, which typically range from 5 to 30 years.</w:t>
      </w:r>
    </w:p>
    <w:p>
      <w:pPr>
        <w:spacing w:after="0" w:line="143"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For many sites, the remediation costs and other damages for which we ultimately may be responsible may vary because of uncertainties with respect to factors such as the connection to the site or to materials there, the involvement of other potentially responsible parties, the application of laws and other standards or regulations, site conditions and the nature and scope of investigations, studies and remediation to be undertaken (including the technologies to be required and the extent, duration and success of remediation).</w:t>
      </w:r>
    </w:p>
    <w:p>
      <w:pPr>
        <w:spacing w:after="0" w:line="143"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The final outcome of environmental matters cannot be predicted with certainty at this time. Accordingly, it is possible that the resolution of one or more environmental matters could exceed the amounts accrued in an amount that could be material to our financial condition, results of operations and cash flows. At March 31, 2011 we estimate the remediation losses could range from $150 million to $370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177"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With respect to product liability claims involving our and Old GM’s products, it is believed that any judgment against us for actual damages will be adequately covered by our recorded accruals and, where applicable, excess insurance coverage. Although punitive damages are claimed in some of these lawsuits, and such claims are inherently unpredictable, accruals incorporate historic experience with these types of claims. Liabilities have been recorded for the expected cost of all known product liability claims plus an estimate of the expected cost for all product liability claims that have already been incurred and are expected to be filed in the future for which we are self-insured. These amounts were recorded in Accrued liabilities.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In accordance with our assumption of dealer sales and service agreements, we indemnify dealers for certain product liability related claims. Our experience related to dealer indemnification obligations where we are not a party arising from incidents prior to July 10, 2009 is limited. We monitor actual claims experience for consistency with this estimate and make periodic adjustments as appropriate. Since July 10, 2009, the volume of product liability claims against us has been less than projected. In addition, as of this time due to the relatively short period for which we have been directly responsible for such claims, we have fewer pending matters than Old GM had in the past and than we expect in the future. Based on both management judgments concerning the projected number and value of both dealer indemnification obligations and product liability claims against us, we have estimated the associated liability. We expect our product liability reserve to rise in future periods as new claims arise from incidents subsequent to July 9, 2009.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 and Tax Administrative Matters</w:t>
      </w:r>
    </w:p>
    <w:p>
      <w:pPr>
        <w:spacing w:after="0" w:line="177" w:lineRule="exact"/>
        <w:rPr>
          <w:sz w:val="20"/>
          <w:szCs w:val="20"/>
          <w:color w:val="auto"/>
        </w:rPr>
      </w:pPr>
    </w:p>
    <w:p>
      <w:pPr>
        <w:jc w:val="both"/>
        <w:ind w:right="340" w:firstLine="228"/>
        <w:spacing w:after="0" w:line="335" w:lineRule="auto"/>
        <w:rPr>
          <w:sz w:val="20"/>
          <w:szCs w:val="20"/>
          <w:color w:val="auto"/>
        </w:rPr>
      </w:pPr>
      <w:r>
        <w:rPr>
          <w:rFonts w:ascii="Arial" w:cs="Arial" w:eastAsia="Arial" w:hAnsi="Arial"/>
          <w:sz w:val="15"/>
          <w:szCs w:val="15"/>
          <w:color w:val="auto"/>
        </w:rPr>
        <w:t>Various legal actions, governmental investigations, claims and proceedings are pending against us including matters arising out of alleged product defects, including asbestos-related claims; employment-related matters; governmental regulations relating to safety, emissions, and fuel economy; product warranties; financial services; dealer, supplier and other contractual relationships; tax-related matters not recorded pursuant to ASC 740 and environmental matters.</w:t>
      </w:r>
    </w:p>
    <w:p>
      <w:pPr>
        <w:spacing w:after="0" w:line="88"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With regard to the litigation matters discussed in the previous paragraph, reserves have been established for matters in which it is believed that losses are probable and can be reasonably estimated, the majority of which are associated with tax-related matters not recorded pursuant to ASC 740 as well as various non-U.S. labor-related matters. Tax related matters not recorded pursuant to ASC 740 (indirect tax-related matters) are items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such escrow deposits may range from $590 million to $780 million. Some of the matters may involve compensatory, punitive, or other treble damage claims, environmental remediation programs, or sanctions, that if granted, could require us to pay damages or make other expenditures in amounts that could not be reasonably estimated at March 31, 2011. We believe that appropriate accruals have been established for such matters based on information currently available. Reserves for litigation losses are recorded in Accrued liabilities and Other liabilities and deferred income taxes. These accrued reserves represent the best estimate of amounts believed to be our liability in a range of expected losses. Litigation is inherently unpredictable, however,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21"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Commencing on or about September 29, 2010, current and former hourly employees of GM Korea, our majority-owned affiliate in the Republic of Korea, filed six separate group actions in the Incheon District Court in Incheon, Korea. The cases allege that GM Korea failed to include certain allowances in its calculation of Ordinary Wages due under the Presidential Decree of the Korean Labor Standards Act. Similar cases have been brought against other large employers in the Republic of Korea. GM Korea’s accrual balance at March 31, 2011 was 122 billion Korean Won (equivalent to $110 million) in connection with these cases. At September 30, 2010 GM Korea initially recorded the accrual (70% of which was recorded in Net income attributable to stockholders, based on our ownership interest in GM Korea at that time). The current estimate of the value of plaintiffs’ claim, if allowed in full, exceeds the accrual by 447 billion Korean Won (equivalent to $404 million). GM Korea believes the claims in excess of the accrual are without merit but, given the inherent uncertainties of the litigation process and further uncertainties arising because this litigation is at its earliest stages, this amount represents the high end of the range of reasonably possible liability exposure. Both the scope of claims asserted and GM Korea’s assessment of any or all of individual claim elements may change. This accrual is included in the reserves for non-U.S. labor-related matters.</w:t>
      </w:r>
    </w:p>
    <w:p>
      <w:pPr>
        <w:spacing w:after="0" w:line="123"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On February 12, 2010 a claim was filed in the Ontario Superior Court of Justice against General Motors of Canada Limited (GMCL) on behalf of a purported class of over 200 former Canadian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with their exit from the GMCL Canadian dealer network and to facilitate winding down their operations in an orderly fashion by December 31, 2009 or such other date as GMCL approved but no later than upon the expiration of the Plaintiff Dealers’ Dealer Sales and Service Agreements (DSSAs) on October 31, 2010. The Plaintiff Dealers allege that the DSSAs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CAD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GMCL has sought permission to appeal the class certification decision and is vigorously defending the Plaintiff Dealer claims. At this juncture, the prospects for liability are uncertain, but because liability is not deemed probable, we have no accrual relating to this litigation. In addition, we cannot estimate the range of reasonably possible loss in the event of liability, as the case presents a variety of different legal theories, none of which GMCL believes are valid, on behalf of a large number of Plaintiff Dealers, each of which presents substantial differences in underlying facts and circumstances which GMCL believes should affect both potential liability and recoverable damages, if any, on an individual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Related to Contingently Issuable Shares</w:t>
      </w:r>
    </w:p>
    <w:p>
      <w:pPr>
        <w:spacing w:after="0" w:line="177" w:lineRule="exact"/>
        <w:rPr>
          <w:sz w:val="20"/>
          <w:szCs w:val="20"/>
          <w:color w:val="auto"/>
        </w:rPr>
      </w:pPr>
    </w:p>
    <w:p>
      <w:pPr>
        <w:jc w:val="both"/>
        <w:ind w:firstLine="228"/>
        <w:spacing w:after="0" w:line="303" w:lineRule="auto"/>
        <w:rPr>
          <w:sz w:val="20"/>
          <w:szCs w:val="20"/>
          <w:color w:val="auto"/>
        </w:rPr>
      </w:pPr>
      <w:r>
        <w:rPr>
          <w:rFonts w:ascii="Arial" w:cs="Arial" w:eastAsia="Arial" w:hAnsi="Arial"/>
          <w:sz w:val="15"/>
          <w:szCs w:val="15"/>
          <w:color w:val="auto"/>
        </w:rPr>
        <w:t>Under the Amended and Restated Master Sale and Purchase Agreement, as amended between us and Old GM and certain of its direct and indirect subsidiaries, we are obligated to issue additional shares of our common stock to MLC (Adjustment Shares) in the event that allowed general unsecured claims against MLC, as estimated by the U.S. Bankruptcy Court for the Southern District of New York, exceed $35.0 billion. The maximum number of Adjustment Shares issuable is</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30 million shares (subject to adjustment to take into account stock dividends, stock splits and other transactions). The number of Adjustment Shares to be issued is calculated based on the extent to which estimated general unsecured claims exceed $35.0 billion with the maximum number of Adjustment Shares issued if estimated general unsecured claims total $42.0 billion or more. At March 31, 2011 and December 31, 2010 we concluded it was not probable that general unsecured claims would exceed $35.0 billion. We believe it is reasonably possible that general unsecured claims allowed against MLC will range between $32.5 billion and $36.0 billion.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GME Planned Spending Guarantee</w:t>
      </w:r>
    </w:p>
    <w:p>
      <w:pPr>
        <w:spacing w:after="0" w:line="177"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As part of our Opel/Vauxhall restructuring plan agreed to with European labor representatives, we have committed to achieving specified milestones associated with planned spending from 2011 to 2014 on certain product programs. If we fail to accomplish the requirements set out under the agreement, we will be required to pay certain amounts up to Euro 265 million for each of those years, and/or interest on those amounts, to our employees. Certain inventory with a carrying amount of $192 million and $193 million at March 31, 2011 and December 31, 2010 was pledged as collateral under the agreement. Management has the intent and believes it has the ability to meet the requirements under the agreement.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177" w:lineRule="exact"/>
        <w:rPr>
          <w:sz w:val="20"/>
          <w:szCs w:val="20"/>
          <w:color w:val="auto"/>
        </w:rPr>
      </w:pPr>
    </w:p>
    <w:p>
      <w:pPr>
        <w:ind w:right="320" w:firstLine="228"/>
        <w:spacing w:after="0" w:line="306" w:lineRule="auto"/>
        <w:rPr>
          <w:sz w:val="20"/>
          <w:szCs w:val="20"/>
          <w:color w:val="auto"/>
        </w:rPr>
      </w:pPr>
      <w:r>
        <w:rPr>
          <w:rFonts w:ascii="Arial" w:cs="Arial" w:eastAsia="Arial" w:hAnsi="Arial"/>
          <w:sz w:val="16"/>
          <w:szCs w:val="16"/>
          <w:color w:val="auto"/>
        </w:rPr>
        <w:t>For interim income tax reporting we estimate our annual effective tax rate and apply it to year-to-date ordinary income/loss. The tax effect of unusual or infrequently occurring items, including changes in judgment about valuation allowances and effects of changes in tax laws or rates, are reported in the interim period in which they occur. Tax jurisdictions with a projected or year-to-date loss for which a tax benefit cannot be realized are excluded</w:t>
      </w:r>
      <w:r>
        <w:rPr>
          <w:rFonts w:ascii="Arial" w:cs="Arial" w:eastAsia="Arial" w:hAnsi="Arial"/>
          <w:sz w:val="16"/>
          <w:szCs w:val="16"/>
          <w:i w:val="1"/>
          <w:iCs w:val="1"/>
          <w:color w:val="auto"/>
        </w:rPr>
        <w:t>.</w:t>
      </w:r>
    </w:p>
    <w:p>
      <w:pPr>
        <w:spacing w:after="0" w:line="107" w:lineRule="exact"/>
        <w:rPr>
          <w:sz w:val="20"/>
          <w:szCs w:val="20"/>
          <w:color w:val="auto"/>
        </w:rPr>
      </w:pPr>
    </w:p>
    <w:p>
      <w:pPr>
        <w:jc w:val="both"/>
        <w:ind w:right="360" w:firstLine="228"/>
        <w:spacing w:after="0" w:line="259" w:lineRule="auto"/>
        <w:rPr>
          <w:sz w:val="20"/>
          <w:szCs w:val="20"/>
          <w:color w:val="auto"/>
        </w:rPr>
      </w:pPr>
      <w:r>
        <w:rPr>
          <w:rFonts w:ascii="Arial" w:cs="Arial" w:eastAsia="Arial" w:hAnsi="Arial"/>
          <w:sz w:val="18"/>
          <w:szCs w:val="18"/>
          <w:color w:val="auto"/>
        </w:rPr>
        <w:t>In the three months ended March 31, 2011 income tax expense of $137 million primarily resulted from tax expense attributable to entities included in our effective tax rate calculation. The recorded effective tax rate is lower than the applicable statutory tax rate, primarily due to income earned in jurisdictions for which a full valuation allowance is recorded.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In the three months ended March 31, 2010 income tax expense of $509 million primarily resulted from tax expense attributable to entities included in our effective tax rate calculation and a taxable foreign currency exchange gain in Venezuela.</w:t>
      </w:r>
    </w:p>
    <w:p>
      <w:pPr>
        <w:spacing w:after="0" w:line="132" w:lineRule="exact"/>
        <w:rPr>
          <w:sz w:val="20"/>
          <w:szCs w:val="20"/>
          <w:color w:val="auto"/>
        </w:rPr>
      </w:pPr>
    </w:p>
    <w:p>
      <w:pPr>
        <w:jc w:val="both"/>
        <w:ind w:right="200" w:firstLine="228"/>
        <w:spacing w:after="0" w:line="298" w:lineRule="auto"/>
        <w:rPr>
          <w:sz w:val="20"/>
          <w:szCs w:val="20"/>
          <w:color w:val="auto"/>
        </w:rPr>
      </w:pPr>
      <w:r>
        <w:rPr>
          <w:rFonts w:ascii="Arial" w:cs="Arial" w:eastAsia="Arial" w:hAnsi="Arial"/>
          <w:sz w:val="16"/>
          <w:szCs w:val="16"/>
          <w:color w:val="auto"/>
        </w:rPr>
        <w:t>We file income tax returns in multiple jurisdictions and are subject to examination by taxing authorities throughout the world. We have open tax years from 2001 to 2010 with various significant tax jurisdictions. These open years contain matters that could be subject to differing interpretations of applicable tax laws and regulations as they relate to the amount, character, timing or inclusion of revenue and expenses or the sustainability of income tax credits for a given audit cycle. In addition the global nature of our operations creates a risk that transfer pricing disputes may arise.</w:t>
      </w:r>
    </w:p>
    <w:p>
      <w:pPr>
        <w:spacing w:after="0" w:line="113"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Based on an unfavorable Brazilian Supreme court decision rendered to an unrelated Brazilian taxpayer on a similar income tax matter, it is likely we will settle a contested income tax matter for $246 million in the next 12 months. This amount was fully reserved in a prior period.</w:t>
      </w:r>
    </w:p>
    <w:p>
      <w:pPr>
        <w:spacing w:after="0" w:line="132"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At March 31, 2011, aside from the Brazilian matter, it is not possible to reasonably estimate the expected change to the total amount of unrecognized tax benefits in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7"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A three-level valuation hierarchy is used for fair value measurements. The three-level valuation hierarchy is based upon observable and unobservable inputs. Observable inputs reflect market data obtained from independent sources, while unobservable inputs reflect market assumptions based on the best evidence available. These two types of inputs create the following fair value hierarchy:</w:t>
      </w:r>
    </w:p>
    <w:p>
      <w:pPr>
        <w:spacing w:after="0" w:line="181"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Level 1 — 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90" w:lineRule="exact"/>
        <w:rPr>
          <w:rFonts w:ascii="Arial" w:cs="Arial" w:eastAsia="Arial" w:hAnsi="Arial"/>
          <w:sz w:val="18"/>
          <w:szCs w:val="18"/>
          <w:color w:val="auto"/>
        </w:rPr>
      </w:pPr>
    </w:p>
    <w:p>
      <w:pPr>
        <w:ind w:left="660" w:right="120" w:hanging="43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Level 2 — 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whose significant inputs are observable; and</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Level 3 — Instruments whose significant inputs are </w:t>
      </w:r>
      <w:r>
        <w:rPr>
          <w:rFonts w:ascii="Arial" w:cs="Arial" w:eastAsia="Arial" w:hAnsi="Arial"/>
          <w:sz w:val="18"/>
          <w:szCs w:val="18"/>
          <w:i w:val="1"/>
          <w:iCs w:val="1"/>
          <w:color w:val="auto"/>
        </w:rPr>
        <w:t>unobservable.</w:t>
      </w:r>
    </w:p>
    <w:p>
      <w:pPr>
        <w:spacing w:after="0" w:line="171"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Financial instruments are transferred in and/or out of Level 3 at the beginning of the accounting period based upon the significance of the unobservable inputs to the overall fair value measurement. Level 3 financial instruments typically include, in addition to the unobservable inputs, observable components that are validated to external sources.</w:t>
      </w:r>
    </w:p>
    <w:p>
      <w:pPr>
        <w:spacing w:after="0" w:line="140" w:lineRule="exact"/>
        <w:rPr>
          <w:sz w:val="20"/>
          <w:szCs w:val="20"/>
          <w:color w:val="auto"/>
        </w:rPr>
      </w:pPr>
    </w:p>
    <w:p>
      <w:pPr>
        <w:ind w:right="140" w:firstLine="228"/>
        <w:spacing w:after="0" w:line="291" w:lineRule="auto"/>
        <w:rPr>
          <w:sz w:val="20"/>
          <w:szCs w:val="20"/>
          <w:color w:val="auto"/>
        </w:rPr>
      </w:pPr>
      <w:r>
        <w:rPr>
          <w:rFonts w:ascii="Arial" w:cs="Arial" w:eastAsia="Arial" w:hAnsi="Arial"/>
          <w:sz w:val="16"/>
          <w:szCs w:val="16"/>
          <w:color w:val="auto"/>
        </w:rPr>
        <w:t>Securities are classified in Level 1 when quoted prices in an active market for identical securities are available. If quoted market prices are not available, fair values of securities are determined using prices from a pricing vendor, pricing models, quoted prices of securities with similar characteristics or discounted cash flow models and are generally classified in Level 2. These prices represent non-binding quotes. U.S. government and agency securities, certificates of deposit, commercial paper and corporate debt securities are classified in Level 2. Our pricing vendor utilizes industry-standard pricing models that consider various inputs, including benchmark yields, reported trades, broker/dealer quotes, issuer spreads and benchmark securities as well as other relevant economic measures. Securities are classified in Level 3 in certain cases where there are significant unobservable inputs to the valuation in the marketplace.</w:t>
      </w:r>
    </w:p>
    <w:p>
      <w:pPr>
        <w:spacing w:after="0" w:line="120"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We conduct an annual review of our pricing vendor. This review includes discussion and analysis of the inputs used by the pricing vendor to provide prices for the types of securities we hold. These inputs include interest rate yields, bid/ask quotes, prepayment speeds and prices for comparable securities. Based on our review we believe the prices received from our pricing vendor are a reliable representation of exit prices.</w:t>
      </w:r>
    </w:p>
    <w:p>
      <w:pPr>
        <w:spacing w:after="0" w:line="140"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All derivatives are recorded at fair value. Internal models are used to value a majority of derivatives. The models use as their basis readily observable market inputs, such as time value, forward interest rates, volatility factors and current and forward market prices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220"/>
        <w:spacing w:after="0" w:line="370" w:lineRule="auto"/>
        <w:rPr>
          <w:sz w:val="20"/>
          <w:szCs w:val="20"/>
          <w:color w:val="auto"/>
        </w:rPr>
      </w:pPr>
      <w:r>
        <w:rPr>
          <w:rFonts w:ascii="Arial" w:cs="Arial" w:eastAsia="Arial" w:hAnsi="Arial"/>
          <w:sz w:val="15"/>
          <w:szCs w:val="15"/>
          <w:color w:val="auto"/>
        </w:rPr>
        <w:t>for commodities and foreign currency exchange rates. Level 2 includes certain foreign currency derivatives, commodity derivatives, certain interest rate swaps, and warrants. Derivative contracts and other liabilities that are valued based upon models with significant unobservable market inputs are classified in Level 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financial instruments measured at fair value on a recurring basis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6"/>
              </w:rPr>
              <w:t>Fair Value Measurements on a Recurring Basis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4"/>
                <w:szCs w:val="14"/>
                <w:b w:val="1"/>
                <w:bCs w:val="1"/>
                <w:color w:val="auto"/>
                <w:w w:val="87"/>
              </w:rPr>
              <w:t>at March 31, 2011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8"/>
              </w:rPr>
              <w:t>Level 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88"/>
              </w:rPr>
              <w:t>Level 2</w:t>
            </w:r>
          </w:p>
        </w:tc>
        <w:tc>
          <w:tcPr>
            <w:tcW w:w="12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Cash equivalents (a)</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agency</w:t>
            </w:r>
          </w:p>
        </w:tc>
        <w:tc>
          <w:tcPr>
            <w:tcW w:w="2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Sovereign debt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1,961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Money market funds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4,633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Trading securities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Equity</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Available–for–sale securities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United States government and agency</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5,834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Sovereign debt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Corporate debt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(a)(b)</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United States government and agency</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Sovereign debt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Equity</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debt</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Derivatives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Commodity</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Foreign currency</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Embedded derivatives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gridSpan w:val="3"/>
            <w:vMerge w:val="continue"/>
          </w:tcPr>
          <w:p>
            <w:pPr>
              <w:spacing w:after="0"/>
              <w:rPr>
                <w:sz w:val="19"/>
                <w:szCs w:val="19"/>
                <w:color w:val="auto"/>
              </w:rPr>
            </w:pPr>
          </w:p>
        </w:tc>
        <w:tc>
          <w:tcPr>
            <w:tcW w:w="2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7,128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17,041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67</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 liabilities (c)</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2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Derivatives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Commodity</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Foreign currency</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time deposits, including those classified as restricted cash, have been excluded from this table.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assets are recorded in Other current assets and deferred income taxes and Other assets and deferred income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liabilities are recorded in Accrued liabilities and Other liabilities and deferred income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6"/>
              </w:rPr>
              <w:t>Fair Value Measurements on a Recurring Basis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w w:val="87"/>
              </w:rPr>
              <w:t>at December 31, 2010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8"/>
              </w:rPr>
              <w:t>Level 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88"/>
              </w:rPr>
              <w:t>Level 2</w:t>
            </w:r>
          </w:p>
        </w:tc>
        <w:tc>
          <w:tcPr>
            <w:tcW w:w="12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Cash equivalents (a)</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agency</w:t>
            </w:r>
          </w:p>
        </w:tc>
        <w:tc>
          <w:tcPr>
            <w:tcW w:w="2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Sovereign debt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2,705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Money market funds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3,807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Trading securities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Equity</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Available–for–sale securities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United States government and agency</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Sovereign debt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Corporate debt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(a)(b)</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United States government and agency</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Sovereign debt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Equity</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debt</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Derivatives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Commodity</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Foreign currency</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gridSpan w:val="3"/>
            <w:vMerge w:val="continue"/>
          </w:tcPr>
          <w:p>
            <w:pPr>
              <w:spacing w:after="0"/>
              <w:rPr>
                <w:sz w:val="19"/>
                <w:szCs w:val="19"/>
                <w:color w:val="auto"/>
              </w:rPr>
            </w:pPr>
          </w:p>
        </w:tc>
        <w:tc>
          <w:tcPr>
            <w:tcW w:w="2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5,215</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10</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 liabilities (c)</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2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Derivatives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Commodity</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Foreign currency</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time deposits, including those classified as restricted cash, have been excluded from this table.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assets are recorded in Other current assets and deferred income taxes and Other assets and deferred income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liabilities are recorded in Accrued liabilities and Other liabilities and deferred income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on a Recurring Basis using Level 3 Inputs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activity for financial instruments classified in Level 3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Level 3 Financial Assets and Liabilities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9"/>
              </w:rPr>
              <w:t>Foreign</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Currency</w:t>
            </w:r>
          </w:p>
        </w:tc>
        <w:tc>
          <w:tcPr>
            <w:tcW w:w="60" w:type="dxa"/>
            <w:vAlign w:val="bottom"/>
          </w:tcPr>
          <w:p>
            <w:pPr>
              <w:spacing w:after="0"/>
              <w:rPr>
                <w:sz w:val="12"/>
                <w:szCs w:val="12"/>
                <w:color w:val="auto"/>
              </w:rPr>
            </w:pPr>
          </w:p>
        </w:tc>
        <w:tc>
          <w:tcPr>
            <w:tcW w:w="11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Embedded</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ind w:left="22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Total Net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Derivatives (a)</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Derivatives (a)</w:t>
            </w:r>
          </w:p>
        </w:tc>
        <w:tc>
          <w:tcPr>
            <w:tcW w:w="3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Options (b)</w:t>
            </w:r>
          </w:p>
        </w:tc>
        <w:tc>
          <w:tcPr>
            <w:tcW w:w="580" w:type="dxa"/>
            <w:vAlign w:val="bottom"/>
          </w:tcPr>
          <w:p>
            <w:pPr>
              <w:spacing w:after="0"/>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(c)</w:t>
            </w:r>
          </w:p>
        </w:tc>
        <w:tc>
          <w:tcPr>
            <w:tcW w:w="6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w:t>
            </w:r>
          </w:p>
        </w:tc>
        <w:tc>
          <w:tcPr>
            <w:tcW w:w="800" w:type="dxa"/>
            <w:vAlign w:val="bottom"/>
            <w:tcBorders>
              <w:lef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Transfer in and/or out of Level 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realized/unrealized gains (losses)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Included in 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(53)</w:t>
            </w:r>
          </w:p>
        </w:tc>
        <w:tc>
          <w:tcPr>
            <w:tcW w:w="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Purchases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Issuances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Balance at March 31, 2011</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(77)</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Amount of total gains and (losses) in the period included in</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tcBorders>
              <w:left w:val="single" w:sz="8" w:color="CCEEFF"/>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earnings attributable to the change in unrealized gains or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(losses) relating to assets/liabilities still held at the reporting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date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lef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Level 3 Financial Assets and Liabilities</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tcPr>
          <w:p>
            <w:pPr>
              <w:jc w:val="center"/>
              <w:ind w:right="820"/>
              <w:spacing w:after="0" w:line="129" w:lineRule="exact"/>
              <w:rPr>
                <w:sz w:val="20"/>
                <w:szCs w:val="20"/>
                <w:color w:val="auto"/>
              </w:rPr>
            </w:pPr>
            <w:r>
              <w:rPr>
                <w:rFonts w:ascii="Arial" w:cs="Arial" w:eastAsia="Arial" w:hAnsi="Arial"/>
                <w:sz w:val="14"/>
                <w:szCs w:val="14"/>
                <w:b w:val="1"/>
                <w:bCs w:val="1"/>
                <w:color w:val="auto"/>
                <w:w w:val="85"/>
              </w:rPr>
              <w:t>Foreign</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Currency</w:t>
            </w:r>
          </w:p>
        </w:tc>
        <w:tc>
          <w:tcPr>
            <w:tcW w:w="60" w:type="dxa"/>
            <w:vAlign w:val="bottom"/>
          </w:tcPr>
          <w:p>
            <w:pPr>
              <w:spacing w:after="0"/>
              <w:rPr>
                <w:sz w:val="12"/>
                <w:szCs w:val="12"/>
                <w:color w:val="auto"/>
              </w:rPr>
            </w:pPr>
          </w:p>
        </w:tc>
        <w:tc>
          <w:tcPr>
            <w:tcW w:w="11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2"/>
              </w:rPr>
              <w:t>Embedded</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Derivatives (a)</w:t>
            </w:r>
          </w:p>
        </w:tc>
        <w:tc>
          <w:tcPr>
            <w:tcW w:w="640" w:type="dxa"/>
            <w:vAlign w:val="bottom"/>
            <w:gridSpan w:val="2"/>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Derivatives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74"/>
              </w:rPr>
              <w:t>Options (b)</w:t>
            </w:r>
          </w:p>
        </w:tc>
        <w:tc>
          <w:tcPr>
            <w:tcW w:w="66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Securities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w:t>
            </w:r>
          </w:p>
        </w:tc>
        <w:tc>
          <w:tcPr>
            <w:tcW w:w="64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Liabilities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800" w:type="dxa"/>
            <w:vAlign w:val="bottom"/>
            <w:tcBorders>
              <w:lef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Transfer in and/or out of Level 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realized/unrealized gains (losses)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Included in 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6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Purchases, issuances, and settlements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800" w:type="dxa"/>
            <w:vAlign w:val="bottom"/>
            <w:tcBorders>
              <w:lef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Amount of total gains and (losses) in the period included 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earnings attributable to the change in unrealized gains 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(losses) relating to assets/liabilities still held at the reporting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date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Realized and unrealized gains (losses) on foreign currency and embedded derivatives are recorded in Interest income and other non-operating income, net and foreign currency translation gains (losses) are recorded in Accumulated other comprehensive income.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Realized and unrealized gains (losses) on options are recorded in Interest income and other non-operating income, net.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Realized gains (losses) and other than temporary impairments on marketable securities are recorded in Interest income and other non-operating income, net.</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Short-Term and Long-Term Debt</w:t>
      </w:r>
    </w:p>
    <w:p>
      <w:pPr>
        <w:spacing w:after="0" w:line="171"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We determined the fair value of debt based on a discounted cash flow model which used benchmark yield curves plus a spread that represented the yields on traded bonds of companies with comparable credit ratings.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carrying amount and estimated fair values of short-term and long-term debt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March 31, 2011</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2010</w:t>
            </w:r>
          </w:p>
        </w:tc>
      </w:tr>
      <w:tr>
        <w:trPr>
          <w:trHeight w:val="20"/>
        </w:trPr>
        <w:tc>
          <w:tcPr>
            <w:tcW w:w="4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w:t>
            </w:r>
          </w:p>
        </w:tc>
        <w:tc>
          <w:tcPr>
            <w:tcW w:w="3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5,011</w:t>
            </w: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00" w:type="dxa"/>
            <w:vAlign w:val="bottom"/>
            <w:shd w:val="clear" w:color="auto" w:fill="CCEEFF"/>
          </w:tcPr>
          <w:p>
            <w:pPr>
              <w:spacing w:after="0"/>
              <w:rPr>
                <w:sz w:val="18"/>
                <w:szCs w:val="18"/>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Fair value (a)</w:t>
            </w:r>
          </w:p>
        </w:tc>
        <w:tc>
          <w:tcPr>
            <w:tcW w:w="3800" w:type="dxa"/>
            <w:vAlign w:val="bottom"/>
            <w:gridSpan w:val="2"/>
          </w:tcPr>
          <w:p>
            <w:pPr>
              <w:ind w:left="3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5,213</w:t>
            </w:r>
          </w:p>
        </w:tc>
        <w:tc>
          <w:tcPr>
            <w:tcW w:w="84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Accounts and notes receivable, net and Accounts payable (principally trade) are not included because the carrying amount approximates fair value due to their short-term nature.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Ally Financial Common and Preferred Stock</w:t>
      </w:r>
    </w:p>
    <w:p>
      <w:pPr>
        <w:spacing w:after="0" w:line="171" w:lineRule="exact"/>
        <w:rPr>
          <w:sz w:val="20"/>
          <w:szCs w:val="20"/>
          <w:color w:val="auto"/>
        </w:rPr>
      </w:pPr>
    </w:p>
    <w:p>
      <w:pPr>
        <w:jc w:val="both"/>
        <w:ind w:right="600" w:firstLine="228"/>
        <w:spacing w:after="0" w:line="256" w:lineRule="auto"/>
        <w:rPr>
          <w:sz w:val="20"/>
          <w:szCs w:val="20"/>
          <w:color w:val="auto"/>
        </w:rPr>
      </w:pPr>
      <w:r>
        <w:rPr>
          <w:rFonts w:ascii="Arial" w:cs="Arial" w:eastAsia="Arial" w:hAnsi="Arial"/>
          <w:sz w:val="18"/>
          <w:szCs w:val="18"/>
          <w:color w:val="auto"/>
        </w:rPr>
        <w:t>We estimated the fair value of Ally Financial common stock using a market approach that applies the average price to tangible book value multiples of comparable companies to the consolidated Ally Financial tangible book value. The significant inputs used in our fair value analysis were Ally Financial’s March 31, 2011 and December 31, 2010 financial statements, as well as the financial statements and price to tangible book value multiples of comparable companies in the banking and finance industry.</w:t>
      </w:r>
    </w:p>
    <w:p>
      <w:pPr>
        <w:spacing w:after="0" w:line="143"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We calculated the fair value of our investment in Ally Financial preferred stock as of December 31, 2010 using a discounted cash flow approach. The present value of the cash flows was determined using assumptions regarding the expected receipt of dividends on Ally Financial preferred stock and the expected call date.</w:t>
      </w:r>
    </w:p>
    <w:p>
      <w:pPr>
        <w:spacing w:after="0" w:line="140"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On March 25, 2011 our investment in Ally Financial preferred stock was sold through a public offering for net proceeds of $1.0 billion. The gain of $0.3 billion related to the sale was recorded in Interest income and other non-operating income, net.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carrying amount and estimated fair value of Ally Financial common and preferred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2011</w:t>
            </w:r>
          </w:p>
        </w:tc>
        <w:tc>
          <w:tcPr>
            <w:tcW w:w="4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35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Carrying amount (a)</w:t>
            </w:r>
          </w:p>
        </w:tc>
        <w:tc>
          <w:tcPr>
            <w:tcW w:w="3800" w:type="dxa"/>
            <w:vAlign w:val="bottom"/>
            <w:gridSpan w:val="2"/>
          </w:tcPr>
          <w:p>
            <w:pPr>
              <w:ind w:left="3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959</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80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1,016</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r>
      <w:tr>
        <w:trPr>
          <w:trHeight w:val="322"/>
        </w:trPr>
        <w:tc>
          <w:tcPr>
            <w:tcW w:w="4940" w:type="dxa"/>
            <w:vAlign w:val="bottom"/>
          </w:tcPr>
          <w:p>
            <w:pPr>
              <w:spacing w:after="0"/>
              <w:rPr>
                <w:sz w:val="20"/>
                <w:szCs w:val="20"/>
                <w:color w:val="auto"/>
              </w:rPr>
            </w:pPr>
            <w:r>
              <w:rPr>
                <w:rFonts w:ascii="Arial" w:cs="Arial" w:eastAsia="Arial" w:hAnsi="Arial"/>
                <w:sz w:val="18"/>
                <w:szCs w:val="18"/>
                <w:b w:val="1"/>
                <w:bCs w:val="1"/>
                <w:color w:val="auto"/>
              </w:rPr>
              <w:t>Preferred stock</w:t>
            </w:r>
          </w:p>
        </w:tc>
        <w:tc>
          <w:tcPr>
            <w:tcW w:w="3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3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Fair value</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50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Investment in Ally Financial common stock at March 31, 2011 and December 31, 2010 includes a 4.0% direct ownership and a 5.9% ownership held indirectly through an independent trust. In May 2011 we initiated the process to transfer the shares we held directly to the independent trust.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financial instruments measured at fair value on a recurring basis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gridSpan w:val="8"/>
          </w:tcPr>
          <w:p>
            <w:pPr>
              <w:jc w:val="center"/>
              <w:spacing w:after="0"/>
              <w:rPr>
                <w:sz w:val="20"/>
                <w:szCs w:val="20"/>
                <w:color w:val="auto"/>
              </w:rPr>
            </w:pPr>
            <w:r>
              <w:rPr>
                <w:rFonts w:ascii="Arial" w:cs="Arial" w:eastAsia="Arial" w:hAnsi="Arial"/>
                <w:sz w:val="14"/>
                <w:szCs w:val="14"/>
                <w:b w:val="1"/>
                <w:bCs w:val="1"/>
                <w:color w:val="auto"/>
                <w:w w:val="86"/>
              </w:rPr>
              <w:t>Fair Value Measurements on a Recurring Basis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center"/>
              <w:ind w:right="680"/>
              <w:spacing w:after="0"/>
              <w:rPr>
                <w:sz w:val="20"/>
                <w:szCs w:val="20"/>
                <w:color w:val="auto"/>
              </w:rPr>
            </w:pPr>
            <w:r>
              <w:rPr>
                <w:rFonts w:ascii="Arial" w:cs="Arial" w:eastAsia="Arial" w:hAnsi="Arial"/>
                <w:sz w:val="14"/>
                <w:szCs w:val="14"/>
                <w:b w:val="1"/>
                <w:bCs w:val="1"/>
                <w:color w:val="auto"/>
                <w:w w:val="89"/>
              </w:rPr>
              <w:t>at March 31, 2011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Level 1</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Cash equivalents (a)</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Restricted cash (a)</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rate swaps (b)</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Interest rate caps (b)</w:t>
            </w: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40" w:type="dxa"/>
            <w:vAlign w:val="bottom"/>
            <w:gridSpan w:val="3"/>
            <w:vMerge w:val="continue"/>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Interest rate swaps (b)</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rate caps (b)</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Foreign currency contracts</w:t>
            </w: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gridSpan w:val="8"/>
          </w:tcPr>
          <w:p>
            <w:pPr>
              <w:jc w:val="center"/>
              <w:spacing w:after="0"/>
              <w:rPr>
                <w:sz w:val="20"/>
                <w:szCs w:val="20"/>
                <w:color w:val="auto"/>
              </w:rPr>
            </w:pPr>
            <w:r>
              <w:rPr>
                <w:rFonts w:ascii="Arial" w:cs="Arial" w:eastAsia="Arial" w:hAnsi="Arial"/>
                <w:sz w:val="14"/>
                <w:szCs w:val="14"/>
                <w:b w:val="1"/>
                <w:bCs w:val="1"/>
                <w:color w:val="auto"/>
                <w:w w:val="86"/>
              </w:rPr>
              <w:t>Fair Value Measurements on a Recurring Basis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center"/>
              <w:ind w:right="680"/>
              <w:spacing w:after="0"/>
              <w:rPr>
                <w:sz w:val="20"/>
                <w:szCs w:val="20"/>
                <w:color w:val="auto"/>
              </w:rPr>
            </w:pPr>
            <w:r>
              <w:rPr>
                <w:rFonts w:ascii="Arial" w:cs="Arial" w:eastAsia="Arial" w:hAnsi="Arial"/>
                <w:sz w:val="14"/>
                <w:szCs w:val="14"/>
                <w:b w:val="1"/>
                <w:bCs w:val="1"/>
                <w:color w:val="auto"/>
                <w:w w:val="87"/>
              </w:rPr>
              <w:t>at December 31, 2010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Level 1</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Cash equivalents (a)</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Restricted cash (a)</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rate swaps (b)</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Interest rate caps (b)</w:t>
            </w: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40" w:type="dxa"/>
            <w:vAlign w:val="bottom"/>
            <w:gridSpan w:val="3"/>
            <w:vMerge w:val="continue"/>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Interest rate swaps (b)</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47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rate caps (b)</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Foreign currency contracts</w:t>
            </w: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deposits and cash held in Guaranteed Investment Contracts have been excluded.</w:t>
      </w:r>
    </w:p>
    <w:p>
      <w:pPr>
        <w:spacing w:after="0" w:line="90" w:lineRule="exact"/>
        <w:rPr>
          <w:rFonts w:ascii="Arial" w:cs="Arial" w:eastAsia="Arial" w:hAnsi="Arial"/>
          <w:sz w:val="18"/>
          <w:szCs w:val="18"/>
          <w:color w:val="auto"/>
        </w:rPr>
      </w:pPr>
    </w:p>
    <w:p>
      <w:pPr>
        <w:ind w:left="460" w:right="420" w:hanging="452"/>
        <w:spacing w:after="0" w:line="33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fair value of interest rate swap and cap derivatives are based upon quoted market prices when available. If quoted prices are not available, the fair value is estimated by discounting future net cash flows expected to be settled using a current risk adjusted rate.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Transfers In and/or Out of Level 3</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activity for financial instruments classified in Level 3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78"/>
              </w:rPr>
              <w:t>Assets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Liabilities</w:t>
            </w:r>
          </w:p>
        </w:tc>
        <w:tc>
          <w:tcPr>
            <w:tcW w:w="0" w:type="dxa"/>
            <w:vAlign w:val="bottom"/>
          </w:tcPr>
          <w:p>
            <w:pPr>
              <w:spacing w:after="0"/>
              <w:rPr>
                <w:sz w:val="1"/>
                <w:szCs w:val="1"/>
                <w:color w:val="auto"/>
              </w:rPr>
            </w:pPr>
          </w:p>
        </w:tc>
      </w:tr>
      <w:tr>
        <w:trPr>
          <w:trHeight w:val="129"/>
        </w:trPr>
        <w:tc>
          <w:tcPr>
            <w:tcW w:w="898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Swap</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Swap</w:t>
            </w:r>
          </w:p>
        </w:tc>
        <w:tc>
          <w:tcPr>
            <w:tcW w:w="0" w:type="dxa"/>
            <w:vAlign w:val="bottom"/>
          </w:tcPr>
          <w:p>
            <w:pPr>
              <w:spacing w:after="0"/>
              <w:rPr>
                <w:sz w:val="1"/>
                <w:szCs w:val="1"/>
                <w:color w:val="auto"/>
              </w:rPr>
            </w:pPr>
          </w:p>
        </w:tc>
      </w:tr>
      <w:tr>
        <w:trPr>
          <w:trHeight w:val="161"/>
        </w:trPr>
        <w:tc>
          <w:tcPr>
            <w:tcW w:w="898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Derivatives</w:t>
            </w:r>
          </w:p>
        </w:tc>
        <w:tc>
          <w:tcPr>
            <w:tcW w:w="44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Pr>
          <w:p>
            <w:pPr>
              <w:spacing w:after="0"/>
              <w:rPr>
                <w:sz w:val="18"/>
                <w:szCs w:val="18"/>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realized/unrealized gains (losses)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160" w:type="dxa"/>
            <w:vAlign w:val="bottom"/>
          </w:tcPr>
          <w:p>
            <w:pPr>
              <w:spacing w:after="0"/>
              <w:rPr>
                <w:sz w:val="18"/>
                <w:szCs w:val="18"/>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 (loss)</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18"/>
                <w:szCs w:val="18"/>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Issuances</w:t>
            </w:r>
          </w:p>
        </w:tc>
        <w:tc>
          <w:tcPr>
            <w:tcW w:w="160" w:type="dxa"/>
            <w:vAlign w:val="bottom"/>
          </w:tcPr>
          <w:p>
            <w:pPr>
              <w:spacing w:after="0"/>
              <w:rPr>
                <w:sz w:val="18"/>
                <w:szCs w:val="18"/>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Balance at March 31, 2011</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The following table summarizes estimated fair values, carrying amounts and various methods and assumptions used in valuing GM Financial’s financial instruments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March 31, 2011</w:t>
            </w:r>
          </w:p>
        </w:tc>
        <w:tc>
          <w:tcPr>
            <w:tcW w:w="100" w:type="dxa"/>
            <w:vAlign w:val="bottom"/>
          </w:tcPr>
          <w:p>
            <w:pPr>
              <w:spacing w:after="0"/>
              <w:rPr>
                <w:sz w:val="14"/>
                <w:szCs w:val="14"/>
                <w:color w:val="auto"/>
              </w:rPr>
            </w:pPr>
          </w:p>
        </w:tc>
        <w:tc>
          <w:tcPr>
            <w:tcW w:w="154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9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Fair</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Finance receivables, net (a)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8,276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8,197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Syndicated and lease warehouse facilities (b)</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Medium term note facility and bank funding facilities (c)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Securitization notes payable (c)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6,061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6,128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Senior notes and convertible senior notes (c)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fair value of the finance receivables is estimated based upon forecasted cash flows discounted using a pre-tax weighted-average cost of capital. The forecast includes factors such as prepayment, defaults, recoveries and fee income assumptions.</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syndicated and lease warehouse facilities have variable rates of interest and maturities of approximately one year. The carrying amount is considered to be a reasonable estimate of fair value.</w:t>
      </w:r>
    </w:p>
    <w:p>
      <w:pPr>
        <w:spacing w:after="0" w:line="50" w:lineRule="exact"/>
        <w:rPr>
          <w:rFonts w:ascii="Arial" w:cs="Arial" w:eastAsia="Arial" w:hAnsi="Arial"/>
          <w:sz w:val="18"/>
          <w:szCs w:val="18"/>
          <w:color w:val="auto"/>
        </w:rPr>
      </w:pPr>
    </w:p>
    <w:p>
      <w:pPr>
        <w:jc w:val="both"/>
        <w:ind w:left="460" w:right="4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fair values of the medium term note and bank funding facilities, securitization notes payable and senior notes and convertible senior notes are based on quoted market prices, when available. If quoted market prices are not available, the fair value is estimated by discounting future net cash flows expected to be settled using a current risk-adjusted rate.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Restructuring and Other Initiatives</w:t>
      </w:r>
    </w:p>
    <w:p>
      <w:pPr>
        <w:spacing w:after="0" w:line="177"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Related charges are recorded in Automotive cost of sales and Automotive selling, general and administrative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GM Financial did not execute any new restructuring initiatives in the three months ended March 31, 2011. Charges and payments for restructuring activities in the three months ended March 31, 2011 related to previously announced programs are not significant.</w:t>
      </w:r>
    </w:p>
    <w:p>
      <w:pPr>
        <w:spacing w:after="0" w:line="132" w:lineRule="exact"/>
        <w:rPr>
          <w:sz w:val="20"/>
          <w:szCs w:val="20"/>
          <w:color w:val="auto"/>
        </w:rPr>
      </w:pPr>
    </w:p>
    <w:p>
      <w:pPr>
        <w:jc w:val="center"/>
        <w:ind w:right="340"/>
        <w:spacing w:after="0" w:line="370" w:lineRule="auto"/>
        <w:rPr>
          <w:sz w:val="20"/>
          <w:szCs w:val="20"/>
          <w:color w:val="auto"/>
        </w:rPr>
      </w:pPr>
      <w:r>
        <w:rPr>
          <w:rFonts w:ascii="Arial" w:cs="Arial" w:eastAsia="Arial" w:hAnsi="Arial"/>
          <w:sz w:val="15"/>
          <w:szCs w:val="15"/>
          <w:color w:val="auto"/>
        </w:rPr>
        <w:t>The following table summarizes the reserves related to restructuring and other initiatives (excluding restructuring reserves related to dealer wind-down agreements) and charges by segment, including postemployment benefit reserves and charges in the three months ended March 31, 2011 (dollars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GMNA</w:t>
            </w:r>
          </w:p>
        </w:tc>
        <w:tc>
          <w:tcPr>
            <w:tcW w:w="4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GME</w:t>
            </w:r>
          </w:p>
        </w:tc>
        <w:tc>
          <w:tcPr>
            <w:tcW w:w="4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GMIO</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GMSA</w:t>
            </w:r>
          </w:p>
        </w:tc>
        <w:tc>
          <w:tcPr>
            <w:tcW w:w="960" w:type="dxa"/>
            <w:vAlign w:val="bottom"/>
            <w:gridSpan w:val="4"/>
          </w:tcPr>
          <w:p>
            <w:pPr>
              <w:ind w:left="180"/>
              <w:spacing w:after="0"/>
              <w:rPr>
                <w:sz w:val="20"/>
                <w:szCs w:val="20"/>
                <w:color w:val="auto"/>
              </w:rPr>
            </w:pPr>
            <w:r>
              <w:rPr>
                <w:rFonts w:ascii="Arial" w:cs="Arial" w:eastAsia="Arial" w:hAnsi="Arial"/>
                <w:sz w:val="14"/>
                <w:szCs w:val="14"/>
                <w:b w:val="1"/>
                <w:bCs w:val="1"/>
                <w:color w:val="auto"/>
                <w:w w:val="98"/>
              </w:rPr>
              <w:t>Automotive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2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$1,135</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$ 664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3240" w:type="dxa"/>
            <w:vAlign w:val="bottom"/>
            <w:gridSpan w:val="3"/>
          </w:tcPr>
          <w:p>
            <w:pPr>
              <w:jc w:val="right"/>
              <w:ind w:right="400"/>
              <w:spacing w:after="0"/>
              <w:rPr>
                <w:sz w:val="20"/>
                <w:szCs w:val="20"/>
                <w:color w:val="auto"/>
              </w:rPr>
            </w:pPr>
            <w:r>
              <w:rPr>
                <w:rFonts w:ascii="Arial" w:cs="Arial" w:eastAsia="Arial" w:hAnsi="Arial"/>
                <w:sz w:val="18"/>
                <w:szCs w:val="18"/>
                <w:color w:val="auto"/>
              </w:rPr>
              <w:t>26</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3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3240" w:type="dxa"/>
            <w:vAlign w:val="bottom"/>
            <w:gridSpan w:val="3"/>
          </w:tcPr>
          <w:p>
            <w:pPr>
              <w:jc w:val="right"/>
              <w:ind w:right="340"/>
              <w:spacing w:after="0"/>
              <w:rPr>
                <w:sz w:val="20"/>
                <w:szCs w:val="20"/>
                <w:color w:val="auto"/>
              </w:rPr>
            </w:pPr>
            <w:r>
              <w:rPr>
                <w:rFonts w:ascii="Arial" w:cs="Arial" w:eastAsia="Arial" w:hAnsi="Arial"/>
                <w:sz w:val="18"/>
                <w:szCs w:val="18"/>
                <w:color w:val="auto"/>
              </w:rPr>
              <w:t>(129)</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3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23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2011 (a)</w:t>
            </w:r>
          </w:p>
        </w:tc>
        <w:tc>
          <w:tcPr>
            <w:tcW w:w="2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1,062</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$ 550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remaining cash payments related to these restructuring reserves primarily relate to postemployment benefits to be paid.</w:t>
      </w:r>
    </w:p>
    <w:p>
      <w:pPr>
        <w:spacing w:after="0" w:line="171" w:lineRule="exact"/>
        <w:rPr>
          <w:sz w:val="20"/>
          <w:szCs w:val="20"/>
          <w:color w:val="auto"/>
        </w:rPr>
      </w:pPr>
    </w:p>
    <w:p>
      <w:pPr>
        <w:ind w:right="740" w:firstLine="228"/>
        <w:spacing w:after="0" w:line="332" w:lineRule="auto"/>
        <w:rPr>
          <w:sz w:val="20"/>
          <w:szCs w:val="20"/>
          <w:color w:val="auto"/>
        </w:rPr>
      </w:pPr>
      <w:r>
        <w:rPr>
          <w:rFonts w:ascii="Arial" w:cs="Arial" w:eastAsia="Arial" w:hAnsi="Arial"/>
          <w:sz w:val="16"/>
          <w:szCs w:val="16"/>
          <w:color w:val="auto"/>
        </w:rPr>
        <w:t>GMNA recorded charges, interest accretion and other and revisions to estimates that increased the reserves by $40 million in the three months ended March 31, 2011. This increase was primarily related to skilled trades hourly U.S. employees who participated in a special attrition program.</w:t>
      </w:r>
    </w:p>
    <w:p>
      <w:pPr>
        <w:spacing w:after="0" w:line="85"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GME recorded charges and interest accretion and other of $57 million for separation programs in the three months ended March 31, 2011 primarily related to previously announced programs in Germany.</w:t>
      </w:r>
    </w:p>
    <w:p>
      <w:pPr>
        <w:spacing w:after="0" w:line="132"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Restructuring and early retirement programs in Spain, the U.K. and Belgium were essentially completed in 2010 and we also initiated a program in Germany in 2010. These programs had a total cost of approximately $700 million and affected a total of 4,500 employees and included the closure of the Antwerp, Belgium facility. We expect to incur an additional $500 million, primarily in 2011 and 2012, to complete these programs, which will affect an additional 2,600 employees. Because these programs involve voluntary separations, no liabilities are recorded until offers to employees are accepted.</w:t>
      </w:r>
    </w:p>
    <w:p>
      <w:pPr>
        <w:spacing w:after="0" w:line="113" w:lineRule="exact"/>
        <w:rPr>
          <w:sz w:val="20"/>
          <w:szCs w:val="20"/>
          <w:color w:val="auto"/>
        </w:rPr>
      </w:pPr>
    </w:p>
    <w:p>
      <w:pPr>
        <w:jc w:val="center"/>
        <w:ind w:right="340"/>
        <w:spacing w:after="0" w:line="370" w:lineRule="auto"/>
        <w:rPr>
          <w:sz w:val="20"/>
          <w:szCs w:val="20"/>
          <w:color w:val="auto"/>
        </w:rPr>
      </w:pPr>
      <w:r>
        <w:rPr>
          <w:rFonts w:ascii="Arial" w:cs="Arial" w:eastAsia="Arial" w:hAnsi="Arial"/>
          <w:sz w:val="15"/>
          <w:szCs w:val="15"/>
          <w:color w:val="auto"/>
        </w:rPr>
        <w:t>The following table summarizes the reserves related to restructuring and other initiatives (excluding restructuring reserves related to dealer wind-down agreements) and charges by segment, including postemployment benefit reserves and charges in the three months ended March 31, 2010 (dollars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GMNA</w:t>
            </w:r>
          </w:p>
        </w:tc>
        <w:tc>
          <w:tcPr>
            <w:tcW w:w="40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GME</w:t>
            </w:r>
          </w:p>
        </w:tc>
        <w:tc>
          <w:tcPr>
            <w:tcW w:w="4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GMIO</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GMSA</w:t>
            </w:r>
          </w:p>
        </w:tc>
        <w:tc>
          <w:tcPr>
            <w:tcW w:w="960" w:type="dxa"/>
            <w:vAlign w:val="bottom"/>
            <w:gridSpan w:val="4"/>
          </w:tcPr>
          <w:p>
            <w:pPr>
              <w:ind w:left="180"/>
              <w:spacing w:after="0"/>
              <w:rPr>
                <w:sz w:val="20"/>
                <w:szCs w:val="20"/>
                <w:color w:val="auto"/>
              </w:rPr>
            </w:pPr>
            <w:r>
              <w:rPr>
                <w:rFonts w:ascii="Arial" w:cs="Arial" w:eastAsia="Arial" w:hAnsi="Arial"/>
                <w:sz w:val="14"/>
                <w:szCs w:val="14"/>
                <w:b w:val="1"/>
                <w:bCs w:val="1"/>
                <w:color w:val="auto"/>
                <w:w w:val="98"/>
              </w:rPr>
              <w:t>Automotive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3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$2,088</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$451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3280" w:type="dxa"/>
            <w:vAlign w:val="bottom"/>
            <w:gridSpan w:val="3"/>
          </w:tcPr>
          <w:p>
            <w:pPr>
              <w:jc w:val="right"/>
              <w:ind w:right="400"/>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3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3280" w:type="dxa"/>
            <w:vAlign w:val="bottom"/>
            <w:gridSpan w:val="3"/>
          </w:tcPr>
          <w:p>
            <w:pPr>
              <w:jc w:val="right"/>
              <w:ind w:right="340"/>
              <w:spacing w:after="0"/>
              <w:rPr>
                <w:sz w:val="20"/>
                <w:szCs w:val="20"/>
                <w:color w:val="auto"/>
              </w:rPr>
            </w:pPr>
            <w:r>
              <w:rPr>
                <w:rFonts w:ascii="Arial" w:cs="Arial" w:eastAsia="Arial" w:hAnsi="Arial"/>
                <w:sz w:val="18"/>
                <w:szCs w:val="18"/>
                <w:color w:val="auto"/>
              </w:rPr>
              <w:t>(243)</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3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(104)</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2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2010 (a)</w:t>
            </w:r>
          </w:p>
        </w:tc>
        <w:tc>
          <w:tcPr>
            <w:tcW w:w="3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1,782</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686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2300" w:hanging="5612"/>
        <w:spacing w:after="0" w:line="440" w:lineRule="auto"/>
        <w:tabs>
          <w:tab w:leader="none" w:pos="4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remaining cash payments related to these restructuring reserves primarily relate to postemployment benefits to be paid. 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GMNA recorded charges, interest accretion and other and revisions to estimates that decreased the reserves by $87 million in the three months ended</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March 31, 2010. This decrease was primarily due to increased production capacity utilization, which resulted in the recall of idled employees to fill added shifts at multiple U.S. production sites.</w:t>
      </w:r>
    </w:p>
    <w:p>
      <w:pPr>
        <w:spacing w:after="0" w:line="138"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GME recorded charges and interest accretion and other of $305 million in the three months end March 31, 2010 for separation programs primarily related to the following initiatives:</w:t>
      </w:r>
    </w:p>
    <w:p>
      <w:pPr>
        <w:spacing w:after="0" w:line="172" w:lineRule="exact"/>
        <w:rPr>
          <w:sz w:val="20"/>
          <w:szCs w:val="20"/>
          <w:color w:val="auto"/>
        </w:rPr>
      </w:pPr>
    </w:p>
    <w:p>
      <w:pPr>
        <w:ind w:left="660" w:right="320" w:hanging="43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Separation charges of $184 million as the legal minimum for a separation plan related to the closure of the Antwerp, Belgium facility which affected 2,600 employees.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Separation charges of $72 million related to separation/layoff plans and an early retirement plan in Spain which affected 1,200 employees.</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Separation charges of $16 million and interest accretion and other of $29 million related to previously announced programs in Germany.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 Wind-downs</w:t>
      </w:r>
    </w:p>
    <w:p>
      <w:pPr>
        <w:spacing w:after="0" w:line="177"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The following table summarizes GMNA’s restructuring reserves related to dealer wind-down agreements in the three months ended March 31, 2011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Canada and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60" w:type="dxa"/>
            <w:vAlign w:val="bottom"/>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U.S.</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Mexico</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144</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Revisions to estimates</w:t>
            </w:r>
          </w:p>
        </w:tc>
        <w:tc>
          <w:tcPr>
            <w:tcW w:w="10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(80)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(80)</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color w:val="auto"/>
              </w:rPr>
              <w:t>Balance at March 31, 2011</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5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228"/>
        <w:spacing w:after="0" w:line="268" w:lineRule="auto"/>
        <w:rPr>
          <w:sz w:val="20"/>
          <w:szCs w:val="20"/>
          <w:color w:val="auto"/>
        </w:rPr>
      </w:pPr>
      <w:r>
        <w:rPr>
          <w:rFonts w:ascii="Arial" w:cs="Arial" w:eastAsia="Arial" w:hAnsi="Arial"/>
          <w:sz w:val="18"/>
          <w:szCs w:val="18"/>
          <w:color w:val="auto"/>
        </w:rPr>
        <w:t>The following table summarizes GMNA’s restructuring reserves related to dealer wind-down agreements in the three months ended March 31, 2010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Canada and</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2"/>
              </w:rPr>
              <w:t>Mexico</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Additions</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5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47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740" w:type="dxa"/>
            <w:vAlign w:val="bottom"/>
            <w:vMerge w:val="restart"/>
          </w:tcPr>
          <w:p>
            <w:pPr>
              <w:jc w:val="right"/>
              <w:ind w:right="2972"/>
              <w:spacing w:after="0"/>
              <w:rPr>
                <w:sz w:val="20"/>
                <w:szCs w:val="20"/>
                <w:color w:val="auto"/>
              </w:rPr>
            </w:pPr>
            <w:r>
              <w:rPr>
                <w:rFonts w:ascii="Arial" w:cs="Arial" w:eastAsia="Arial" w:hAnsi="Arial"/>
                <w:sz w:val="18"/>
                <w:szCs w:val="18"/>
                <w:color w:val="auto"/>
              </w:rPr>
              <w:t>39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Impairments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impairment charges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86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9"/>
              </w:rPr>
              <w:t>Three Months</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Three Months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31, 2010</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GMNA</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ind w:left="220"/>
              <w:spacing w:after="0"/>
              <w:rPr>
                <w:sz w:val="20"/>
                <w:szCs w:val="20"/>
                <w:color w:val="auto"/>
              </w:rPr>
            </w:pPr>
            <w:r>
              <w:rPr>
                <w:rFonts w:ascii="Arial" w:cs="Arial" w:eastAsia="Arial" w:hAnsi="Arial"/>
                <w:sz w:val="18"/>
                <w:szCs w:val="18"/>
                <w:color w:val="auto"/>
              </w:rPr>
              <w:t>Product-specific tooling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9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Vehicles leased to rental car companies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GMNA impairment charges</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ind w:left="2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Vehicles leased to rental car companies</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60" w:type="dxa"/>
            <w:vAlign w:val="bottom"/>
            <w:gridSpan w:val="2"/>
          </w:tcPr>
          <w:p>
            <w:pPr>
              <w:ind w:left="220"/>
              <w:spacing w:after="0"/>
              <w:rPr>
                <w:sz w:val="20"/>
                <w:szCs w:val="20"/>
                <w:color w:val="auto"/>
              </w:rPr>
            </w:pPr>
            <w:r>
              <w:rPr>
                <w:rFonts w:ascii="Arial" w:cs="Arial" w:eastAsia="Arial" w:hAnsi="Arial"/>
                <w:sz w:val="18"/>
                <w:szCs w:val="18"/>
                <w:color w:val="auto"/>
              </w:rPr>
              <w:t>Total GME impairment charges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GMIO</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ind w:left="220"/>
              <w:spacing w:after="0"/>
              <w:rPr>
                <w:sz w:val="20"/>
                <w:szCs w:val="20"/>
                <w:color w:val="auto"/>
              </w:rPr>
            </w:pPr>
            <w:r>
              <w:rPr>
                <w:rFonts w:ascii="Arial" w:cs="Arial" w:eastAsia="Arial" w:hAnsi="Arial"/>
                <w:sz w:val="18"/>
                <w:szCs w:val="18"/>
                <w:color w:val="auto"/>
              </w:rPr>
              <w:t>Product-specific tooling assets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 in HKJV (a)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GMIO impairment charges</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GMSA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ind w:left="220"/>
              <w:spacing w:after="0"/>
              <w:rPr>
                <w:sz w:val="20"/>
                <w:szCs w:val="20"/>
                <w:color w:val="auto"/>
              </w:rPr>
            </w:pPr>
            <w:r>
              <w:rPr>
                <w:rFonts w:ascii="Arial" w:cs="Arial" w:eastAsia="Arial" w:hAnsi="Arial"/>
                <w:sz w:val="18"/>
                <w:szCs w:val="18"/>
                <w:color w:val="auto"/>
              </w:rPr>
              <w:t>Product-specific tooling assets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GMSA impairment charges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color w:val="auto"/>
              </w:rPr>
              <w:t>Total impairment charges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9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Refer to Note 8 for additional information related to our investment in HKJV.</w:t>
      </w:r>
    </w:p>
    <w:p>
      <w:pPr>
        <w:spacing w:after="0" w:line="171" w:lineRule="exact"/>
        <w:rPr>
          <w:sz w:val="20"/>
          <w:szCs w:val="20"/>
          <w:color w:val="auto"/>
        </w:rPr>
      </w:pPr>
    </w:p>
    <w:p>
      <w:pPr>
        <w:ind w:right="380" w:firstLine="228"/>
        <w:spacing w:after="0" w:line="259" w:lineRule="auto"/>
        <w:rPr>
          <w:sz w:val="20"/>
          <w:szCs w:val="20"/>
          <w:color w:val="auto"/>
        </w:rPr>
      </w:pPr>
      <w:r>
        <w:rPr>
          <w:rFonts w:ascii="Arial" w:cs="Arial" w:eastAsia="Arial" w:hAnsi="Arial"/>
          <w:sz w:val="18"/>
          <w:szCs w:val="18"/>
          <w:color w:val="auto"/>
        </w:rPr>
        <w:t>Fair value measurements, excluding vehicles leased to rental car companies, utilized projected cash flows discounted at a rate commensurate with the perceived business risks related to the assets involved. Fair value measurements of vehicles leased to rental car companies utilized projected cash flows from vehicle sales at auction.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summarize assets measured at fair value (all of which utilized Level 3 inputs) on a nonrecurring basis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Quoted Prices in</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w:t>
            </w:r>
          </w:p>
        </w:tc>
        <w:tc>
          <w:tcPr>
            <w:tcW w:w="3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680" w:type="dxa"/>
            <w:vAlign w:val="bottom"/>
          </w:tcPr>
          <w:p>
            <w:pPr>
              <w:spacing w:after="0"/>
              <w:rPr>
                <w:sz w:val="12"/>
                <w:szCs w:val="12"/>
                <w:color w:val="auto"/>
              </w:rPr>
            </w:pPr>
          </w:p>
        </w:tc>
        <w:tc>
          <w:tcPr>
            <w:tcW w:w="1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Significant Other</w:t>
            </w: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Total Losses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3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March</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78"/>
              </w:rPr>
              <w:t>Assets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Inputs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31, 2011 (a)</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center"/>
              <w:ind w:right="159"/>
              <w:spacing w:after="0"/>
              <w:rPr>
                <w:sz w:val="20"/>
                <w:szCs w:val="20"/>
                <w:color w:val="auto"/>
              </w:rPr>
            </w:pPr>
            <w:r>
              <w:rPr>
                <w:rFonts w:ascii="Arial" w:cs="Arial" w:eastAsia="Arial" w:hAnsi="Arial"/>
                <w:sz w:val="14"/>
                <w:szCs w:val="14"/>
                <w:b w:val="1"/>
                <w:bCs w:val="1"/>
                <w:color w:val="auto"/>
                <w:w w:val="87"/>
              </w:rPr>
              <w:t>(Level 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61"/>
              <w:spacing w:after="0"/>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
              <w:spacing w:after="0"/>
              <w:rPr>
                <w:sz w:val="20"/>
                <w:szCs w:val="20"/>
                <w:color w:val="auto"/>
              </w:rPr>
            </w:pPr>
            <w:r>
              <w:rPr>
                <w:rFonts w:ascii="Arial" w:cs="Arial" w:eastAsia="Arial" w:hAnsi="Arial"/>
                <w:sz w:val="14"/>
                <w:szCs w:val="14"/>
                <w:b w:val="1"/>
                <w:bCs w:val="1"/>
                <w:color w:val="auto"/>
                <w:w w:val="87"/>
              </w:rPr>
              <w:t>(Level 3)</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6"/>
              </w:rPr>
              <w:t>March 31, 2011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1,266</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Product-specific tooling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HKJV</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Vehicles leased to rental car companies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545-777</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545-777</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40</w:t>
            </w: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6"/>
              </w:rPr>
              <w:t>Fair Value Measurements Using</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36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640" w:type="dxa"/>
            <w:vAlign w:val="bottom"/>
          </w:tcPr>
          <w:p>
            <w:pPr>
              <w:spacing w:after="0"/>
              <w:rPr>
                <w:sz w:val="12"/>
                <w:szCs w:val="12"/>
                <w:color w:val="auto"/>
              </w:rPr>
            </w:pPr>
          </w:p>
        </w:tc>
        <w:tc>
          <w:tcPr>
            <w:tcW w:w="15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6"/>
              </w:rPr>
              <w:t>Significant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Total Losses</w:t>
            </w:r>
          </w:p>
        </w:tc>
      </w:tr>
      <w:tr>
        <w:trPr>
          <w:trHeight w:val="149"/>
        </w:trPr>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2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76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Three Months</w:t>
            </w:r>
          </w:p>
        </w:tc>
      </w:tr>
      <w:tr>
        <w:trPr>
          <w:trHeight w:val="149"/>
        </w:trPr>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March</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Assets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90"/>
              </w:rPr>
              <w:t>Inputs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1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31, 2010 (a)</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7"/>
              </w:rPr>
              <w:t>(Level 1)</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87"/>
              </w:rPr>
              <w:t>(Level 2)</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
              <w:spacing w:after="0"/>
              <w:rPr>
                <w:sz w:val="20"/>
                <w:szCs w:val="20"/>
                <w:color w:val="auto"/>
              </w:rPr>
            </w:pPr>
            <w:r>
              <w:rPr>
                <w:rFonts w:ascii="Arial" w:cs="Arial" w:eastAsia="Arial" w:hAnsi="Arial"/>
                <w:sz w:val="14"/>
                <w:szCs w:val="14"/>
                <w:b w:val="1"/>
                <w:bCs w:val="1"/>
                <w:color w:val="auto"/>
                <w:w w:val="87"/>
              </w:rPr>
              <w:t>(Level 3)</w:t>
            </w:r>
          </w:p>
        </w:tc>
        <w:tc>
          <w:tcPr>
            <w:tcW w:w="7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100" w:type="dxa"/>
            <w:vAlign w:val="bottom"/>
          </w:tcPr>
          <w:p>
            <w:pPr>
              <w:spacing w:after="0"/>
              <w:rPr>
                <w:sz w:val="14"/>
                <w:szCs w:val="14"/>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leased to rental car companies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represent the fair value measure (or range of measures) during the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Cancellations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contract cancellation charges primarily related to the cancellation of product programs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89"/>
              </w:rPr>
              <w:t>Three Months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5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5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4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88"/>
              </w:rPr>
              <w:t>March 31, 2011</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March 31, 2010</w:t>
            </w:r>
          </w:p>
        </w:tc>
      </w:tr>
      <w:tr>
        <w:trPr>
          <w:trHeight w:val="20"/>
        </w:trPr>
        <w:tc>
          <w:tcPr>
            <w:tcW w:w="45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GMNA</w:t>
            </w:r>
          </w:p>
        </w:tc>
        <w:tc>
          <w:tcPr>
            <w:tcW w:w="41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Earnings Per Share</w:t>
      </w:r>
    </w:p>
    <w:p>
      <w:pPr>
        <w:spacing w:after="0" w:line="177" w:lineRule="exact"/>
        <w:rPr>
          <w:sz w:val="20"/>
          <w:szCs w:val="20"/>
          <w:color w:val="auto"/>
        </w:rPr>
      </w:pPr>
    </w:p>
    <w:p>
      <w:pPr>
        <w:ind w:right="300" w:firstLine="228"/>
        <w:spacing w:after="0" w:line="332" w:lineRule="auto"/>
        <w:rPr>
          <w:sz w:val="20"/>
          <w:szCs w:val="20"/>
          <w:color w:val="auto"/>
        </w:rPr>
      </w:pPr>
      <w:r>
        <w:rPr>
          <w:rFonts w:ascii="Arial" w:cs="Arial" w:eastAsia="Arial" w:hAnsi="Arial"/>
          <w:sz w:val="16"/>
          <w:szCs w:val="16"/>
          <w:color w:val="auto"/>
        </w:rPr>
        <w:t>Basic and diluted earnings per share were computed by dividing Net income attributable to common stockholders by the weighted-average common shares outstanding in the period. The computation of diluted earnings per share gives effect to all potentially dilutive securities that were outstanding.</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basic and diluted earnings per share (in millions, except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9"/>
              </w:rPr>
              <w:t>Three Months</w:t>
            </w:r>
          </w:p>
        </w:tc>
        <w:tc>
          <w:tcPr>
            <w:tcW w:w="8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Three Months</w:t>
            </w:r>
          </w:p>
        </w:tc>
      </w:tr>
      <w:tr>
        <w:trPr>
          <w:trHeight w:val="149"/>
        </w:trPr>
        <w:tc>
          <w:tcPr>
            <w:tcW w:w="7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4"/>
              </w:rPr>
              <w:t>Ended</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7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6"/>
              </w:rPr>
              <w:t>March</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March</w:t>
            </w:r>
          </w:p>
        </w:tc>
      </w:tr>
      <w:tr>
        <w:trPr>
          <w:trHeight w:val="161"/>
        </w:trPr>
        <w:tc>
          <w:tcPr>
            <w:tcW w:w="7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8"/>
              </w:rPr>
              <w:t>31, 2011</w:t>
            </w: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4"/>
              </w:rPr>
              <w:t>31, 2010</w:t>
            </w:r>
          </w:p>
        </w:tc>
        <w:tc>
          <w:tcPr>
            <w:tcW w:w="100" w:type="dxa"/>
            <w:vAlign w:val="bottom"/>
          </w:tcPr>
          <w:p>
            <w:pPr>
              <w:spacing w:after="0"/>
              <w:rPr>
                <w:sz w:val="14"/>
                <w:szCs w:val="14"/>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Net income attributable to common stockholders — basic</w:t>
            </w:r>
          </w:p>
        </w:tc>
        <w:tc>
          <w:tcPr>
            <w:tcW w:w="198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3,151</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 of preferred dividends to holders of Series B Preferred Stock</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7020" w:type="dxa"/>
            <w:vAlign w:val="bottom"/>
          </w:tcPr>
          <w:p>
            <w:pPr>
              <w:ind w:left="220"/>
              <w:spacing w:after="0"/>
              <w:rPr>
                <w:sz w:val="20"/>
                <w:szCs w:val="20"/>
                <w:color w:val="auto"/>
              </w:rPr>
            </w:pPr>
            <w:r>
              <w:rPr>
                <w:rFonts w:ascii="Arial" w:cs="Arial" w:eastAsia="Arial" w:hAnsi="Arial"/>
                <w:sz w:val="18"/>
                <w:szCs w:val="18"/>
                <w:color w:val="auto"/>
              </w:rPr>
              <w:t>Net income attributable to common stockholders — diluted</w:t>
            </w:r>
          </w:p>
        </w:tc>
        <w:tc>
          <w:tcPr>
            <w:tcW w:w="18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Weighted-average common shares outstanding — basic</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1,504</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warrants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Dilutive effect of conversion of Series B Preferred Stock</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restricted stock units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7020" w:type="dxa"/>
            <w:vAlign w:val="bottom"/>
          </w:tcPr>
          <w:p>
            <w:pPr>
              <w:ind w:left="220"/>
              <w:spacing w:after="0"/>
              <w:rPr>
                <w:sz w:val="20"/>
                <w:szCs w:val="20"/>
                <w:color w:val="auto"/>
              </w:rPr>
            </w:pPr>
            <w:r>
              <w:rPr>
                <w:rFonts w:ascii="Arial" w:cs="Arial" w:eastAsia="Arial" w:hAnsi="Arial"/>
                <w:sz w:val="18"/>
                <w:szCs w:val="18"/>
                <w:color w:val="auto"/>
              </w:rPr>
              <w:t>Weighted-average common shares outstanding — diluted</w:t>
            </w:r>
          </w:p>
        </w:tc>
        <w:tc>
          <w:tcPr>
            <w:tcW w:w="18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per share</w:t>
            </w:r>
          </w:p>
        </w:tc>
        <w:tc>
          <w:tcPr>
            <w:tcW w:w="198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8"/>
                <w:szCs w:val="18"/>
                <w:color w:val="auto"/>
              </w:rPr>
            </w:pPr>
          </w:p>
        </w:tc>
      </w:tr>
      <w:tr>
        <w:trPr>
          <w:trHeight w:val="222"/>
        </w:trPr>
        <w:tc>
          <w:tcPr>
            <w:tcW w:w="7020" w:type="dxa"/>
            <w:vAlign w:val="bottom"/>
          </w:tcPr>
          <w:p>
            <w:pPr>
              <w:ind w:left="220"/>
              <w:spacing w:after="0"/>
              <w:rPr>
                <w:sz w:val="20"/>
                <w:szCs w:val="20"/>
                <w:color w:val="auto"/>
              </w:rPr>
            </w:pPr>
            <w:r>
              <w:rPr>
                <w:rFonts w:ascii="Arial" w:cs="Arial" w:eastAsia="Arial" w:hAnsi="Arial"/>
                <w:sz w:val="18"/>
                <w:szCs w:val="18"/>
                <w:color w:val="auto"/>
              </w:rPr>
              <w:t>Diluted earnings per share</w:t>
            </w:r>
          </w:p>
        </w:tc>
        <w:tc>
          <w:tcPr>
            <w:tcW w:w="198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1.77</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We considered potentially dilutive securities in our diluted earnings per share computation under the treasury stock method. In periods prior to our public offering, we utilized an average stock price based upon estimates of the fair value of our common stock. Subsequent to our public offering, we used the New York Stock Exchange price.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On April 21, 2011 MLC distributed 272 million warrants for our common stock to its unsecured creditors. The warrant holders may exercise the warrants at any time prior to their respective expiration dates. Upon exercise of the warrants the shares issued will be included in the number of basic shares outstanding used in the computation of earnings per share.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2011</w:t>
      </w:r>
    </w:p>
    <w:p>
      <w:pPr>
        <w:spacing w:after="0" w:line="171"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Our Series B Preferred Stock is a participating security and requires the application of the two-class method for calculating earnings per share when the applicable market value of our common stock is below $33.00 or above $39.60 per common share. For purposes of calculating earnings per share, the applicable market value is calculated as the average of the closing prices of our common stock over the 40 consecutive trading day period ending on the third trading day immediately preceding the date of our financial statements. When applying the two-class method, the calculation of the applicable market value at the date of our financial statements will apply to the current quarter and the year to date period presented, irrespective of the applicable market value computed during the prior quarters of the current year. Under the two-class method for computing earnings per share, undistributed earnings will be allocated to the Series B Preferred Stock, with such allocation reducing Net income attributable to common stockholders and resulting in a lower basic and dilutive earnings per share amount. Accordingly, variability may result in our calculation of earnings per share from period to period depending on whether the application of the two class method is required.</w:t>
      </w:r>
    </w:p>
    <w:p>
      <w:pPr>
        <w:spacing w:after="0" w:line="120"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Because the applicable market value of our common stock was within the price range of $33.00 to $39.60 per common share for the three months ended March 31, 2011, we were not required to use the two-class method for purposes of calculating basic earnings per share. The dilutive effect of these securities was determined by assuming conversion of the securities at the beginning of the period resulting in an increase to the weighted-average common shares outstanding and an increase to Net income attributable to common stockholders for accumulated dividends on our Series B Preferred Stock.</w:t>
      </w:r>
    </w:p>
    <w:p>
      <w:pPr>
        <w:spacing w:after="0" w:line="113" w:lineRule="exact"/>
        <w:rPr>
          <w:sz w:val="20"/>
          <w:szCs w:val="20"/>
          <w:color w:val="auto"/>
        </w:rPr>
      </w:pPr>
    </w:p>
    <w:p>
      <w:pPr>
        <w:jc w:val="both"/>
        <w:ind w:right="220" w:firstLine="228"/>
        <w:spacing w:after="0" w:line="306" w:lineRule="auto"/>
        <w:rPr>
          <w:sz w:val="20"/>
          <w:szCs w:val="20"/>
          <w:color w:val="auto"/>
        </w:rPr>
      </w:pPr>
      <w:r>
        <w:rPr>
          <w:rFonts w:ascii="Arial" w:cs="Arial" w:eastAsia="Arial" w:hAnsi="Arial"/>
          <w:sz w:val="16"/>
          <w:szCs w:val="16"/>
          <w:color w:val="auto"/>
        </w:rPr>
        <w:t>Warrants to purchase 318 million shares of our common stock were outstanding, of which 46 million shares were not included in the computation of diluted earnings per share because the warrants’ exercise price was greater than the average market price of the common shares. Under the treasury stock method, the assumed exercise of warrants to purchase the remaining 272 million shares resulted in 162 million dilutive shares.</w:t>
      </w:r>
    </w:p>
    <w:p>
      <w:pPr>
        <w:spacing w:after="0" w:line="107"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Diluted earnings per share included the assumed issuance of unvested restricted stock units (RSUs) granted to certain global executives. At March 31, 2011 there were 15 million unvested RSUs outstanding.</w:t>
      </w:r>
    </w:p>
    <w:p>
      <w:pPr>
        <w:spacing w:after="0" w:line="132"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The Adjustment Shares were excluded from the computation of basic and diluted earnings per share as the condition that would result in the issuance of the Adjustment Shares was not satisfied.</w:t>
      </w:r>
    </w:p>
    <w:p>
      <w:pPr>
        <w:spacing w:after="0" w:line="132" w:lineRule="exact"/>
        <w:rPr>
          <w:sz w:val="20"/>
          <w:szCs w:val="20"/>
          <w:color w:val="auto"/>
        </w:rPr>
      </w:pPr>
    </w:p>
    <w:p>
      <w:pPr>
        <w:ind w:right="240" w:firstLine="228"/>
        <w:spacing w:after="0" w:line="332" w:lineRule="auto"/>
        <w:rPr>
          <w:sz w:val="20"/>
          <w:szCs w:val="20"/>
          <w:color w:val="auto"/>
        </w:rPr>
      </w:pPr>
      <w:r>
        <w:rPr>
          <w:rFonts w:ascii="Arial" w:cs="Arial" w:eastAsia="Arial" w:hAnsi="Arial"/>
          <w:sz w:val="16"/>
          <w:szCs w:val="16"/>
          <w:color w:val="auto"/>
        </w:rPr>
        <w:t>The 61 million shares of common stock contributed to our pension plans in January 2011 were excluded from the computation of earnings per share as they did not meet the criteria to qualify as plan assets for accounting purposes and consequently are not considered outstanding for accounting purposes.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2010</w:t>
      </w:r>
    </w:p>
    <w:p>
      <w:pPr>
        <w:spacing w:after="0" w:line="171" w:lineRule="exact"/>
        <w:rPr>
          <w:sz w:val="20"/>
          <w:szCs w:val="20"/>
          <w:color w:val="auto"/>
        </w:rPr>
      </w:pPr>
    </w:p>
    <w:p>
      <w:pPr>
        <w:ind w:right="220" w:firstLine="228"/>
        <w:spacing w:after="0" w:line="306" w:lineRule="auto"/>
        <w:rPr>
          <w:sz w:val="20"/>
          <w:szCs w:val="20"/>
          <w:color w:val="auto"/>
        </w:rPr>
      </w:pPr>
      <w:r>
        <w:rPr>
          <w:rFonts w:ascii="Arial" w:cs="Arial" w:eastAsia="Arial" w:hAnsi="Arial"/>
          <w:sz w:val="16"/>
          <w:szCs w:val="16"/>
          <w:color w:val="auto"/>
        </w:rPr>
        <w:t>Warrants to purchase 318 million shares of our common stock were outstanding, of which 46 million shares were not included in the computation of diluted earnings per share because the warrants’ exercise price was greater than the fair value of our common stock. Under the treasury stock method, the assumed exercise of warrants to purchase the remaining 272 million shares resulted in 67 million dilutive shares.</w:t>
      </w:r>
    </w:p>
    <w:p>
      <w:pPr>
        <w:spacing w:after="0" w:line="107"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Diluted earnings per share excluded the assumed issuance of unvested RSUs granted to certain global executives as these awards were payable in cash if settled prior to six months after a completion of a successful public offering. At March 31, 2010 a total of 17 million RSUs were outstanding, of which neither the vested or unvested portion was considered for purposes of calculating diluted earnings per share due to the cash settlement condition at that time.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The Adjustment Shares were excluded from the computation of basic and diluted earnings per share as the condition that would result in the issuance of the Adjustment Shares was not satisfied.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Stock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177" w:lineRule="exact"/>
        <w:rPr>
          <w:sz w:val="20"/>
          <w:szCs w:val="20"/>
          <w:color w:val="auto"/>
        </w:rPr>
      </w:pPr>
    </w:p>
    <w:p>
      <w:pPr>
        <w:ind w:right="380" w:firstLine="228"/>
        <w:spacing w:after="0" w:line="306" w:lineRule="auto"/>
        <w:rPr>
          <w:sz w:val="20"/>
          <w:szCs w:val="20"/>
          <w:color w:val="auto"/>
        </w:rPr>
      </w:pPr>
      <w:r>
        <w:rPr>
          <w:rFonts w:ascii="Arial" w:cs="Arial" w:eastAsia="Arial" w:hAnsi="Arial"/>
          <w:sz w:val="16"/>
          <w:szCs w:val="16"/>
          <w:color w:val="auto"/>
        </w:rPr>
        <w:t>Our stock incentive plans consist of the 2009 Long-Term Incentive Plan as amended on December 22, 2010 (2009 GMLTIP) and the Salary Stock Plan as amended on October 5, 2010 (GMSSP). Both plans are administered by the Executive Compensation Committee of our Board of Directors. The aggregate number of shares that may be granted under the 2009 GMLTIP and the GMSSP shall not exceed 75 million shares.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compensation expense recorded for our stock incentive plans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04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8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8"/>
              </w:rPr>
              <w:t>Ended</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4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2011</w:t>
            </w:r>
          </w:p>
        </w:tc>
        <w:tc>
          <w:tcPr>
            <w:tcW w:w="10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100" w:type="dxa"/>
            <w:vAlign w:val="bottom"/>
          </w:tcPr>
          <w:p>
            <w:pPr>
              <w:spacing w:after="0"/>
              <w:rPr>
                <w:sz w:val="14"/>
                <w:szCs w:val="1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Income tax expense amounts were insignificant in the three months ended March 31, 2011 and 2010 and did not include U.S. and non-U.S. jurisdictions with full valuation allowances.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171" w:lineRule="exact"/>
        <w:rPr>
          <w:sz w:val="20"/>
          <w:szCs w:val="20"/>
          <w:color w:val="auto"/>
        </w:rPr>
      </w:pPr>
    </w:p>
    <w:p>
      <w:pPr>
        <w:ind w:right="140" w:firstLine="228"/>
        <w:spacing w:after="0" w:line="294" w:lineRule="auto"/>
        <w:rPr>
          <w:sz w:val="20"/>
          <w:szCs w:val="20"/>
          <w:color w:val="auto"/>
        </w:rPr>
      </w:pPr>
      <w:r>
        <w:rPr>
          <w:rFonts w:ascii="Arial" w:cs="Arial" w:eastAsia="Arial" w:hAnsi="Arial"/>
          <w:sz w:val="16"/>
          <w:szCs w:val="16"/>
          <w:color w:val="auto"/>
        </w:rPr>
        <w:t>We granted 5 million and 15 million RSUs to certain global executives under the 2009 GMLTIP in the three months ended March 31, 2011 and March 31, 2010. The RSUs were valued on the date of grant at the fair value of our common stock. The weighted average grant date fair value was $35.36 and $18.80 for the 2009 GMLTIP awards granted in the three months ended March 31, 2011 and March 31, 2010. Awards granted under the 2009 GMLTIP either cliff vest or ratably vest generally over a three-year service period, as defined in the terms of each award. We have elected to record compensation cost for these awards on a straight-line basis over the entire vesting period. Our policy is to issue new shares upon settlement of RSUs.</w:t>
      </w:r>
    </w:p>
    <w:p>
      <w:pPr>
        <w:spacing w:after="0" w:line="116"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2011 awards granted to the Top 25 highest compensated employees will settle three years from the grant date in 25% increments in conjunction with each 25% of our Troubled Asset Relief Program (TARP) obligations that are repaid. The awards for the Next 75 highest compensated employees will settle: (1) three years from the date of grant; or (2) on the first and third anniversary dates of grant. The awards to the non-Top 100 highest compensated employees will settle on the first, second, and third anniversary dates of grant.</w:t>
      </w:r>
    </w:p>
    <w:p>
      <w:pPr>
        <w:spacing w:after="0" w:line="143"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2010 awards granted to the Top 25 highest compensated employees will settle three years from the grant date in 25% increments in conjunction with each 25% of our TARP obligations that are repaid. The awards for the non-Top 25 highest compensated employees will settle after three years in 25% increments in conjunction with each 25% of the UST Loans and Canadian Loan, which we assumed upon entering into agreements with the United States Department of the Treasury and the Canadian government, that are repaid. The UST Loans and Canadian Loan were fully repaid in 2010, thus these awards will be settled upon completion of the remaining service period.</w:t>
      </w:r>
    </w:p>
    <w:p>
      <w:pPr>
        <w:spacing w:after="0" w:line="143" w:lineRule="exact"/>
        <w:rPr>
          <w:sz w:val="20"/>
          <w:szCs w:val="20"/>
          <w:color w:val="auto"/>
        </w:rPr>
      </w:pPr>
    </w:p>
    <w:p>
      <w:pPr>
        <w:jc w:val="both"/>
        <w:ind w:right="340" w:firstLine="228"/>
        <w:spacing w:after="0" w:line="259" w:lineRule="auto"/>
        <w:rPr>
          <w:sz w:val="20"/>
          <w:szCs w:val="20"/>
          <w:color w:val="auto"/>
        </w:rPr>
      </w:pPr>
      <w:r>
        <w:rPr>
          <w:rFonts w:ascii="Arial" w:cs="Arial" w:eastAsia="Arial" w:hAnsi="Arial"/>
          <w:sz w:val="18"/>
          <w:szCs w:val="18"/>
          <w:color w:val="auto"/>
        </w:rPr>
        <w:t>Retirement eligible participants that are non-Top 25 highest compensated employees who retire during the service period will retain and vest in a pro-rata portion of RSUs earned. The vested award will be payable according to the original settlement terms of each grant. Compensation cost for these employees is recognized on a straight-line basis over the requisite service period.</w:t>
      </w:r>
    </w:p>
    <w:p>
      <w:pPr>
        <w:spacing w:after="0" w:line="140" w:lineRule="exact"/>
        <w:rPr>
          <w:sz w:val="20"/>
          <w:szCs w:val="20"/>
          <w:color w:val="auto"/>
        </w:rPr>
      </w:pPr>
    </w:p>
    <w:p>
      <w:pPr>
        <w:ind w:right="40" w:firstLine="228"/>
        <w:spacing w:after="0" w:line="332" w:lineRule="auto"/>
        <w:rPr>
          <w:sz w:val="20"/>
          <w:szCs w:val="20"/>
          <w:color w:val="auto"/>
        </w:rPr>
      </w:pPr>
      <w:r>
        <w:rPr>
          <w:rFonts w:ascii="Arial" w:cs="Arial" w:eastAsia="Arial" w:hAnsi="Arial"/>
          <w:sz w:val="16"/>
          <w:szCs w:val="16"/>
          <w:color w:val="auto"/>
        </w:rPr>
        <w:t>Prior to our public offering, all GMLTIP RSU awards were classified as liability awards as they were payable in cash. In November 2010 we reclassified all of the GMLTIP RSU liability awards to equity for those awards that became payable in shares in accordance with the plan terms.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Salary Stock</w:t>
      </w:r>
    </w:p>
    <w:p>
      <w:pPr>
        <w:spacing w:after="0" w:line="171" w:lineRule="exact"/>
        <w:rPr>
          <w:sz w:val="20"/>
          <w:szCs w:val="20"/>
          <w:color w:val="auto"/>
        </w:rPr>
      </w:pPr>
    </w:p>
    <w:p>
      <w:pPr>
        <w:ind w:right="240" w:firstLine="228"/>
        <w:spacing w:after="0" w:line="306" w:lineRule="auto"/>
        <w:rPr>
          <w:sz w:val="20"/>
          <w:szCs w:val="20"/>
          <w:color w:val="auto"/>
        </w:rPr>
      </w:pPr>
      <w:r>
        <w:rPr>
          <w:rFonts w:ascii="Arial" w:cs="Arial" w:eastAsia="Arial" w:hAnsi="Arial"/>
          <w:sz w:val="16"/>
          <w:szCs w:val="16"/>
          <w:color w:val="auto"/>
        </w:rPr>
        <w:t>In November 2009 we initiated a salary stock program for certain global executives under the GMSSP whereby a portion of each participant’s total annual compensation was accrued and converted to RSUs at each salary payment date. Beginning in 2010 a portion of each participant’s salary accrued on each salary payment date converted to RSUs on a quarterly basis. Our policy is to issue new shares upon settlement of these awards.</w:t>
      </w:r>
    </w:p>
    <w:p>
      <w:pPr>
        <w:spacing w:after="0" w:line="107" w:lineRule="exact"/>
        <w:rPr>
          <w:sz w:val="20"/>
          <w:szCs w:val="20"/>
          <w:color w:val="auto"/>
        </w:rPr>
      </w:pPr>
    </w:p>
    <w:p>
      <w:pPr>
        <w:ind w:right="260" w:firstLine="228"/>
        <w:spacing w:after="0" w:line="294" w:lineRule="auto"/>
        <w:rPr>
          <w:sz w:val="20"/>
          <w:szCs w:val="20"/>
          <w:color w:val="auto"/>
        </w:rPr>
      </w:pPr>
      <w:r>
        <w:rPr>
          <w:rFonts w:ascii="Arial" w:cs="Arial" w:eastAsia="Arial" w:hAnsi="Arial"/>
          <w:sz w:val="16"/>
          <w:szCs w:val="16"/>
          <w:color w:val="auto"/>
        </w:rPr>
        <w:t>The awards are fully vested and nonforfeitable upon grant, therefore compensation cost is fully recognized on the date of grant. The awards are settled quarterly over a three year period commencing on the first anniversary date of grant. Under the terms of the plan, each installment is now redeemable one year earlier from the original settlement date as we repaid the financial assistance we received from the UST under the TARP program in 2010. Prior to our public offering, all GMSSP RSU awards were classified as liability awards as they were payable in cash. In November 2010 we reclassified all of the GMSSP RSU liability awards to equity for those awards that became payable in shares in accordance with the plan terms.</w:t>
      </w:r>
    </w:p>
    <w:p>
      <w:pPr>
        <w:spacing w:after="0" w:line="116" w:lineRule="exact"/>
        <w:rPr>
          <w:sz w:val="20"/>
          <w:szCs w:val="20"/>
          <w:color w:val="auto"/>
        </w:rPr>
      </w:pPr>
    </w:p>
    <w:p>
      <w:pPr>
        <w:ind w:right="20" w:firstLine="228"/>
        <w:spacing w:after="0" w:line="370" w:lineRule="auto"/>
        <w:rPr>
          <w:sz w:val="20"/>
          <w:szCs w:val="20"/>
          <w:color w:val="auto"/>
        </w:rPr>
      </w:pPr>
      <w:r>
        <w:rPr>
          <w:rFonts w:ascii="Arial" w:cs="Arial" w:eastAsia="Arial" w:hAnsi="Arial"/>
          <w:sz w:val="15"/>
          <w:szCs w:val="15"/>
          <w:color w:val="auto"/>
        </w:rPr>
        <w:t>The compensation cost of each RSU granted under the 2009 GMLTIP and GMSSP that will be settled in equity is based on the fair value of our common stock on the date of grant or, for those RSUs reclassified from liability to equity-based awards, the fair value of our common stock as of the date of the public offering.</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summarize our RSU activity under the 2009 GMLTIP and GMSSP in the three months ended March 31, 2011 (RSUs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0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3"/>
              </w:rPr>
              <w:t>Average</w:t>
            </w:r>
          </w:p>
        </w:tc>
        <w:tc>
          <w:tcPr>
            <w:tcW w:w="5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Grant Date</w:t>
            </w:r>
          </w:p>
        </w:tc>
        <w:tc>
          <w:tcPr>
            <w:tcW w:w="5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76"/>
              </w:rPr>
              <w:t>Shares</w:t>
            </w:r>
          </w:p>
        </w:tc>
        <w:tc>
          <w:tcPr>
            <w:tcW w:w="2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5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Term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RSUs outstanding at January 1, 2011</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35.36</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Settled</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Forfeited or expired</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21.16</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RSUs outstanding at March 31, 2011</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RSUs unvested and expected to vest at March 31, 2011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vMerge w:val="restart"/>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23.39</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15.3</w:t>
            </w:r>
          </w:p>
        </w:tc>
        <w:tc>
          <w:tcPr>
            <w:tcW w:w="32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RSUs vested and payable at March 31, 2011</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228"/>
        <w:spacing w:after="0" w:line="268" w:lineRule="auto"/>
        <w:rPr>
          <w:sz w:val="20"/>
          <w:szCs w:val="20"/>
          <w:color w:val="auto"/>
        </w:rPr>
      </w:pPr>
      <w:r>
        <w:rPr>
          <w:rFonts w:ascii="Arial" w:cs="Arial" w:eastAsia="Arial" w:hAnsi="Arial"/>
          <w:sz w:val="18"/>
          <w:szCs w:val="18"/>
          <w:color w:val="auto"/>
        </w:rPr>
        <w:t>At March 31, 2011 the total unrecognized compensation expense for nonvested equity awards granted under the 2009 GMLTIP was $406 million. This expense is expected to be recorded over a weighted-average period of 2.2 years.</w:t>
      </w:r>
    </w:p>
    <w:p>
      <w:pPr>
        <w:spacing w:after="0" w:line="132"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In the three months ended March 31, 2011 total payments for 97,000 RSUs settled under the GMSSP was $4 million. There were no payments made for RSUs vested under the GMSSP for the three months ended March 31,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Transactions with Ally Financial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summarize the financial statement effects of and maximum obligations under agreements with Ally Financial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2010</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residuals</w:t>
            </w:r>
          </w:p>
        </w:tc>
        <w:tc>
          <w:tcPr>
            <w:tcW w:w="29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Residual support (a)</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 (receivables) recorded</w:t>
            </w:r>
          </w:p>
        </w:tc>
        <w:tc>
          <w:tcPr>
            <w:tcW w:w="324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Maximum obligation</w:t>
            </w:r>
          </w:p>
        </w:tc>
        <w:tc>
          <w:tcPr>
            <w:tcW w:w="3240" w:type="dxa"/>
            <w:vAlign w:val="bottom"/>
            <w:gridSpan w:val="2"/>
          </w:tcPr>
          <w:p>
            <w:pPr>
              <w:ind w:left="29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353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Risk sharing (a)</w:t>
            </w: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Liabilities recorded</w:t>
            </w:r>
          </w:p>
        </w:tc>
        <w:tc>
          <w:tcPr>
            <w:tcW w:w="3240" w:type="dxa"/>
            <w:vAlign w:val="bottom"/>
            <w:gridSpan w:val="2"/>
          </w:tcPr>
          <w:p>
            <w:pPr>
              <w:ind w:left="29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Maximum obligation</w:t>
            </w:r>
          </w:p>
        </w:tc>
        <w:tc>
          <w:tcPr>
            <w:tcW w:w="324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Vehicle repurchase obligations (b)</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Maximum obligations</w:t>
            </w:r>
          </w:p>
        </w:tc>
        <w:tc>
          <w:tcPr>
            <w:tcW w:w="324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20,167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18,807</w:t>
            </w:r>
          </w:p>
        </w:tc>
      </w:tr>
      <w:tr>
        <w:trPr>
          <w:trHeight w:val="222"/>
        </w:trPr>
        <w:tc>
          <w:tcPr>
            <w:tcW w:w="5520" w:type="dxa"/>
            <w:vAlign w:val="bottom"/>
          </w:tcPr>
          <w:p>
            <w:pPr>
              <w:ind w:left="220"/>
              <w:spacing w:after="0"/>
              <w:rPr>
                <w:sz w:val="20"/>
                <w:szCs w:val="20"/>
                <w:color w:val="auto"/>
              </w:rPr>
            </w:pPr>
            <w:r>
              <w:rPr>
                <w:rFonts w:ascii="Arial" w:cs="Arial" w:eastAsia="Arial" w:hAnsi="Arial"/>
                <w:sz w:val="18"/>
                <w:szCs w:val="18"/>
                <w:color w:val="auto"/>
              </w:rPr>
              <w:t>Fair value of guarantee</w:t>
            </w:r>
          </w:p>
        </w:tc>
        <w:tc>
          <w:tcPr>
            <w:tcW w:w="3240" w:type="dxa"/>
            <w:vAlign w:val="bottom"/>
            <w:gridSpan w:val="2"/>
          </w:tcPr>
          <w:p>
            <w:pPr>
              <w:ind w:left="29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three months ended March 31, 2011 and 2010 favorable adjustments to our residual support and risk sharing liabilities of $124 million and $130 million were recorded in the U.S. due to increases in estimated residual values.</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maximum potential amount of future payments required to be made to Ally Financial under this guarantee is based on the repurchase value of total eligible vehicles financed by Ally Financial in dealer stock. If vehicles are required to be repurchased under this arrangement, the total exposure would be reduced to the extent vehicles are able to be resold.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6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w w:val="91"/>
              </w:rPr>
              <w:t>Three Months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65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6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31, 2010</w:t>
            </w:r>
          </w:p>
        </w:tc>
      </w:tr>
      <w:tr>
        <w:trPr>
          <w:trHeight w:val="20"/>
        </w:trPr>
        <w:tc>
          <w:tcPr>
            <w:tcW w:w="6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Marketing incentives and operating lease residual payments (a)</w:t>
            </w:r>
          </w:p>
        </w:tc>
        <w:tc>
          <w:tcPr>
            <w:tcW w:w="222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Exclusivity fee income</w:t>
            </w:r>
          </w:p>
        </w:tc>
        <w:tc>
          <w:tcPr>
            <w:tcW w:w="222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98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Royalty income</w:t>
            </w:r>
          </w:p>
        </w:tc>
        <w:tc>
          <w:tcPr>
            <w:tcW w:w="222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Payments to Ally Financial related to U.S. marketing incentive and operating lease residual programs. Excludes payments to Ally Financial related to the contractual exposure limit.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balance sheet effects of transactions with Ally Financial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2011</w:t>
            </w:r>
          </w:p>
        </w:tc>
        <w:tc>
          <w:tcPr>
            <w:tcW w:w="4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Accounts and notes receivable, net (a)</w:t>
            </w:r>
          </w:p>
        </w:tc>
        <w:tc>
          <w:tcPr>
            <w:tcW w:w="3920" w:type="dxa"/>
            <w:vAlign w:val="bottom"/>
            <w:gridSpan w:val="2"/>
          </w:tcPr>
          <w:p>
            <w:pPr>
              <w:ind w:left="3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308</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3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322"/>
        </w:trPr>
        <w:tc>
          <w:tcPr>
            <w:tcW w:w="48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(c)</w:t>
            </w:r>
          </w:p>
        </w:tc>
        <w:tc>
          <w:tcPr>
            <w:tcW w:w="392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Short-term debt and current portion of long-term debt (d)</w:t>
            </w:r>
          </w:p>
        </w:tc>
        <w:tc>
          <w:tcPr>
            <w:tcW w:w="3920" w:type="dxa"/>
            <w:vAlign w:val="bottom"/>
            <w:gridSpan w:val="2"/>
          </w:tcPr>
          <w:p>
            <w:pPr>
              <w:ind w:left="3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1,093</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and other liabilities (e)</w:t>
            </w:r>
          </w:p>
        </w:tc>
        <w:tc>
          <w:tcPr>
            <w:tcW w:w="392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1,083</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Long-term debt (f)</w:t>
            </w:r>
          </w:p>
        </w:tc>
        <w:tc>
          <w:tcPr>
            <w:tcW w:w="3920" w:type="dxa"/>
            <w:vAlign w:val="bottom"/>
            <w:gridSpan w:val="2"/>
          </w:tcPr>
          <w:p>
            <w:pPr>
              <w:ind w:left="3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 (g)</w:t>
            </w:r>
          </w:p>
        </w:tc>
        <w:tc>
          <w:tcPr>
            <w:tcW w:w="392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r>
        <w:trPr>
          <w:trHeight w:val="363"/>
        </w:trPr>
        <w:tc>
          <w:tcPr>
            <w:tcW w:w="4820" w:type="dxa"/>
            <w:vAlign w:val="bottom"/>
          </w:tcPr>
          <w:p>
            <w:pPr>
              <w:spacing w:after="0"/>
              <w:rPr>
                <w:sz w:val="24"/>
                <w:szCs w:val="24"/>
                <w:color w:val="auto"/>
              </w:rPr>
            </w:pPr>
          </w:p>
        </w:tc>
        <w:tc>
          <w:tcPr>
            <w:tcW w:w="3620" w:type="dxa"/>
            <w:vAlign w:val="bottom"/>
          </w:tcPr>
          <w:p>
            <w:pPr>
              <w:jc w:val="right"/>
              <w:ind w:right="2552"/>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2" w:lineRule="exact"/>
        <w:rPr>
          <w:sz w:val="20"/>
          <w:szCs w:val="20"/>
          <w:color w:val="auto"/>
        </w:rPr>
      </w:pPr>
    </w:p>
    <w:p>
      <w:pPr>
        <w:ind w:left="460" w:right="34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wholesale settlements due from Ally Financial, amounts owed by Ally Financial with respect to automotive retail leases and receivables for exclusivity fees and royalties.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distributions due from Ally Financial on our investments in Ally Financial preferred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Primarily represents amounts billed to us and payable related to incentive programs.</w:t>
      </w:r>
    </w:p>
    <w:p>
      <w:pPr>
        <w:spacing w:after="0" w:line="90" w:lineRule="exact"/>
        <w:rPr>
          <w:rFonts w:ascii="Arial" w:cs="Arial" w:eastAsia="Arial" w:hAnsi="Arial"/>
          <w:sz w:val="18"/>
          <w:szCs w:val="18"/>
          <w:color w:val="auto"/>
        </w:rPr>
      </w:pPr>
    </w:p>
    <w:p>
      <w:pPr>
        <w:ind w:left="460" w:right="160" w:hanging="452"/>
        <w:spacing w:after="0" w:line="294"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wholesale financing, sales of receivable transactions and the short-term portion of term loans provided to certain dealerships which we own or in which we have an equity interest. It includes borrowing arrangements with various foreign locations and arrangements related to Ally Financial’s funding of company-owned vehicles, rental car vehicles awaiting sale at auction and funding of the sale of vehicles to which title is retained while the vehicles are consigned to Ally Financial or dealers, primarily in the United Kingdom. Financing remains outstanding until the title is transferred to the dealers. This amount also includes the short-term portion of a note payable related to automotive retail leases.</w:t>
      </w:r>
    </w:p>
    <w:p>
      <w:pPr>
        <w:spacing w:after="0" w:line="34" w:lineRule="exact"/>
        <w:rPr>
          <w:rFonts w:ascii="Arial" w:cs="Arial" w:eastAsia="Arial" w:hAnsi="Arial"/>
          <w:sz w:val="16"/>
          <w:szCs w:val="16"/>
          <w:color w:val="auto"/>
        </w:rPr>
      </w:pPr>
    </w:p>
    <w:p>
      <w:pPr>
        <w:ind w:left="460" w:right="8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Primarily represents accruals for marketing incentives on vehicles which are sold, or anticipated to be sold, to customers or dealers and financed by Ally Financial in North America. This includes the estimated amount of residual support accrued under the residual support and risk sharing programs, rate support under the interest rate support programs, operating lease and finance receivable capitalized cost reduction incentives paid to Ally Financial to reduce the capitalized cost in automotive lease contracts and retail automotive contracts, and amounts owed under lease pull-ahead programs. In addition it includes interest accrued on the transactions in (d) above.</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Primarily represents the long-term portion of term loans from Ally Financial to certain consolidated dealerships.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Primarily represents long-term portion of liabilities for marketing incentives on vehicles financed by Ally Financial.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income statement effects of transactions with Ally Financial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9"/>
              </w:rPr>
              <w:t>Three Months</w:t>
            </w:r>
          </w:p>
        </w:tc>
        <w:tc>
          <w:tcPr>
            <w:tcW w:w="42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w:t>
            </w:r>
          </w:p>
        </w:tc>
      </w:tr>
      <w:tr>
        <w:trPr>
          <w:trHeight w:val="149"/>
        </w:trPr>
        <w:tc>
          <w:tcPr>
            <w:tcW w:w="6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6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March 31, 2011</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March 31, 2010</w:t>
            </w:r>
          </w:p>
        </w:tc>
        <w:tc>
          <w:tcPr>
            <w:tcW w:w="100" w:type="dxa"/>
            <w:vAlign w:val="bottom"/>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 (reduction) (a)</w:t>
            </w:r>
          </w:p>
        </w:tc>
        <w:tc>
          <w:tcPr>
            <w:tcW w:w="236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(574)</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Automotive cost of sales and other automotive expenses (b)</w:t>
            </w:r>
          </w:p>
        </w:tc>
        <w:tc>
          <w:tcPr>
            <w:tcW w:w="2360" w:type="dxa"/>
            <w:vAlign w:val="bottom"/>
            <w:gridSpan w:val="2"/>
          </w:tcPr>
          <w:p>
            <w:pPr>
              <w:ind w:left="2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 (c)</w:t>
            </w:r>
          </w:p>
        </w:tc>
        <w:tc>
          <w:tcPr>
            <w:tcW w:w="236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Automotive interest expense (d)</w:t>
            </w:r>
          </w:p>
        </w:tc>
        <w:tc>
          <w:tcPr>
            <w:tcW w:w="2360" w:type="dxa"/>
            <w:vAlign w:val="bottom"/>
            <w:gridSpan w:val="2"/>
          </w:tcPr>
          <w:p>
            <w:pPr>
              <w:ind w:left="2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8"/>
                <w:szCs w:val="18"/>
                <w:color w:val="auto"/>
              </w:rPr>
            </w:pP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Servicing expense (e)</w:t>
            </w:r>
          </w:p>
        </w:tc>
        <w:tc>
          <w:tcPr>
            <w:tcW w:w="236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318"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Primarily represents the increase (reduction) in Total net sales and revenue for marketing incentives on vehicles which were sold, or anticipated to be sold, to customers or dealers and financed by Ally Financial. This includes the estimated amount of residual support accrued under residual support and risk sharing programs, rate support under the interest rate support programs, operating lease and finance receivable capitalized cost reduction incentives paid to Ally Financial to reduce the capitalized cost in automotive lease contracts and retail automotive contracts, and costs under lease pull-ahead programs. This amount is offset by net sales for vehicles sold to Ally Financial for employee and governmental lease programs and third party resale purposes.</w:t>
      </w:r>
    </w:p>
    <w:p>
      <w:pPr>
        <w:spacing w:after="0" w:line="18" w:lineRule="exact"/>
        <w:rPr>
          <w:rFonts w:ascii="Arial" w:cs="Arial" w:eastAsia="Arial" w:hAnsi="Arial"/>
          <w:sz w:val="15"/>
          <w:szCs w:val="15"/>
          <w:color w:val="auto"/>
        </w:rPr>
      </w:pPr>
    </w:p>
    <w:p>
      <w:pPr>
        <w:ind w:left="460" w:right="18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Primarily represents cost of sales on the sale of vehicles to Ally Financial for employee and governmental lease programs and third party resale purposes. Also includes miscellaneous expenses on services performed by Ally Financial.</w:t>
      </w:r>
    </w:p>
    <w:p>
      <w:pPr>
        <w:spacing w:after="0" w:line="50" w:lineRule="exact"/>
        <w:rPr>
          <w:rFonts w:ascii="Arial" w:cs="Arial" w:eastAsia="Arial" w:hAnsi="Arial"/>
          <w:sz w:val="18"/>
          <w:szCs w:val="18"/>
          <w:color w:val="auto"/>
        </w:rPr>
      </w:pPr>
    </w:p>
    <w:p>
      <w:pPr>
        <w:jc w:val="both"/>
        <w:ind w:left="460" w:right="16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income on investments in Ally Financial preferred stock, exclusivity fees, royalties and reimbursements by Ally Financial for certain services provided to Ally Financial. Included in this amount is rental income related to Ally Financial’s primary executive and administrative offices located in the Renaissance Center in Detroit, Michigan. The lease agreement expires in November 2016.</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interest incurred on term loans, notes payable and wholesale settlements.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servicing fees paid to Ally Financial on certain automotive retail leases.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Segment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177"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We design, build and sell cars, trucks and parts worldwide. We also conduct our automotive finance operations through GM Financial. We manage our operations through our five segments: GMNA, GME, GMIO, GMSA and GM Financial. Each segment has a manager responsible for executing our strategies. Our automotive manufacturing operations are integrated within the segments, benefit from broad-based trade agreements and are subject to regulatory requirements, such as Corporate Average Fuel Economy (CAFE) regulations. While not all vehicles within a segment are individually profitable on a fully loaded cost basis, those vehicles are needed in our product mix in order to attract customers to dealer showrooms and to maintain sales volumes for other, more profitable vehicles. Because of these factors, we do not manage our business on an individual brand or vehicle basis. The chief operating decision maker evaluates the operating results and performance of our automotive segments through Income (loss) before interest and income taxes and evaluates GM Financial through Income (loss) before income taxes.</w:t>
      </w:r>
    </w:p>
    <w:p>
      <w:pPr>
        <w:spacing w:after="0" w:line="118"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32" w:lineRule="exact"/>
        <w:rPr>
          <w:sz w:val="20"/>
          <w:szCs w:val="20"/>
          <w:color w:val="auto"/>
        </w:rPr>
      </w:pPr>
    </w:p>
    <w:p>
      <w:pPr>
        <w:ind w:right="220" w:firstLine="228"/>
        <w:spacing w:after="0" w:line="298" w:lineRule="auto"/>
        <w:rPr>
          <w:sz w:val="20"/>
          <w:szCs w:val="20"/>
          <w:color w:val="auto"/>
        </w:rPr>
      </w:pPr>
      <w:r>
        <w:rPr>
          <w:rFonts w:ascii="Arial" w:cs="Arial" w:eastAsia="Arial" w:hAnsi="Arial"/>
          <w:sz w:val="16"/>
          <w:szCs w:val="16"/>
          <w:color w:val="auto"/>
        </w:rPr>
        <w:t>In addition to the products sold to dealers for consumer retail sales, cars and trucks are also sold to fleet customers, including daily rental car companies, commercial fleet customers, leasing companies and governments. Sales to fleet customers are completed 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GMNA primarily meets the demands of customers in North America with vehicles developed, manufactured and/or marketed under the following four brands:</w:t>
      </w:r>
    </w:p>
    <w:p>
      <w:pPr>
        <w:spacing w:after="0" w:line="235" w:lineRule="exact"/>
        <w:rPr>
          <w:sz w:val="20"/>
          <w:szCs w:val="20"/>
          <w:color w:val="auto"/>
        </w:rPr>
      </w:pPr>
    </w:p>
    <w:p>
      <w:pPr>
        <w:ind w:left="260"/>
        <w:spacing w:after="0"/>
        <w:tabs>
          <w:tab w:leader="none" w:pos="520" w:val="left"/>
          <w:tab w:leader="none" w:pos="3440" w:val="left"/>
          <w:tab w:leader="none" w:pos="3720" w:val="left"/>
          <w:tab w:leader="none" w:pos="6320" w:val="left"/>
          <w:tab w:leader="none" w:pos="6600" w:val="left"/>
          <w:tab w:leader="none" w:pos="9160" w:val="left"/>
          <w:tab w:leader="none" w:pos="944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tab/>
        <w:t>Chevrolet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GMC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459" w:right="239" w:bottom="1440" w:gutter="0" w:footer="0" w:header="0"/>
        </w:sect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Buick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Daewoo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GMC</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Holden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Isuzu</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Opel</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Vauxhall</w:t>
      </w:r>
    </w:p>
    <w:p>
      <w:pPr>
        <w:spacing w:after="0" w:line="31" w:lineRule="exact"/>
        <w:rPr>
          <w:sz w:val="20"/>
          <w:szCs w:val="20"/>
          <w:color w:val="auto"/>
        </w:rPr>
      </w:pPr>
    </w:p>
    <w:p>
      <w:pPr>
        <w:sectPr>
          <w:pgSz w:w="11900" w:h="16838" w:orient="portrait"/>
          <w:cols w:equalWidth="0" w:num="8">
            <w:col w:w="320" w:space="220"/>
            <w:col w:w="2200" w:space="720"/>
            <w:col w:w="60" w:space="220"/>
            <w:col w:w="1880" w:space="720"/>
            <w:col w:w="60" w:space="220"/>
            <w:col w:w="1840" w:space="720"/>
            <w:col w:w="60" w:space="220"/>
            <w:col w:w="1960"/>
          </w:cols>
          <w:pgMar w:left="240" w:top="459" w:right="239" w:bottom="1440" w:gutter="0" w:footer="0" w:header="0"/>
          <w:type w:val="continuous"/>
        </w:sectPr>
      </w:pPr>
    </w:p>
    <w:p>
      <w:pPr>
        <w:ind w:left="540" w:hanging="273"/>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Chevrolet</w:t>
      </w:r>
    </w:p>
    <w:p>
      <w:pPr>
        <w:spacing w:after="0" w:line="165" w:lineRule="exact"/>
        <w:rPr>
          <w:sz w:val="20"/>
          <w:szCs w:val="20"/>
          <w:color w:val="auto"/>
        </w:rPr>
      </w:pPr>
    </w:p>
    <w:p>
      <w:pPr>
        <w:ind w:right="320" w:firstLine="228"/>
        <w:spacing w:after="0" w:line="268" w:lineRule="auto"/>
        <w:rPr>
          <w:sz w:val="20"/>
          <w:szCs w:val="20"/>
          <w:color w:val="auto"/>
        </w:rPr>
      </w:pPr>
      <w:r>
        <w:rPr>
          <w:rFonts w:ascii="Arial" w:cs="Arial" w:eastAsia="Arial" w:hAnsi="Arial"/>
          <w:sz w:val="18"/>
          <w:szCs w:val="18"/>
          <w:color w:val="auto"/>
        </w:rPr>
        <w:t>At March 31, 2011 we also had equity ownership stakes directly or indirectly in entities through various regional subsidiaries, including GM Korea, SGM, SGMW, FAW-GM and HKJV. These companies design, manufacture and market vehicles under the following brands:</w:t>
      </w:r>
    </w:p>
    <w:p>
      <w:pPr>
        <w:sectPr>
          <w:pgSz w:w="11900" w:h="16838" w:orient="portrait"/>
          <w:cols w:equalWidth="0" w:num="1">
            <w:col w:w="11420"/>
          </w:cols>
          <w:pgMar w:left="240" w:top="459" w:right="239" w:bottom="1440" w:gutter="0" w:footer="0" w:header="0"/>
          <w:type w:val="continuous"/>
        </w:sectPr>
      </w:pPr>
    </w:p>
    <w:p>
      <w:pPr>
        <w:spacing w:after="0" w:line="17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Alpheon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Daewoo</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Wuling</w:t>
      </w:r>
    </w:p>
    <w:p>
      <w:pPr>
        <w:spacing w:after="0" w:line="38" w:lineRule="exact"/>
        <w:rPr>
          <w:sz w:val="20"/>
          <w:szCs w:val="20"/>
          <w:color w:val="auto"/>
        </w:rPr>
      </w:pPr>
    </w:p>
    <w:p>
      <w:pPr>
        <w:sectPr>
          <w:pgSz w:w="11900" w:h="16838" w:orient="portrait"/>
          <w:cols w:equalWidth="0" w:num="8">
            <w:col w:w="320" w:space="220"/>
            <w:col w:w="2200" w:space="720"/>
            <w:col w:w="60" w:space="220"/>
            <w:col w:w="1880" w:space="720"/>
            <w:col w:w="60" w:space="220"/>
            <w:col w:w="1840" w:space="720"/>
            <w:col w:w="60" w:space="220"/>
            <w:col w:w="1960"/>
          </w:cols>
          <w:pgMar w:left="240" w:top="459" w:right="239" w:bottom="1440" w:gutter="0" w:footer="0" w:header="0"/>
          <w:type w:val="continuous"/>
        </w:sectPr>
      </w:pPr>
    </w:p>
    <w:p>
      <w:pPr>
        <w:ind w:left="2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Buick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Jiefang</w:t>
      </w:r>
    </w:p>
    <w:p>
      <w:pPr>
        <w:spacing w:after="0" w:line="199" w:lineRule="exact"/>
        <w:rPr>
          <w:sz w:val="20"/>
          <w:szCs w:val="20"/>
          <w:color w:val="auto"/>
        </w:rPr>
      </w:pPr>
    </w:p>
    <w:p>
      <w:pPr>
        <w:sectPr>
          <w:pgSz w:w="11900" w:h="16838" w:orient="portrait"/>
          <w:cols w:equalWidth="0" w:num="6">
            <w:col w:w="320" w:space="220"/>
            <w:col w:w="2200" w:space="720"/>
            <w:col w:w="60" w:space="220"/>
            <w:col w:w="1880" w:space="720"/>
            <w:col w:w="60" w:space="220"/>
            <w:col w:w="4800"/>
          </w:cols>
          <w:pgMar w:left="240" w:top="459" w:right="239" w:bottom="1440" w:gutter="0" w:footer="0" w:header="0"/>
          <w:type w:val="continuous"/>
        </w:sectPr>
      </w:pPr>
    </w:p>
    <w:p>
      <w:pPr>
        <w:ind w:right="340" w:firstLine="228"/>
        <w:spacing w:after="0" w:line="268" w:lineRule="auto"/>
        <w:rPr>
          <w:sz w:val="20"/>
          <w:szCs w:val="20"/>
          <w:color w:val="auto"/>
        </w:rPr>
      </w:pPr>
      <w:r>
        <w:rPr>
          <w:rFonts w:ascii="Arial" w:cs="Arial" w:eastAsia="Arial" w:hAnsi="Arial"/>
          <w:sz w:val="18"/>
          <w:szCs w:val="18"/>
          <w:color w:val="auto"/>
        </w:rPr>
        <w:t>Nonsegment operations are classified as Corporate. Corporate includes investments in Ally Financial, certain centrally recorded income and costs, such as interest, income taxes and corporate expenditures and certain nonsegment specific revenues and expenses.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intersegment balances and transactions have been eliminated in consolidation.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GM</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GME</w:t>
            </w: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GMIO</w:t>
            </w: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GMSA</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Automotive</w:t>
            </w:r>
          </w:p>
        </w:tc>
        <w:tc>
          <w:tcPr>
            <w:tcW w:w="2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Financial (a)</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At and For the Three Months</w:t>
            </w: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Ended March 31, 2011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Sales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GM Financial revenue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Intersegment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Other automotive revenue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gridSpan w:val="3"/>
            <w:vMerge w:val="restart"/>
          </w:tcPr>
          <w:p>
            <w:pPr>
              <w:spacing w:after="0"/>
              <w:rPr>
                <w:sz w:val="20"/>
                <w:szCs w:val="20"/>
                <w:color w:val="auto"/>
              </w:rPr>
            </w:pPr>
            <w:r>
              <w:rPr>
                <w:rFonts w:ascii="Arial" w:cs="Arial" w:eastAsia="Arial" w:hAnsi="Arial"/>
                <w:sz w:val="18"/>
                <w:szCs w:val="18"/>
                <w:color w:val="auto"/>
              </w:rPr>
              <w:t>Income (loss) before interest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3,395</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interest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Automotive interest expense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gridSpan w:val="3"/>
            <w:vMerge w:val="restart"/>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gridSpan w:val="3"/>
            <w:vMerge w:val="restart"/>
          </w:tcPr>
          <w:p>
            <w:pPr>
              <w:spacing w:after="0"/>
              <w:rPr>
                <w:sz w:val="20"/>
                <w:szCs w:val="20"/>
                <w:color w:val="auto"/>
              </w:rPr>
            </w:pPr>
            <w:r>
              <w:rPr>
                <w:rFonts w:ascii="Arial" w:cs="Arial" w:eastAsia="Arial" w:hAnsi="Arial"/>
                <w:sz w:val="18"/>
                <w:szCs w:val="18"/>
                <w:color w:val="auto"/>
              </w:rPr>
              <w:t>Equity in net assets of</w:t>
            </w: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nonconsolidated affiliates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6,876</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6,937</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76,575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18,660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39,219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(33,994)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134,416</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11,609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Expenditures for property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1,322</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amortization and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of long- lived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finite-lived intangible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4"/>
              </w:rPr>
              <w:t>Equity income, net of tax and gain on</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disposal of investments (b)</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2,144</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Significant non-cash charges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Impairment charges related to</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ind w:left="600"/>
              <w:spacing w:after="0"/>
              <w:rPr>
                <w:sz w:val="20"/>
                <w:szCs w:val="20"/>
                <w:color w:val="auto"/>
              </w:rPr>
            </w:pPr>
            <w:r>
              <w:rPr>
                <w:rFonts w:ascii="Arial" w:cs="Arial" w:eastAsia="Arial" w:hAnsi="Arial"/>
                <w:sz w:val="18"/>
                <w:szCs w:val="18"/>
                <w:color w:val="auto"/>
              </w:rPr>
              <w:t>product-specific tooling</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gridSpan w:val="2"/>
          </w:tcPr>
          <w:p>
            <w:pPr>
              <w:ind w:left="420"/>
              <w:spacing w:after="0"/>
              <w:rPr>
                <w:sz w:val="20"/>
                <w:szCs w:val="20"/>
                <w:color w:val="auto"/>
              </w:rPr>
            </w:pPr>
            <w:r>
              <w:rPr>
                <w:rFonts w:ascii="Arial" w:cs="Arial" w:eastAsia="Arial" w:hAnsi="Arial"/>
                <w:sz w:val="18"/>
                <w:szCs w:val="18"/>
                <w:color w:val="auto"/>
              </w:rPr>
              <w:t>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charges related to</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vehicles leased to rental car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companies</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Impairment charges related to</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charges related to</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in HKJV</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gridSpan w:val="3"/>
            <w:vMerge w:val="restart"/>
          </w:tcPr>
          <w:p>
            <w:pPr>
              <w:spacing w:after="0"/>
              <w:rPr>
                <w:sz w:val="20"/>
                <w:szCs w:val="20"/>
                <w:color w:val="auto"/>
              </w:rPr>
            </w:pPr>
            <w:r>
              <w:rPr>
                <w:rFonts w:ascii="Arial" w:cs="Arial" w:eastAsia="Arial" w:hAnsi="Arial"/>
                <w:sz w:val="18"/>
                <w:szCs w:val="18"/>
                <w:color w:val="auto"/>
              </w:rPr>
              <w:t>Total significant non-cash charges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4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499</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400" w:hanging="332"/>
        <w:spacing w:after="0" w:line="259"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financial information presented for our GM Financial segment includes adjustments made to increase Income tax expense and decrease Net income (loss) attributable to stockholders by $18 million and decrease Total assets by $1 million to record the effect of changes in the valuation allowance on deferred tax assets that were not applicable to GM Financial on a stand-alone basis.</w:t>
      </w:r>
    </w:p>
    <w:p>
      <w:pPr>
        <w:spacing w:after="0" w:line="59" w:lineRule="exact"/>
        <w:rPr>
          <w:rFonts w:ascii="Arial" w:cs="Arial" w:eastAsia="Arial" w:hAnsi="Arial"/>
          <w:sz w:val="18"/>
          <w:szCs w:val="18"/>
          <w:color w:val="auto"/>
        </w:rPr>
      </w:pPr>
    </w:p>
    <w:p>
      <w:pPr>
        <w:ind w:left="340" w:right="160" w:hanging="332"/>
        <w:spacing w:after="0" w:line="268"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 gain of $1.6 billion recorded on the sale of our New Delphi Class A Membership Interests. Refer to Note 8 for additional information on the sale of New Delphi.</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GMNA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GME</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GMIO</w:t>
            </w:r>
          </w:p>
        </w:tc>
        <w:tc>
          <w:tcPr>
            <w:tcW w:w="3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GMSA</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6"/>
              </w:rPr>
              <w:t>Automotive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March 31, 2010</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Sales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18,508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5,374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4,268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3,272</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automotive revenue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Total net sales and revenue</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2"/>
            <w:vMerge w:val="continue"/>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19,286</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5,461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4,985</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3,324</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interest and income taxes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Corporate interest income</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90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337</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stockholders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(865)</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Expenditures for property</w:t>
            </w: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477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178</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8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4"/>
              </w:rPr>
              <w:t>Depreciation, amortization and impairment of long-lived assets and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finite-lived intangible assets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Equity income, net of tax and gain on disposal of investments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520" w:firstLine="3534"/>
        <w:spacing w:after="0" w:line="497" w:lineRule="auto"/>
        <w:rPr>
          <w:sz w:val="20"/>
          <w:szCs w:val="20"/>
          <w:color w:val="auto"/>
        </w:rPr>
      </w:pPr>
      <w:r>
        <w:rPr>
          <w:rFonts w:ascii="Arial" w:cs="Arial" w:eastAsia="Arial" w:hAnsi="Arial"/>
          <w:sz w:val="16"/>
          <w:szCs w:val="16"/>
          <w:b w:val="1"/>
          <w:bCs w:val="1"/>
          <w:color w:val="auto"/>
        </w:rPr>
        <w:t>GENERAL MOTORS COMPANY AND SUBSIDIARIES Item 2. Management’s Discussion and Analysis of Financial Condition and Results of Operations</w:t>
      </w:r>
    </w:p>
    <w:p>
      <w:pPr>
        <w:ind w:firstLine="228"/>
        <w:spacing w:after="0" w:line="259"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 General Motors Corporation is sometimes referred to in this Quarterly Report on Form 10-Q, for the periods on or before July 9, 2009, as “Old GM.”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and Estimates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This Management’s Discussion and Analysis of Financial Condition and Results of Operations (MD&amp;A) should be read in conjunction with the accompanying condensed consolidated financial statements and the consolidated financial statements and notes thereto included in our Annual Report on Form 10-K for the year ended December 31, 2010 (2010 Form 10-K), as filed with the Securities and Exchange Commission (SEC).</w:t>
      </w:r>
    </w:p>
    <w:p>
      <w:pPr>
        <w:spacing w:after="0" w:line="107"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We analyze the results of our business through our five segments, namely GM North America (GMNA), GM Europe (GME), GM International Operations (GMIO), GM South America (GMSA) and General Motors Financial Company, Inc.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43"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Consistent with industry practice, market share information includes estimates of industry sales in certain countries where public reporting is not legally required or otherwise available on a consistent basis.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 in the Preparation of the Financial Statements</w:t>
      </w:r>
    </w:p>
    <w:p>
      <w:pPr>
        <w:spacing w:after="0" w:line="171" w:lineRule="exact"/>
        <w:rPr>
          <w:sz w:val="20"/>
          <w:szCs w:val="20"/>
          <w:color w:val="auto"/>
        </w:rPr>
      </w:pPr>
    </w:p>
    <w:p>
      <w:pPr>
        <w:ind w:right="180" w:firstLine="228"/>
        <w:spacing w:after="0" w:line="255" w:lineRule="auto"/>
        <w:rPr>
          <w:sz w:val="20"/>
          <w:szCs w:val="20"/>
          <w:color w:val="auto"/>
        </w:rPr>
      </w:pPr>
      <w:r>
        <w:rPr>
          <w:rFonts w:ascii="Arial" w:cs="Arial" w:eastAsia="Arial" w:hAnsi="Arial"/>
          <w:sz w:val="18"/>
          <w:szCs w:val="18"/>
          <w:color w:val="auto"/>
        </w:rPr>
        <w:t>The condensed consolidated financial statements are prepared in conformity with U.S. GAAP, which requires the use of estimates, judgments, and assumptions that affect the reported amounts of assets and liabilities at the date of the condensed consolidated financial statements and the reported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Period Financial Statements Conformed to Current Period Presentation</w:t>
      </w:r>
    </w:p>
    <w:p>
      <w:pPr>
        <w:spacing w:after="0" w:line="171"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In the three months ended March 31, 2011 we have recorded foreign currency exchange gains and losses on debt as non-operating items. This is a change from prior period presentations in which foreign currency exchange gains and losses on debt were recorded in Automotive cost of sales. We have reclassified the prior periods to conform to our current presentation. The effects of this reclassification will decrease Automotive cost of sales and Interest income and other non-operating income, net by $34 million from July 10, 2009 through December 31, 2009 and $38 million in the quarter ended March 31, 2010 while increasing Automotive cost of sales and Interest income and other non-operating income, net by $107 million for the year ended December 31, 2010.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Company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Automotive</w:t>
      </w:r>
    </w:p>
    <w:p>
      <w:pPr>
        <w:spacing w:after="0" w:line="171"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We are a leading global automotive company. Our vision is to design, build and sell the world’s best vehicles. We seek to distinguish our vehicles through superior design, quality, reliability, telematics (wireless voice and data) and infotainment and safety within their respective segments. Our business is diversified across products and geographic markets. With a global network of independent dealers we meet the local sales and service needs of our retail and fleet customers. In the three months ended March 31, 2011 73.3% of our vehicle sales volume was generated outside the United States, including 44.5% from emerging markets, such as Brazil, Russia, India and China (collectively BRIC), which have experienced the industry’s highest volume growth.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540" w:firstLine="3306"/>
        <w:spacing w:after="0" w:line="514" w:lineRule="auto"/>
        <w:rPr>
          <w:sz w:val="20"/>
          <w:szCs w:val="20"/>
          <w:color w:val="auto"/>
        </w:rPr>
      </w:pPr>
      <w:r>
        <w:rPr>
          <w:rFonts w:ascii="Arial" w:cs="Arial" w:eastAsia="Arial" w:hAnsi="Arial"/>
          <w:sz w:val="16"/>
          <w:szCs w:val="16"/>
          <w:b w:val="1"/>
          <w:bCs w:val="1"/>
          <w:color w:val="auto"/>
        </w:rPr>
        <w:t xml:space="preserve">GENERAL MOTORS COMPANY AND SUBSIDIARIES </w:t>
      </w:r>
      <w:r>
        <w:rPr>
          <w:rFonts w:ascii="Arial" w:cs="Arial" w:eastAsia="Arial" w:hAnsi="Arial"/>
          <w:sz w:val="16"/>
          <w:szCs w:val="16"/>
          <w:color w:val="auto"/>
        </w:rPr>
        <w:t>Our automotive business is organized into four geographically-based segments:</w:t>
      </w:r>
    </w:p>
    <w:p>
      <w:pPr>
        <w:spacing w:after="0" w:line="1" w:lineRule="exact"/>
        <w:rPr>
          <w:sz w:val="20"/>
          <w:szCs w:val="20"/>
          <w:color w:val="auto"/>
        </w:rPr>
      </w:pPr>
    </w:p>
    <w:p>
      <w:pPr>
        <w:ind w:left="660" w:hanging="436"/>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GMNA, with sales, manufacturing and distribution operations in the U.S., Canada and Mexico and distribution operations in Central America and the Caribbean, represented 30.8% of our vehicle sales volume in the three months ended March 31, 2011. In the three months ended March 31, 2011 GMNA had the largest market share of any competitor in this market at 18.3%.</w:t>
      </w:r>
    </w:p>
    <w:p>
      <w:pPr>
        <w:spacing w:after="0" w:line="59" w:lineRule="exact"/>
        <w:rPr>
          <w:rFonts w:ascii="Arial" w:cs="Arial" w:eastAsia="Arial" w:hAnsi="Arial"/>
          <w:sz w:val="18"/>
          <w:szCs w:val="18"/>
          <w:color w:val="auto"/>
        </w:rPr>
      </w:pPr>
    </w:p>
    <w:p>
      <w:pPr>
        <w:ind w:left="660" w:right="60" w:hanging="436"/>
        <w:spacing w:after="0" w:line="29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GME has sales, manufacturing and distribution operations across Western and Central Europe. GME’s vehicle sales volume, which in addition to Western and Central Europe, includes Russia, the other members of the Commonwealth of Independent States and Eastern Europe represented 19.5% of our vehicle sales volume in the three months ended March 31, 2011. In Western and Central Europe, we sell our vehicles under the Opel and Vauxhall (U.K. only) brands, which are manufactured in Europe and under the Chevrolet brand, which is imported from South Korea where it is manufactured by GM Korea Company, formerly GM Daewoo Auto &amp; Technology Co. (GM Korea) of which we own 77.0%. In the three months ended March 31, 2011 GME had the number four market share in this market at 8.6%.</w:t>
      </w:r>
    </w:p>
    <w:p>
      <w:pPr>
        <w:spacing w:after="0" w:line="39" w:lineRule="exact"/>
        <w:rPr>
          <w:rFonts w:ascii="Arial" w:cs="Arial" w:eastAsia="Arial" w:hAnsi="Arial"/>
          <w:sz w:val="16"/>
          <w:szCs w:val="16"/>
          <w:color w:val="auto"/>
        </w:rPr>
      </w:pPr>
    </w:p>
    <w:p>
      <w:pPr>
        <w:ind w:left="660" w:right="300" w:hanging="436"/>
        <w:spacing w:after="0" w:line="290"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GMIO has sales, manufacturing and distribution operations in Asia-Pacific, Russia, the other members of the Commonwealth of Independent States, Eastern Europe, Africa and the Middle East. GMIO’s vehicle sales volume, which includes Asia-Pacific, Africa and the Middle East is our largest segment by vehicle sales volume and represented 38.5% of our vehicle sales volume including sales through our joint ventures in the three months ended March 31, 2011. In these regions, we sell our vehicles under the Alpheon, Buick, Cadillac, Chevrolet, Daewoo, GMC, Holden, Isuzu, Jiefang, Opel and Wuling brands, and we plan to commence sales under the Baojun brand in 2011. In the three months ended March 31, 2011 GMIO had the largest market share for this market at 9.2% and the number one market share in China. Of GMIO’s vehicle sales volume 80.2% is from China in the three months ended March 31, 2011.</w:t>
      </w:r>
    </w:p>
    <w:p>
      <w:pPr>
        <w:spacing w:after="0" w:line="37" w:lineRule="exact"/>
        <w:rPr>
          <w:rFonts w:ascii="Arial" w:cs="Arial" w:eastAsia="Arial" w:hAnsi="Arial"/>
          <w:sz w:val="16"/>
          <w:szCs w:val="16"/>
          <w:color w:val="auto"/>
        </w:rPr>
      </w:pPr>
    </w:p>
    <w:p>
      <w:pPr>
        <w:ind w:left="660" w:right="260" w:hanging="436"/>
        <w:spacing w:after="0" w:line="298"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GMSA, with sales, manufacturing and distribution operations in Brazil, Argentina, Colombia, Ecuador and Venezuela as well as sales activities in Bolivia, Chile, Paraguay, Peru and Uruguay represented 11.2% of our vehicle sales volume in the three months ended March 31, 2011. In the three months ended March 31, 2011 GMSA had the largest market share for this market at 18.8% and the number three market share in Brazil. Of GMSA’s vehicle sales volume 57.2% is from Brazil in the three months ended March 31, 2011.</w:t>
      </w:r>
    </w:p>
    <w:p>
      <w:pPr>
        <w:spacing w:after="0" w:line="113" w:lineRule="exact"/>
        <w:rPr>
          <w:sz w:val="20"/>
          <w:szCs w:val="20"/>
          <w:color w:val="auto"/>
        </w:rPr>
      </w:pPr>
    </w:p>
    <w:p>
      <w:pPr>
        <w:ind w:right="200" w:firstLine="228"/>
        <w:spacing w:after="0" w:line="259" w:lineRule="auto"/>
        <w:rPr>
          <w:sz w:val="20"/>
          <w:szCs w:val="20"/>
          <w:color w:val="auto"/>
        </w:rPr>
      </w:pPr>
      <w:r>
        <w:rPr>
          <w:rFonts w:ascii="Arial" w:cs="Arial" w:eastAsia="Arial" w:hAnsi="Arial"/>
          <w:sz w:val="18"/>
          <w:szCs w:val="18"/>
          <w:color w:val="auto"/>
        </w:rPr>
        <w:t>We offer a global vehicle portfolio of cars, crossovers and trucks. We are committed to leadership in vehicle design, quality, reliability, telematics and infotainment and safety, as well as to developing key energy efficiency, energy diversity and advanced propulsion technologies, including electric vehicles with range extending capabilities such as the Chevrolet Volt.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Automotive Financing</w:t>
      </w:r>
    </w:p>
    <w:p>
      <w:pPr>
        <w:spacing w:after="0" w:line="171"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GM Financial specializes in purchasing retail automobile installment sales contracts originated by franchised and select independent dealers in connection with the sale of used and new automobiles. GM Financial also offers lease products, in certain geographic markets, through GM franchised dealerships that targets customers with prime and near prime credit bureau scores. GM Financial generates revenue and cash flows primarily through the purchase, retention, subsequent securitization and servicing of finance receivables. To fund the acquisition of receivables prior to securitization, GM Financial uses available cash and borrowings under its credit facilities. GM Financial earns finance charge income on the finance receivables and pays interest expense on borrowings under its credit facilities. GM Financial periodically transfers receivables to securitization trusts that issue asset-backed securities to investors. The securitization trusts are special purpose entities that are also variable interest entities that meet the requirements to be consolidated in the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Management Initiatives</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execution of certain management initiatives is critical to continue the improvement in our results of operations and financial condition. These management initiatives are subsequently discussed.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New Delphi</w:t>
      </w:r>
    </w:p>
    <w:p>
      <w:pPr>
        <w:spacing w:after="0" w:line="171" w:lineRule="exact"/>
        <w:rPr>
          <w:sz w:val="20"/>
          <w:szCs w:val="20"/>
          <w:color w:val="auto"/>
        </w:rPr>
      </w:pPr>
    </w:p>
    <w:p>
      <w:pPr>
        <w:ind w:right="120" w:firstLine="228"/>
        <w:spacing w:after="0" w:line="306" w:lineRule="auto"/>
        <w:rPr>
          <w:sz w:val="20"/>
          <w:szCs w:val="20"/>
          <w:color w:val="auto"/>
        </w:rPr>
      </w:pPr>
      <w:r>
        <w:rPr>
          <w:rFonts w:ascii="Arial" w:cs="Arial" w:eastAsia="Arial" w:hAnsi="Arial"/>
          <w:sz w:val="16"/>
          <w:szCs w:val="16"/>
          <w:color w:val="auto"/>
        </w:rPr>
        <w:t>In March 2011 we sold our Class A Membership Interests in Delphi Automotive LLP (New Delphi) to New Delphi for $3.8 billion. The Class A Membership Interests sold represented 100% of our direct and indirect interests in New Delphi and 100% of New Delphi’s Class A Membership Interests issued and outstanding. We recorded a gain of $1.6 billion in the three months ended March 31, 2011 related to the sale.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Ally Financial Preferred Stock</w:t>
      </w:r>
    </w:p>
    <w:p>
      <w:pPr>
        <w:spacing w:after="0" w:line="171"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In March 2011 we sold 100% of our investment in Ally Financial preferred stock. The Ally Financial preferred stock was priced at a public offering price of $25.00 per share. After deducting the estimated underwriting discount and commissions, we received $1.0 billion in aggregate net proceeds. Upon completion of the offering, we no longer own any shares or receive any dividends related to the Ally Financial preferred stock. We recorded a gain of $0.3 billion in the three months ended March 31, 2011 related to the sale.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Focus on Chinese Market</w:t>
      </w:r>
    </w:p>
    <w:p>
      <w:pPr>
        <w:spacing w:after="0" w:line="171" w:lineRule="exact"/>
        <w:rPr>
          <w:sz w:val="20"/>
          <w:szCs w:val="20"/>
          <w:color w:val="auto"/>
        </w:rPr>
      </w:pPr>
    </w:p>
    <w:p>
      <w:pPr>
        <w:jc w:val="both"/>
        <w:ind w:right="280" w:firstLine="228"/>
        <w:spacing w:after="0" w:line="284" w:lineRule="auto"/>
        <w:rPr>
          <w:sz w:val="20"/>
          <w:szCs w:val="20"/>
          <w:color w:val="auto"/>
        </w:rPr>
      </w:pPr>
      <w:r>
        <w:rPr>
          <w:rFonts w:ascii="Arial" w:cs="Arial" w:eastAsia="Arial" w:hAnsi="Arial"/>
          <w:sz w:val="16"/>
          <w:szCs w:val="16"/>
          <w:color w:val="auto"/>
        </w:rPr>
        <w:t>We view the Chinese market, the fastest growing global market by volume of vehicles sold, as important to our global growth strategy and are employing a multi-brand strategy, led by our Buick division, which we believe is a strong brand in China. In the coming years, we plan to increasingly leverage our global architectures to increase the number of nameplates under the Chevrolet brand in China. Our China operations are composed of the following joint ventures:</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Shanghai General Motors Co., Ltd. (SGM); Shanghai GM (Shenyang) Norsom Motor Co., Ltd. (SGM Norsom); Shanghai GM Dong Yue Motors Co., Ltd. (SGM DY); Shanghai GM Dong Yue Powertrain (SGM DYPT); SAIC-GM-Wuling Automobile Co., Ltd. (SGMW); FAW-GM Light Duty Commercial Vehicle, Ltd. (FAW-GM); Pan Asia Technical Automotive Center Co., Ltd. (PATAC); Shanghai OnStar Telematics Co. Ltd. (Shanghai OnStar); and Shanghai Chengxin Used Car Operation and Management Co., Ltd. (Used Car JV), collectively (China JVs).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certain key operational and financial data for the China JVs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1"/>
              </w:rPr>
              <w:t>Three Months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52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Ended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5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March 31, 2011</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31, 2010</w:t>
            </w:r>
          </w:p>
        </w:tc>
        <w:tc>
          <w:tcPr>
            <w:tcW w:w="10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wholesale vehicles</w:t>
            </w: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685,583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623,536</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Market share</w:t>
            </w: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revenues</w:t>
            </w:r>
          </w:p>
        </w:tc>
        <w:tc>
          <w:tcPr>
            <w:tcW w:w="340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7,859</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100" w:type="dxa"/>
            <w:vAlign w:val="bottom"/>
            <w:shd w:val="clear" w:color="auto" w:fill="CCEEFF"/>
          </w:tcPr>
          <w:p>
            <w:pPr>
              <w:spacing w:after="0"/>
              <w:rPr>
                <w:sz w:val="18"/>
                <w:szCs w:val="18"/>
                <w:color w:val="auto"/>
              </w:rPr>
            </w:pP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3400" w:type="dxa"/>
            <w:vAlign w:val="bottom"/>
            <w:gridSpan w:val="2"/>
          </w:tcPr>
          <w:p>
            <w:pPr>
              <w:ind w:left="3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944</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r>
      <w:tr>
        <w:trPr>
          <w:trHeight w:val="358"/>
        </w:trPr>
        <w:tc>
          <w:tcPr>
            <w:tcW w:w="52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March 31, 2011</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0"/>
        </w:trPr>
        <w:tc>
          <w:tcPr>
            <w:tcW w:w="5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6,032</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100" w:type="dxa"/>
            <w:vAlign w:val="bottom"/>
            <w:shd w:val="clear" w:color="auto" w:fill="CCEEFF"/>
          </w:tcPr>
          <w:p>
            <w:pPr>
              <w:spacing w:after="0"/>
              <w:rPr>
                <w:sz w:val="18"/>
                <w:szCs w:val="18"/>
                <w:color w:val="auto"/>
              </w:rPr>
            </w:pP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Debt</w:t>
            </w:r>
          </w:p>
        </w:tc>
        <w:tc>
          <w:tcPr>
            <w:tcW w:w="3400" w:type="dxa"/>
            <w:vAlign w:val="bottom"/>
            <w:gridSpan w:val="2"/>
          </w:tcPr>
          <w:p>
            <w:pPr>
              <w:ind w:left="3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48</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In November 2010 we and Shanghai Automotive Industry Corporation (SAIC) entered into a non-binding Memorandum of Understanding (MOU) that would, if binding agreements are concluded by the parties, result in several strategic cooperation initiatives between us and SAIC. The initiatives covered by the MOU include:</w:t>
      </w:r>
    </w:p>
    <w:p>
      <w:pPr>
        <w:spacing w:after="0" w:line="181" w:lineRule="exact"/>
        <w:rPr>
          <w:sz w:val="20"/>
          <w:szCs w:val="20"/>
          <w:color w:val="auto"/>
        </w:rPr>
      </w:pPr>
    </w:p>
    <w:p>
      <w:pPr>
        <w:ind w:left="660" w:right="720" w:hanging="43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Cooperation in the development of new energy vehicles, such as appropriate electric vehicle architectures and battery electric vehicle technical development;</w:t>
      </w:r>
    </w:p>
    <w:p>
      <w:pPr>
        <w:spacing w:after="0" w:line="50" w:lineRule="exact"/>
        <w:rPr>
          <w:rFonts w:ascii="Arial" w:cs="Arial" w:eastAsia="Arial" w:hAnsi="Arial"/>
          <w:sz w:val="18"/>
          <w:szCs w:val="18"/>
          <w:color w:val="auto"/>
        </w:rPr>
      </w:pPr>
    </w:p>
    <w:p>
      <w:pPr>
        <w:ind w:left="660" w:right="620" w:hanging="43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Further expanding the role of PATAC in vehicle development, new technology development and participation in our global vehicle development process;</w:t>
      </w:r>
    </w:p>
    <w:p>
      <w:pPr>
        <w:spacing w:after="0" w:line="50" w:lineRule="exact"/>
        <w:rPr>
          <w:rFonts w:ascii="Arial" w:cs="Arial" w:eastAsia="Arial" w:hAnsi="Arial"/>
          <w:sz w:val="18"/>
          <w:szCs w:val="18"/>
          <w:color w:val="auto"/>
        </w:rPr>
      </w:pPr>
    </w:p>
    <w:p>
      <w:pPr>
        <w:ind w:left="660" w:right="680" w:hanging="43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Sharing an additional vehicle architecture and powertrain application with SAIC in an effort to help reduce development costs and benefit from economies of scale;</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cooperation in providing access to our distribution network outside China for certain of SAIC’s MG branded products;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660" w:hanging="43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Providing training sources to assist a limited number of SAIC engineers with their professional development;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Discussions to determine possible areas of cooperation in the development of future diesel engines.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MOU will expire on July 31, 2011.</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 Financing Strategy</w:t>
      </w:r>
    </w:p>
    <w:p>
      <w:pPr>
        <w:spacing w:after="0" w:line="171"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Our auto finance strategy centers around ensuring that our dealers and customers have consistently available, transparent and competitive financing options throughout the business and credit cycles.</w:t>
      </w:r>
    </w:p>
    <w:p>
      <w:pPr>
        <w:spacing w:after="0" w:line="132" w:lineRule="exact"/>
        <w:rPr>
          <w:sz w:val="20"/>
          <w:szCs w:val="20"/>
          <w:color w:val="auto"/>
        </w:rPr>
      </w:pPr>
    </w:p>
    <w:p>
      <w:pPr>
        <w:ind w:right="200" w:firstLine="228"/>
        <w:spacing w:after="0" w:line="306" w:lineRule="auto"/>
        <w:rPr>
          <w:sz w:val="20"/>
          <w:szCs w:val="20"/>
          <w:color w:val="auto"/>
        </w:rPr>
      </w:pPr>
      <w:r>
        <w:rPr>
          <w:rFonts w:ascii="Arial" w:cs="Arial" w:eastAsia="Arial" w:hAnsi="Arial"/>
          <w:sz w:val="16"/>
          <w:szCs w:val="16"/>
          <w:color w:val="auto"/>
        </w:rPr>
        <w:t>Historically Ally Financial has provided a majority of the financing for our dealers and a significant portion of the financing for our customers in the U.S., Canada, and other major international markets where we operate. Ally Financial has been our exclusive financing partner for incentivized retail financing programs in our major markets. Ally continues to provide the majority of the financing needs of our dealers and customers.</w:t>
      </w:r>
    </w:p>
    <w:p>
      <w:pPr>
        <w:spacing w:after="0" w:line="107"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The market disruption of 2008 and 2009 highlighted the need to ensure certainty of availability of credit throughout economic cycles in specific segments of the auto financing market. In the U.S. and Canada we identified leasing and sub-prime lending as underserved areas that could benefit from increased financing sources and competition. In 2009 we partnered with U.S. Bank to offer incentivized leasing programs and with GM Financial (formerly AmeriCredit Corp.) to offer incentivized sub-prime retail financing, in the U.S. We also partnered with TD Bank to offer incentivized retail financing programs in Canada.</w:t>
      </w:r>
    </w:p>
    <w:p>
      <w:pPr>
        <w:spacing w:after="0" w:line="113"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In October 2010 we acquired GM Financial to further bolster our offerings in the leasing and sub-prime financing segments in the U.S. and Canada. We believe that by having our own capabilities in key segments of the market we will be able to achieve more competition and better service from the market, while ensuring certainty of availability through the business cycles.</w:t>
      </w:r>
    </w:p>
    <w:p>
      <w:pPr>
        <w:spacing w:after="0" w:line="14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On April 1, 2011 GM Financial acquired FinanciaLinx Corporation, one of the largest independent leasing companies in Canada, to provide leasing to our customers throughout Canada. Given the importance of leasing and the current lack of availability of leasing offerings to our customers in the Canadian market (due to regulatory restrictions preventing banks and bank holding companies from offering leasing in Canada), we believe having a captive financing offering in Canada is strategically important to our business. GM Financial began originating leases for GM customers in Canada via FinanciaLinx Corporation in April 2011.</w:t>
      </w:r>
    </w:p>
    <w:p>
      <w:pPr>
        <w:spacing w:after="0" w:line="143"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We will continue to expand the business of GM Financial in targeted areas that we view as strategic and to otherwise evaluate opportunities in specific segments of the auto financing market, both in the United Stated and internationally. We expect any expansion of GM Financial or any arrangements with other financing providers will complement our important relationship with Ally Financial.</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Opel/Vauxhall Restructuring Activities</w:t>
      </w:r>
    </w:p>
    <w:p>
      <w:pPr>
        <w:spacing w:after="0" w:line="171"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Restructuring and early retirement programs in Spain, the U.K. and Belgium were essentially completed in 2010 and we also initiated a program in Germany in 2010. These programs had a total cost of $0.7 billion and affected a total of 4,500 employees and included the closure of the Antwerp, Belgium facility. We expect to incur an additional $0.5 billion, primarily in 2011 and 2012, to complete these programs, which will affect an additional 2,600 employees.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GMNA Production Volume</w:t>
      </w:r>
    </w:p>
    <w:p>
      <w:pPr>
        <w:spacing w:after="0" w:line="171"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The moderate improvement in the U.S. economy, resulting increase in U.S. industry vehicle sales and increase in demand for our products has resulted in increased production volumes for GMNA. In the three months ended March 31, 2011 GMNA produced 786,000 vehicles. This represents an increase of 17.7% compared to 668,000 vehicles in the three months ended March 31, 2010.</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U.S. Vehicle Sales</w:t>
      </w:r>
    </w:p>
    <w:p>
      <w:pPr>
        <w:spacing w:after="0" w:line="17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GMNA dealers in the U.S. sold 593,000 vehicles in the three months ended March 31, 2011. This represents an increase of 115,000 vehicles (or 24.1%) from our U.S. vehicle sales in the three months ended March 31, 2010. This increase reflects our brand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80"/>
          </w:cols>
          <w:pgMar w:left="240" w:top="459" w:right="3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rationalization strategy to focus our product engineering and design and marketing on our four brands. This strategy has resulted in increased consumer demand for certain products such as the Chevrolet Cruze, Chevrolet Equinox, GMC Terrain, Buick LaCrosse and Cadillac SRX. The moderate improvement in the U.S. economy has contributed to a slow but steady improvement in U.S. industry vehicle sales and increased consumer confidence.</w:t>
      </w:r>
    </w:p>
    <w:p>
      <w:pPr>
        <w:spacing w:after="0" w:line="107" w:lineRule="exact"/>
        <w:rPr>
          <w:sz w:val="20"/>
          <w:szCs w:val="20"/>
          <w:color w:val="auto"/>
        </w:rPr>
      </w:pPr>
    </w:p>
    <w:p>
      <w:pPr>
        <w:ind w:right="640" w:firstLine="228"/>
        <w:spacing w:after="0" w:line="438" w:lineRule="auto"/>
        <w:rPr>
          <w:sz w:val="20"/>
          <w:szCs w:val="20"/>
          <w:color w:val="auto"/>
        </w:rPr>
      </w:pPr>
      <w:r>
        <w:rPr>
          <w:rFonts w:ascii="Arial" w:cs="Arial" w:eastAsia="Arial" w:hAnsi="Arial"/>
          <w:sz w:val="18"/>
          <w:szCs w:val="18"/>
          <w:color w:val="auto"/>
        </w:rPr>
        <w:t xml:space="preserve">The continued increase in U.S. industry vehicle sales and the vehicle sales of our four brands is critical for us to maintain our worldwide profitability. </w:t>
      </w:r>
      <w:r>
        <w:rPr>
          <w:rFonts w:ascii="Arial" w:cs="Arial" w:eastAsia="Arial" w:hAnsi="Arial"/>
          <w:sz w:val="18"/>
          <w:szCs w:val="18"/>
          <w:b w:val="1"/>
          <w:bCs w:val="1"/>
          <w:color w:val="auto"/>
        </w:rPr>
        <w:t>Effect of Earthquake, Tsunami and Other Resulting Events in Japan</w:t>
      </w:r>
    </w:p>
    <w:p>
      <w:pPr>
        <w:spacing w:after="0" w:line="1" w:lineRule="exact"/>
        <w:rPr>
          <w:sz w:val="20"/>
          <w:szCs w:val="20"/>
          <w:color w:val="auto"/>
        </w:rPr>
      </w:pPr>
    </w:p>
    <w:p>
      <w:pPr>
        <w:ind w:right="260" w:firstLine="228"/>
        <w:spacing w:after="0" w:line="255" w:lineRule="auto"/>
        <w:rPr>
          <w:sz w:val="20"/>
          <w:szCs w:val="20"/>
          <w:color w:val="auto"/>
        </w:rPr>
      </w:pPr>
      <w:r>
        <w:rPr>
          <w:rFonts w:ascii="Arial" w:cs="Arial" w:eastAsia="Arial" w:hAnsi="Arial"/>
          <w:sz w:val="18"/>
          <w:szCs w:val="18"/>
          <w:color w:val="auto"/>
        </w:rPr>
        <w:t>Although we have no production facilities in Japan, and do not generate material revenues from Japan, we do consume materials and components for our global operations from suppliers located in Japan. Due to the earthquake and tsunami in Japan there have been shortages of materials and components from certain Japanese based suppliers. These shortages have minimally affected our vehicle production and resulted in us temporarily suspending production at one facility. We have managed these shortages by optimizing the usage of parts that are, or will be, in short supply, pursuing alternate suppliers and modifying production schedules.</w:t>
      </w:r>
    </w:p>
    <w:p>
      <w:pPr>
        <w:spacing w:after="0" w:line="143" w:lineRule="exact"/>
        <w:rPr>
          <w:sz w:val="20"/>
          <w:szCs w:val="20"/>
          <w:color w:val="auto"/>
        </w:rPr>
      </w:pPr>
    </w:p>
    <w:p>
      <w:pPr>
        <w:ind w:right="100" w:firstLine="228"/>
        <w:spacing w:after="0" w:line="332" w:lineRule="auto"/>
        <w:rPr>
          <w:sz w:val="20"/>
          <w:szCs w:val="20"/>
          <w:color w:val="auto"/>
        </w:rPr>
      </w:pPr>
      <w:r>
        <w:rPr>
          <w:rFonts w:ascii="Arial" w:cs="Arial" w:eastAsia="Arial" w:hAnsi="Arial"/>
          <w:sz w:val="16"/>
          <w:szCs w:val="16"/>
          <w:color w:val="auto"/>
        </w:rPr>
        <w:t>We are closely monitoring the events and progress in Japan and are prepared to adjust global production as needed. We believe that any lost production in the three months ending June 30, 2011 will be immaterial, and that any lost production in the year December 31, 2011 will be insignificant.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177"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Our Venezuelan subsidiaries changed their functional currency from Bolivar Fuerte (BsF), the local currency, to the U.S. Dollar, our reporting currency, on January 1, 2010 because of the hyperinflationary status of the Venezuelan economy. Pursuant to the official devaluation of the Venezuelan currency and establishment of the dual fixed exchange rates (essential rate of BsF 2.60 to $1.00 and nonessential rate of BsF 4.30 to $1.00) in January 2010, we remeasured the BsF denominated monetary assets and liabilities held by our Venezuelan subsidiaries at the nonessential rate of 4.30 BsF to $1.00. The remeasurement resulted in a charge of $25 million recorded in Automotive cost of sales in the three months ended March 31, 2010.</w:t>
      </w:r>
    </w:p>
    <w:p>
      <w:pPr>
        <w:spacing w:after="0" w:line="116" w:lineRule="exact"/>
        <w:rPr>
          <w:sz w:val="20"/>
          <w:szCs w:val="20"/>
          <w:color w:val="auto"/>
        </w:rPr>
      </w:pPr>
    </w:p>
    <w:p>
      <w:pPr>
        <w:ind w:right="220" w:firstLine="228"/>
        <w:spacing w:after="0" w:line="294" w:lineRule="auto"/>
        <w:rPr>
          <w:sz w:val="20"/>
          <w:szCs w:val="20"/>
          <w:color w:val="auto"/>
        </w:rPr>
      </w:pPr>
      <w:r>
        <w:rPr>
          <w:rFonts w:ascii="Arial" w:cs="Arial" w:eastAsia="Arial" w:hAnsi="Arial"/>
          <w:sz w:val="16"/>
          <w:szCs w:val="16"/>
          <w:color w:val="auto"/>
        </w:rPr>
        <w:t>In June 2010 the Venezuelan government introduced additional foreign currency exchange control regulations, which imposed restrictions on the use of the parallel foreign currency exchange market, thereby making it more difficult to convert BsF to U.S. Dollars. We periodically accessed the parallel exchange market, which historically enabled entities to obtain foreign currency for transactions that could not be processed by the Commission for the Administration of Currency Exchange (CADIVI). The restrictions on the foreign currency exchange market could affect our Venezuelan subsidiaries’ ability to pay non-BsF denominated obligations that do not qualify to be processed by CADIVI at the official exchange rates as well as our ability to benefit from those operations.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340" w:firstLine="228"/>
        <w:spacing w:after="0" w:line="256" w:lineRule="auto"/>
        <w:rPr>
          <w:sz w:val="20"/>
          <w:szCs w:val="20"/>
          <w:color w:val="auto"/>
        </w:rPr>
      </w:pPr>
      <w:r>
        <w:rPr>
          <w:rFonts w:ascii="Arial" w:cs="Arial" w:eastAsia="Arial" w:hAnsi="Arial"/>
          <w:sz w:val="18"/>
          <w:szCs w:val="18"/>
          <w:color w:val="auto"/>
        </w:rPr>
        <w:t>In December 2010 another official devaluation of the Venezuelan currency was announced that eliminated the essential rate effective January 1, 2011. The devaluation did not have an effect on the 2010 consolidated financial statements, however, it will affect results of operations in subsequent years because our Venezuelan subsidiaries will no longer realize gains that result from favorable foreign currency exchanges processed by CADIVI at the essential rate for the requests submitted subsequent to the devaluation date.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Three Months</w:t>
            </w:r>
          </w:p>
        </w:tc>
        <w:tc>
          <w:tcPr>
            <w:tcW w:w="34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Three Months</w:t>
            </w:r>
          </w:p>
        </w:tc>
      </w:tr>
      <w:tr>
        <w:trPr>
          <w:trHeight w:val="149"/>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March</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March</w:t>
            </w:r>
          </w:p>
        </w:tc>
      </w:t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4"/>
              </w:rPr>
              <w:t>31, 2011</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8"/>
              </w:rPr>
              <w:t>31, 2010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and revenue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Automotive 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35,879</w:t>
            </w:r>
          </w:p>
        </w:tc>
        <w:tc>
          <w:tcPr>
            <w:tcW w:w="4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31,422</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GM Financial revenue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Other automotive revenue</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net sales and revenue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31,476</w:t>
            </w:r>
          </w:p>
        </w:tc>
      </w:tr>
      <w:tr>
        <w:trPr>
          <w:trHeight w:val="22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Automotive cost of sales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27,553</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GM Financial operating and other expenses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Automotive selling, general and administrative expense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w:t>
            </w: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Other automotive expenses, net</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30,283</w:t>
            </w: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Goodwill impairment charges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w:t>
            </w: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Automotive interest expense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equity income</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net of tax and gain on disposal of investments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r>
      <w:tr>
        <w:trPr>
          <w:trHeight w:val="221"/>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r>
      <w:tr>
        <w:trPr>
          <w:trHeight w:val="221"/>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stockholders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dividends on preferred stock</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r>
      <w:tr>
        <w:trPr>
          <w:trHeight w:val="22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3,151</w:t>
            </w:r>
          </w:p>
        </w:tc>
        <w:tc>
          <w:tcPr>
            <w:tcW w:w="4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865</w:t>
            </w: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Production and Vehicle Sales Volume</w:t>
      </w:r>
    </w:p>
    <w:p>
      <w:pPr>
        <w:spacing w:after="0" w:line="171"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Management believes that production volume and vehicle sales data provide meaningful information regarding our automotive operating results. Production volumes manufactured by our assembly facilities are generally aligned with current period net sales and revenue, as we generally recognize revenue upon the release of the vehicle to the carrier responsible for transporting it to a dealer, which is shortly after the completion of production. Vehicle sales data, which includes retail and fleet sales, does not correlate directly to the revenue we recognize during the period. However, vehicle sales data is indicative of the underlying demand for our vehicles, and is the basis for our market share.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sales of new motor vehicles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6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Three Months</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11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6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Ended</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11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6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2"/>
              </w:rPr>
              <w:t>March</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March</w:t>
            </w:r>
          </w:p>
        </w:tc>
      </w:tr>
      <w:tr>
        <w:trPr>
          <w:trHeight w:val="161"/>
        </w:trPr>
        <w:tc>
          <w:tcPr>
            <w:tcW w:w="11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31, 2011</w:t>
            </w:r>
          </w:p>
        </w:tc>
        <w:tc>
          <w:tcPr>
            <w:tcW w:w="8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31, 2010</w:t>
            </w:r>
          </w:p>
        </w:tc>
        <w:tc>
          <w:tcPr>
            <w:tcW w:w="100" w:type="dxa"/>
            <w:vAlign w:val="bottom"/>
          </w:tcPr>
          <w:p>
            <w:pPr>
              <w:spacing w:after="0"/>
              <w:rPr>
                <w:sz w:val="14"/>
                <w:szCs w:val="14"/>
                <w:color w:val="auto"/>
              </w:rPr>
            </w:pPr>
          </w:p>
        </w:tc>
      </w:tr>
      <w:tr>
        <w:trPr>
          <w:trHeight w:val="210"/>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Volume (a)</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GMNA</w:t>
            </w:r>
          </w:p>
        </w:tc>
        <w:tc>
          <w:tcPr>
            <w:tcW w:w="820" w:type="dxa"/>
            <w:vAlign w:val="bottom"/>
          </w:tcPr>
          <w:p>
            <w:pPr>
              <w:jc w:val="right"/>
              <w:spacing w:after="0"/>
              <w:rPr>
                <w:sz w:val="20"/>
                <w:szCs w:val="20"/>
                <w:color w:val="auto"/>
              </w:rPr>
            </w:pPr>
            <w:r>
              <w:rPr>
                <w:rFonts w:ascii="Arial" w:cs="Arial" w:eastAsia="Arial" w:hAnsi="Arial"/>
                <w:sz w:val="18"/>
                <w:szCs w:val="18"/>
                <w:color w:val="auto"/>
              </w:rPr>
              <w:t>786</w:t>
            </w:r>
          </w:p>
        </w:tc>
        <w:tc>
          <w:tcPr>
            <w:tcW w:w="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GMIO (b)</w:t>
            </w:r>
          </w:p>
        </w:tc>
        <w:tc>
          <w:tcPr>
            <w:tcW w:w="820" w:type="dxa"/>
            <w:vAlign w:val="bottom"/>
          </w:tcPr>
          <w:p>
            <w:pPr>
              <w:jc w:val="right"/>
              <w:spacing w:after="0"/>
              <w:rPr>
                <w:sz w:val="20"/>
                <w:szCs w:val="20"/>
                <w:color w:val="auto"/>
              </w:rPr>
            </w:pPr>
            <w:r>
              <w:rPr>
                <w:rFonts w:ascii="Arial" w:cs="Arial" w:eastAsia="Arial" w:hAnsi="Arial"/>
                <w:sz w:val="18"/>
                <w:szCs w:val="18"/>
                <w:color w:val="auto"/>
              </w:rPr>
              <w:t>966</w:t>
            </w:r>
          </w:p>
        </w:tc>
        <w:tc>
          <w:tcPr>
            <w:tcW w:w="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8"/>
                <w:szCs w:val="18"/>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GMSA</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color w:val="auto"/>
              </w:rPr>
              <w:t>Worldwide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8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Production volume includes vehicles produced by certain joint ventures.</w:t>
      </w:r>
    </w:p>
    <w:p>
      <w:pPr>
        <w:spacing w:after="0" w:line="90" w:lineRule="exact"/>
        <w:rPr>
          <w:rFonts w:ascii="Arial" w:cs="Arial" w:eastAsia="Arial" w:hAnsi="Arial"/>
          <w:sz w:val="18"/>
          <w:szCs w:val="18"/>
          <w:color w:val="auto"/>
        </w:rPr>
      </w:pPr>
    </w:p>
    <w:p>
      <w:pPr>
        <w:ind w:left="460" w:right="38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joint venture agreements with SGMW (44%) in the three months ended March 31, 2011 and (34%) in the three months ended March 31, 2010 and FAW-GM (50%) allows for significant rights as a member as well as the contractual right to report SGMW and FAW-GM joint venture production in China.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300" w:type="dxa"/>
            <w:vAlign w:val="bottom"/>
          </w:tcPr>
          <w:p>
            <w:pPr>
              <w:spacing w:after="0"/>
              <w:rPr>
                <w:sz w:val="14"/>
                <w:szCs w:val="1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116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11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March 31, 2011</w:t>
            </w:r>
          </w:p>
        </w:tc>
        <w:tc>
          <w:tcPr>
            <w:tcW w:w="300" w:type="dxa"/>
            <w:vAlign w:val="bottom"/>
          </w:tcPr>
          <w:p>
            <w:pPr>
              <w:spacing w:after="0"/>
              <w:rPr>
                <w:sz w:val="14"/>
                <w:szCs w:val="14"/>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March 31, 2010 (a)(b)</w:t>
            </w:r>
          </w:p>
        </w:tc>
      </w:tr>
      <w:tr>
        <w:trPr>
          <w:trHeight w:val="129"/>
        </w:trPr>
        <w:tc>
          <w:tcPr>
            <w:tcW w:w="116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3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 % of</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 % of</w:t>
            </w:r>
          </w:p>
        </w:tc>
      </w:tr>
      <w:tr>
        <w:trPr>
          <w:trHeight w:val="161"/>
        </w:trPr>
        <w:tc>
          <w:tcPr>
            <w:tcW w:w="11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460" w:type="dxa"/>
            <w:vAlign w:val="bottom"/>
          </w:tcPr>
          <w:p>
            <w:pPr>
              <w:jc w:val="right"/>
              <w:ind w:right="21"/>
              <w:spacing w:after="0"/>
              <w:rPr>
                <w:sz w:val="20"/>
                <w:szCs w:val="20"/>
                <w:color w:val="auto"/>
              </w:rPr>
            </w:pPr>
            <w:r>
              <w:rPr>
                <w:rFonts w:ascii="Arial" w:cs="Arial" w:eastAsia="Arial" w:hAnsi="Arial"/>
                <w:sz w:val="14"/>
                <w:szCs w:val="14"/>
                <w:b w:val="1"/>
                <w:bCs w:val="1"/>
                <w:color w:val="auto"/>
              </w:rPr>
              <w:t>GM</w:t>
            </w:r>
          </w:p>
        </w:tc>
        <w:tc>
          <w:tcPr>
            <w:tcW w:w="3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30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Arial" w:cs="Arial" w:eastAsia="Arial" w:hAnsi="Arial"/>
                <w:sz w:val="14"/>
                <w:szCs w:val="14"/>
                <w:b w:val="1"/>
                <w:bCs w:val="1"/>
                <w:color w:val="auto"/>
              </w:rPr>
              <w:t>GM</w:t>
            </w:r>
          </w:p>
        </w:tc>
        <w:tc>
          <w:tcPr>
            <w:tcW w:w="3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 Sales (c)(d)(e)</w:t>
            </w: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GMNA</w:t>
            </w:r>
          </w:p>
        </w:tc>
        <w:tc>
          <w:tcPr>
            <w:tcW w:w="460" w:type="dxa"/>
            <w:vAlign w:val="bottom"/>
          </w:tcPr>
          <w:p>
            <w:pPr>
              <w:jc w:val="right"/>
              <w:spacing w:after="0"/>
              <w:rPr>
                <w:sz w:val="20"/>
                <w:szCs w:val="20"/>
                <w:color w:val="auto"/>
              </w:rPr>
            </w:pPr>
            <w:r>
              <w:rPr>
                <w:rFonts w:ascii="Arial" w:cs="Arial" w:eastAsia="Arial" w:hAnsi="Arial"/>
                <w:sz w:val="18"/>
                <w:szCs w:val="18"/>
                <w:color w:val="auto"/>
              </w:rPr>
              <w:t>684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GMIO (f)(g)</w:t>
            </w:r>
          </w:p>
        </w:tc>
        <w:tc>
          <w:tcPr>
            <w:tcW w:w="460" w:type="dxa"/>
            <w:vAlign w:val="bottom"/>
          </w:tcPr>
          <w:p>
            <w:pPr>
              <w:jc w:val="right"/>
              <w:spacing w:after="0"/>
              <w:rPr>
                <w:sz w:val="20"/>
                <w:szCs w:val="20"/>
                <w:color w:val="auto"/>
              </w:rPr>
            </w:pPr>
            <w:r>
              <w:rPr>
                <w:rFonts w:ascii="Arial" w:cs="Arial" w:eastAsia="Arial" w:hAnsi="Arial"/>
                <w:sz w:val="18"/>
                <w:szCs w:val="18"/>
                <w:color w:val="auto"/>
              </w:rPr>
              <w:t>855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GMSA</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color w:val="auto"/>
              </w:rPr>
              <w:t>Worldwide</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2,221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1,999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vehicle sales include Saab Automobile AB (Saab)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13"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GMNA vehicle sales primarily represent sales to the ultimate customer. GME, GMIO and GMSA vehicle sales primarily represent estimated sales to the ultimate customer. In countries where end customer data is not readily available other data sources, such as wholesale volumes, are used to estimate vehicle sales.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the following joint venture vehicle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Three Months</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2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Ended</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2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8"/>
              </w:rPr>
              <w:t>March 31, 2011</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March 31, 2010</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Joint venture vehicle sales in China</w:t>
            </w:r>
          </w:p>
        </w:tc>
        <w:tc>
          <w:tcPr>
            <w:tcW w:w="43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SGM</w:t>
            </w:r>
          </w:p>
        </w:tc>
        <w:tc>
          <w:tcPr>
            <w:tcW w:w="6220" w:type="dxa"/>
            <w:vAlign w:val="bottom"/>
            <w:gridSpan w:val="3"/>
          </w:tcPr>
          <w:p>
            <w:pPr>
              <w:jc w:val="right"/>
              <w:ind w:right="980"/>
              <w:spacing w:after="0"/>
              <w:rPr>
                <w:sz w:val="20"/>
                <w:szCs w:val="20"/>
                <w:color w:val="auto"/>
              </w:rPr>
            </w:pPr>
            <w:r>
              <w:rPr>
                <w:rFonts w:ascii="Arial" w:cs="Arial" w:eastAsia="Arial" w:hAnsi="Arial"/>
                <w:sz w:val="18"/>
                <w:szCs w:val="18"/>
                <w:color w:val="auto"/>
              </w:rPr>
              <w:t>310</w:t>
            </w:r>
          </w:p>
        </w:tc>
        <w:tc>
          <w:tcPr>
            <w:tcW w:w="9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SGMW and FAW-GM</w:t>
            </w:r>
          </w:p>
        </w:tc>
        <w:tc>
          <w:tcPr>
            <w:tcW w:w="622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376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Joint venture vehicle sales in India</w:t>
            </w:r>
          </w:p>
        </w:tc>
        <w:tc>
          <w:tcPr>
            <w:tcW w:w="4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SAIC GM Investment Limited (HKJV)</w:t>
            </w:r>
          </w:p>
        </w:tc>
        <w:tc>
          <w:tcPr>
            <w:tcW w:w="622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29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363"/>
        </w:trPr>
        <w:tc>
          <w:tcPr>
            <w:tcW w:w="4200" w:type="dxa"/>
            <w:vAlign w:val="bottom"/>
          </w:tcPr>
          <w:p>
            <w:pPr>
              <w:spacing w:after="0"/>
              <w:rPr>
                <w:sz w:val="24"/>
                <w:szCs w:val="24"/>
                <w:color w:val="auto"/>
              </w:rPr>
            </w:pPr>
          </w:p>
        </w:tc>
        <w:tc>
          <w:tcPr>
            <w:tcW w:w="4360" w:type="dxa"/>
            <w:vAlign w:val="bottom"/>
          </w:tcPr>
          <w:p>
            <w:pPr>
              <w:jc w:val="right"/>
              <w:ind w:right="2672"/>
              <w:spacing w:after="0"/>
              <w:rPr>
                <w:sz w:val="20"/>
                <w:szCs w:val="20"/>
                <w:color w:val="auto"/>
              </w:rPr>
            </w:pPr>
            <w:r>
              <w:rPr>
                <w:rFonts w:ascii="Arial" w:cs="Arial" w:eastAsia="Arial" w:hAnsi="Arial"/>
                <w:sz w:val="18"/>
                <w:szCs w:val="18"/>
                <w:color w:val="auto"/>
              </w:rPr>
              <w:t>56</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460" w:right="38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joint venture agreements with SGMW (44%) in the three months ended March 31, 2011 and (34%) in the three months ended March 31, 2010 and FAW-GM (50%) allow for significant rights as a member as well as the contractual right to report SGMW and FAW-GM joint venture vehicle sales in China as part of our global market share.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Reconciliation of Consolidated, Automotive and GM Financial Segment Results</w:t>
      </w:r>
    </w:p>
    <w:p>
      <w:pPr>
        <w:spacing w:after="0" w:line="171"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Management believes earnings before interest and taxes (EBIT) provides meaningful supplemental information regarding our automotive segments’ operating results because it excludes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between periods and among geographic regions. We believe EBIT is useful in allowing for greater transparency of our core operations and it is therefore used by management in its financial and operational decision-making.</w:t>
      </w:r>
    </w:p>
    <w:p>
      <w:pPr>
        <w:spacing w:after="0" w:line="116"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While management believes that EBIT provides useful information, it is not an operating measure under U.S. GAAP, and there are limitations associated with its use. Our calculation of EBIT may not be completely comparable to similarly titled measures of other companies due to potential differences between companies in the method of calculation. As a result, the use of EBIT has limitations and should not be considered in isolation from, or as a substitute for, other measures such as Net income (loss) or Net income (loss) attributable to common stockholders. Due to these limitations, EBIT is used as a supplement to U.S. GAAP measures.</w:t>
      </w:r>
    </w:p>
    <w:p>
      <w:pPr>
        <w:spacing w:after="0" w:line="143"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Management believes income (loss) before income taxes provides meaningful supplemental information regarding GM Financial’s operating results. GM Financial uses a separate measure from our automotive operations because management believes interest income and interest expense are part of operating results when assessing and measuring the operational and financial performance of the segment.</w:t>
      </w:r>
    </w:p>
    <w:p>
      <w:pPr>
        <w:spacing w:after="0" w:line="140" w:lineRule="exact"/>
        <w:rPr>
          <w:sz w:val="20"/>
          <w:szCs w:val="20"/>
          <w:color w:val="auto"/>
        </w:rPr>
      </w:pPr>
    </w:p>
    <w:p>
      <w:pPr>
        <w:ind w:right="720" w:firstLine="228"/>
        <w:spacing w:after="0" w:line="268" w:lineRule="auto"/>
        <w:rPr>
          <w:sz w:val="20"/>
          <w:szCs w:val="20"/>
          <w:color w:val="auto"/>
        </w:rPr>
      </w:pPr>
      <w:r>
        <w:rPr>
          <w:rFonts w:ascii="Arial" w:cs="Arial" w:eastAsia="Arial" w:hAnsi="Arial"/>
          <w:sz w:val="18"/>
          <w:szCs w:val="18"/>
          <w:color w:val="auto"/>
        </w:rPr>
        <w:t>The following table summarizes the reconciliation of our automotive segments EBIT and GM Financial’s income before income taxes to Net income attributable to stockholders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6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Three Months</w:t>
            </w:r>
          </w:p>
        </w:tc>
        <w:tc>
          <w:tcPr>
            <w:tcW w:w="140" w:type="dxa"/>
            <w:vAlign w:val="bottom"/>
          </w:tcPr>
          <w:p>
            <w:pPr>
              <w:spacing w:after="0"/>
              <w:rPr>
                <w:sz w:val="14"/>
                <w:szCs w:val="14"/>
                <w:color w:val="auto"/>
              </w:rPr>
            </w:pPr>
          </w:p>
        </w:tc>
        <w:tc>
          <w:tcPr>
            <w:tcW w:w="15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60" w:type="dxa"/>
            <w:vAlign w:val="bottom"/>
            <w:gridSpan w:val="2"/>
          </w:tcPr>
          <w:p>
            <w:pPr>
              <w:jc w:val="center"/>
              <w:ind w:left="337"/>
              <w:spacing w:after="0" w:line="149" w:lineRule="exact"/>
              <w:rPr>
                <w:sz w:val="20"/>
                <w:szCs w:val="20"/>
                <w:color w:val="auto"/>
              </w:rPr>
            </w:pPr>
            <w:r>
              <w:rPr>
                <w:rFonts w:ascii="Arial" w:cs="Arial" w:eastAsia="Arial" w:hAnsi="Arial"/>
                <w:sz w:val="14"/>
                <w:szCs w:val="14"/>
                <w:b w:val="1"/>
                <w:bCs w:val="1"/>
                <w:color w:val="auto"/>
                <w:w w:val="84"/>
              </w:rPr>
              <w:t>Ended</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left="347"/>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6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March 31, 2011</w:t>
            </w:r>
          </w:p>
        </w:tc>
        <w:tc>
          <w:tcPr>
            <w:tcW w:w="140" w:type="dxa"/>
            <w:vAlign w:val="bottom"/>
          </w:tcPr>
          <w:p>
            <w:pPr>
              <w:spacing w:after="0"/>
              <w:rPr>
                <w:sz w:val="14"/>
                <w:szCs w:val="14"/>
                <w:color w:val="auto"/>
              </w:rPr>
            </w:pPr>
          </w:p>
        </w:tc>
        <w:tc>
          <w:tcPr>
            <w:tcW w:w="15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March 31, 2010</w:t>
            </w:r>
          </w:p>
        </w:tc>
        <w:tc>
          <w:tcPr>
            <w:tcW w:w="0" w:type="dxa"/>
            <w:vAlign w:val="bottom"/>
          </w:tcPr>
          <w:p>
            <w:pPr>
              <w:spacing w:after="0"/>
              <w:rPr>
                <w:sz w:val="1"/>
                <w:szCs w:val="1"/>
                <w:color w:val="auto"/>
              </w:rPr>
            </w:pPr>
          </w:p>
        </w:tc>
      </w:tr>
      <w:tr>
        <w:trPr>
          <w:trHeight w:val="210"/>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Automotive</w:t>
            </w: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EBIT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GMNA (a)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$2,898</w:t>
            </w:r>
          </w:p>
        </w:tc>
        <w:tc>
          <w:tcPr>
            <w:tcW w:w="36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94.2%</w:t>
            </w:r>
          </w:p>
        </w:tc>
        <w:tc>
          <w:tcPr>
            <w:tcW w:w="9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$1,218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8160" w:type="dxa"/>
            <w:vAlign w:val="bottom"/>
            <w:gridSpan w:val="2"/>
          </w:tcPr>
          <w:p>
            <w:pPr>
              <w:ind w:left="220"/>
              <w:spacing w:after="0"/>
              <w:rPr>
                <w:sz w:val="20"/>
                <w:szCs w:val="20"/>
                <w:color w:val="auto"/>
              </w:rPr>
            </w:pPr>
            <w:r>
              <w:rPr>
                <w:rFonts w:ascii="Arial" w:cs="Arial" w:eastAsia="Arial" w:hAnsi="Arial"/>
                <w:sz w:val="18"/>
                <w:szCs w:val="18"/>
                <w:color w:val="auto"/>
              </w:rPr>
              <w:t>GME (a)</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(390)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(12.7)%</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(477)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(24.9)%</w:t>
            </w: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GMIO (a)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36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9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8160" w:type="dxa"/>
            <w:vAlign w:val="bottom"/>
            <w:gridSpan w:val="2"/>
          </w:tcPr>
          <w:p>
            <w:pPr>
              <w:ind w:left="220"/>
              <w:spacing w:after="0"/>
              <w:rPr>
                <w:sz w:val="20"/>
                <w:szCs w:val="20"/>
                <w:color w:val="auto"/>
              </w:rPr>
            </w:pPr>
            <w:r>
              <w:rPr>
                <w:rFonts w:ascii="Arial" w:cs="Arial" w:eastAsia="Arial" w:hAnsi="Arial"/>
                <w:sz w:val="18"/>
                <w:szCs w:val="18"/>
                <w:color w:val="auto"/>
              </w:rPr>
              <w:t>GMSA (a)</w:t>
            </w: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265</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automotive EBIT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36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100.0%</w:t>
            </w:r>
          </w:p>
        </w:tc>
        <w:tc>
          <w:tcPr>
            <w:tcW w:w="9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1,914</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ind w:left="220"/>
              <w:spacing w:after="0"/>
              <w:rPr>
                <w:sz w:val="20"/>
                <w:szCs w:val="20"/>
                <w:color w:val="auto"/>
              </w:rPr>
            </w:pPr>
            <w:r>
              <w:rPr>
                <w:rFonts w:ascii="Arial" w:cs="Arial" w:eastAsia="Arial" w:hAnsi="Arial"/>
                <w:sz w:val="18"/>
                <w:szCs w:val="18"/>
                <w:color w:val="auto"/>
              </w:rPr>
              <w:t>Corporate and eliminations</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317</w:t>
            </w: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(90)</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6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
          </w:tcPr>
          <w:p>
            <w:pPr>
              <w:ind w:left="220"/>
              <w:spacing w:after="0"/>
              <w:rPr>
                <w:sz w:val="20"/>
                <w:szCs w:val="20"/>
                <w:color w:val="auto"/>
              </w:rPr>
            </w:pPr>
            <w:r>
              <w:rPr>
                <w:rFonts w:ascii="Arial" w:cs="Arial" w:eastAsia="Arial" w:hAnsi="Arial"/>
                <w:sz w:val="18"/>
                <w:szCs w:val="18"/>
                <w:color w:val="auto"/>
              </w:rPr>
              <w:t>Automotive interest expense</w:t>
            </w: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337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509</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Automotive Financing</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GM Financial income before income taxes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stockholders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3,366</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0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automotive operations interest and income taxes are recorded centrally in Corporate; therefore, there are no reconciling items for our automotive operating segments between EBIT and Net income attributable to stockholders.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1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12"/>
                <w:szCs w:val="12"/>
                <w:color w:val="auto"/>
              </w:rPr>
            </w:pPr>
          </w:p>
        </w:tc>
        <w:tc>
          <w:tcPr>
            <w:tcW w:w="13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Three Months</w:t>
            </w:r>
          </w:p>
        </w:tc>
        <w:tc>
          <w:tcPr>
            <w:tcW w:w="1040" w:type="dxa"/>
            <w:vAlign w:val="bottom"/>
            <w:gridSpan w:val="2"/>
          </w:tcPr>
          <w:p>
            <w:pPr>
              <w:jc w:val="center"/>
              <w:ind w:left="299"/>
              <w:spacing w:after="0" w:line="149" w:lineRule="exact"/>
              <w:rPr>
                <w:sz w:val="20"/>
                <w:szCs w:val="20"/>
                <w:color w:val="auto"/>
              </w:rPr>
            </w:pPr>
            <w:r>
              <w:rPr>
                <w:rFonts w:ascii="Arial" w:cs="Arial" w:eastAsia="Arial" w:hAnsi="Arial"/>
                <w:sz w:val="14"/>
                <w:szCs w:val="14"/>
                <w:b w:val="1"/>
                <w:bCs w:val="1"/>
                <w:color w:val="auto"/>
                <w:w w:val="95"/>
              </w:rPr>
              <w:t>March 31,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Ended</w:t>
            </w:r>
          </w:p>
        </w:tc>
        <w:tc>
          <w:tcPr>
            <w:tcW w:w="16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2011 vs. 2010</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2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March 31, 2010</w:t>
            </w:r>
          </w:p>
        </w:tc>
        <w:tc>
          <w:tcPr>
            <w:tcW w:w="1040" w:type="dxa"/>
            <w:vAlign w:val="bottom"/>
            <w:gridSpan w:val="2"/>
          </w:tcPr>
          <w:p>
            <w:pPr>
              <w:jc w:val="center"/>
              <w:ind w:left="319"/>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GMNA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22,110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19,286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$2,824</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14.6%</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GME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5,461</w:t>
            </w:r>
          </w:p>
        </w:tc>
        <w:tc>
          <w:tcPr>
            <w:tcW w:w="500" w:type="dxa"/>
            <w:vAlign w:val="bottom"/>
          </w:tcPr>
          <w:p>
            <w:pPr>
              <w:jc w:val="right"/>
              <w:spacing w:after="0"/>
              <w:rPr>
                <w:sz w:val="20"/>
                <w:szCs w:val="20"/>
                <w:color w:val="auto"/>
              </w:rPr>
            </w:pPr>
            <w:r>
              <w:rPr>
                <w:rFonts w:ascii="Arial" w:cs="Arial" w:eastAsia="Arial" w:hAnsi="Arial"/>
                <w:sz w:val="18"/>
                <w:szCs w:val="18"/>
                <w:color w:val="auto"/>
              </w:rPr>
              <w:t>1,409</w:t>
            </w:r>
          </w:p>
        </w:tc>
        <w:tc>
          <w:tcPr>
            <w:tcW w:w="5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25.8%</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GMIO</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4,985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GMSA</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3,324</w:t>
            </w:r>
          </w:p>
        </w:tc>
        <w:tc>
          <w:tcPr>
            <w:tcW w:w="500" w:type="dxa"/>
            <w:vAlign w:val="bottom"/>
          </w:tcPr>
          <w:p>
            <w:pPr>
              <w:jc w:val="right"/>
              <w:spacing w:after="0"/>
              <w:rPr>
                <w:sz w:val="20"/>
                <w:szCs w:val="20"/>
                <w:color w:val="auto"/>
              </w:rPr>
            </w:pPr>
            <w:r>
              <w:rPr>
                <w:rFonts w:ascii="Arial" w:cs="Arial" w:eastAsia="Arial" w:hAnsi="Arial"/>
                <w:sz w:val="18"/>
                <w:szCs w:val="18"/>
                <w:color w:val="auto"/>
              </w:rPr>
              <w:t>572</w:t>
            </w:r>
          </w:p>
        </w:tc>
        <w:tc>
          <w:tcPr>
            <w:tcW w:w="5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17.2%</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Financial</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1"/>
        </w:trPr>
        <w:tc>
          <w:tcPr>
            <w:tcW w:w="6980" w:type="dxa"/>
            <w:vAlign w:val="bottom"/>
            <w:gridSpan w:val="2"/>
          </w:tcPr>
          <w:p>
            <w:pPr>
              <w:spacing w:after="0"/>
              <w:rPr>
                <w:sz w:val="20"/>
                <w:szCs w:val="20"/>
                <w:color w:val="auto"/>
              </w:rPr>
            </w:pPr>
            <w:r>
              <w:rPr>
                <w:rFonts w:ascii="Arial" w:cs="Arial" w:eastAsia="Arial" w:hAnsi="Arial"/>
                <w:sz w:val="18"/>
                <w:szCs w:val="18"/>
                <w:color w:val="auto"/>
              </w:rPr>
              <w:t>Total operating segments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33,056</w:t>
            </w:r>
          </w:p>
        </w:tc>
        <w:tc>
          <w:tcPr>
            <w:tcW w:w="500" w:type="dxa"/>
            <w:vAlign w:val="bottom"/>
          </w:tcPr>
          <w:p>
            <w:pPr>
              <w:jc w:val="right"/>
              <w:spacing w:after="0"/>
              <w:rPr>
                <w:sz w:val="20"/>
                <w:szCs w:val="20"/>
                <w:color w:val="auto"/>
              </w:rPr>
            </w:pPr>
            <w:r>
              <w:rPr>
                <w:rFonts w:ascii="Arial" w:cs="Arial" w:eastAsia="Arial" w:hAnsi="Arial"/>
                <w:sz w:val="18"/>
                <w:szCs w:val="18"/>
                <w:color w:val="auto"/>
              </w:rPr>
              <w:t>5,542</w:t>
            </w:r>
          </w:p>
        </w:tc>
        <w:tc>
          <w:tcPr>
            <w:tcW w:w="5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16.8%</w:t>
            </w:r>
          </w:p>
        </w:tc>
        <w:tc>
          <w:tcPr>
            <w:tcW w:w="0" w:type="dxa"/>
            <w:vAlign w:val="bottom"/>
          </w:tcPr>
          <w:p>
            <w:pPr>
              <w:spacing w:after="0"/>
              <w:rPr>
                <w:sz w:val="1"/>
                <w:szCs w:val="1"/>
                <w:color w:val="auto"/>
              </w:rPr>
            </w:pPr>
          </w:p>
        </w:tc>
      </w:tr>
      <w:tr>
        <w:trPr>
          <w:trHeight w:val="218"/>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(1,580)</w:t>
            </w: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(824)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(52.2)%</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Total net sales and revenue</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7"/>
              </w:rPr>
              <w:t>15.0%</w:t>
            </w:r>
          </w:p>
        </w:tc>
        <w:tc>
          <w:tcPr>
            <w:tcW w:w="0" w:type="dxa"/>
            <w:vAlign w:val="bottom"/>
          </w:tcPr>
          <w:p>
            <w:pPr>
              <w:spacing w:after="0" w:line="20" w:lineRule="exact"/>
              <w:rPr>
                <w:sz w:val="1"/>
                <w:szCs w:val="1"/>
                <w:color w:val="auto"/>
              </w:rPr>
            </w:pPr>
          </w:p>
        </w:tc>
      </w:tr>
      <w:tr>
        <w:trPr>
          <w:trHeight w:val="222"/>
        </w:trPr>
        <w:tc>
          <w:tcPr>
            <w:tcW w:w="698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36,194</w:t>
            </w:r>
          </w:p>
        </w:tc>
        <w:tc>
          <w:tcPr>
            <w:tcW w:w="28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31,476</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4,718</w:t>
            </w:r>
          </w:p>
        </w:tc>
        <w:tc>
          <w:tcPr>
            <w:tcW w:w="54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171"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In the three months ended March 31, 2011 Total net sales and revenue increased by $4.7 billion (or 15.0%), primarily due to: (1) increased wholesale volumes of $3.4 billion representing 182,000 vehicles, primarily in GMNA of $2.7 billion due to an improving economy and recent vehicle launches and in GME of $0.7 billion; (2) favorable vehicle mix of $0.5 billion, primarily in GME of $0.4 billion and in GMNA of $0.2 billion, partially offset by unfavorable vehicle mix in GMIO $0.1 billion; (3) favorable net foreign currency translation effect of $0.5 billion, primarily in GMSA of $0.2 billion, in GMIO of $0.2 billion and in GMNA of $0.2 billion due to the strengthening of major currencies against the U.S. Dollar; (4) increased finance charge income of $0.3 billion due to the acquisition of GM Financial; (5) increased revenues from OnStar, Customer Care and Aftersales of $0.2 billion in GMNA; (7) increased revenue of $0.2 billion due to the acquisition of GM Strasbourg in GME; and (8) increased powertrain engine and transmission sales of $0.2 billion in GME.</w:t>
      </w:r>
    </w:p>
    <w:p>
      <w:pPr>
        <w:spacing w:after="0" w:line="118"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These increases were partially offset by: (1) decreased sales of $0.3 billion due to the sale of Nexteer in November 2010 in GMNA; (2) unfavorable vehicle pricing effect of $0.2 billion, primarily in GMNA of $0.3 billion due to increased sales allowances, partially offset by favorable vehicle pricing effect of $0.1 billion in GMSA, primarily in Venezuela driven by the hyperinflationary economy; and (3) decreased sales of $0.2 billion due to the sale of Saab in GME and the sale of certain of our operations in India (GM India) to HKJV in February 2010 in GMIO.</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 Cost of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5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287"/>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5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4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49"/>
        </w:trPr>
        <w:tc>
          <w:tcPr>
            <w:tcW w:w="45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2011 vs. 2010</w:t>
            </w:r>
          </w:p>
        </w:tc>
      </w:tr>
      <w:tr>
        <w:trPr>
          <w:trHeight w:val="161"/>
        </w:trPr>
        <w:tc>
          <w:tcPr>
            <w:tcW w:w="4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2011</w:t>
            </w:r>
          </w:p>
        </w:tc>
        <w:tc>
          <w:tcPr>
            <w:tcW w:w="40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left="307"/>
              <w:spacing w:after="0"/>
              <w:rPr>
                <w:sz w:val="20"/>
                <w:szCs w:val="20"/>
                <w:color w:val="auto"/>
              </w:rPr>
            </w:pPr>
            <w:r>
              <w:rPr>
                <w:rFonts w:ascii="Arial" w:cs="Arial" w:eastAsia="Arial" w:hAnsi="Arial"/>
                <w:sz w:val="14"/>
                <w:szCs w:val="14"/>
                <w:b w:val="1"/>
                <w:bCs w:val="1"/>
                <w:color w:val="auto"/>
                <w:w w:val="85"/>
              </w:rPr>
              <w:t>Change</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Automotive cost of sales</w:t>
            </w:r>
          </w:p>
        </w:tc>
        <w:tc>
          <w:tcPr>
            <w:tcW w:w="292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31,685</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87"/>
              <w:spacing w:after="0"/>
              <w:rPr>
                <w:sz w:val="20"/>
                <w:szCs w:val="20"/>
                <w:color w:val="auto"/>
              </w:rPr>
            </w:pPr>
            <w:r>
              <w:rPr>
                <w:rFonts w:ascii="Arial" w:cs="Arial" w:eastAsia="Arial" w:hAnsi="Arial"/>
                <w:sz w:val="18"/>
                <w:szCs w:val="18"/>
                <w:color w:val="auto"/>
                <w:w w:val="84"/>
              </w:rPr>
              <w:t>4,132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w:t>
            </w:r>
          </w:p>
        </w:tc>
        <w:tc>
          <w:tcPr>
            <w:tcW w:w="100" w:type="dxa"/>
            <w:vAlign w:val="bottom"/>
            <w:shd w:val="clear" w:color="auto" w:fill="CCEEFF"/>
          </w:tcPr>
          <w:p>
            <w:pPr>
              <w:spacing w:after="0"/>
              <w:rPr>
                <w:sz w:val="18"/>
                <w:szCs w:val="18"/>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Automotive gross margin</w:t>
            </w:r>
          </w:p>
        </w:tc>
        <w:tc>
          <w:tcPr>
            <w:tcW w:w="292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4,194</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3,869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87"/>
              <w:spacing w:after="0"/>
              <w:rPr>
                <w:sz w:val="20"/>
                <w:szCs w:val="20"/>
                <w:color w:val="auto"/>
              </w:rPr>
            </w:pPr>
            <w:r>
              <w:rPr>
                <w:rFonts w:ascii="Arial" w:cs="Arial" w:eastAsia="Arial" w:hAnsi="Arial"/>
                <w:sz w:val="18"/>
                <w:szCs w:val="18"/>
                <w:color w:val="auto"/>
              </w:rPr>
              <w:t>325</w:t>
            </w: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00" w:firstLine="228"/>
        <w:spacing w:after="0" w:line="283" w:lineRule="auto"/>
        <w:rPr>
          <w:sz w:val="20"/>
          <w:szCs w:val="20"/>
          <w:color w:val="auto"/>
        </w:rPr>
      </w:pPr>
      <w:r>
        <w:rPr>
          <w:rFonts w:ascii="Arial" w:cs="Arial" w:eastAsia="Arial" w:hAnsi="Arial"/>
          <w:sz w:val="16"/>
          <w:szCs w:val="16"/>
          <w:color w:val="auto"/>
        </w:rPr>
        <w:t>In the three months ended March 31, 2011 Automotive cost of sales increased by $4.1 billion (or 15.0%), in line with increases in Total net sales and revenue, primarily due to: (1) increased production costs related to wholesale volume increases of $2.3 billion, primarily in GMNA of $1.7 billion and in GME of $0.6 billion; (2) unfavorable vehicle mix of $0.6 billion, primarily in GME of $0.4 billion and in GMNA of $0.3 billion; (3) unfavorable foreign currency translation effect of $0.4 billion, primarily in GMIO of $0.2 billion and in GMSA of $0.2 billion due to the strengthening of major currencies against the U.S. Dollar;</w:t>
      </w:r>
    </w:p>
    <w:p>
      <w:pPr>
        <w:spacing w:after="0" w:line="3" w:lineRule="exact"/>
        <w:rPr>
          <w:sz w:val="20"/>
          <w:szCs w:val="20"/>
          <w:color w:val="auto"/>
        </w:rPr>
      </w:pPr>
    </w:p>
    <w:p>
      <w:pPr>
        <w:ind w:right="400" w:firstLine="8"/>
        <w:spacing w:after="0" w:line="302" w:lineRule="auto"/>
        <w:tabs>
          <w:tab w:leader="none" w:pos="2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increased production costs across all segments of $0.4 billion related to increased volumes; (5) increased engineering costs of $0.3 billion to support new product development, primarily in GMNA of $0.2 billion; (6) increased costs associated with increase in non-automotive revenue of $0.3 billion including powertrain sales in GME and Customer Care and Aftersales in GMNA; partially offset by (7) decreased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restructuring expenses of $0.1 billion, primarily in GME of $0.2 billion related to restructuring activities in the three months ended March 31, 2010, partially offset by a reduction in favorable adjustments of $0.1 billion to restructuring reserves related to increased production capacity utilization during the three months ended March 31, 2010 in GMNA.</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 Selling, General and Administrative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5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5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49"/>
        </w:trPr>
        <w:tc>
          <w:tcPr>
            <w:tcW w:w="5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7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2011 vs. 2010</w:t>
            </w:r>
          </w:p>
        </w:tc>
      </w:tr>
      <w:tr>
        <w:trPr>
          <w:trHeight w:val="161"/>
        </w:trPr>
        <w:tc>
          <w:tcPr>
            <w:tcW w:w="5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March 31, 2011</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March 31, 2010</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Change</w:t>
            </w:r>
          </w:p>
        </w:tc>
      </w:tr>
      <w:tr>
        <w:trPr>
          <w:trHeight w:val="20"/>
        </w:trPr>
        <w:tc>
          <w:tcPr>
            <w:tcW w:w="5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Automotive selling, general and administrative expense</w:t>
            </w:r>
          </w:p>
        </w:tc>
        <w:tc>
          <w:tcPr>
            <w:tcW w:w="1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2,994</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In the three months ended March 31, 2011 Automotive selling, general and administrative expense increased by $0.3 billion (or 11.5%), primarily due to increased advertising and sales promotion expenses of $0.3 billion, primarily in GMNA of $0.2 billion and increased advertising, sales promotion and marketing expenses of $0.1 billion to support media campaigns and new product launches in GMIO. We also reserved $0.1 billion, primarily in GME, for a single customer due to their default under commercial supply agreements, partially offset by decreases in other administrative expenses.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Impairment Charges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6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2"/>
                <w:szCs w:val="12"/>
                <w:color w:val="auto"/>
              </w:rPr>
            </w:pPr>
          </w:p>
        </w:tc>
        <w:tc>
          <w:tcPr>
            <w:tcW w:w="94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Ended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3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2011 vs. 2010</w:t>
            </w:r>
          </w:p>
        </w:tc>
      </w:tr>
      <w:tr>
        <w:trPr>
          <w:trHeight w:val="161"/>
        </w:trPr>
        <w:tc>
          <w:tcPr>
            <w:tcW w:w="4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March 31, 2011</w:t>
            </w:r>
          </w:p>
        </w:tc>
        <w:tc>
          <w:tcPr>
            <w:tcW w:w="28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March 31, 2010</w:t>
            </w:r>
          </w:p>
        </w:tc>
        <w:tc>
          <w:tcPr>
            <w:tcW w:w="280" w:type="dxa"/>
            <w:vAlign w:val="bottom"/>
          </w:tcPr>
          <w:p>
            <w:pPr>
              <w:spacing w:after="0"/>
              <w:rPr>
                <w:sz w:val="14"/>
                <w:szCs w:val="14"/>
                <w:color w:val="auto"/>
              </w:rPr>
            </w:pPr>
          </w:p>
        </w:tc>
        <w:tc>
          <w:tcPr>
            <w:tcW w:w="940" w:type="dxa"/>
            <w:vAlign w:val="bottom"/>
          </w:tcPr>
          <w:p>
            <w:pPr>
              <w:jc w:val="center"/>
              <w:ind w:left="212"/>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4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27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$395</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March 31, 2011 Goodwill impairment charges increased by $0.4 billion due to Goodwill impairment charges recorded in GME.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Refer to Notes 2 and 9 to our condensed consolidated financial statements for additional information related to our Goodwill impairment charges.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 Interest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686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2"/>
                <w:szCs w:val="12"/>
                <w:color w:val="auto"/>
              </w:rPr>
            </w:pPr>
          </w:p>
        </w:tc>
        <w:tc>
          <w:tcPr>
            <w:tcW w:w="102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92"/>
              </w:rPr>
              <w:t>March 31,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Ended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6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2011 vs. 2010</w:t>
            </w:r>
          </w:p>
        </w:tc>
      </w:tr>
      <w:tr>
        <w:trPr>
          <w:trHeight w:val="161"/>
        </w:trPr>
        <w:tc>
          <w:tcPr>
            <w:tcW w:w="686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March 31, 2011</w:t>
            </w:r>
          </w:p>
        </w:tc>
        <w:tc>
          <w:tcPr>
            <w:tcW w:w="28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March 31, 2010</w:t>
            </w:r>
          </w:p>
        </w:tc>
        <w:tc>
          <w:tcPr>
            <w:tcW w:w="280" w:type="dxa"/>
            <w:vAlign w:val="bottom"/>
          </w:tcPr>
          <w:p>
            <w:pPr>
              <w:spacing w:after="0"/>
              <w:rPr>
                <w:sz w:val="14"/>
                <w:szCs w:val="14"/>
                <w:color w:val="auto"/>
              </w:rPr>
            </w:pPr>
          </w:p>
        </w:tc>
        <w:tc>
          <w:tcPr>
            <w:tcW w:w="1020" w:type="dxa"/>
            <w:vAlign w:val="bottom"/>
          </w:tcPr>
          <w:p>
            <w:pPr>
              <w:jc w:val="center"/>
              <w:ind w:left="312"/>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w:t>
            </w:r>
          </w:p>
        </w:tc>
        <w:tc>
          <w:tcPr>
            <w:tcW w:w="13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$(188)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(55.8)%</w:t>
            </w:r>
          </w:p>
        </w:tc>
      </w:tr>
    </w:tbl>
    <w:p>
      <w:pPr>
        <w:spacing w:after="0" w:line="154"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In the three months ended March 31, 2011 Automotive interest expense decreased by $0.2 billion (or 55.8%), primarily due to the reduction in global average debt of $15.2 billion in the three months ended March 31, 2010 to $4.8 billion in the three months ended March 31, 2011 driven by the repayment of the UST Loans and Canadian Loan, which we assumed upon entering into agreements with the United States Department of the Treasury and the Canadian government, and VEBA Notes, which were issued to the UAW Retiree Medical Benefits Trust, in 2010 resulting in decreased interest expense of $0.2 million.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6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6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560" w:type="dxa"/>
            <w:vAlign w:val="bottom"/>
          </w:tcPr>
          <w:p>
            <w:pPr>
              <w:spacing w:after="0"/>
              <w:rPr>
                <w:sz w:val="12"/>
                <w:szCs w:val="12"/>
                <w:color w:val="auto"/>
              </w:rPr>
            </w:pPr>
          </w:p>
        </w:tc>
        <w:tc>
          <w:tcPr>
            <w:tcW w:w="14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40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49"/>
        </w:trPr>
        <w:tc>
          <w:tcPr>
            <w:tcW w:w="46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Ended</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2011 vs. 2010</w:t>
            </w:r>
          </w:p>
        </w:tc>
      </w:tr>
      <w:tr>
        <w:trPr>
          <w:trHeight w:val="161"/>
        </w:trPr>
        <w:tc>
          <w:tcPr>
            <w:tcW w:w="4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2011</w:t>
            </w:r>
          </w:p>
        </w:tc>
        <w:tc>
          <w:tcPr>
            <w:tcW w:w="5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2010</w:t>
            </w:r>
          </w:p>
        </w:tc>
        <w:tc>
          <w:tcPr>
            <w:tcW w:w="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27"/>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w:t>
            </w:r>
          </w:p>
        </w:tc>
        <w:tc>
          <w:tcPr>
            <w:tcW w:w="2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7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r>
      <w:tr>
        <w:trPr>
          <w:trHeight w:val="363"/>
        </w:trPr>
        <w:tc>
          <w:tcPr>
            <w:tcW w:w="4660" w:type="dxa"/>
            <w:vAlign w:val="bottom"/>
          </w:tcPr>
          <w:p>
            <w:pPr>
              <w:spacing w:after="0"/>
              <w:rPr>
                <w:sz w:val="24"/>
                <w:szCs w:val="24"/>
                <w:color w:val="auto"/>
              </w:rPr>
            </w:pPr>
          </w:p>
        </w:tc>
        <w:tc>
          <w:tcPr>
            <w:tcW w:w="2280" w:type="dxa"/>
            <w:vAlign w:val="bottom"/>
          </w:tcPr>
          <w:p>
            <w:pPr>
              <w:jc w:val="right"/>
              <w:ind w:right="1052"/>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firstLine="228"/>
        <w:spacing w:after="0" w:line="332" w:lineRule="auto"/>
        <w:rPr>
          <w:sz w:val="20"/>
          <w:szCs w:val="20"/>
          <w:color w:val="auto"/>
        </w:rPr>
      </w:pPr>
      <w:r>
        <w:rPr>
          <w:rFonts w:ascii="Arial" w:cs="Arial" w:eastAsia="Arial" w:hAnsi="Arial"/>
          <w:sz w:val="16"/>
          <w:szCs w:val="16"/>
          <w:color w:val="auto"/>
        </w:rPr>
        <w:t>In the three months ended March 31, 2011 Interest income and other non-operating income, net increased by $0.2 billion (or 35.1%), primarily due to a gain of $0.3 billion recorded on the sale of our Ally Financial preferred stock partially offset by decreased derivative gains of $0.1 billion in GMIO.</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jc w:val="center"/>
              <w:ind w:left="309"/>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540" w:type="dxa"/>
            <w:vAlign w:val="bottom"/>
          </w:tcPr>
          <w:p>
            <w:pPr>
              <w:spacing w:after="0"/>
              <w:rPr>
                <w:sz w:val="12"/>
                <w:szCs w:val="12"/>
                <w:color w:val="auto"/>
              </w:rPr>
            </w:pPr>
          </w:p>
        </w:tc>
        <w:tc>
          <w:tcPr>
            <w:tcW w:w="14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040" w:type="dxa"/>
            <w:vAlign w:val="bottom"/>
          </w:tcPr>
          <w:p>
            <w:pPr>
              <w:jc w:val="center"/>
              <w:ind w:left="309"/>
              <w:spacing w:after="0" w:line="149" w:lineRule="exact"/>
              <w:rPr>
                <w:sz w:val="20"/>
                <w:szCs w:val="20"/>
                <w:color w:val="auto"/>
              </w:rPr>
            </w:pPr>
            <w:r>
              <w:rPr>
                <w:rFonts w:ascii="Arial" w:cs="Arial" w:eastAsia="Arial" w:hAnsi="Arial"/>
                <w:sz w:val="14"/>
                <w:szCs w:val="14"/>
                <w:b w:val="1"/>
                <w:bCs w:val="1"/>
                <w:color w:val="auto"/>
                <w:w w:val="89"/>
              </w:rPr>
              <w:t>March 31,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Ended</w:t>
            </w:r>
          </w:p>
        </w:tc>
        <w:tc>
          <w:tcPr>
            <w:tcW w:w="16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2011 vs. 2010</w:t>
            </w:r>
          </w:p>
        </w:tc>
      </w:tr>
      <w:tr>
        <w:trPr>
          <w:trHeight w:val="161"/>
        </w:trPr>
        <w:tc>
          <w:tcPr>
            <w:tcW w:w="4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2011</w:t>
            </w:r>
          </w:p>
        </w:tc>
        <w:tc>
          <w:tcPr>
            <w:tcW w:w="54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2010</w:t>
            </w:r>
          </w:p>
        </w:tc>
        <w:tc>
          <w:tcPr>
            <w:tcW w:w="540" w:type="dxa"/>
            <w:vAlign w:val="bottom"/>
          </w:tcPr>
          <w:p>
            <w:pPr>
              <w:spacing w:after="0"/>
              <w:rPr>
                <w:sz w:val="14"/>
                <w:szCs w:val="14"/>
                <w:color w:val="auto"/>
              </w:rPr>
            </w:pPr>
          </w:p>
        </w:tc>
        <w:tc>
          <w:tcPr>
            <w:tcW w:w="1040" w:type="dxa"/>
            <w:vAlign w:val="bottom"/>
            <w:tcBorders>
              <w:bottom w:val="single" w:sz="8" w:color="auto"/>
            </w:tcBorders>
          </w:tcPr>
          <w:p>
            <w:pPr>
              <w:jc w:val="center"/>
              <w:ind w:left="329"/>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7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509</w:t>
            </w:r>
          </w:p>
        </w:tc>
        <w:tc>
          <w:tcPr>
            <w:tcW w:w="1040" w:type="dxa"/>
            <w:vAlign w:val="bottom"/>
            <w:shd w:val="clear" w:color="auto" w:fill="CCEEFF"/>
          </w:tcPr>
          <w:p>
            <w:pPr>
              <w:jc w:val="right"/>
              <w:ind w:right="489"/>
              <w:spacing w:after="0"/>
              <w:rPr>
                <w:sz w:val="20"/>
                <w:szCs w:val="20"/>
                <w:color w:val="auto"/>
              </w:rPr>
            </w:pPr>
            <w:r>
              <w:rPr>
                <w:rFonts w:ascii="Arial" w:cs="Arial" w:eastAsia="Arial" w:hAnsi="Arial"/>
                <w:sz w:val="18"/>
                <w:szCs w:val="18"/>
                <w:color w:val="auto"/>
                <w:w w:val="88"/>
              </w:rPr>
              <w:t>$(372)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(73.1)%</w:t>
            </w:r>
          </w:p>
        </w:tc>
      </w:tr>
    </w:tbl>
    <w:p>
      <w:pPr>
        <w:spacing w:after="0" w:line="154"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In the three months ended March 31, 2011 Income tax expense decreased by $0.4 billion (or 73.1%), primarily due to a decrease in tax expense attributable to entities included in our effective tax rate calculation of $0.3 billion and a decrease in tax expense attributable to a taxable foreign currency gain in Venezuela of $0.1 billion recorded in the three months ended March 31, 2010.</w:t>
      </w:r>
    </w:p>
    <w:p>
      <w:pPr>
        <w:spacing w:after="0" w:line="140" w:lineRule="exact"/>
        <w:rPr>
          <w:sz w:val="20"/>
          <w:szCs w:val="20"/>
          <w:color w:val="auto"/>
        </w:rPr>
      </w:pPr>
    </w:p>
    <w:p>
      <w:pPr>
        <w:jc w:val="both"/>
        <w:ind w:right="540" w:firstLine="228"/>
        <w:spacing w:after="0" w:line="259" w:lineRule="auto"/>
        <w:rPr>
          <w:sz w:val="20"/>
          <w:szCs w:val="20"/>
          <w:color w:val="auto"/>
        </w:rPr>
      </w:pPr>
      <w:r>
        <w:rPr>
          <w:rFonts w:ascii="Arial" w:cs="Arial" w:eastAsia="Arial" w:hAnsi="Arial"/>
          <w:sz w:val="18"/>
          <w:szCs w:val="18"/>
          <w:color w:val="auto"/>
        </w:rPr>
        <w:t>The recorded effective tax rate is lower than the applicable statutory tax rate, primarily due to income earned in jurisdictions for which a full valuation allowance is recorded. The effective tax rate decreased in the three months ended March 31, 2011 primarily as a result of changes in the mix of earnings in valuation allowance and non-valuation allowance jurisdictions.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Income, net of tax and Gain on Disposal of Investments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11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left="281"/>
              <w:spacing w:after="0" w:line="149" w:lineRule="exact"/>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196"/>
              <w:spacing w:after="0" w:line="149" w:lineRule="exact"/>
              <w:rPr>
                <w:sz w:val="20"/>
                <w:szCs w:val="20"/>
                <w:color w:val="auto"/>
              </w:rPr>
            </w:pPr>
            <w:r>
              <w:rPr>
                <w:rFonts w:ascii="Arial" w:cs="Arial" w:eastAsia="Arial" w:hAnsi="Arial"/>
                <w:sz w:val="14"/>
                <w:szCs w:val="14"/>
                <w:b w:val="1"/>
                <w:bCs w:val="1"/>
                <w:color w:val="auto"/>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2011 vs. 2010</w:t>
            </w:r>
          </w:p>
        </w:tc>
      </w:tr>
      <w:tr>
        <w:trPr>
          <w:trHeight w:val="161"/>
        </w:trPr>
        <w:tc>
          <w:tcPr>
            <w:tcW w:w="11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2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March 31, 2010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 JVs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28.4%</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New Delphi</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1,692</w:t>
            </w:r>
          </w:p>
        </w:tc>
        <w:tc>
          <w:tcPr>
            <w:tcW w:w="5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equity interests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(50)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Total equity income, net of tax and gain on disposal of investments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1,741</w:t>
            </w:r>
          </w:p>
        </w:tc>
        <w:tc>
          <w:tcPr>
            <w:tcW w:w="5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r>
      <w:tr>
        <w:trPr>
          <w:trHeight w:val="20"/>
        </w:trPr>
        <w:tc>
          <w:tcPr>
            <w:tcW w:w="1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March 31, 2011 Equity income, net of tax and gain on disposal of investments increased by $1.7 billion primarily due to a gain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$1.6 billion recorded on the sale of our New Delphi Class A Membership Interests in GMNA and increased equity income related to our China JVs of $0.1 billion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GMIO.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Consolidated Financial Condition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except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6"/>
              </w:rPr>
              <w:t>March 31, 2011</w:t>
            </w:r>
          </w:p>
        </w:tc>
        <w:tc>
          <w:tcPr>
            <w:tcW w:w="6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shd w:val="clear" w:color="auto" w:fill="CCEEFF"/>
          </w:tcPr>
          <w:p>
            <w:pPr>
              <w:ind w:left="3780"/>
              <w:spacing w:after="0" w:line="142" w:lineRule="exact"/>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Current Assets</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20,975</w:t>
            </w:r>
          </w:p>
        </w:tc>
        <w:tc>
          <w:tcPr>
            <w:tcW w:w="10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Marketable securities</w:t>
            </w: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8,618</w:t>
            </w:r>
          </w:p>
        </w:tc>
        <w:tc>
          <w:tcPr>
            <w:tcW w:w="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5,555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cash, cash equivalents and marketable securities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29,593</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Accounts and notes receivable (net of allowance of $336 and $252)</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12,990</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8,699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13,991</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Equipment on operating leases, net</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3,099</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current assets and deferred income taxes</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3,276</w:t>
            </w:r>
          </w:p>
        </w:tc>
        <w:tc>
          <w:tcPr>
            <w:tcW w:w="6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55" w:lineRule="exact"/>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62,949</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53,053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Automotive Non-current Assets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Equity in net assets of nonconsolidated affiliates</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6,937</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8,529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Property, net</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19,944</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28,752</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30,513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Intangible assets, net</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11,488</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Other assets and deferred income taxes</w:t>
            </w: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4,249</w:t>
            </w:r>
          </w:p>
        </w:tc>
        <w:tc>
          <w:tcPr>
            <w:tcW w:w="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4,754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non-current assets</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71,370</w:t>
            </w:r>
          </w:p>
        </w:tc>
        <w:tc>
          <w:tcPr>
            <w:tcW w:w="6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Automotive Assets</w:t>
            </w: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134,319</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127,966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GM Financial Assets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Finance receivables, net (including gross finance receivables transferred to special purpose entities of $8,603 and $7,156)</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8,276</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1,201</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1,265</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 (including leased assets transferred to special purpose entities of $188 at March 31, 2011)</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785</w:t>
            </w:r>
          </w:p>
        </w:tc>
        <w:tc>
          <w:tcPr>
            <w:tcW w:w="6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GM Financial Assets</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11,527</w:t>
            </w:r>
          </w:p>
        </w:tc>
        <w:tc>
          <w:tcPr>
            <w:tcW w:w="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145,846</w:t>
            </w:r>
          </w:p>
        </w:tc>
        <w:tc>
          <w:tcPr>
            <w:tcW w:w="10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138,898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316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Automotive Current Liabilities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(principally trade)</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24,739</w:t>
            </w:r>
          </w:p>
        </w:tc>
        <w:tc>
          <w:tcPr>
            <w:tcW w:w="10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21,497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Short-term debt and current portion of long-term debt (including debt at GM Korea of $117 and $70)</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1,743</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Accrued liabilities (including derivative liabilities at GM Korea of $49 and $111)</w:t>
            </w: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25,200</w:t>
            </w:r>
          </w:p>
        </w:tc>
        <w:tc>
          <w:tcPr>
            <w:tcW w:w="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24,044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51,682</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Non-current Liabilities</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Long-term debt (including certain debt at GM Korea of $8 and $835)</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3,268</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9,396</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Pensions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21,660</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Other liabilities and deferred income taxes</w:t>
            </w: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12,851</w:t>
            </w:r>
          </w:p>
        </w:tc>
        <w:tc>
          <w:tcPr>
            <w:tcW w:w="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non-current liabilities</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47,175</w:t>
            </w:r>
          </w:p>
        </w:tc>
        <w:tc>
          <w:tcPr>
            <w:tcW w:w="6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47,223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Automotive Liabilities</w:t>
            </w: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98,857</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94,380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GM Financial Liabilities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Securitization notes payable</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6,061</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Credit facilities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1,412</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430</w:t>
            </w:r>
          </w:p>
        </w:tc>
        <w:tc>
          <w:tcPr>
            <w:tcW w:w="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GM Financial Liabilities</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7,903</w:t>
            </w:r>
          </w:p>
        </w:tc>
        <w:tc>
          <w:tcPr>
            <w:tcW w:w="6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106,760</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101,739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$0.01 par value, 2,000,000,000 shares authorized:</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Arial" w:cs="Arial" w:eastAsia="Arial" w:hAnsi="Arial"/>
                <w:sz w:val="14"/>
                <w:szCs w:val="14"/>
                <w:color w:val="auto"/>
                <w:w w:val="96"/>
              </w:rPr>
              <w:t>Series A (276,101,695 shares issued and outstanding (each with a $25.00 liquidation preference) at March 31, 2011 and December 31, 2010)</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5,536</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Series B (100,000,000 shares issued and outstanding (each with a $50.00 liquidation preference) at March 31, 2011 and December 31, 2010)</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4,855</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680" w:type="dxa"/>
            <w:vAlign w:val="bottom"/>
          </w:tcPr>
          <w:p>
            <w:pPr>
              <w:spacing w:after="0" w:line="138" w:lineRule="exact"/>
              <w:rPr>
                <w:sz w:val="20"/>
                <w:szCs w:val="20"/>
                <w:color w:val="auto"/>
              </w:rPr>
            </w:pPr>
            <w:r>
              <w:rPr>
                <w:rFonts w:ascii="Arial" w:cs="Arial" w:eastAsia="Arial" w:hAnsi="Arial"/>
                <w:sz w:val="14"/>
                <w:szCs w:val="14"/>
                <w:color w:val="auto"/>
                <w:w w:val="95"/>
              </w:rPr>
              <w:t>Common stock, $0.01 par value (5,000,000,000 shares authorized, 1,560,755,989 and 1,500,149,928 shares issued and outstanding at March 31,</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80" w:type="dxa"/>
            <w:vAlign w:val="bottom"/>
          </w:tcPr>
          <w:p>
            <w:pPr>
              <w:ind w:left="200"/>
              <w:spacing w:after="0" w:line="159" w:lineRule="exact"/>
              <w:rPr>
                <w:sz w:val="20"/>
                <w:szCs w:val="20"/>
                <w:color w:val="auto"/>
              </w:rPr>
            </w:pPr>
            <w:r>
              <w:rPr>
                <w:rFonts w:ascii="Arial" w:cs="Arial" w:eastAsia="Arial" w:hAnsi="Arial"/>
                <w:sz w:val="14"/>
                <w:szCs w:val="14"/>
                <w:color w:val="auto"/>
              </w:rPr>
              <w:t>2011 and 1,500,136,998 shares issued and outstanding at December 31, 2010)</w:t>
            </w:r>
          </w:p>
        </w:tc>
        <w:tc>
          <w:tcPr>
            <w:tcW w:w="2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surplus (principally additional paid-in capital)</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24,347</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1,951</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1,494</w:t>
            </w:r>
          </w:p>
        </w:tc>
        <w:tc>
          <w:tcPr>
            <w:tcW w:w="6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700" w:type="dxa"/>
            <w:vAlign w:val="bottom"/>
            <w:gridSpan w:val="2"/>
          </w:tcPr>
          <w:p>
            <w:pPr>
              <w:spacing w:after="0" w:line="155" w:lineRule="exact"/>
              <w:rPr>
                <w:sz w:val="20"/>
                <w:szCs w:val="20"/>
                <w:color w:val="auto"/>
              </w:rPr>
            </w:pPr>
            <w:r>
              <w:rPr>
                <w:rFonts w:ascii="Arial" w:cs="Arial" w:eastAsia="Arial" w:hAnsi="Arial"/>
                <w:sz w:val="14"/>
                <w:szCs w:val="14"/>
                <w:color w:val="auto"/>
              </w:rPr>
              <w:t>Total stockholders’ equity</w:t>
            </w: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38,198</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36,180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888</w:t>
            </w:r>
          </w:p>
        </w:tc>
        <w:tc>
          <w:tcPr>
            <w:tcW w:w="6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Equity</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39,086</w:t>
            </w:r>
          </w:p>
        </w:tc>
        <w:tc>
          <w:tcPr>
            <w:tcW w:w="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37,159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145,846</w:t>
            </w:r>
          </w:p>
        </w:tc>
        <w:tc>
          <w:tcPr>
            <w:tcW w:w="10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138,898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Assets</w:t>
      </w:r>
    </w:p>
    <w:p>
      <w:pPr>
        <w:spacing w:after="0" w:line="171"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At March 31, 2011 Marketable securities of $8.6 billion increased $3.1 billion (or 55.1%) due to investments in securities with maturities exceeding 90 days reflecting our improved liquidity and cash position.</w:t>
      </w:r>
    </w:p>
    <w:p>
      <w:pPr>
        <w:spacing w:after="0" w:line="132" w:lineRule="exact"/>
        <w:rPr>
          <w:sz w:val="20"/>
          <w:szCs w:val="20"/>
          <w:color w:val="auto"/>
        </w:rPr>
      </w:pPr>
    </w:p>
    <w:p>
      <w:pPr>
        <w:ind w:right="180" w:firstLine="228"/>
        <w:spacing w:after="0" w:line="306" w:lineRule="auto"/>
        <w:rPr>
          <w:sz w:val="20"/>
          <w:szCs w:val="20"/>
          <w:color w:val="auto"/>
        </w:rPr>
      </w:pPr>
      <w:r>
        <w:rPr>
          <w:rFonts w:ascii="Arial" w:cs="Arial" w:eastAsia="Arial" w:hAnsi="Arial"/>
          <w:sz w:val="16"/>
          <w:szCs w:val="16"/>
          <w:color w:val="auto"/>
        </w:rPr>
        <w:t>At March 31, 2011 Accounts and notes receivable of $13.0 billion increased by $4.3 billion (or 49.3%), primarily due to increased sales volume across all regions in the three months ended March 31, 2011 as well as an increase related to the termination of the wholesale advance agreements with Ally Financial, in the U.S. and Canada, which provided for accelerated receipt of payment on dealer sales financed through Ally Financial.</w:t>
      </w:r>
    </w:p>
    <w:p>
      <w:pPr>
        <w:spacing w:after="0" w:line="107"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color w:val="auto"/>
        </w:rPr>
        <w:t>At March 31, 2011 Inventories of $14.0 billion increased by $1.9 billion (or 15.4%), primarily to support increased forecasted production and to build up inventory from seasonally low levels at December 31, 2010 to support increased demand for our products.</w:t>
      </w:r>
    </w:p>
    <w:p>
      <w:pPr>
        <w:spacing w:after="0" w:line="132" w:lineRule="exact"/>
        <w:rPr>
          <w:sz w:val="20"/>
          <w:szCs w:val="20"/>
          <w:color w:val="auto"/>
        </w:rPr>
      </w:pPr>
    </w:p>
    <w:p>
      <w:pPr>
        <w:jc w:val="both"/>
        <w:ind w:right="320" w:firstLine="228"/>
        <w:spacing w:after="0" w:line="256" w:lineRule="auto"/>
        <w:rPr>
          <w:sz w:val="20"/>
          <w:szCs w:val="20"/>
          <w:color w:val="auto"/>
        </w:rPr>
      </w:pPr>
      <w:r>
        <w:rPr>
          <w:rFonts w:ascii="Arial" w:cs="Arial" w:eastAsia="Arial" w:hAnsi="Arial"/>
          <w:sz w:val="18"/>
          <w:szCs w:val="18"/>
          <w:color w:val="auto"/>
        </w:rPr>
        <w:t>At March 31, 2011 Equipment on operating leases, net of $3.1 billion increased by $0.5 billion (or 20.7%), primarily due to an increase of $0.3 billion in GMNA primarily related to vehicles leased to daily rental car companies (vehicles leased to U.S. daily rental car companies increased to 135,000 vehicles at March 31, 2011 from 118,000 vehicles at December 31, 2010), and an increase of $0.2 billion in GME due to a net increase in leased vehicles from 40,000 at December 31, 2010 to 51,000 at March 31, 2011.</w:t>
      </w:r>
    </w:p>
    <w:p>
      <w:pPr>
        <w:spacing w:after="0" w:line="143" w:lineRule="exact"/>
        <w:rPr>
          <w:sz w:val="20"/>
          <w:szCs w:val="20"/>
          <w:color w:val="auto"/>
        </w:rPr>
      </w:pPr>
    </w:p>
    <w:p>
      <w:pPr>
        <w:jc w:val="both"/>
        <w:ind w:right="80" w:firstLine="228"/>
        <w:spacing w:after="0" w:line="268" w:lineRule="auto"/>
        <w:rPr>
          <w:sz w:val="20"/>
          <w:szCs w:val="20"/>
          <w:color w:val="auto"/>
        </w:rPr>
      </w:pPr>
      <w:r>
        <w:rPr>
          <w:rFonts w:ascii="Arial" w:cs="Arial" w:eastAsia="Arial" w:hAnsi="Arial"/>
          <w:sz w:val="18"/>
          <w:szCs w:val="18"/>
          <w:color w:val="auto"/>
        </w:rPr>
        <w:t>At March 31, 2011 Other current assets and deferred income taxes of $3.3 billion increased by $0.2 billion (or 7.6%), primarily due to an increase in deferred taxes, primarily in GMNA and GME.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Non-Current Assets</w:t>
      </w:r>
    </w:p>
    <w:p>
      <w:pPr>
        <w:spacing w:after="0" w:line="171"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At March 31, 2011 Equity in net assets of nonconsolidated affiliates of $6.9 billion decreased by $1.6 billion (or 18.7%), primarily due to a decrease of $2.0 billion due to the March 2011 sale of our interest in New Delphi. This reduction was partially offset by increased equity income of $0.4 billion, primarily related to our China JVs.</w:t>
      </w:r>
    </w:p>
    <w:p>
      <w:pPr>
        <w:spacing w:after="0" w:line="140" w:lineRule="exact"/>
        <w:rPr>
          <w:sz w:val="20"/>
          <w:szCs w:val="20"/>
          <w:color w:val="auto"/>
        </w:rPr>
      </w:pPr>
    </w:p>
    <w:p>
      <w:pPr>
        <w:ind w:right="280" w:firstLine="228"/>
        <w:spacing w:after="0" w:line="259" w:lineRule="auto"/>
        <w:rPr>
          <w:sz w:val="20"/>
          <w:szCs w:val="20"/>
          <w:color w:val="auto"/>
        </w:rPr>
      </w:pPr>
      <w:r>
        <w:rPr>
          <w:rFonts w:ascii="Arial" w:cs="Arial" w:eastAsia="Arial" w:hAnsi="Arial"/>
          <w:sz w:val="18"/>
          <w:szCs w:val="18"/>
          <w:color w:val="auto"/>
        </w:rPr>
        <w:t>At March 31, 2011 Property, net of $19.9 billion increased by $0.7 billion (or 3.7%) primarily due to: (1) capital expenditures of $1.3 billion; (2) favorable foreign currency translation effect of $0.3 billion primarily in GME resulting from the Euro strengthening against the U.S. dollar; partially offset by (3) depreciation of $1.0 billion; and (4) decreases associated with disposals of $0.1 billion.</w:t>
      </w:r>
    </w:p>
    <w:p>
      <w:pPr>
        <w:spacing w:after="0" w:line="140"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At March 31, 2011 Goodwill of $28.8 billion decreased by $1.8 billion (or 5.8%) due to impairment charges of $1.9 billion recognized upon our adoption of Accounting Standard Update (ASU) 2010-28, “Intangibles — Goodwill and Other: When to Perform Step 2 of the Goodwill Impairment Test for Reporting Units with Zero or Negative Carrying Amounts” (ASU 2010-28). The impairment charges, in GME, resulted in the recognition of a cumulative-effect adjustment to beginning Retained earnings of $1.5 billion and an impairment charge of $0.4 billion recorded in Goodwill impairment charges, during the three months ended March 31, 2011. This adjustment was partially offset by $0.1 billion due to favorable foreign currency translation effect, primarily in GME, resulting from the Euro strengthening against the U.S. dollar.</w:t>
      </w:r>
    </w:p>
    <w:p>
      <w:pPr>
        <w:spacing w:after="0" w:line="144"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At March 31, 2011 Intangible assets, net of $11.5 billion decreased by $0.4 billion (or 3.3%), primarily due to amortization of $0.5 billion partially offset by foreign currency translation of $0.1 billion.</w:t>
      </w:r>
    </w:p>
    <w:p>
      <w:pPr>
        <w:spacing w:after="0" w:line="132" w:lineRule="exact"/>
        <w:rPr>
          <w:sz w:val="20"/>
          <w:szCs w:val="20"/>
          <w:color w:val="auto"/>
        </w:rPr>
      </w:pPr>
    </w:p>
    <w:p>
      <w:pPr>
        <w:ind w:right="40" w:firstLine="228"/>
        <w:spacing w:after="0" w:line="332" w:lineRule="auto"/>
        <w:rPr>
          <w:sz w:val="20"/>
          <w:szCs w:val="20"/>
          <w:color w:val="auto"/>
        </w:rPr>
      </w:pPr>
      <w:r>
        <w:rPr>
          <w:rFonts w:ascii="Arial" w:cs="Arial" w:eastAsia="Arial" w:hAnsi="Arial"/>
          <w:sz w:val="16"/>
          <w:szCs w:val="16"/>
          <w:color w:val="auto"/>
        </w:rPr>
        <w:t>At March 31, 2011 Other assets and deferred income taxes of $4.2 billion decreased by $0.5 billion (or 10.6%), primarily due to a decrease of $0.7 billion due to the sale of our investment in Ally Financial preferred stock, partially offset by an increase of $0.2 billion in prepaid expense in GMNA.</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Liabilities</w:t>
      </w:r>
    </w:p>
    <w:p>
      <w:pPr>
        <w:spacing w:after="0" w:line="171" w:lineRule="exact"/>
        <w:rPr>
          <w:sz w:val="20"/>
          <w:szCs w:val="20"/>
          <w:color w:val="auto"/>
        </w:rPr>
      </w:pPr>
    </w:p>
    <w:p>
      <w:pPr>
        <w:ind w:right="320" w:firstLine="228"/>
        <w:spacing w:after="0" w:line="268" w:lineRule="auto"/>
        <w:rPr>
          <w:sz w:val="20"/>
          <w:szCs w:val="20"/>
          <w:color w:val="auto"/>
        </w:rPr>
      </w:pPr>
      <w:r>
        <w:rPr>
          <w:rFonts w:ascii="Arial" w:cs="Arial" w:eastAsia="Arial" w:hAnsi="Arial"/>
          <w:sz w:val="18"/>
          <w:szCs w:val="18"/>
          <w:color w:val="auto"/>
        </w:rPr>
        <w:t>At March 31, 2011 Accounts payable of $24.7 billion increased by $3.2 billion (or 15.1%), primarily due to higher payables for materials due to increased production volume of $2.8 billion and the effects of foreign currency translation of $0.4 billion.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580" w:firstLine="228"/>
        <w:spacing w:after="0" w:line="268" w:lineRule="auto"/>
        <w:rPr>
          <w:sz w:val="20"/>
          <w:szCs w:val="20"/>
          <w:color w:val="auto"/>
        </w:rPr>
      </w:pPr>
      <w:r>
        <w:rPr>
          <w:rFonts w:ascii="Arial" w:cs="Arial" w:eastAsia="Arial" w:hAnsi="Arial"/>
          <w:sz w:val="18"/>
          <w:szCs w:val="18"/>
          <w:color w:val="auto"/>
        </w:rPr>
        <w:t>At March 31, 2011 Short-term debt and current portion of long-term debt of $1.7 billion increased by $0.1 billion (or 7.9%), primarily due to increased balances on wholesale financing facilities and the effects of foreign currency translation.</w:t>
      </w:r>
    </w:p>
    <w:p>
      <w:pPr>
        <w:spacing w:after="0" w:line="132"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At March 31, 2011 Accrued liabilities of $25.2 billion increased by $1.2 billion (or 4.8%) primarily due to increases in customer deposits related to the increased number of vehicles leased to daily rental car companies of $0.6 billion and increases in the current portion of product warranty and recall campaigns of $0.5 billion based on recent claims experience.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Non-Current Liabilities</w:t>
      </w:r>
    </w:p>
    <w:p>
      <w:pPr>
        <w:spacing w:after="0" w:line="171"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At March 31, 2011 Long-term debt of $3.3 billion increased by $0.3 billion (or 8.4%), primarily due to capital lease obligations of $0.2 billion and the effects of foreign currency translation of $0.1 billion.</w:t>
      </w:r>
    </w:p>
    <w:p>
      <w:pPr>
        <w:spacing w:after="0" w:line="132"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At March 31, 2011 Postretirement benefits other than pensions obligation of $9.4 billion increased by $0.1 billion (or 1.1%), primarily due to the effects of foreign currency translation.</w:t>
      </w:r>
    </w:p>
    <w:p>
      <w:pPr>
        <w:spacing w:after="0" w:line="132"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At March 31, 2011 Pensions obligation of $21.7 billion decreased by $0.2 billion (or 1.1%) due to: (1) the revaluation of pension plans of $0.3 billion in GME associated with goodwill impairment testing; (2) decrease for contributions and benefits payments of $0.2 billion and; (3) decrease for service costs, interest expense and expected return on assets of $0.1 billion offset by an increase of $0.4 billion due to the effects of foreign currency translation.</w:t>
      </w:r>
    </w:p>
    <w:p>
      <w:pPr>
        <w:spacing w:after="0" w:line="107"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At March 31, 2011 Other liabilities and deferred income taxes of $12.9 billion decreased by $0.2 billion (or 1.3%), primarily due to a decrease in the non-current portion of product warranty and recall campaigns of $0.5 billion based on recent claims experience offset by an increase in accruals for deferred revenue of $0.2 billion.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GM Financial Assets</w:t>
      </w:r>
    </w:p>
    <w:p>
      <w:pPr>
        <w:spacing w:after="0" w:line="171"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At March 31, 2011 Finance receivables, net of $8.3 billion increased by $0.1 billion (or 1.0%), primarily due to new loan originations of $1.1 billion partially offset by principal collections and gross charge offs of $1.0 billion.</w:t>
      </w:r>
    </w:p>
    <w:p>
      <w:pPr>
        <w:spacing w:after="0" w:line="132" w:lineRule="exact"/>
        <w:rPr>
          <w:sz w:val="20"/>
          <w:szCs w:val="20"/>
          <w:color w:val="auto"/>
        </w:rPr>
      </w:pPr>
    </w:p>
    <w:p>
      <w:pPr>
        <w:ind w:left="240" w:right="60"/>
        <w:spacing w:after="0" w:line="438" w:lineRule="auto"/>
        <w:rPr>
          <w:sz w:val="20"/>
          <w:szCs w:val="20"/>
          <w:color w:val="auto"/>
        </w:rPr>
      </w:pPr>
      <w:r>
        <w:rPr>
          <w:rFonts w:ascii="Arial" w:cs="Arial" w:eastAsia="Arial" w:hAnsi="Arial"/>
          <w:sz w:val="18"/>
          <w:szCs w:val="18"/>
          <w:color w:val="auto"/>
        </w:rPr>
        <w:t xml:space="preserve">At March 31, 2011 Restricted cash of $1.2 billion increased by $0.1 billion (or 10.2%), primarily due to higher borrowings on GM Financial’s credit facilities. At March 31, 2011 Other assets of $0.8 billion increased by $0.4 billion (or 106.6%), primarily due to new leased vehicles originations of $0.3 billion. </w:t>
      </w:r>
      <w:r>
        <w:rPr>
          <w:rFonts w:ascii="Arial" w:cs="Arial" w:eastAsia="Arial" w:hAnsi="Arial"/>
          <w:sz w:val="18"/>
          <w:szCs w:val="18"/>
          <w:b w:val="1"/>
          <w:bCs w:val="1"/>
          <w:i w:val="1"/>
          <w:iCs w:val="1"/>
          <w:color w:val="auto"/>
        </w:rPr>
        <w:t>Total GM Financial Liabilities</w:t>
      </w:r>
    </w:p>
    <w:p>
      <w:pPr>
        <w:spacing w:after="0" w:line="1"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At March 31, 2011 Securitization notes payable of $6.1 billion decreased by $0.1 billion (or 1.1%), primarily due to normal principal amortization of the securitization notes payable partially offset by a $0.8 billion new securitization transaction.</w:t>
      </w:r>
    </w:p>
    <w:p>
      <w:pPr>
        <w:spacing w:after="0" w:line="132"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At March 31, 2011 Credit facilities of $1.4 billion increased by $0.6 billion (or 69.7%), primarily due to new net borrowings on credit facilities to support increased loan and lease originations.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Further information on each of our businesses and geographic segments is subsequently discussed.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Three Months</w:t>
            </w:r>
          </w:p>
        </w:tc>
        <w:tc>
          <w:tcPr>
            <w:tcW w:w="36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38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8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March</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March</w:t>
            </w:r>
          </w:p>
        </w:tc>
      </w:tr>
      <w:tr>
        <w:trPr>
          <w:trHeight w:val="161"/>
        </w:trPr>
        <w:tc>
          <w:tcPr>
            <w:tcW w:w="38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8"/>
              </w:rPr>
              <w:t>31, 2011</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4"/>
              </w:rPr>
              <w:t>31, 2010</w:t>
            </w:r>
          </w:p>
        </w:tc>
        <w:tc>
          <w:tcPr>
            <w:tcW w:w="100" w:type="dxa"/>
            <w:vAlign w:val="bottom"/>
          </w:tcPr>
          <w:p>
            <w:pPr>
              <w:spacing w:after="0"/>
              <w:rPr>
                <w:sz w:val="14"/>
                <w:szCs w:val="14"/>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5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22,110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100" w:type="dxa"/>
            <w:vAlign w:val="bottom"/>
            <w:shd w:val="clear" w:color="auto" w:fill="CCEEFF"/>
          </w:tcPr>
          <w:p>
            <w:pPr>
              <w:spacing w:after="0"/>
              <w:rPr>
                <w:sz w:val="18"/>
                <w:szCs w:val="18"/>
                <w:color w:val="auto"/>
              </w:rPr>
            </w:pPr>
          </w:p>
        </w:tc>
      </w:tr>
      <w:tr>
        <w:trPr>
          <w:trHeight w:val="228"/>
        </w:trPr>
        <w:tc>
          <w:tcPr>
            <w:tcW w:w="3820" w:type="dxa"/>
            <w:vAlign w:val="bottom"/>
          </w:tcPr>
          <w:p>
            <w:pPr>
              <w:spacing w:after="0"/>
              <w:rPr>
                <w:sz w:val="20"/>
                <w:szCs w:val="20"/>
                <w:color w:val="auto"/>
              </w:rPr>
            </w:pPr>
            <w:r>
              <w:rPr>
                <w:rFonts w:ascii="Arial" w:cs="Arial" w:eastAsia="Arial" w:hAnsi="Arial"/>
                <w:sz w:val="18"/>
                <w:szCs w:val="18"/>
                <w:b w:val="1"/>
                <w:bCs w:val="1"/>
                <w:color w:val="auto"/>
              </w:rPr>
              <w:t>EBIT</w:t>
            </w: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2,898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r>
      <w:tr>
        <w:trPr>
          <w:trHeight w:val="350"/>
        </w:trPr>
        <w:tc>
          <w:tcPr>
            <w:tcW w:w="3820" w:type="dxa"/>
            <w:vAlign w:val="bottom"/>
          </w:tcPr>
          <w:p>
            <w:pPr>
              <w:spacing w:after="0"/>
              <w:rPr>
                <w:sz w:val="24"/>
                <w:szCs w:val="24"/>
                <w:color w:val="auto"/>
              </w:rPr>
            </w:pPr>
          </w:p>
        </w:tc>
        <w:tc>
          <w:tcPr>
            <w:tcW w:w="5120" w:type="dxa"/>
            <w:vAlign w:val="bottom"/>
          </w:tcPr>
          <w:p>
            <w:pPr>
              <w:jc w:val="right"/>
              <w:ind w:right="3052"/>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new motor vehicle sales volume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0"/>
              </w:rPr>
              <w:t>Three Months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8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76"/>
              </w:rPr>
              <w:t>March 31, 2011</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March 31, 2010</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Production Volume</w:t>
            </w:r>
          </w:p>
        </w:tc>
        <w:tc>
          <w:tcPr>
            <w:tcW w:w="38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Cars</w:t>
            </w:r>
          </w:p>
        </w:tc>
        <w:tc>
          <w:tcPr>
            <w:tcW w:w="380" w:type="dxa"/>
            <w:vAlign w:val="bottom"/>
          </w:tcPr>
          <w:p>
            <w:pPr>
              <w:spacing w:after="0"/>
              <w:rPr>
                <w:sz w:val="18"/>
                <w:szCs w:val="18"/>
                <w:color w:val="auto"/>
              </w:rPr>
            </w:pPr>
          </w:p>
        </w:tc>
        <w:tc>
          <w:tcPr>
            <w:tcW w:w="880" w:type="dxa"/>
            <w:vAlign w:val="bottom"/>
            <w:gridSpan w:val="3"/>
          </w:tcPr>
          <w:p>
            <w:pPr>
              <w:jc w:val="center"/>
              <w:ind w:left="298"/>
              <w:spacing w:after="0"/>
              <w:rPr>
                <w:sz w:val="20"/>
                <w:szCs w:val="20"/>
                <w:color w:val="auto"/>
              </w:rPr>
            </w:pPr>
            <w:r>
              <w:rPr>
                <w:rFonts w:ascii="Arial" w:cs="Arial" w:eastAsia="Arial" w:hAnsi="Arial"/>
                <w:sz w:val="18"/>
                <w:szCs w:val="18"/>
                <w:color w:val="auto"/>
                <w:w w:val="86"/>
              </w:rPr>
              <w:t>284</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Trucks</w:t>
            </w:r>
          </w:p>
        </w:tc>
        <w:tc>
          <w:tcPr>
            <w:tcW w:w="3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center"/>
              <w:ind w:left="298"/>
              <w:spacing w:after="0"/>
              <w:rPr>
                <w:sz w:val="20"/>
                <w:szCs w:val="20"/>
                <w:color w:val="auto"/>
              </w:rPr>
            </w:pPr>
            <w:r>
              <w:rPr>
                <w:rFonts w:ascii="Arial" w:cs="Arial" w:eastAsia="Arial" w:hAnsi="Arial"/>
                <w:sz w:val="18"/>
                <w:szCs w:val="18"/>
                <w:color w:val="auto"/>
                <w:w w:val="86"/>
              </w:rPr>
              <w:t>502</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3"/>
          </w:tcPr>
          <w:p>
            <w:pPr>
              <w:jc w:val="center"/>
              <w:ind w:left="298"/>
              <w:spacing w:after="0"/>
              <w:rPr>
                <w:sz w:val="20"/>
                <w:szCs w:val="20"/>
                <w:color w:val="auto"/>
              </w:rPr>
            </w:pPr>
            <w:r>
              <w:rPr>
                <w:rFonts w:ascii="Arial" w:cs="Arial" w:eastAsia="Arial" w:hAnsi="Arial"/>
                <w:sz w:val="18"/>
                <w:szCs w:val="18"/>
                <w:color w:val="auto"/>
                <w:w w:val="86"/>
              </w:rPr>
              <w:t>786</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300" w:type="dxa"/>
            <w:vAlign w:val="bottom"/>
          </w:tcPr>
          <w:p>
            <w:pPr>
              <w:spacing w:after="0"/>
              <w:rPr>
                <w:sz w:val="24"/>
                <w:szCs w:val="2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420" w:type="dxa"/>
            <w:vAlign w:val="bottom"/>
          </w:tcPr>
          <w:p>
            <w:pPr>
              <w:spacing w:after="0"/>
              <w:rPr>
                <w:sz w:val="24"/>
                <w:szCs w:val="24"/>
                <w:color w:val="auto"/>
              </w:rPr>
            </w:pPr>
          </w:p>
        </w:tc>
        <w:tc>
          <w:tcPr>
            <w:tcW w:w="14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830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March 31, 2011</w:t>
            </w:r>
          </w:p>
        </w:tc>
        <w:tc>
          <w:tcPr>
            <w:tcW w:w="420" w:type="dxa"/>
            <w:vAlign w:val="bottom"/>
          </w:tcPr>
          <w:p>
            <w:pPr>
              <w:spacing w:after="0"/>
              <w:rPr>
                <w:sz w:val="14"/>
                <w:szCs w:val="14"/>
                <w:color w:val="auto"/>
              </w:rPr>
            </w:pPr>
          </w:p>
        </w:tc>
        <w:tc>
          <w:tcPr>
            <w:tcW w:w="14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March 31, 2010 (a)(b)</w:t>
            </w:r>
          </w:p>
        </w:tc>
        <w:tc>
          <w:tcPr>
            <w:tcW w:w="0" w:type="dxa"/>
            <w:vAlign w:val="bottom"/>
          </w:tcPr>
          <w:p>
            <w:pPr>
              <w:spacing w:after="0"/>
              <w:rPr>
                <w:sz w:val="1"/>
                <w:szCs w:val="1"/>
                <w:color w:val="auto"/>
              </w:rPr>
            </w:pPr>
          </w:p>
        </w:tc>
      </w:tr>
      <w:tr>
        <w:trPr>
          <w:trHeight w:val="129"/>
        </w:trPr>
        <w:tc>
          <w:tcPr>
            <w:tcW w:w="83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5"/>
              </w:rPr>
              <w:t>GM as</w:t>
            </w:r>
          </w:p>
        </w:tc>
        <w:tc>
          <w:tcPr>
            <w:tcW w:w="4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GM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 % of</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61"/>
        </w:trPr>
        <w:tc>
          <w:tcPr>
            <w:tcW w:w="8300" w:type="dxa"/>
            <w:vAlign w:val="bottom"/>
          </w:tcPr>
          <w:p>
            <w:pPr>
              <w:spacing w:after="0"/>
              <w:rPr>
                <w:sz w:val="14"/>
                <w:szCs w:val="14"/>
                <w:color w:val="auto"/>
              </w:rPr>
            </w:pPr>
          </w:p>
        </w:tc>
        <w:tc>
          <w:tcPr>
            <w:tcW w:w="380" w:type="dxa"/>
            <w:vAlign w:val="bottom"/>
          </w:tcPr>
          <w:p>
            <w:pPr>
              <w:jc w:val="right"/>
              <w:ind w:right="19"/>
              <w:spacing w:after="0"/>
              <w:rPr>
                <w:sz w:val="20"/>
                <w:szCs w:val="20"/>
                <w:color w:val="auto"/>
              </w:rPr>
            </w:pPr>
            <w:r>
              <w:rPr>
                <w:rFonts w:ascii="Arial" w:cs="Arial" w:eastAsia="Arial" w:hAnsi="Arial"/>
                <w:sz w:val="14"/>
                <w:szCs w:val="14"/>
                <w:b w:val="1"/>
                <w:bCs w:val="1"/>
                <w:color w:val="auto"/>
              </w:rPr>
              <w:t>GM</w:t>
            </w:r>
          </w:p>
        </w:tc>
        <w:tc>
          <w:tcPr>
            <w:tcW w:w="36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420" w:type="dxa"/>
            <w:vAlign w:val="bottom"/>
          </w:tcPr>
          <w:p>
            <w:pPr>
              <w:spacing w:after="0"/>
              <w:rPr>
                <w:sz w:val="14"/>
                <w:szCs w:val="14"/>
                <w:color w:val="auto"/>
              </w:rPr>
            </w:pP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GM</w:t>
            </w:r>
          </w:p>
        </w:tc>
        <w:tc>
          <w:tcPr>
            <w:tcW w:w="3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Vehicle Sales (c)(d)(e)</w:t>
            </w:r>
          </w:p>
        </w:tc>
        <w:tc>
          <w:tcPr>
            <w:tcW w:w="38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Total GMNA</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684</w:t>
            </w:r>
          </w:p>
        </w:tc>
        <w:tc>
          <w:tcPr>
            <w:tcW w:w="880" w:type="dxa"/>
            <w:vAlign w:val="bottom"/>
            <w:gridSpan w:val="3"/>
          </w:tcPr>
          <w:p>
            <w:pPr>
              <w:jc w:val="center"/>
              <w:ind w:left="338"/>
              <w:spacing w:after="0"/>
              <w:rPr>
                <w:sz w:val="20"/>
                <w:szCs w:val="20"/>
                <w:color w:val="auto"/>
              </w:rPr>
            </w:pPr>
            <w:r>
              <w:rPr>
                <w:rFonts w:ascii="Arial" w:cs="Arial" w:eastAsia="Arial" w:hAnsi="Arial"/>
                <w:sz w:val="18"/>
                <w:szCs w:val="18"/>
                <w:color w:val="auto"/>
                <w:w w:val="90"/>
              </w:rPr>
              <w:t>18.3%</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564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U.S.</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593</w:t>
            </w:r>
          </w:p>
        </w:tc>
        <w:tc>
          <w:tcPr>
            <w:tcW w:w="880" w:type="dxa"/>
            <w:vAlign w:val="bottom"/>
            <w:gridSpan w:val="3"/>
            <w:shd w:val="clear" w:color="auto" w:fill="CCEEFF"/>
          </w:tcPr>
          <w:p>
            <w:pPr>
              <w:jc w:val="center"/>
              <w:ind w:left="338"/>
              <w:spacing w:after="0"/>
              <w:rPr>
                <w:sz w:val="20"/>
                <w:szCs w:val="20"/>
                <w:color w:val="auto"/>
              </w:rPr>
            </w:pPr>
            <w:r>
              <w:rPr>
                <w:rFonts w:ascii="Arial" w:cs="Arial" w:eastAsia="Arial" w:hAnsi="Arial"/>
                <w:sz w:val="18"/>
                <w:szCs w:val="18"/>
                <w:color w:val="auto"/>
                <w:w w:val="90"/>
              </w:rPr>
              <w:t>19.0%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U.S. - Cars</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232</w:t>
            </w:r>
          </w:p>
        </w:tc>
        <w:tc>
          <w:tcPr>
            <w:tcW w:w="880" w:type="dxa"/>
            <w:vAlign w:val="bottom"/>
            <w:gridSpan w:val="3"/>
          </w:tcPr>
          <w:p>
            <w:pPr>
              <w:jc w:val="center"/>
              <w:ind w:left="338"/>
              <w:spacing w:after="0"/>
              <w:rPr>
                <w:sz w:val="20"/>
                <w:szCs w:val="20"/>
                <w:color w:val="auto"/>
              </w:rPr>
            </w:pPr>
            <w:r>
              <w:rPr>
                <w:rFonts w:ascii="Arial" w:cs="Arial" w:eastAsia="Arial" w:hAnsi="Arial"/>
                <w:sz w:val="18"/>
                <w:szCs w:val="18"/>
                <w:color w:val="auto"/>
                <w:w w:val="90"/>
              </w:rPr>
              <w:t>15.4%</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190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U.S. - Trucks</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361</w:t>
            </w:r>
          </w:p>
        </w:tc>
        <w:tc>
          <w:tcPr>
            <w:tcW w:w="880" w:type="dxa"/>
            <w:vAlign w:val="bottom"/>
            <w:gridSpan w:val="3"/>
            <w:shd w:val="clear" w:color="auto" w:fill="CCEEFF"/>
          </w:tcPr>
          <w:p>
            <w:pPr>
              <w:jc w:val="center"/>
              <w:ind w:left="338"/>
              <w:spacing w:after="0"/>
              <w:rPr>
                <w:sz w:val="20"/>
                <w:szCs w:val="20"/>
                <w:color w:val="auto"/>
              </w:rPr>
            </w:pPr>
            <w:r>
              <w:rPr>
                <w:rFonts w:ascii="Arial" w:cs="Arial" w:eastAsia="Arial" w:hAnsi="Arial"/>
                <w:sz w:val="18"/>
                <w:szCs w:val="18"/>
                <w:color w:val="auto"/>
                <w:w w:val="90"/>
              </w:rPr>
              <w:t>22.4%</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Canada</w:t>
            </w: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880" w:type="dxa"/>
            <w:vAlign w:val="bottom"/>
            <w:gridSpan w:val="3"/>
          </w:tcPr>
          <w:p>
            <w:pPr>
              <w:jc w:val="center"/>
              <w:ind w:left="338"/>
              <w:spacing w:after="0"/>
              <w:rPr>
                <w:sz w:val="20"/>
                <w:szCs w:val="20"/>
                <w:color w:val="auto"/>
              </w:rPr>
            </w:pPr>
            <w:r>
              <w:rPr>
                <w:rFonts w:ascii="Arial" w:cs="Arial" w:eastAsia="Arial" w:hAnsi="Arial"/>
                <w:sz w:val="18"/>
                <w:szCs w:val="18"/>
                <w:color w:val="auto"/>
                <w:w w:val="90"/>
              </w:rPr>
              <w:t>15.1%</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80" w:type="dxa"/>
            <w:vAlign w:val="bottom"/>
            <w:gridSpan w:val="3"/>
            <w:shd w:val="clear" w:color="auto" w:fill="CCEEFF"/>
          </w:tcPr>
          <w:p>
            <w:pPr>
              <w:jc w:val="center"/>
              <w:ind w:left="338"/>
              <w:spacing w:after="0"/>
              <w:rPr>
                <w:sz w:val="20"/>
                <w:szCs w:val="20"/>
                <w:color w:val="auto"/>
              </w:rPr>
            </w:pPr>
            <w:r>
              <w:rPr>
                <w:rFonts w:ascii="Arial" w:cs="Arial" w:eastAsia="Arial" w:hAnsi="Arial"/>
                <w:sz w:val="18"/>
                <w:szCs w:val="18"/>
                <w:color w:val="auto"/>
                <w:w w:val="90"/>
              </w:rPr>
              <w:t>17.6%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vehicle sales include Saab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sales primarily represent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time of delivery to the daily rental car companies.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9"/>
              </w:rPr>
              <w:t>Three Months</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8"/>
              </w:rPr>
              <w:t>Ended</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8"/>
              </w:rPr>
              <w:t>March 31, 2011</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March 31, 2010 (a)(b)</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GMNA vehicle sales by brand (c)(d)(e)</w:t>
            </w:r>
          </w:p>
        </w:tc>
        <w:tc>
          <w:tcPr>
            <w:tcW w:w="38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Buick</w:t>
            </w:r>
          </w:p>
        </w:tc>
        <w:tc>
          <w:tcPr>
            <w:tcW w:w="5860" w:type="dxa"/>
            <w:vAlign w:val="bottom"/>
            <w:gridSpan w:val="3"/>
          </w:tcPr>
          <w:p>
            <w:pPr>
              <w:jc w:val="right"/>
              <w:ind w:right="1120"/>
              <w:spacing w:after="0"/>
              <w:rPr>
                <w:sz w:val="20"/>
                <w:szCs w:val="20"/>
                <w:color w:val="auto"/>
              </w:rPr>
            </w:pPr>
            <w:r>
              <w:rPr>
                <w:rFonts w:ascii="Arial" w:cs="Arial" w:eastAsia="Arial" w:hAnsi="Arial"/>
                <w:sz w:val="18"/>
                <w:szCs w:val="18"/>
                <w:color w:val="auto"/>
              </w:rPr>
              <w:t>47</w:t>
            </w: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Cadillac</w:t>
            </w:r>
          </w:p>
        </w:tc>
        <w:tc>
          <w:tcPr>
            <w:tcW w:w="586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43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Chevrolet</w:t>
            </w:r>
          </w:p>
        </w:tc>
        <w:tc>
          <w:tcPr>
            <w:tcW w:w="5860" w:type="dxa"/>
            <w:vAlign w:val="bottom"/>
            <w:gridSpan w:val="3"/>
          </w:tcPr>
          <w:p>
            <w:pPr>
              <w:jc w:val="right"/>
              <w:ind w:right="1120"/>
              <w:spacing w:after="0"/>
              <w:rPr>
                <w:sz w:val="20"/>
                <w:szCs w:val="20"/>
                <w:color w:val="auto"/>
              </w:rPr>
            </w:pPr>
            <w:r>
              <w:rPr>
                <w:rFonts w:ascii="Arial" w:cs="Arial" w:eastAsia="Arial" w:hAnsi="Arial"/>
                <w:sz w:val="18"/>
                <w:szCs w:val="18"/>
                <w:color w:val="auto"/>
              </w:rPr>
              <w:t>488</w:t>
            </w:r>
          </w:p>
        </w:tc>
        <w:tc>
          <w:tcPr>
            <w:tcW w:w="126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GMC</w:t>
            </w:r>
          </w:p>
        </w:tc>
        <w:tc>
          <w:tcPr>
            <w:tcW w:w="38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106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tcPr>
          <w:p>
            <w:pPr>
              <w:ind w:left="200"/>
              <w:spacing w:after="0"/>
              <w:rPr>
                <w:sz w:val="20"/>
                <w:szCs w:val="20"/>
                <w:color w:val="auto"/>
              </w:rPr>
            </w:pPr>
            <w:r>
              <w:rPr>
                <w:rFonts w:ascii="Arial" w:cs="Arial" w:eastAsia="Arial" w:hAnsi="Arial"/>
                <w:sz w:val="18"/>
                <w:szCs w:val="18"/>
                <w:color w:val="auto"/>
              </w:rPr>
              <w:t>Total core brands</w:t>
            </w:r>
          </w:p>
        </w:tc>
        <w:tc>
          <w:tcPr>
            <w:tcW w:w="3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vMerge w:val="continue"/>
          </w:tcPr>
          <w:p>
            <w:pPr>
              <w:spacing w:after="0"/>
              <w:rPr>
                <w:sz w:val="19"/>
                <w:szCs w:val="19"/>
                <w:color w:val="auto"/>
              </w:rPr>
            </w:pPr>
          </w:p>
        </w:tc>
        <w:tc>
          <w:tcPr>
            <w:tcW w:w="3860" w:type="dxa"/>
            <w:vAlign w:val="bottom"/>
          </w:tcPr>
          <w:p>
            <w:pPr>
              <w:spacing w:after="0"/>
              <w:rPr>
                <w:sz w:val="19"/>
                <w:szCs w:val="19"/>
                <w:color w:val="auto"/>
              </w:rPr>
            </w:pPr>
          </w:p>
        </w:tc>
        <w:tc>
          <w:tcPr>
            <w:tcW w:w="2000" w:type="dxa"/>
            <w:vAlign w:val="bottom"/>
            <w:gridSpan w:val="2"/>
          </w:tcPr>
          <w:p>
            <w:pPr>
              <w:jc w:val="right"/>
              <w:ind w:right="1120"/>
              <w:spacing w:after="0"/>
              <w:rPr>
                <w:sz w:val="20"/>
                <w:szCs w:val="20"/>
                <w:color w:val="auto"/>
              </w:rPr>
            </w:pPr>
            <w:r>
              <w:rPr>
                <w:rFonts w:ascii="Arial" w:cs="Arial" w:eastAsia="Arial" w:hAnsi="Arial"/>
                <w:sz w:val="18"/>
                <w:szCs w:val="18"/>
                <w:color w:val="auto"/>
              </w:rPr>
              <w:t>684</w:t>
            </w:r>
          </w:p>
        </w:tc>
        <w:tc>
          <w:tcPr>
            <w:tcW w:w="126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HUMMER</w:t>
            </w:r>
          </w:p>
        </w:tc>
        <w:tc>
          <w:tcPr>
            <w:tcW w:w="38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Pontiac</w:t>
            </w:r>
          </w:p>
        </w:tc>
        <w:tc>
          <w:tcPr>
            <w:tcW w:w="3860" w:type="dxa"/>
            <w:vAlign w:val="bottom"/>
          </w:tcPr>
          <w:p>
            <w:pPr>
              <w:spacing w:after="0"/>
              <w:rPr>
                <w:sz w:val="18"/>
                <w:szCs w:val="18"/>
                <w:color w:val="auto"/>
              </w:rPr>
            </w:pPr>
          </w:p>
        </w:tc>
        <w:tc>
          <w:tcPr>
            <w:tcW w:w="200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Saab</w:t>
            </w:r>
          </w:p>
        </w:tc>
        <w:tc>
          <w:tcPr>
            <w:tcW w:w="38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Saturn</w:t>
            </w:r>
          </w:p>
        </w:tc>
        <w:tc>
          <w:tcPr>
            <w:tcW w:w="3860" w:type="dxa"/>
            <w:vAlign w:val="bottom"/>
          </w:tcPr>
          <w:p>
            <w:pPr>
              <w:spacing w:after="0"/>
              <w:rPr>
                <w:sz w:val="18"/>
                <w:szCs w:val="18"/>
                <w:color w:val="auto"/>
              </w:rPr>
            </w:pPr>
          </w:p>
        </w:tc>
        <w:tc>
          <w:tcPr>
            <w:tcW w:w="200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brands</w:t>
            </w:r>
          </w:p>
        </w:tc>
        <w:tc>
          <w:tcPr>
            <w:tcW w:w="38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GMNA total</w:t>
            </w:r>
          </w:p>
        </w:tc>
        <w:tc>
          <w:tcPr>
            <w:tcW w:w="3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gridSpan w:val="2"/>
            <w:vMerge w:val="continue"/>
          </w:tcPr>
          <w:p>
            <w:pPr>
              <w:spacing w:after="0"/>
              <w:rPr>
                <w:sz w:val="19"/>
                <w:szCs w:val="19"/>
                <w:color w:val="auto"/>
              </w:rPr>
            </w:pPr>
          </w:p>
        </w:tc>
        <w:tc>
          <w:tcPr>
            <w:tcW w:w="3860" w:type="dxa"/>
            <w:vAlign w:val="bottom"/>
          </w:tcPr>
          <w:p>
            <w:pPr>
              <w:spacing w:after="0"/>
              <w:rPr>
                <w:sz w:val="19"/>
                <w:szCs w:val="19"/>
                <w:color w:val="auto"/>
              </w:rPr>
            </w:pPr>
          </w:p>
        </w:tc>
        <w:tc>
          <w:tcPr>
            <w:tcW w:w="2000" w:type="dxa"/>
            <w:vAlign w:val="bottom"/>
            <w:gridSpan w:val="2"/>
          </w:tcPr>
          <w:p>
            <w:pPr>
              <w:jc w:val="right"/>
              <w:ind w:right="1120"/>
              <w:spacing w:after="0"/>
              <w:rPr>
                <w:sz w:val="20"/>
                <w:szCs w:val="20"/>
                <w:color w:val="auto"/>
              </w:rPr>
            </w:pPr>
            <w:r>
              <w:rPr>
                <w:rFonts w:ascii="Arial" w:cs="Arial" w:eastAsia="Arial" w:hAnsi="Arial"/>
                <w:sz w:val="18"/>
                <w:szCs w:val="18"/>
                <w:color w:val="auto"/>
              </w:rPr>
              <w:t>684</w:t>
            </w:r>
          </w:p>
        </w:tc>
        <w:tc>
          <w:tcPr>
            <w:tcW w:w="126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860" w:type="dxa"/>
            <w:vAlign w:val="bottom"/>
            <w:vMerge w:val="restart"/>
          </w:tcPr>
          <w:p>
            <w:pPr>
              <w:jc w:val="right"/>
              <w:ind w:right="2172"/>
              <w:spacing w:after="0"/>
              <w:rPr>
                <w:sz w:val="20"/>
                <w:szCs w:val="20"/>
                <w:color w:val="auto"/>
              </w:rPr>
            </w:pPr>
            <w:r>
              <w:rPr>
                <w:rFonts w:ascii="Arial" w:cs="Arial" w:eastAsia="Arial" w:hAnsi="Arial"/>
                <w:sz w:val="18"/>
                <w:szCs w:val="18"/>
                <w:color w:val="auto"/>
              </w:rPr>
              <w:t>64</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2"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vehicle sales include Saab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sales primarily represent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6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4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400" w:type="dxa"/>
            <w:vAlign w:val="bottom"/>
          </w:tcPr>
          <w:p>
            <w:pPr>
              <w:spacing w:after="0"/>
              <w:rPr>
                <w:sz w:val="12"/>
                <w:szCs w:val="12"/>
                <w:color w:val="auto"/>
              </w:rPr>
            </w:pPr>
          </w:p>
        </w:tc>
        <w:tc>
          <w:tcPr>
            <w:tcW w:w="15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49"/>
        </w:trPr>
        <w:tc>
          <w:tcPr>
            <w:tcW w:w="46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5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2011 vs. 2010</w:t>
            </w:r>
          </w:p>
        </w:tc>
      </w:tr>
      <w:tr>
        <w:trPr>
          <w:trHeight w:val="161"/>
        </w:trPr>
        <w:tc>
          <w:tcPr>
            <w:tcW w:w="4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2011</w:t>
            </w:r>
          </w:p>
        </w:tc>
        <w:tc>
          <w:tcPr>
            <w:tcW w:w="4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400" w:type="dxa"/>
            <w:vAlign w:val="bottom"/>
          </w:tcPr>
          <w:p>
            <w:pPr>
              <w:spacing w:after="0"/>
              <w:rPr>
                <w:sz w:val="14"/>
                <w:szCs w:val="14"/>
                <w:color w:val="auto"/>
              </w:rPr>
            </w:pPr>
          </w:p>
        </w:tc>
        <w:tc>
          <w:tcPr>
            <w:tcW w:w="960" w:type="dxa"/>
            <w:vAlign w:val="bottom"/>
            <w:tcBorders>
              <w:bottom w:val="single" w:sz="8" w:color="auto"/>
            </w:tcBorders>
          </w:tcPr>
          <w:p>
            <w:pPr>
              <w:jc w:val="center"/>
              <w:ind w:left="412"/>
              <w:spacing w:after="0"/>
              <w:rPr>
                <w:sz w:val="20"/>
                <w:szCs w:val="20"/>
                <w:color w:val="auto"/>
              </w:rPr>
            </w:pPr>
            <w:r>
              <w:rPr>
                <w:rFonts w:ascii="Arial" w:cs="Arial" w:eastAsia="Arial" w:hAnsi="Arial"/>
                <w:sz w:val="14"/>
                <w:szCs w:val="14"/>
                <w:b w:val="1"/>
                <w:bCs w:val="1"/>
                <w:color w:val="auto"/>
                <w:w w:val="85"/>
              </w:rPr>
              <w:t>Change</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2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22,110</w:t>
            </w: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13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$2,824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80" w:firstLine="228"/>
        <w:spacing w:after="0" w:line="303" w:lineRule="auto"/>
        <w:rPr>
          <w:sz w:val="20"/>
          <w:szCs w:val="20"/>
          <w:color w:val="auto"/>
        </w:rPr>
      </w:pPr>
      <w:r>
        <w:rPr>
          <w:rFonts w:ascii="Arial" w:cs="Arial" w:eastAsia="Arial" w:hAnsi="Arial"/>
          <w:sz w:val="15"/>
          <w:szCs w:val="15"/>
          <w:color w:val="auto"/>
        </w:rPr>
        <w:t>In the three months ended March 31, 2011 Total net sales and revenue increased by $2.8 billion (or 14.6%), primarily due to: (1) increased wholesale volumes of $2.7 billion representing 111,000 vehicles (or 15.9%) due to an improving economy and successful recent vehicle launches of the Chevrolet Cruze, Chevrolet Equinox, GMC Terrain, Buick LaCrosse and Cadillac SRX; (2) favorable vehicle mix of $0.2 billion primarily due to fewer daily rental units sold at auction;</w:t>
      </w:r>
    </w:p>
    <w:p>
      <w:pPr>
        <w:spacing w:after="0" w:line="1" w:lineRule="exact"/>
        <w:rPr>
          <w:sz w:val="20"/>
          <w:szCs w:val="20"/>
          <w:color w:val="auto"/>
        </w:rPr>
      </w:pPr>
    </w:p>
    <w:p>
      <w:pPr>
        <w:ind w:right="20" w:firstLine="8"/>
        <w:spacing w:after="0" w:line="302" w:lineRule="auto"/>
        <w:tabs>
          <w:tab w:leader="none" w:pos="2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increased revenues from OnStar and Customer Care and Aftersales of $0.2 billion primarily due to increased volumes; (4) favorable net foreign currency translation effect of $0.2 billion primarily driven by the strengthening of the Canadian Dollar against the U.S. Dollar; partially offset by (5) unfavorable pricing of $0.3 billion due to increased sales allowances; and (6) decreased revenue of $0.3 billion due to the sale of Nexteer in November 2010.</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 EBIT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36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6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49"/>
        </w:trPr>
        <w:tc>
          <w:tcPr>
            <w:tcW w:w="36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7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2011 vs. 2010</w:t>
            </w:r>
          </w:p>
        </w:tc>
      </w:tr>
      <w:tr>
        <w:trPr>
          <w:trHeight w:val="161"/>
        </w:trPr>
        <w:tc>
          <w:tcPr>
            <w:tcW w:w="36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2011</w:t>
            </w:r>
          </w:p>
        </w:tc>
        <w:tc>
          <w:tcPr>
            <w:tcW w:w="4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27"/>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EBIT</w:t>
            </w:r>
          </w:p>
        </w:tc>
        <w:tc>
          <w:tcPr>
            <w:tcW w:w="3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2,898</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In the three months ended March 31, 2011 EBIT increased by $1.7 billion (or 137.9%), primarily due to: (1) a gain of $1.6 billion on the sale of our New Delphi Class A Membership Interests; (2) increased wholesale volumes of $1.0 billion due to an improving economy and successful recent vehicle launches such as the Chevrolet Cruze, Chevrolet Equinox, GMC Terrain, Buick LaCrosse and Cadillac SRX; (3) favorable increase in net pension and other postretirement benefits (OPEB) income of $0.1 billion; partially offset by (4) unfavorable vehicle pricing effect of $0.3 billion due to higher sales allowances; (5) increased advertising and sales promotion expenses of $0.2 billion primarily to support media campaigns for our products; (6) increased engineering expense of $0.2 billion to support new product development; (7) unfavorable vehicle mix of $0.1 billion; and (8) reduction in favorable adjustments of $0.1 billion to restructuring reserves primarily due to increased production capacity utilization during the three months ended March 31, 2010, which resulted in the recall of idled employees to fill added shifts at multiple U.S. production sites.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38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w:t>
            </w:r>
          </w:p>
        </w:tc>
      </w:tr>
      <w:tr>
        <w:trPr>
          <w:trHeight w:val="149"/>
        </w:trPr>
        <w:tc>
          <w:tcPr>
            <w:tcW w:w="38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38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3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2010</w:t>
            </w:r>
          </w:p>
        </w:tc>
      </w:tr>
      <w:tr>
        <w:trPr>
          <w:trHeight w:val="20"/>
        </w:trPr>
        <w:tc>
          <w:tcPr>
            <w:tcW w:w="3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504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5,461</w:t>
            </w:r>
          </w:p>
        </w:tc>
      </w:tr>
      <w:tr>
        <w:trPr>
          <w:trHeight w:val="228"/>
        </w:trPr>
        <w:tc>
          <w:tcPr>
            <w:tcW w:w="3820" w:type="dxa"/>
            <w:vAlign w:val="bottom"/>
          </w:tcPr>
          <w:p>
            <w:pPr>
              <w:spacing w:after="0"/>
              <w:rPr>
                <w:sz w:val="20"/>
                <w:szCs w:val="20"/>
                <w:color w:val="auto"/>
              </w:rPr>
            </w:pPr>
            <w:r>
              <w:rPr>
                <w:rFonts w:ascii="Arial" w:cs="Arial" w:eastAsia="Arial" w:hAnsi="Arial"/>
                <w:sz w:val="18"/>
                <w:szCs w:val="18"/>
                <w:b w:val="1"/>
                <w:bCs w:val="1"/>
                <w:color w:val="auto"/>
              </w:rPr>
              <w:t>EBIT loss</w:t>
            </w:r>
          </w:p>
        </w:tc>
        <w:tc>
          <w:tcPr>
            <w:tcW w:w="5040" w:type="dxa"/>
            <w:vAlign w:val="bottom"/>
            <w:gridSpan w:val="2"/>
          </w:tcPr>
          <w:p>
            <w:pPr>
              <w:ind w:left="4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(390)</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r>
      <w:tr>
        <w:trPr>
          <w:trHeight w:val="350"/>
        </w:trPr>
        <w:tc>
          <w:tcPr>
            <w:tcW w:w="3820" w:type="dxa"/>
            <w:vAlign w:val="bottom"/>
          </w:tcPr>
          <w:p>
            <w:pPr>
              <w:spacing w:after="0"/>
              <w:rPr>
                <w:sz w:val="24"/>
                <w:szCs w:val="24"/>
                <w:color w:val="auto"/>
              </w:rPr>
            </w:pPr>
          </w:p>
        </w:tc>
        <w:tc>
          <w:tcPr>
            <w:tcW w:w="4880" w:type="dxa"/>
            <w:vAlign w:val="bottom"/>
          </w:tcPr>
          <w:p>
            <w:pPr>
              <w:jc w:val="right"/>
              <w:ind w:right="2812"/>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new motor vehicle sales volume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Three Months</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Three Months</w:t>
            </w:r>
          </w:p>
        </w:tc>
      </w:tr>
      <w:tr>
        <w:trPr>
          <w:trHeight w:val="149"/>
        </w:trPr>
        <w:tc>
          <w:tcPr>
            <w:tcW w:w="8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Ended</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Ended</w:t>
            </w:r>
          </w:p>
        </w:tc>
      </w:tr>
      <w:tr>
        <w:trPr>
          <w:trHeight w:val="149"/>
        </w:trPr>
        <w:tc>
          <w:tcPr>
            <w:tcW w:w="8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March</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March</w:t>
            </w:r>
          </w:p>
        </w:tc>
      </w:tr>
      <w:tr>
        <w:trPr>
          <w:trHeight w:val="161"/>
        </w:trPr>
        <w:tc>
          <w:tcPr>
            <w:tcW w:w="8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31, 2011</w:t>
            </w:r>
          </w:p>
        </w:tc>
        <w:tc>
          <w:tcPr>
            <w:tcW w:w="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31, 2010</w:t>
            </w:r>
          </w:p>
        </w:tc>
        <w:tc>
          <w:tcPr>
            <w:tcW w:w="100" w:type="dxa"/>
            <w:vAlign w:val="bottom"/>
          </w:tcPr>
          <w:p>
            <w:pPr>
              <w:spacing w:after="0"/>
              <w:rPr>
                <w:sz w:val="14"/>
                <w:szCs w:val="14"/>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Production Volume</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r>
      <w:tr>
        <w:trPr>
          <w:trHeight w:val="338"/>
        </w:trPr>
        <w:tc>
          <w:tcPr>
            <w:tcW w:w="8000" w:type="dxa"/>
            <w:vAlign w:val="bottom"/>
          </w:tcPr>
          <w:p>
            <w:pPr>
              <w:spacing w:after="0"/>
              <w:rPr>
                <w:sz w:val="24"/>
                <w:szCs w:val="24"/>
                <w:color w:val="auto"/>
              </w:rPr>
            </w:pPr>
          </w:p>
        </w:tc>
        <w:tc>
          <w:tcPr>
            <w:tcW w:w="15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24"/>
                <w:szCs w:val="24"/>
                <w:color w:val="auto"/>
              </w:rPr>
            </w:pPr>
          </w:p>
        </w:tc>
        <w:tc>
          <w:tcPr>
            <w:tcW w:w="1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000" w:type="dxa"/>
            <w:vAlign w:val="bottom"/>
          </w:tcPr>
          <w:p>
            <w:pPr>
              <w:spacing w:after="0"/>
              <w:rPr>
                <w:sz w:val="14"/>
                <w:szCs w:val="14"/>
                <w:color w:val="auto"/>
              </w:rPr>
            </w:pPr>
          </w:p>
        </w:tc>
        <w:tc>
          <w:tcPr>
            <w:tcW w:w="15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March 31, 2011</w:t>
            </w:r>
          </w:p>
        </w:tc>
        <w:tc>
          <w:tcPr>
            <w:tcW w:w="360" w:type="dxa"/>
            <w:vAlign w:val="bottom"/>
          </w:tcPr>
          <w:p>
            <w:pPr>
              <w:spacing w:after="0"/>
              <w:rPr>
                <w:sz w:val="14"/>
                <w:szCs w:val="14"/>
                <w:color w:val="auto"/>
              </w:rPr>
            </w:pPr>
          </w:p>
        </w:tc>
        <w:tc>
          <w:tcPr>
            <w:tcW w:w="15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March 31, 2010 (a)</w:t>
            </w:r>
          </w:p>
        </w:tc>
      </w:tr>
      <w:tr>
        <w:trPr>
          <w:trHeight w:val="129"/>
        </w:trPr>
        <w:tc>
          <w:tcPr>
            <w:tcW w:w="80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GM</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1"/>
                <w:szCs w:val="11"/>
                <w:color w:val="auto"/>
              </w:rPr>
            </w:pPr>
          </w:p>
        </w:tc>
      </w:tr>
      <w:tr>
        <w:trPr>
          <w:trHeight w:val="149"/>
        </w:trPr>
        <w:tc>
          <w:tcPr>
            <w:tcW w:w="8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as a % of</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as a % of</w:t>
            </w:r>
          </w:p>
        </w:tc>
      </w:tr>
      <w:tr>
        <w:trPr>
          <w:trHeight w:val="161"/>
        </w:trPr>
        <w:tc>
          <w:tcPr>
            <w:tcW w:w="80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Industry</w:t>
            </w:r>
          </w:p>
        </w:tc>
        <w:tc>
          <w:tcPr>
            <w:tcW w:w="36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GM</w:t>
            </w:r>
          </w:p>
        </w:tc>
        <w:tc>
          <w:tcPr>
            <w:tcW w:w="16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Industry</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Vehicle Sales (b)(c)(d)(e)</w:t>
            </w:r>
          </w:p>
        </w:tc>
        <w:tc>
          <w:tcPr>
            <w:tcW w:w="3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Total GME</w:t>
            </w:r>
          </w:p>
        </w:tc>
        <w:tc>
          <w:tcPr>
            <w:tcW w:w="380" w:type="dxa"/>
            <w:vAlign w:val="bottom"/>
          </w:tcPr>
          <w:p>
            <w:pPr>
              <w:jc w:val="right"/>
              <w:spacing w:after="0"/>
              <w:rPr>
                <w:sz w:val="20"/>
                <w:szCs w:val="20"/>
                <w:color w:val="auto"/>
              </w:rPr>
            </w:pPr>
            <w:r>
              <w:rPr>
                <w:rFonts w:ascii="Arial" w:cs="Arial" w:eastAsia="Arial" w:hAnsi="Arial"/>
                <w:sz w:val="18"/>
                <w:szCs w:val="18"/>
                <w:color w:val="auto"/>
              </w:rPr>
              <w:t>433</w:t>
            </w: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Germany</w:t>
            </w: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Russia</w:t>
            </w: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Uzbekistan</w:t>
            </w: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96.3%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vehicle sales include Saab data through February 2010.</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 In countries where end customer data is not readily available other data sources, such as wholesale volumes, are used to estimate vehicles sales.</w:t>
      </w:r>
    </w:p>
    <w:p>
      <w:pPr>
        <w:spacing w:after="0" w:line="50"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GMIO records the financial results (primarily Automotive sales and Automotive cost of sales) of Chevrolet brand vehicles that are produced in GMIO. These GMIO produced Chevrolet brand vehicles, when sold in GME, are included in GME vehicle sales volume and market share data because vehicle sales volumes are reported in the geographical region in which they are sold. Regardless of where they were produced, Chevrolet brand vehicles included in GME vehicle sales volume and market share data were 112,000 vehicles and 105,000 vehicles in the three months ended March 31, 2011 and 2010.</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7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jc w:val="center"/>
              <w:ind w:left="369"/>
              <w:spacing w:after="0" w:line="149" w:lineRule="exact"/>
              <w:rPr>
                <w:sz w:val="20"/>
                <w:szCs w:val="20"/>
                <w:color w:val="auto"/>
              </w:rPr>
            </w:pPr>
            <w:r>
              <w:rPr>
                <w:rFonts w:ascii="Arial" w:cs="Arial" w:eastAsia="Arial" w:hAnsi="Arial"/>
                <w:sz w:val="14"/>
                <w:szCs w:val="14"/>
                <w:b w:val="1"/>
                <w:bCs w:val="1"/>
                <w:color w:val="auto"/>
                <w:w w:val="88"/>
              </w:rPr>
              <w:t>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6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060" w:type="dxa"/>
            <w:vAlign w:val="bottom"/>
          </w:tcPr>
          <w:p>
            <w:pPr>
              <w:jc w:val="center"/>
              <w:ind w:left="389"/>
              <w:spacing w:after="0" w:line="149" w:lineRule="exact"/>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2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Ended</w:t>
            </w:r>
          </w:p>
        </w:tc>
        <w:tc>
          <w:tcPr>
            <w:tcW w:w="16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2011 vs. 2010</w:t>
            </w:r>
          </w:p>
        </w:tc>
      </w:tr>
      <w:tr>
        <w:trPr>
          <w:trHeight w:val="161"/>
        </w:trPr>
        <w:tc>
          <w:tcPr>
            <w:tcW w:w="7060" w:type="dxa"/>
            <w:vAlign w:val="bottom"/>
          </w:tcPr>
          <w:p>
            <w:pPr>
              <w:spacing w:after="0"/>
              <w:rPr>
                <w:sz w:val="14"/>
                <w:szCs w:val="14"/>
                <w:color w:val="auto"/>
              </w:rPr>
            </w:pPr>
          </w:p>
        </w:tc>
        <w:tc>
          <w:tcPr>
            <w:tcW w:w="13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March 31, 2011</w:t>
            </w:r>
          </w:p>
        </w:tc>
        <w:tc>
          <w:tcPr>
            <w:tcW w:w="13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March 31, 2010</w:t>
            </w:r>
          </w:p>
        </w:tc>
        <w:tc>
          <w:tcPr>
            <w:tcW w:w="1060" w:type="dxa"/>
            <w:vAlign w:val="bottom"/>
          </w:tcPr>
          <w:p>
            <w:pPr>
              <w:jc w:val="center"/>
              <w:ind w:left="389"/>
              <w:spacing w:after="0"/>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6,870</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5,461</w:t>
            </w:r>
          </w:p>
        </w:tc>
        <w:tc>
          <w:tcPr>
            <w:tcW w:w="1060" w:type="dxa"/>
            <w:vAlign w:val="bottom"/>
            <w:shd w:val="clear" w:color="auto" w:fill="CCEEFF"/>
          </w:tcPr>
          <w:p>
            <w:pPr>
              <w:jc w:val="right"/>
              <w:ind w:right="489"/>
              <w:spacing w:after="0"/>
              <w:rPr>
                <w:sz w:val="20"/>
                <w:szCs w:val="20"/>
                <w:color w:val="auto"/>
              </w:rPr>
            </w:pPr>
            <w:r>
              <w:rPr>
                <w:rFonts w:ascii="Arial" w:cs="Arial" w:eastAsia="Arial" w:hAnsi="Arial"/>
                <w:sz w:val="18"/>
                <w:szCs w:val="18"/>
                <w:color w:val="auto"/>
                <w:w w:val="87"/>
              </w:rPr>
              <w:t>$1,409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25.8%</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In the three months ended March 31, 2011 Total net sales and revenue increased by $1.4 billion (or 25.8%), primarily due to: (1) increased wholesale volumes of $0.7 billion representing 47,000 vehicles (or 16.3%) primarily due to an increase in Germany by 17,000 vehicles (or 35.4%), in exports to the United States by 11,000 vehicles primarily attributed to the Buick Regal, in France by 10,000 vehicles (or 49.4%), in Russia by 9,000 vehicles (or 189.4%) and in Turkey by 6,000 vehicles (or 111.1%), partially offset by a decrease in Spain of 5,000 vehicles (or 20.2%); (2) favorable vehicle mix of $0.4 billion primarily due to increased sales of the Opel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Insignia, new generation Opel Meriva, and new generation Opel Astra; (3) revenue from GM Strasbourg of $0.2 billion associated with the acquisition in October 2010; (4) increased powertrain engine and transmission sales of $0.2 billion; partially offset by (5) reduction in Saab brand sales of $0.1 billion related to the sale of Saab in February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 EBIT Loss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7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700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260" w:type="dxa"/>
            <w:vAlign w:val="bottom"/>
          </w:tcPr>
          <w:p>
            <w:pPr>
              <w:spacing w:after="0"/>
              <w:rPr>
                <w:sz w:val="12"/>
                <w:szCs w:val="12"/>
                <w:color w:val="auto"/>
              </w:rPr>
            </w:pPr>
          </w:p>
        </w:tc>
        <w:tc>
          <w:tcPr>
            <w:tcW w:w="14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49"/>
        </w:trPr>
        <w:tc>
          <w:tcPr>
            <w:tcW w:w="7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2011 vs. 2010</w:t>
            </w:r>
          </w:p>
        </w:tc>
      </w:tr>
      <w:tr>
        <w:trPr>
          <w:trHeight w:val="161"/>
        </w:trPr>
        <w:tc>
          <w:tcPr>
            <w:tcW w:w="70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2011</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EBIT loss</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w:t>
            </w: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In the three months ended March 31, 2011 EBIT loss decreased by $0.1 billion (or 18.2%), primarily due to: (1) decreased restructuring expenses of $0.2 billion; (2) increased wholesale volume of $0.2 billion; (3) decreased manufacturing costs of $0.1 billion primarily related to the closing of the Antwerp, Belgium facility and European wide labor savings; (4) decreased engineering expense of $0.1 billion; partially offset by (5) goodwill impairment charges of $0.4 billion in the three months ended March 31, 2011; (6) charges of $0.1 billion related to a single customer’s default under various commercial supply agreements in the three months ended March 31, 2011; and (7) a nonrecurring gain on the sale of Saab of $0.1 billion recorded in the three months ended March 31, 2010.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Three Months</w:t>
            </w:r>
          </w:p>
        </w:tc>
        <w:tc>
          <w:tcPr>
            <w:tcW w:w="42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8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8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March</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March</w:t>
            </w:r>
          </w:p>
        </w:tc>
      </w:tr>
      <w:tr>
        <w:trPr>
          <w:trHeight w:val="161"/>
        </w:trPr>
        <w:tc>
          <w:tcPr>
            <w:tcW w:w="8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4"/>
              </w:rPr>
              <w:t>31, 2011</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4"/>
              </w:rPr>
              <w:t>31, 2010</w:t>
            </w:r>
          </w:p>
        </w:tc>
        <w:tc>
          <w:tcPr>
            <w:tcW w:w="100" w:type="dxa"/>
            <w:vAlign w:val="bottom"/>
          </w:tcPr>
          <w:p>
            <w:pPr>
              <w:spacing w:after="0"/>
              <w:rPr>
                <w:sz w:val="14"/>
                <w:szCs w:val="14"/>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5,427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00" w:type="dxa"/>
            <w:vAlign w:val="bottom"/>
            <w:shd w:val="clear" w:color="auto" w:fill="CCEEFF"/>
          </w:tcPr>
          <w:p>
            <w:pPr>
              <w:spacing w:after="0"/>
              <w:rPr>
                <w:sz w:val="18"/>
                <w:szCs w:val="18"/>
                <w:color w:val="auto"/>
              </w:rPr>
            </w:pPr>
          </w:p>
        </w:tc>
      </w:tr>
      <w:tr>
        <w:trPr>
          <w:trHeight w:val="228"/>
        </w:trPr>
        <w:tc>
          <w:tcPr>
            <w:tcW w:w="8860" w:type="dxa"/>
            <w:vAlign w:val="bottom"/>
          </w:tcPr>
          <w:p>
            <w:pPr>
              <w:spacing w:after="0"/>
              <w:rPr>
                <w:sz w:val="20"/>
                <w:szCs w:val="20"/>
                <w:color w:val="auto"/>
              </w:rPr>
            </w:pPr>
            <w:r>
              <w:rPr>
                <w:rFonts w:ascii="Arial" w:cs="Arial" w:eastAsia="Arial" w:hAnsi="Arial"/>
                <w:sz w:val="18"/>
                <w:szCs w:val="18"/>
                <w:b w:val="1"/>
                <w:bCs w:val="1"/>
                <w:color w:val="auto"/>
              </w:rPr>
              <w:t>EBIT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480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new motor vehicle sales volume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8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Three Months</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116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8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Ended</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11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8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8"/>
              </w:rPr>
              <w:t>March 31, 2011</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March 31, 2010</w:t>
            </w:r>
          </w:p>
        </w:tc>
      </w:tr>
      <w:tr>
        <w:trPr>
          <w:trHeight w:val="210"/>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Volume</w:t>
            </w:r>
          </w:p>
        </w:tc>
        <w:tc>
          <w:tcPr>
            <w:tcW w:w="880" w:type="dxa"/>
            <w:vAlign w:val="bottom"/>
            <w:tcBorders>
              <w:top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Consolidated entities</w:t>
            </w:r>
          </w:p>
        </w:tc>
        <w:tc>
          <w:tcPr>
            <w:tcW w:w="880" w:type="dxa"/>
            <w:vAlign w:val="bottom"/>
          </w:tcPr>
          <w:p>
            <w:pPr>
              <w:jc w:val="right"/>
              <w:spacing w:after="0"/>
              <w:rPr>
                <w:sz w:val="20"/>
                <w:szCs w:val="20"/>
                <w:color w:val="auto"/>
              </w:rPr>
            </w:pPr>
            <w:r>
              <w:rPr>
                <w:rFonts w:ascii="Arial" w:cs="Arial" w:eastAsia="Arial" w:hAnsi="Arial"/>
                <w:sz w:val="18"/>
                <w:szCs w:val="18"/>
                <w:color w:val="auto"/>
              </w:rPr>
              <w:t>257</w:t>
            </w:r>
          </w:p>
        </w:tc>
        <w:tc>
          <w:tcPr>
            <w:tcW w:w="9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ventures</w:t>
            </w: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60" w:type="dxa"/>
            <w:vAlign w:val="bottom"/>
            <w:gridSpan w:val="2"/>
          </w:tcPr>
          <w:p>
            <w:pPr>
              <w:ind w:left="220"/>
              <w:spacing w:after="0"/>
              <w:rPr>
                <w:sz w:val="20"/>
                <w:szCs w:val="20"/>
                <w:color w:val="auto"/>
              </w:rPr>
            </w:pPr>
            <w:r>
              <w:rPr>
                <w:rFonts w:ascii="Arial" w:cs="Arial" w:eastAsia="Arial" w:hAnsi="Arial"/>
                <w:sz w:val="18"/>
                <w:szCs w:val="18"/>
                <w:color w:val="auto"/>
              </w:rPr>
              <w:t>SGMW (a)</w:t>
            </w:r>
          </w:p>
        </w:tc>
        <w:tc>
          <w:tcPr>
            <w:tcW w:w="880" w:type="dxa"/>
            <w:vAlign w:val="bottom"/>
          </w:tcPr>
          <w:p>
            <w:pPr>
              <w:jc w:val="right"/>
              <w:spacing w:after="0"/>
              <w:rPr>
                <w:sz w:val="20"/>
                <w:szCs w:val="20"/>
                <w:color w:val="auto"/>
              </w:rPr>
            </w:pPr>
            <w:r>
              <w:rPr>
                <w:rFonts w:ascii="Arial" w:cs="Arial" w:eastAsia="Arial" w:hAnsi="Arial"/>
                <w:sz w:val="18"/>
                <w:szCs w:val="18"/>
                <w:color w:val="auto"/>
              </w:rPr>
              <w:t>319</w:t>
            </w:r>
          </w:p>
        </w:tc>
        <w:tc>
          <w:tcPr>
            <w:tcW w:w="9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r>
      <w:tr>
        <w:trPr>
          <w:trHeight w:val="216"/>
        </w:trPr>
        <w:tc>
          <w:tcPr>
            <w:tcW w:w="8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SGM</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gridSpan w:val="2"/>
          </w:tcPr>
          <w:p>
            <w:pPr>
              <w:ind w:left="220"/>
              <w:spacing w:after="0"/>
              <w:rPr>
                <w:sz w:val="20"/>
                <w:szCs w:val="20"/>
                <w:color w:val="auto"/>
              </w:rPr>
            </w:pPr>
            <w:r>
              <w:rPr>
                <w:rFonts w:ascii="Arial" w:cs="Arial" w:eastAsia="Arial" w:hAnsi="Arial"/>
                <w:sz w:val="18"/>
                <w:szCs w:val="18"/>
                <w:color w:val="auto"/>
              </w:rPr>
              <w:t>FAW-GM (a)</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9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8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9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color w:val="auto"/>
              </w:rPr>
              <w:t>Total production volume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9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joint venture agreements with SGMW (44%) in the three months ended March 31, 2011 and (34%) in the three months ended March 31, 2010 and FAW-GM (50%) allow for significant rights as a member as well as the contractual right to report SGMW and FAW-GM joint venture production in China.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8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5"/>
              </w:rPr>
              <w:t>Three Months Ended</w:t>
            </w:r>
          </w:p>
        </w:tc>
        <w:tc>
          <w:tcPr>
            <w:tcW w:w="156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000" w:type="dxa"/>
            <w:vAlign w:val="bottom"/>
          </w:tcPr>
          <w:p>
            <w:pPr>
              <w:spacing w:after="0"/>
              <w:rPr>
                <w:sz w:val="14"/>
                <w:szCs w:val="14"/>
                <w:color w:val="auto"/>
              </w:rPr>
            </w:pPr>
          </w:p>
        </w:tc>
        <w:tc>
          <w:tcPr>
            <w:tcW w:w="18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March 31, 2011</w:t>
            </w:r>
          </w:p>
        </w:tc>
        <w:tc>
          <w:tcPr>
            <w:tcW w:w="1560" w:type="dxa"/>
            <w:vAlign w:val="bottom"/>
            <w:gridSpan w:val="4"/>
          </w:tcPr>
          <w:p>
            <w:pPr>
              <w:ind w:left="100"/>
              <w:spacing w:after="0"/>
              <w:rPr>
                <w:sz w:val="20"/>
                <w:szCs w:val="20"/>
                <w:color w:val="auto"/>
              </w:rPr>
            </w:pPr>
            <w:r>
              <w:rPr>
                <w:rFonts w:ascii="Arial" w:cs="Arial" w:eastAsia="Arial" w:hAnsi="Arial"/>
                <w:sz w:val="14"/>
                <w:szCs w:val="14"/>
                <w:b w:val="1"/>
                <w:bCs w:val="1"/>
                <w:color w:val="auto"/>
              </w:rPr>
              <w:t>March 31, 2010 (a)(b)</w:t>
            </w:r>
          </w:p>
        </w:tc>
      </w:tr>
      <w:tr>
        <w:trPr>
          <w:trHeight w:val="129"/>
        </w:trPr>
        <w:tc>
          <w:tcPr>
            <w:tcW w:w="80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GM</w:t>
            </w: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1"/>
                <w:szCs w:val="11"/>
                <w:color w:val="auto"/>
              </w:rPr>
            </w:pPr>
          </w:p>
        </w:tc>
      </w:tr>
      <w:tr>
        <w:trPr>
          <w:trHeight w:val="149"/>
        </w:trPr>
        <w:tc>
          <w:tcPr>
            <w:tcW w:w="8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as a % of</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 a % of</w:t>
            </w:r>
          </w:p>
        </w:tc>
      </w:tr>
      <w:tr>
        <w:trPr>
          <w:trHeight w:val="161"/>
        </w:trPr>
        <w:tc>
          <w:tcPr>
            <w:tcW w:w="80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GM</w:t>
            </w:r>
          </w:p>
        </w:tc>
        <w:tc>
          <w:tcPr>
            <w:tcW w:w="42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Industry</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GM</w:t>
            </w:r>
          </w:p>
        </w:tc>
        <w:tc>
          <w:tcPr>
            <w:tcW w:w="42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Vehicle sales (c)(d)(e)(f)</w:t>
            </w:r>
          </w:p>
        </w:tc>
        <w:tc>
          <w:tcPr>
            <w:tcW w:w="3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Total GMIO</w:t>
            </w:r>
          </w:p>
        </w:tc>
        <w:tc>
          <w:tcPr>
            <w:tcW w:w="380" w:type="dxa"/>
            <w:vAlign w:val="bottom"/>
          </w:tcPr>
          <w:p>
            <w:pPr>
              <w:jc w:val="right"/>
              <w:spacing w:after="0"/>
              <w:rPr>
                <w:sz w:val="20"/>
                <w:szCs w:val="20"/>
                <w:color w:val="auto"/>
              </w:rPr>
            </w:pPr>
            <w:r>
              <w:rPr>
                <w:rFonts w:ascii="Arial" w:cs="Arial" w:eastAsia="Arial" w:hAnsi="Arial"/>
                <w:sz w:val="18"/>
                <w:szCs w:val="18"/>
                <w:color w:val="auto"/>
              </w:rPr>
              <w:t>855</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9.2%</w:t>
            </w:r>
          </w:p>
        </w:tc>
        <w:tc>
          <w:tcPr>
            <w:tcW w:w="380" w:type="dxa"/>
            <w:vAlign w:val="bottom"/>
          </w:tcPr>
          <w:p>
            <w:pPr>
              <w:jc w:val="right"/>
              <w:spacing w:after="0"/>
              <w:rPr>
                <w:sz w:val="20"/>
                <w:szCs w:val="20"/>
                <w:color w:val="auto"/>
              </w:rPr>
            </w:pPr>
            <w:r>
              <w:rPr>
                <w:rFonts w:ascii="Arial" w:cs="Arial" w:eastAsia="Arial" w:hAnsi="Arial"/>
                <w:sz w:val="18"/>
                <w:szCs w:val="18"/>
                <w:color w:val="auto"/>
              </w:rPr>
              <w:t>790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Vehicle sales–consolidated entities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Australia</w:t>
            </w: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11.9%</w:t>
            </w: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Middle East Operations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South Korea</w:t>
            </w: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7.7%</w:t>
            </w: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Egypt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Vehicle sales–primarily joint ventures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China (g)(h)</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India (g)</w:t>
            </w: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3.2%</w:t>
            </w: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HUMMER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vehicle sales include Saab data through February 2010.</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 In countries where end customer data is not readily available other data sources, such as wholesale volumes, are used to estimate vehicles sales.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13" w:lineRule="exact"/>
        <w:rPr>
          <w:rFonts w:ascii="Arial" w:cs="Arial" w:eastAsia="Arial" w:hAnsi="Arial"/>
          <w:sz w:val="16"/>
          <w:szCs w:val="16"/>
          <w:color w:val="auto"/>
        </w:rPr>
      </w:pPr>
    </w:p>
    <w:p>
      <w:pPr>
        <w:ind w:left="460" w:hanging="452"/>
        <w:spacing w:after="0" w:line="298"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GMIO records the financial results (primarily Automotive sales and Automotive cost of sales) of Chevrolet brand vehicles that are produced in GMIO. These GMIO produced Chevrolet brand vehicles, when sold in GME, are included in GME vehicle sales volume and market share data because vehicle sales volumes are reported in the geographical region in which they are sold. Regardless of where they were produced, Chevrolet brand vehicles included in GME vehicle sales volume and market share data were 112,000 vehicles and 105,000 vehicles in the three months ended March 31, 2011 and 2010.</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the following joint venture vehicle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98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8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9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March 31, 2011</w:t>
            </w:r>
          </w:p>
        </w:tc>
        <w:tc>
          <w:tcPr>
            <w:tcW w:w="98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March 31, 2010</w:t>
            </w: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Joint venture vehicle sales in China</w:t>
            </w:r>
          </w:p>
        </w:tc>
        <w:tc>
          <w:tcPr>
            <w:tcW w:w="900" w:type="dxa"/>
            <w:vAlign w:val="bottom"/>
            <w:tcBorders>
              <w:top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SGM</w:t>
            </w: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SGMW and FAW-GM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Joint venture vehicle sales in India</w:t>
            </w: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HKJV</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right="38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joint venture agreements with SGMW (44%) in the three months ended March 31, 2011 and (34%) in the three months ended March 31, 2010 and FAW-GM (50%) allow for significant rights as a member as well as the contractual right to report SGMW and FAW-GM joint venture vehicle sales in China as part of our global market share.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3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3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480" w:type="dxa"/>
            <w:vAlign w:val="bottom"/>
          </w:tcPr>
          <w:p>
            <w:pPr>
              <w:spacing w:after="0"/>
              <w:rPr>
                <w:sz w:val="12"/>
                <w:szCs w:val="12"/>
                <w:color w:val="auto"/>
              </w:rPr>
            </w:pPr>
          </w:p>
        </w:tc>
        <w:tc>
          <w:tcPr>
            <w:tcW w:w="13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49"/>
        </w:trPr>
        <w:tc>
          <w:tcPr>
            <w:tcW w:w="3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7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2011 vs. 2010</w:t>
            </w:r>
          </w:p>
        </w:tc>
      </w:tr>
      <w:tr>
        <w:trPr>
          <w:trHeight w:val="161"/>
        </w:trPr>
        <w:tc>
          <w:tcPr>
            <w:tcW w:w="3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March 31, 2011</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Change</w:t>
            </w:r>
          </w:p>
        </w:tc>
      </w:tr>
      <w:tr>
        <w:trPr>
          <w:trHeight w:val="20"/>
        </w:trPr>
        <w:tc>
          <w:tcPr>
            <w:tcW w:w="3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3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5,427</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363"/>
        </w:trPr>
        <w:tc>
          <w:tcPr>
            <w:tcW w:w="3760" w:type="dxa"/>
            <w:vAlign w:val="bottom"/>
          </w:tcPr>
          <w:p>
            <w:pPr>
              <w:spacing w:after="0"/>
              <w:rPr>
                <w:sz w:val="24"/>
                <w:szCs w:val="24"/>
                <w:color w:val="auto"/>
              </w:rPr>
            </w:pPr>
          </w:p>
        </w:tc>
        <w:tc>
          <w:tcPr>
            <w:tcW w:w="3520" w:type="dxa"/>
            <w:vAlign w:val="bottom"/>
          </w:tcPr>
          <w:p>
            <w:pPr>
              <w:jc w:val="right"/>
              <w:ind w:right="1392"/>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In the three months ended March 31, 2011 Total net sales and revenue increased by $0.4 billion (or 8.9%), primarily due to: (1) increased wholesale volumes of $0.4 billion representing 23,000 vehicles (or 8.7%) primarily in GM Korea by 31,000 vehicles (or 20.8%) driven by strong industry growth leading to increased domestic and export demand for medium and mini vehicles such as the Chevrolet Cruze and Spark; the Middle East Operations increased by 10,000 vehicles (or 29.3%) driven by industry growth, partially offset by a decrease in Australia of 12,000 vehicles (or 30.1%) resulting from government incentives expiring in December 2009 driving higher deliveries in the first quarter of 2010; (2) favorable net foreign currency translation effect of $0.2 billion driven by the strengthening of major currencies such as the Korean Won, Australian Dollar, South African Rand and the Euro against the U.S. Dollar; (3) decreased revenue of $0.1 billion associated with the sale of GM India to HKJV in February 2010; partially offset by (4) unfavorable vehicle mix of $0.1 billion driven by the increased sales of the lower priced Chevrolet Cruze and Aveo combined with decreased sales of higher priced trucks in our Middle East Operations.</w:t>
      </w:r>
    </w:p>
    <w:p>
      <w:pPr>
        <w:spacing w:after="0" w:line="118" w:lineRule="exact"/>
        <w:rPr>
          <w:sz w:val="20"/>
          <w:szCs w:val="20"/>
          <w:color w:val="auto"/>
        </w:rPr>
      </w:pPr>
    </w:p>
    <w:p>
      <w:pPr>
        <w:ind w:right="660" w:firstLine="228"/>
        <w:spacing w:after="0" w:line="332" w:lineRule="auto"/>
        <w:rPr>
          <w:sz w:val="20"/>
          <w:szCs w:val="20"/>
          <w:color w:val="auto"/>
        </w:rPr>
      </w:pPr>
      <w:r>
        <w:rPr>
          <w:rFonts w:ascii="Arial" w:cs="Arial" w:eastAsia="Arial" w:hAnsi="Arial"/>
          <w:sz w:val="16"/>
          <w:szCs w:val="16"/>
          <w:color w:val="auto"/>
        </w:rPr>
        <w:t>The vehicle sales related to our China and India joint ventures are not reflected in Total net sales and revenue (GM India was deconsolidated effective February 2010). The results of our joint ventures are recorded in Equity income, net of tax and gain on disposal of investments.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GMIO EBIT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36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jc w:val="center"/>
              <w:ind w:left="309"/>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36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540" w:type="dxa"/>
            <w:vAlign w:val="bottom"/>
          </w:tcPr>
          <w:p>
            <w:pPr>
              <w:spacing w:after="0"/>
              <w:rPr>
                <w:sz w:val="12"/>
                <w:szCs w:val="12"/>
                <w:color w:val="auto"/>
              </w:rPr>
            </w:pPr>
          </w:p>
        </w:tc>
        <w:tc>
          <w:tcPr>
            <w:tcW w:w="14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040" w:type="dxa"/>
            <w:vAlign w:val="bottom"/>
          </w:tcPr>
          <w:p>
            <w:pPr>
              <w:jc w:val="center"/>
              <w:ind w:left="309"/>
              <w:spacing w:after="0" w:line="149" w:lineRule="exact"/>
              <w:rPr>
                <w:sz w:val="20"/>
                <w:szCs w:val="20"/>
                <w:color w:val="auto"/>
              </w:rPr>
            </w:pPr>
            <w:r>
              <w:rPr>
                <w:rFonts w:ascii="Arial" w:cs="Arial" w:eastAsia="Arial" w:hAnsi="Arial"/>
                <w:sz w:val="14"/>
                <w:szCs w:val="14"/>
                <w:b w:val="1"/>
                <w:bCs w:val="1"/>
                <w:color w:val="auto"/>
                <w:w w:val="89"/>
              </w:rPr>
              <w:t>March 31,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36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Ended</w:t>
            </w:r>
          </w:p>
        </w:tc>
        <w:tc>
          <w:tcPr>
            <w:tcW w:w="16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2011 vs. 2010</w:t>
            </w:r>
          </w:p>
        </w:tc>
      </w:tr>
      <w:tr>
        <w:trPr>
          <w:trHeight w:val="161"/>
        </w:trPr>
        <w:tc>
          <w:tcPr>
            <w:tcW w:w="36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2011</w:t>
            </w:r>
          </w:p>
        </w:tc>
        <w:tc>
          <w:tcPr>
            <w:tcW w:w="54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2010</w:t>
            </w:r>
          </w:p>
        </w:tc>
        <w:tc>
          <w:tcPr>
            <w:tcW w:w="540" w:type="dxa"/>
            <w:vAlign w:val="bottom"/>
          </w:tcPr>
          <w:p>
            <w:pPr>
              <w:spacing w:after="0"/>
              <w:rPr>
                <w:sz w:val="14"/>
                <w:szCs w:val="14"/>
                <w:color w:val="auto"/>
              </w:rPr>
            </w:pPr>
          </w:p>
        </w:tc>
        <w:tc>
          <w:tcPr>
            <w:tcW w:w="1040" w:type="dxa"/>
            <w:vAlign w:val="bottom"/>
            <w:tcBorders>
              <w:bottom w:val="single" w:sz="8" w:color="auto"/>
            </w:tcBorders>
          </w:tcPr>
          <w:p>
            <w:pPr>
              <w:jc w:val="center"/>
              <w:ind w:left="329"/>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EBIT</w:t>
            </w:r>
          </w:p>
        </w:tc>
        <w:tc>
          <w:tcPr>
            <w:tcW w:w="3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7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908</w:t>
            </w:r>
          </w:p>
        </w:tc>
        <w:tc>
          <w:tcPr>
            <w:tcW w:w="1040" w:type="dxa"/>
            <w:vAlign w:val="bottom"/>
            <w:shd w:val="clear" w:color="auto" w:fill="CCEEFF"/>
          </w:tcPr>
          <w:p>
            <w:pPr>
              <w:jc w:val="right"/>
              <w:ind w:right="489"/>
              <w:spacing w:after="0"/>
              <w:rPr>
                <w:sz w:val="20"/>
                <w:szCs w:val="20"/>
                <w:color w:val="auto"/>
              </w:rPr>
            </w:pPr>
            <w:r>
              <w:rPr>
                <w:rFonts w:ascii="Arial" w:cs="Arial" w:eastAsia="Arial" w:hAnsi="Arial"/>
                <w:sz w:val="18"/>
                <w:szCs w:val="18"/>
                <w:color w:val="auto"/>
                <w:w w:val="88"/>
              </w:rPr>
              <w:t>$(428)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(47.1)%</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March 31, 2011 EBIT decreased by $0.4 billion (or 47.1%), primarily due to: (1) increased material prices of $0.1 billion,</w:t>
      </w:r>
    </w:p>
    <w:p>
      <w:pPr>
        <w:spacing w:after="0" w:line="38"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unfavorable vehicle mix of $0.1 billion driven by increased sales of medium and mini vehicles combined with decreased sales of sport utility vehicles;</w:t>
      </w:r>
    </w:p>
    <w:p>
      <w:pPr>
        <w:spacing w:after="0" w:line="32" w:lineRule="exact"/>
        <w:rPr>
          <w:rFonts w:ascii="Arial" w:cs="Arial" w:eastAsia="Arial" w:hAnsi="Arial"/>
          <w:sz w:val="16"/>
          <w:szCs w:val="16"/>
          <w:color w:val="auto"/>
        </w:rPr>
      </w:pPr>
    </w:p>
    <w:p>
      <w:pPr>
        <w:ind w:firstLine="8"/>
        <w:spacing w:after="0" w:line="281" w:lineRule="auto"/>
        <w:tabs>
          <w:tab w:leader="none" w:pos="2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increased advertising and sales promotion of $0.1 billion to support media campaigns for launches of new products and the launch of the Chevrolet brand in Korea; (4) lower derivative gains in GM Korea of $0.1 billion; (5) charges at HKJV of $0.1 billion driven by changes in Indian tax regulations which significantly extended the period of time over which we will earn certain incentives; (6) increased engineering expense of $0.1 billion to support new product development; partially offset by (7) increased Equity income, net of tax and gain on disposal of investments of $0.1 billion from the operating results of our China JVs;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decreased non-controlling interest attributable to minority shareholders of GM Korea of $0.1 billion.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Three Months</w:t>
            </w:r>
          </w:p>
        </w:tc>
        <w:tc>
          <w:tcPr>
            <w:tcW w:w="42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8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8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March</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March</w:t>
            </w:r>
          </w:p>
        </w:tc>
      </w:tr>
      <w:tr>
        <w:trPr>
          <w:trHeight w:val="161"/>
        </w:trPr>
        <w:tc>
          <w:tcPr>
            <w:tcW w:w="8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4"/>
              </w:rPr>
              <w:t>31, 2011</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4"/>
              </w:rPr>
              <w:t>31, 2010</w:t>
            </w:r>
          </w:p>
        </w:tc>
        <w:tc>
          <w:tcPr>
            <w:tcW w:w="100" w:type="dxa"/>
            <w:vAlign w:val="bottom"/>
          </w:tcPr>
          <w:p>
            <w:pPr>
              <w:spacing w:after="0"/>
              <w:rPr>
                <w:sz w:val="14"/>
                <w:szCs w:val="14"/>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3,896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CEEFF"/>
          </w:tcPr>
          <w:p>
            <w:pPr>
              <w:spacing w:after="0"/>
              <w:rPr>
                <w:sz w:val="18"/>
                <w:szCs w:val="18"/>
                <w:color w:val="auto"/>
              </w:rPr>
            </w:pPr>
          </w:p>
        </w:tc>
      </w:tr>
      <w:tr>
        <w:trPr>
          <w:trHeight w:val="228"/>
        </w:trPr>
        <w:tc>
          <w:tcPr>
            <w:tcW w:w="8860" w:type="dxa"/>
            <w:vAlign w:val="bottom"/>
          </w:tcPr>
          <w:p>
            <w:pPr>
              <w:spacing w:after="0"/>
              <w:rPr>
                <w:sz w:val="20"/>
                <w:szCs w:val="20"/>
                <w:color w:val="auto"/>
              </w:rPr>
            </w:pPr>
            <w:r>
              <w:rPr>
                <w:rFonts w:ascii="Arial" w:cs="Arial" w:eastAsia="Arial" w:hAnsi="Arial"/>
                <w:sz w:val="18"/>
                <w:szCs w:val="18"/>
                <w:b w:val="1"/>
                <w:bCs w:val="1"/>
                <w:color w:val="auto"/>
              </w:rPr>
              <w:t>EBIT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new motor vehicle sales volume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0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35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0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5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March</w:t>
            </w:r>
          </w:p>
        </w:tc>
        <w:tc>
          <w:tcPr>
            <w:tcW w:w="10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March</w:t>
            </w:r>
          </w:p>
        </w:tc>
      </w:tr>
      <w:tr>
        <w:trPr>
          <w:trHeight w:val="161"/>
        </w:trPr>
        <w:tc>
          <w:tcPr>
            <w:tcW w:w="35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31, 2011</w:t>
            </w:r>
          </w:p>
        </w:tc>
        <w:tc>
          <w:tcPr>
            <w:tcW w:w="10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31, 2010</w:t>
            </w:r>
          </w:p>
        </w:tc>
        <w:tc>
          <w:tcPr>
            <w:tcW w:w="100" w:type="dxa"/>
            <w:vAlign w:val="bottom"/>
          </w:tcPr>
          <w:p>
            <w:pPr>
              <w:spacing w:after="0"/>
              <w:rPr>
                <w:sz w:val="14"/>
                <w:szCs w:val="14"/>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Production Volume</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r>
      <w:tr>
        <w:trPr>
          <w:trHeight w:val="363"/>
        </w:trPr>
        <w:tc>
          <w:tcPr>
            <w:tcW w:w="3500" w:type="dxa"/>
            <w:vAlign w:val="bottom"/>
          </w:tcPr>
          <w:p>
            <w:pPr>
              <w:spacing w:after="0"/>
              <w:rPr>
                <w:sz w:val="24"/>
                <w:szCs w:val="24"/>
                <w:color w:val="auto"/>
              </w:rPr>
            </w:pPr>
          </w:p>
        </w:tc>
        <w:tc>
          <w:tcPr>
            <w:tcW w:w="5180" w:type="dxa"/>
            <w:vAlign w:val="bottom"/>
          </w:tcPr>
          <w:p>
            <w:pPr>
              <w:jc w:val="right"/>
              <w:ind w:right="2792"/>
              <w:spacing w:after="0"/>
              <w:rPr>
                <w:sz w:val="20"/>
                <w:szCs w:val="20"/>
                <w:color w:val="auto"/>
              </w:rPr>
            </w:pPr>
            <w:r>
              <w:rPr>
                <w:rFonts w:ascii="Arial" w:cs="Arial" w:eastAsia="Arial" w:hAnsi="Arial"/>
                <w:sz w:val="18"/>
                <w:szCs w:val="18"/>
                <w:color w:val="auto"/>
              </w:rPr>
              <w:t>69</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8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8"/>
              </w:rPr>
              <w:t>Three Months Ended</w:t>
            </w:r>
          </w:p>
        </w:tc>
        <w:tc>
          <w:tcPr>
            <w:tcW w:w="1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8000" w:type="dxa"/>
            <w:vAlign w:val="bottom"/>
          </w:tcPr>
          <w:p>
            <w:pPr>
              <w:spacing w:after="0"/>
              <w:rPr>
                <w:sz w:val="14"/>
                <w:szCs w:val="14"/>
                <w:color w:val="auto"/>
              </w:rPr>
            </w:pPr>
          </w:p>
        </w:tc>
        <w:tc>
          <w:tcPr>
            <w:tcW w:w="18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March 31, 2011</w:t>
            </w:r>
          </w:p>
        </w:tc>
        <w:tc>
          <w:tcPr>
            <w:tcW w:w="1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March 31, 2010</w:t>
            </w:r>
          </w:p>
        </w:tc>
      </w:tr>
      <w:tr>
        <w:trPr>
          <w:trHeight w:val="129"/>
        </w:trPr>
        <w:tc>
          <w:tcPr>
            <w:tcW w:w="80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GM</w:t>
            </w: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1"/>
                <w:szCs w:val="11"/>
                <w:color w:val="auto"/>
              </w:rPr>
            </w:pPr>
          </w:p>
        </w:tc>
      </w:tr>
      <w:tr>
        <w:trPr>
          <w:trHeight w:val="149"/>
        </w:trPr>
        <w:tc>
          <w:tcPr>
            <w:tcW w:w="8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as a % of</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as a % of</w:t>
            </w:r>
          </w:p>
        </w:tc>
      </w:tr>
      <w:tr>
        <w:trPr>
          <w:trHeight w:val="161"/>
        </w:trPr>
        <w:tc>
          <w:tcPr>
            <w:tcW w:w="8000" w:type="dxa"/>
            <w:vAlign w:val="bottom"/>
          </w:tcPr>
          <w:p>
            <w:pPr>
              <w:spacing w:after="0"/>
              <w:rPr>
                <w:sz w:val="14"/>
                <w:szCs w:val="14"/>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GM</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Industry</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GM</w:t>
            </w:r>
          </w:p>
        </w:tc>
        <w:tc>
          <w:tcPr>
            <w:tcW w:w="4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Industry</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Vehicle Sales (a)(b)(c)</w:t>
            </w:r>
          </w:p>
        </w:tc>
        <w:tc>
          <w:tcPr>
            <w:tcW w:w="3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Total GMSA</w:t>
            </w:r>
          </w:p>
        </w:tc>
        <w:tc>
          <w:tcPr>
            <w:tcW w:w="380" w:type="dxa"/>
            <w:vAlign w:val="bottom"/>
          </w:tcPr>
          <w:p>
            <w:pPr>
              <w:jc w:val="right"/>
              <w:spacing w:after="0"/>
              <w:rPr>
                <w:sz w:val="20"/>
                <w:szCs w:val="20"/>
                <w:color w:val="auto"/>
              </w:rPr>
            </w:pPr>
            <w:r>
              <w:rPr>
                <w:rFonts w:ascii="Arial" w:cs="Arial" w:eastAsia="Arial" w:hAnsi="Arial"/>
                <w:sz w:val="18"/>
                <w:szCs w:val="18"/>
                <w:color w:val="auto"/>
              </w:rPr>
              <w:t>250</w:t>
            </w:r>
          </w:p>
        </w:tc>
        <w:tc>
          <w:tcPr>
            <w:tcW w:w="42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18.8%</w:t>
            </w:r>
          </w:p>
        </w:tc>
        <w:tc>
          <w:tcPr>
            <w:tcW w:w="380" w:type="dxa"/>
            <w:vAlign w:val="bottom"/>
          </w:tcPr>
          <w:p>
            <w:pPr>
              <w:jc w:val="right"/>
              <w:spacing w:after="0"/>
              <w:rPr>
                <w:sz w:val="20"/>
                <w:szCs w:val="20"/>
                <w:color w:val="auto"/>
              </w:rPr>
            </w:pPr>
            <w:r>
              <w:rPr>
                <w:rFonts w:ascii="Arial" w:cs="Arial" w:eastAsia="Arial" w:hAnsi="Arial"/>
                <w:sz w:val="18"/>
                <w:szCs w:val="18"/>
                <w:color w:val="auto"/>
              </w:rPr>
              <w:t>241</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w w:val="82"/>
              </w:rPr>
              <w:t>20.7%</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17.3%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2"/>
              </w:rPr>
              <w:t>19.9%</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Argentina</w:t>
            </w: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15.4%</w:t>
            </w: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w w:val="82"/>
              </w:rPr>
              <w:t>17.1%</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33.1%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2"/>
              </w:rPr>
              <w:t>34.1%</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Ecuador</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40.9%</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w w:val="82"/>
              </w:rPr>
              <w:t>40.8%</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Chile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2"/>
              </w:rPr>
              <w:t>16.5%</w:t>
            </w:r>
          </w:p>
        </w:tc>
        <w:tc>
          <w:tcPr>
            <w:tcW w:w="100" w:type="dxa"/>
            <w:vAlign w:val="bottom"/>
            <w:shd w:val="clear" w:color="auto" w:fill="CCEEFF"/>
          </w:tcPr>
          <w:p>
            <w:pPr>
              <w:spacing w:after="0"/>
              <w:rPr>
                <w:sz w:val="18"/>
                <w:szCs w:val="18"/>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Venezuela</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42.3%</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w w:val="82"/>
              </w:rPr>
              <w:t>45.6%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 In countries where end customer data is not readily available other data sources, such as wholesale volumes, are used to estimate vehicles sales.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5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5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49"/>
        </w:trPr>
        <w:tc>
          <w:tcPr>
            <w:tcW w:w="45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7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2011 vs. 2010</w:t>
            </w:r>
          </w:p>
        </w:tc>
      </w:tr>
      <w:tr>
        <w:trPr>
          <w:trHeight w:val="161"/>
        </w:trPr>
        <w:tc>
          <w:tcPr>
            <w:tcW w:w="45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3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March 31, 2011</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March 31, 2010</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Change</w:t>
            </w:r>
          </w:p>
        </w:tc>
      </w:tr>
      <w:tr>
        <w:trPr>
          <w:trHeight w:val="20"/>
        </w:trPr>
        <w:tc>
          <w:tcPr>
            <w:tcW w:w="4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2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3,896</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In the three months ended March 31, 2011 Total net sales and revenue increased by $0.6 billion (or 17.2%), primarily due to: (1) increased wholesale volumes of $0.3 billion representing 24,000 vehicles (or 10.3%), primarily in Colombia by 9,000 vehicles (or 52.7%), in Argentina by 5,000 vehicles (or 21.9%), in Chile by 5,000 vehicles (or 49.2%) and in Ecuador by 5,000 vehicles (or 48.0%) driven by improved macroeconomic conditions and industry growth throughout the region, partially offset by decreased wholesale volumes in Brazil of 3,000 vehicles (or 1.7%) due to deteriorated market share driven by increased competition and heavy price pressure by competitors in the market; (2) favorable net foreign currency translation effect of $0.2 billion, primarily due to the strengthening of major currencies in 2011 against the U.S. Dollar such as the Brazilian Real and Colombian Peso; and (3) favorable vehicle pricing effect of $0.1 billion, primarily in Venezuela driven by the hyperinflationary economy.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GMSA EBIT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center"/>
              <w:ind w:left="292"/>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660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32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320" w:type="dxa"/>
            <w:vAlign w:val="bottom"/>
          </w:tcPr>
          <w:p>
            <w:pPr>
              <w:spacing w:after="0"/>
              <w:rPr>
                <w:sz w:val="12"/>
                <w:szCs w:val="12"/>
                <w:color w:val="auto"/>
              </w:rPr>
            </w:pPr>
          </w:p>
        </w:tc>
        <w:tc>
          <w:tcPr>
            <w:tcW w:w="1140" w:type="dxa"/>
            <w:vAlign w:val="bottom"/>
          </w:tcPr>
          <w:p>
            <w:pPr>
              <w:jc w:val="center"/>
              <w:ind w:left="292"/>
              <w:spacing w:after="0" w:line="149" w:lineRule="exact"/>
              <w:rPr>
                <w:sz w:val="20"/>
                <w:szCs w:val="20"/>
                <w:color w:val="auto"/>
              </w:rPr>
            </w:pPr>
            <w:r>
              <w:rPr>
                <w:rFonts w:ascii="Arial" w:cs="Arial" w:eastAsia="Arial" w:hAnsi="Arial"/>
                <w:sz w:val="14"/>
                <w:szCs w:val="14"/>
                <w:b w:val="1"/>
                <w:bCs w:val="1"/>
                <w:color w:val="auto"/>
                <w:w w:val="89"/>
              </w:rPr>
              <w:t>March 31,</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14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84"/>
              </w:rPr>
              <w:t>2011 vs. 2010</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660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March 31, 2011</w:t>
            </w:r>
          </w:p>
        </w:tc>
        <w:tc>
          <w:tcPr>
            <w:tcW w:w="32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March 31, 2010</w:t>
            </w:r>
          </w:p>
        </w:tc>
        <w:tc>
          <w:tcPr>
            <w:tcW w:w="320" w:type="dxa"/>
            <w:vAlign w:val="bottom"/>
          </w:tcPr>
          <w:p>
            <w:pPr>
              <w:spacing w:after="0"/>
              <w:rPr>
                <w:sz w:val="14"/>
                <w:szCs w:val="14"/>
                <w:color w:val="auto"/>
              </w:rPr>
            </w:pPr>
          </w:p>
        </w:tc>
        <w:tc>
          <w:tcPr>
            <w:tcW w:w="1140" w:type="dxa"/>
            <w:vAlign w:val="bottom"/>
          </w:tcPr>
          <w:p>
            <w:pPr>
              <w:jc w:val="center"/>
              <w:ind w:left="312"/>
              <w:spacing w:after="0"/>
              <w:rPr>
                <w:sz w:val="20"/>
                <w:szCs w:val="20"/>
                <w:color w:val="auto"/>
              </w:rPr>
            </w:pPr>
            <w:r>
              <w:rPr>
                <w:rFonts w:ascii="Arial" w:cs="Arial" w:eastAsia="Arial" w:hAnsi="Arial"/>
                <w:sz w:val="14"/>
                <w:szCs w:val="14"/>
                <w:b w:val="1"/>
                <w:bCs w:val="1"/>
                <w:color w:val="auto"/>
                <w:w w:val="85"/>
              </w:rPr>
              <w:t>Change</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
        </w:trPr>
        <w:tc>
          <w:tcPr>
            <w:tcW w:w="6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EBIT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w:t>
            </w:r>
          </w:p>
        </w:tc>
        <w:tc>
          <w:tcPr>
            <w:tcW w:w="14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$(175)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(66.0)%</w:t>
            </w:r>
          </w:p>
        </w:tc>
      </w:tr>
    </w:tbl>
    <w:p>
      <w:pPr>
        <w:spacing w:after="0" w:line="154" w:lineRule="exact"/>
        <w:rPr>
          <w:sz w:val="20"/>
          <w:szCs w:val="20"/>
          <w:color w:val="auto"/>
        </w:rPr>
      </w:pPr>
    </w:p>
    <w:p>
      <w:pPr>
        <w:ind w:right="260" w:firstLine="228"/>
        <w:spacing w:after="0" w:line="306" w:lineRule="auto"/>
        <w:rPr>
          <w:sz w:val="20"/>
          <w:szCs w:val="20"/>
          <w:color w:val="auto"/>
        </w:rPr>
      </w:pPr>
      <w:r>
        <w:rPr>
          <w:rFonts w:ascii="Arial" w:cs="Arial" w:eastAsia="Arial" w:hAnsi="Arial"/>
          <w:sz w:val="16"/>
          <w:szCs w:val="16"/>
          <w:color w:val="auto"/>
        </w:rPr>
        <w:t>In the three months ended March 31, 2011 EBIT decreased by $0.2 billion (or 66.0%), primarily due to: (1) increased material and manufacturing costs and costs associated with engineering and product launches of $0.2 billion; (2) other cost increases including taxes and fees of $0.1 billion; partially offset by (3) favorable vehicle pricing effect of $0.1 billion, primarily in Venezuela driven by the hyperinflationary economy.</w:t>
      </w:r>
    </w:p>
    <w:p>
      <w:pPr>
        <w:spacing w:after="0" w:line="107"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In January 2010 the Venezuelan government announced that the official fixed exchange rate of 2.15 BsF to $1.00 would be changed to a dual rate system that includes a 2.60 BsF to $1.00 essentials rate for food, technology and heavy machine importers and a 4.30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BsF to $1.00 non-essentials rate for all others. This devaluation required remeasurement of our Venezuelan subsidiaries’ non-U.S. dollar denominated monetary assets and liabilities. We used a rate of 4.30 BsF to $1.00 to determine the remeasurement, which resulted in a charge of $25 million recorded in Automotive cost of sales in the three months ended March 31, 2010.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Three Months</w:t>
            </w:r>
          </w:p>
        </w:tc>
      </w:tr>
      <w:tr>
        <w:trPr>
          <w:trHeight w:val="149"/>
        </w:trPr>
        <w:tc>
          <w:tcPr>
            <w:tcW w:w="62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6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6"/>
              </w:rPr>
              <w:t>March 31, 2011</w:t>
            </w:r>
          </w:p>
        </w:tc>
      </w:tr>
      <w:tr>
        <w:trPr>
          <w:trHeight w:val="20"/>
        </w:trPr>
        <w:tc>
          <w:tcPr>
            <w:tcW w:w="62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434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r>
      <w:tr>
        <w:trPr>
          <w:trHeight w:val="228"/>
        </w:trPr>
        <w:tc>
          <w:tcPr>
            <w:tcW w:w="62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4340" w:type="dxa"/>
            <w:vAlign w:val="bottom"/>
            <w:gridSpan w:val="2"/>
          </w:tcPr>
          <w:p>
            <w:pPr>
              <w:ind w:left="4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jc w:val="both"/>
        <w:ind w:right="40" w:firstLine="228"/>
        <w:spacing w:after="0" w:line="306" w:lineRule="auto"/>
        <w:rPr>
          <w:sz w:val="20"/>
          <w:szCs w:val="20"/>
          <w:color w:val="auto"/>
        </w:rPr>
      </w:pPr>
      <w:r>
        <w:rPr>
          <w:rFonts w:ascii="Arial" w:cs="Arial" w:eastAsia="Arial" w:hAnsi="Arial"/>
          <w:sz w:val="16"/>
          <w:szCs w:val="16"/>
          <w:color w:val="auto"/>
        </w:rPr>
        <w:t>In the three months ended March 31, 2011 Total revenue included finance charge income of $268 million and other income of $27 million. The effective yield on GM Financial’s finance receivables was 12.5% for the three months ended March 31, 2011. The effective yield represents finance charges and fees recorded in earnings and the accretion of the purchase accounting premium during the period as a percentage of average finance receivables.</w:t>
      </w:r>
    </w:p>
    <w:p>
      <w:pPr>
        <w:spacing w:after="0" w:line="107" w:lineRule="exact"/>
        <w:rPr>
          <w:sz w:val="20"/>
          <w:szCs w:val="20"/>
          <w:color w:val="auto"/>
        </w:rPr>
      </w:pPr>
    </w:p>
    <w:p>
      <w:pPr>
        <w:ind w:right="740" w:firstLine="228"/>
        <w:spacing w:after="0" w:line="268" w:lineRule="auto"/>
        <w:rPr>
          <w:sz w:val="20"/>
          <w:szCs w:val="20"/>
          <w:color w:val="auto"/>
        </w:rPr>
      </w:pPr>
      <w:r>
        <w:rPr>
          <w:rFonts w:ascii="Arial" w:cs="Arial" w:eastAsia="Arial" w:hAnsi="Arial"/>
          <w:sz w:val="18"/>
          <w:szCs w:val="18"/>
          <w:color w:val="auto"/>
        </w:rPr>
        <w:t>Net margin is the difference between finance charge income and other income earned on GM Financial’s finance receivables and the cost to fund the receivables as well as the cost of debt incurred for general corporate purposes.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GM Financial’s net margin and as a percentage of average finance receivables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16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9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9760" w:type="dxa"/>
            <w:vAlign w:val="bottom"/>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March 31, 2011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Finance charge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$ 268</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Other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9760" w:type="dxa"/>
            <w:vAlign w:val="bottom"/>
            <w:vMerge w:val="restart"/>
          </w:tcPr>
          <w:p>
            <w:pPr>
              <w:spacing w:after="0"/>
              <w:rPr>
                <w:sz w:val="20"/>
                <w:szCs w:val="20"/>
                <w:color w:val="auto"/>
              </w:rPr>
            </w:pPr>
            <w:r>
              <w:rPr>
                <w:rFonts w:ascii="Arial" w:cs="Arial" w:eastAsia="Arial" w:hAnsi="Arial"/>
                <w:sz w:val="18"/>
                <w:szCs w:val="18"/>
                <w:color w:val="auto"/>
              </w:rPr>
              <w:t>Net GM Financial margin</w:t>
            </w: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6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$ 254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171"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In the three months ended March 31, 2011 results included: (1) Total revenue of $295 million; partially offset by (2) operating and leased vehicle expenses of $85 million; (3) interest expense of $41 million; and (4) provision for loan losses of $39 million. GM Financial’s operating expenses are primarily related to personnel costs that include base salary and wages, performance incentives and benefits as well as related employment taxes. Provisions for loan losses are charged to income to bring the allowance for loan losses to a level which management considers adequate to absorb probable credit losses inherent in the portfolio of finance receivables originated since October 1, 2010. Interest expense represents interest paid on GM Financial’s warehouse credit facilities, securitization notes payable and other unsecured debt.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Average debt outstanding in the three months ended March 31, 2011 was $7.1 billion and the effective rate of interest paid was 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Three Months</w:t>
            </w:r>
          </w:p>
        </w:tc>
        <w:tc>
          <w:tcPr>
            <w:tcW w:w="88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w:t>
            </w:r>
          </w:p>
        </w:tc>
      </w:tr>
      <w:tr>
        <w:trPr>
          <w:trHeight w:val="149"/>
        </w:trPr>
        <w:tc>
          <w:tcPr>
            <w:tcW w:w="45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Ended</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45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March 31, 2011</w:t>
            </w:r>
          </w:p>
        </w:tc>
        <w:tc>
          <w:tcPr>
            <w:tcW w:w="88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March 31, 2010</w:t>
            </w:r>
          </w:p>
        </w:tc>
        <w:tc>
          <w:tcPr>
            <w:tcW w:w="10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430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28"/>
        </w:trPr>
        <w:tc>
          <w:tcPr>
            <w:tcW w:w="4520" w:type="dxa"/>
            <w:vAlign w:val="bottom"/>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430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(865)</w:t>
            </w:r>
          </w:p>
        </w:tc>
      </w:tr>
      <w:tr>
        <w:trPr>
          <w:trHeight w:val="350"/>
        </w:trPr>
        <w:tc>
          <w:tcPr>
            <w:tcW w:w="4520" w:type="dxa"/>
            <w:vAlign w:val="bottom"/>
          </w:tcPr>
          <w:p>
            <w:pPr>
              <w:spacing w:after="0"/>
              <w:rPr>
                <w:sz w:val="24"/>
                <w:szCs w:val="24"/>
                <w:color w:val="auto"/>
              </w:rPr>
            </w:pPr>
          </w:p>
        </w:tc>
        <w:tc>
          <w:tcPr>
            <w:tcW w:w="4120" w:type="dxa"/>
            <w:vAlign w:val="bottom"/>
          </w:tcPr>
          <w:p>
            <w:pPr>
              <w:jc w:val="right"/>
              <w:ind w:right="2752"/>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6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67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62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49"/>
        </w:trPr>
        <w:tc>
          <w:tcPr>
            <w:tcW w:w="6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6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2011 vs. 2010</w:t>
            </w:r>
          </w:p>
        </w:tc>
      </w:tr>
      <w:tr>
        <w:trPr>
          <w:trHeight w:val="161"/>
        </w:trPr>
        <w:tc>
          <w:tcPr>
            <w:tcW w:w="67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2011</w:t>
            </w:r>
          </w:p>
        </w:tc>
        <w:tc>
          <w:tcPr>
            <w:tcW w:w="6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2010</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27"/>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w:t>
            </w:r>
          </w:p>
        </w:tc>
      </w:tr>
    </w:tbl>
    <w:p>
      <w:pPr>
        <w:spacing w:after="0" w:line="154" w:lineRule="exact"/>
        <w:rPr>
          <w:sz w:val="20"/>
          <w:szCs w:val="20"/>
          <w:color w:val="auto"/>
        </w:rPr>
      </w:pPr>
    </w:p>
    <w:p>
      <w:pPr>
        <w:jc w:val="both"/>
        <w:ind w:right="40" w:firstLine="228"/>
        <w:spacing w:after="0" w:line="306" w:lineRule="auto"/>
        <w:rPr>
          <w:sz w:val="20"/>
          <w:szCs w:val="20"/>
          <w:color w:val="auto"/>
        </w:rPr>
      </w:pPr>
      <w:r>
        <w:rPr>
          <w:rFonts w:ascii="Arial" w:cs="Arial" w:eastAsia="Arial" w:hAnsi="Arial"/>
          <w:sz w:val="16"/>
          <w:szCs w:val="16"/>
          <w:color w:val="auto"/>
        </w:rPr>
        <w:t>In the three months ended March 31, 2011 Total net sales and revenue decreased by $29 million (or 64.4%) primarily due to decreased lease financing revenue related to the liquidation of the portfolio of automotive retail leases. Average outstanding automotive retail leases on-hand decreased to a de minimus amount for the three months ended March 31, 2011 compared to 18,000 for the three months ended March 31, 2010.</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Net Income (Loss) Attributable to Stockholders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9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9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5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5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49"/>
        </w:trPr>
        <w:tc>
          <w:tcPr>
            <w:tcW w:w="49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3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Ended</w:t>
            </w:r>
          </w:p>
        </w:tc>
        <w:tc>
          <w:tcPr>
            <w:tcW w:w="1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2011 vs. 2010</w:t>
            </w:r>
          </w:p>
        </w:tc>
      </w:tr>
      <w:tr>
        <w:trPr>
          <w:trHeight w:val="161"/>
        </w:trPr>
        <w:tc>
          <w:tcPr>
            <w:tcW w:w="4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2011</w:t>
            </w:r>
          </w:p>
        </w:tc>
        <w:tc>
          <w:tcPr>
            <w:tcW w:w="5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31, 2010</w:t>
            </w:r>
          </w:p>
        </w:tc>
        <w:tc>
          <w:tcPr>
            <w:tcW w:w="5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67"/>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stockholders</w:t>
            </w:r>
          </w:p>
        </w:tc>
        <w:tc>
          <w:tcPr>
            <w:tcW w:w="19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40" w:firstLine="228"/>
        <w:spacing w:after="0" w:line="294" w:lineRule="auto"/>
        <w:rPr>
          <w:sz w:val="20"/>
          <w:szCs w:val="20"/>
          <w:color w:val="auto"/>
        </w:rPr>
      </w:pPr>
      <w:r>
        <w:rPr>
          <w:rFonts w:ascii="Arial" w:cs="Arial" w:eastAsia="Arial" w:hAnsi="Arial"/>
          <w:sz w:val="16"/>
          <w:szCs w:val="16"/>
          <w:color w:val="auto"/>
        </w:rPr>
        <w:t>In the three months ended March 31, 2011 Net income attributable to stockholders increased by $1.1 billion (or 126.7%) primarily due to: (1) decrease in income tax expense of $0.4 billion primarily due to a decrease in tax expense of $0.3 billion attributable to entities included in our effective tax rate calculation and a decrease in income tax expense of $0.1 billion attributable to a taxable foreign currency gain in Venezuela recorded in the three months ended March 31, 2010; (2) a gain of $0.3 billion recorded on the sale of our Ally Financial preferred stock; and (3) decrease in interest expense of $0.2 billion driven by the repayment of the UST Loan, Canadian Loan, and VEBA Notes in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171" w:lineRule="exact"/>
        <w:rPr>
          <w:sz w:val="20"/>
          <w:szCs w:val="20"/>
          <w:color w:val="auto"/>
        </w:rPr>
      </w:pPr>
    </w:p>
    <w:p>
      <w:pPr>
        <w:ind w:right="40" w:firstLine="228"/>
        <w:spacing w:after="0" w:line="284" w:lineRule="auto"/>
        <w:rPr>
          <w:sz w:val="20"/>
          <w:szCs w:val="20"/>
          <w:color w:val="auto"/>
        </w:rPr>
      </w:pPr>
      <w:r>
        <w:rPr>
          <w:rFonts w:ascii="Arial" w:cs="Arial" w:eastAsia="Arial" w:hAnsi="Arial"/>
          <w:sz w:val="16"/>
          <w:szCs w:val="16"/>
          <w:color w:val="auto"/>
        </w:rPr>
        <w:t>We believe that our current level of cash and cash equivalents, marketable securities and availability under our secured revolving credit facility will be sufficient to meet our liquidity needs. However, we expect to have substantial cash requirements going forward, which we plan to fund through available liquidity and cash flow from operations. Our known material future uses of cash include, among other possible demands: (1) pension contributions and OPEB payments;</w:t>
      </w:r>
    </w:p>
    <w:p>
      <w:pPr>
        <w:spacing w:after="0" w:line="1" w:lineRule="exact"/>
        <w:rPr>
          <w:sz w:val="20"/>
          <w:szCs w:val="20"/>
          <w:color w:val="auto"/>
        </w:rPr>
      </w:pPr>
    </w:p>
    <w:p>
      <w:pPr>
        <w:jc w:val="both"/>
        <w:ind w:right="600" w:firstLine="8"/>
        <w:spacing w:after="0" w:line="302" w:lineRule="auto"/>
        <w:tabs>
          <w:tab w:leader="none" w:pos="2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capital expenditures; (3) spending to implement long-term cost savings and restructuring plans such as restructuring our Opel/Vauxhall operations and potential capacity reduction programs; (4) reducing our overall debt levels; and (5) certain South American income and indirect tax-related administrative proceedings may require that we deposit funds in escrow or make payments which may range up to $1.0 billion.</w:t>
      </w:r>
    </w:p>
    <w:p>
      <w:pPr>
        <w:spacing w:after="0" w:line="109"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this report and our 2010 Form 10-K, some of which are outside our control. Macroeconomic conditions could limit our ability to successfully execute our business plans and, therefore, adversely affect our liquidity plans.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Initiatives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Repayment of Debt and Reduction of Financial Leverage</w:t>
      </w:r>
    </w:p>
    <w:p>
      <w:pPr>
        <w:spacing w:after="0" w:line="171" w:lineRule="exact"/>
        <w:rPr>
          <w:sz w:val="20"/>
          <w:szCs w:val="20"/>
          <w:color w:val="auto"/>
        </w:rPr>
      </w:pPr>
    </w:p>
    <w:p>
      <w:pPr>
        <w:ind w:right="260" w:firstLine="228"/>
        <w:spacing w:after="0" w:line="259" w:lineRule="auto"/>
        <w:rPr>
          <w:sz w:val="20"/>
          <w:szCs w:val="20"/>
          <w:color w:val="auto"/>
        </w:rPr>
      </w:pPr>
      <w:r>
        <w:rPr>
          <w:rFonts w:ascii="Arial" w:cs="Arial" w:eastAsia="Arial" w:hAnsi="Arial"/>
          <w:sz w:val="18"/>
          <w:szCs w:val="18"/>
          <w:color w:val="auto"/>
        </w:rPr>
        <w:t>We continue to monitor and evaluate opportunities to optimize our liquidity position and capital structure in order to strengthen our balance sheet. The repayment of debt remains a key strategic initiative. We continue to evaluate potential debt repayments prior to maturity. Any such repayments may negatively affect our liquidity in the short-term.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jc w:val="both"/>
        <w:ind w:right="220" w:firstLine="228"/>
        <w:spacing w:after="0" w:line="298" w:lineRule="auto"/>
        <w:rPr>
          <w:sz w:val="20"/>
          <w:szCs w:val="20"/>
          <w:color w:val="auto"/>
        </w:rPr>
      </w:pPr>
      <w:r>
        <w:rPr>
          <w:rFonts w:ascii="Arial" w:cs="Arial" w:eastAsia="Arial" w:hAnsi="Arial"/>
          <w:sz w:val="16"/>
          <w:szCs w:val="16"/>
          <w:color w:val="auto"/>
        </w:rPr>
        <w:t>We made a voluntary contribution in January 2011 to our U.S. hourly and salaried defined benefit pension plans of 61 million shares of our common stock, valued at $2.2 billion for funding purposes at the time of contribution. The contributed shares qualify as a plan asset for funding purposes immediately and will qualify as a plan asset for accounting purposes when certain transfer restrictions are removed, which is expected in 2011. This contribution was made as part of our continuing efforts to mitigate risk in our balance sheet and fully fund long-term obligations.</w:t>
      </w:r>
    </w:p>
    <w:p>
      <w:pPr>
        <w:spacing w:after="0" w:line="113"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Under wholesale financing arrangements, our U.S. dealers typically borrow money from financial institutions to fund their vehicle purchases from us. Effective January 2011 we terminated a wholesale advance agreement which provided for accelerated receipt of payments made by Ally Financial on behalf of our U.S. dealers pursuant to Ally Financial’s wholesale financing arrangements with dealers. Similar modifications were made in Canada. The wholesale advance agreements cover the period for which vehicles are in transit between assembly plants and dealerships. We no longer receive payments in advance of the date vehicles purchased by dealers are scheduled to be delivered, resulting in an increase to our accounts receivable balance of $2.5 billion at March 31, 2011. The amount of the increase to our accounts receivable balance depends on sales volumes, seasonal fluctuations and certain other factors. We expect the increase to our accounts receivable balances to moderate over the remainder of 2011 and average $2.0 billion for 2011.</w:t>
      </w:r>
    </w:p>
    <w:p>
      <w:pPr>
        <w:spacing w:after="0" w:line="118" w:lineRule="exact"/>
        <w:rPr>
          <w:sz w:val="20"/>
          <w:szCs w:val="20"/>
          <w:color w:val="auto"/>
        </w:rPr>
      </w:pPr>
    </w:p>
    <w:p>
      <w:pPr>
        <w:ind w:right="620" w:firstLine="228"/>
        <w:spacing w:after="0" w:line="268" w:lineRule="auto"/>
        <w:rPr>
          <w:sz w:val="20"/>
          <w:szCs w:val="20"/>
          <w:color w:val="auto"/>
        </w:rPr>
      </w:pPr>
      <w:r>
        <w:rPr>
          <w:rFonts w:ascii="Arial" w:cs="Arial" w:eastAsia="Arial" w:hAnsi="Arial"/>
          <w:sz w:val="18"/>
          <w:szCs w:val="18"/>
          <w:color w:val="auto"/>
        </w:rPr>
        <w:t>In January 2011 we withdrew our application for loans available under Section 136 of the Energy Independence Security Act of 2007. This decision is consistent with our stated goal to minimize our outstanding debt.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in Non-core Assets</w:t>
      </w:r>
    </w:p>
    <w:p>
      <w:pPr>
        <w:spacing w:after="0" w:line="171"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color w:val="auto"/>
        </w:rPr>
        <w:t>We sold our Class A Membership Interests in New Delphi to New Delphi for $3.8 billion in March 2011 and recognized a gain of $1.6 billion. We had acquired our stake in October 2009 in conjunction with the creation of New Delphi. Also in March 2011 we sold our Ally Financial preferred stock and received proceeds of $1.0 billion. We recorded a gain of $0.3 billion in the three months ended March 31, 2011 related to the sale. Proceeds from these asset sales were used to strengthen liquidity and will be used for general corporate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171" w:lineRule="exact"/>
        <w:rPr>
          <w:sz w:val="20"/>
          <w:szCs w:val="20"/>
          <w:color w:val="auto"/>
        </w:rPr>
      </w:pPr>
    </w:p>
    <w:p>
      <w:pPr>
        <w:ind w:right="320" w:firstLine="228"/>
        <w:spacing w:after="0" w:line="256" w:lineRule="auto"/>
        <w:rPr>
          <w:sz w:val="20"/>
          <w:szCs w:val="20"/>
          <w:color w:val="auto"/>
        </w:rPr>
      </w:pPr>
      <w:r>
        <w:rPr>
          <w:rFonts w:ascii="Arial" w:cs="Arial" w:eastAsia="Arial" w:hAnsi="Arial"/>
          <w:sz w:val="18"/>
          <w:szCs w:val="18"/>
          <w:color w:val="auto"/>
        </w:rPr>
        <w:t>Available liquidity includes cash and cash equivalent balances and marketable securities. At March 31, 2011 our available liquidity was $29.6 billion, not including funds available under credit facilities of $5.9 billion or in the Canadian Health Care Trust (HCT) escrow account of $1.0 billion. The amount of available liquidity is subject to intra-month and seasonal fluctuations and includes balances held by various business units and subsidiaries worldwide that are needed to fund their operations.</w:t>
      </w:r>
    </w:p>
    <w:p>
      <w:pPr>
        <w:spacing w:after="0" w:line="143"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We manage our liquidity using U.S. cash investments, cash held at our international treasury centers and available liquidity at consolidated overseas subsidiaries. A portion of our total liquidity includes amounts deemed indefinitely reinvested in our foreign subsidiaries. We have used and will continue to use other methods, including inter-company loans, to utilize these funds across our global operations as needed. The following table summarizes our liquidity (dollars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March 31, 2011</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20,975</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8,618</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Available liquidity</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29,593</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Available under credit facilities</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5,912</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available liquidity</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35,505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HCT escrow account (a)</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1,038</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liquidity including the HCT escrow account</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36,543</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2340" w:hanging="5612"/>
        <w:spacing w:after="0" w:line="440" w:lineRule="auto"/>
        <w:tabs>
          <w:tab w:leader="none" w:pos="4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Classified as restricted cash and marketable securities which is recorded in Other current assets and deferred income taxes. 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Total available liquidity increased by $3.0 billion in the three months ended March 31, 2011 primarily due to proceeds from the sale of non-core investments partially offset by planned capital expenditures and negative cash flows from operating activities driven by increases in accounts receivable balances related to the termination of the wholesale advance agreements.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71"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Our primary borrowing capacity under these credit facilities comes from our $5.0 billion secured revolving credit facility. The balance of our credit facilities are geographically dispersed across all regions. The following tables summarize our committed and uncommitted credit facilities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Amounts Available</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w w:val="98"/>
              </w:rPr>
              <w:t>Total Credit Facilities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Under Credit Facilities</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4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80" w:type="dxa"/>
            <w:vAlign w:val="bottom"/>
          </w:tcPr>
          <w:p>
            <w:pPr>
              <w:spacing w:after="0"/>
              <w:rPr>
                <w:sz w:val="11"/>
                <w:szCs w:val="11"/>
                <w:color w:val="auto"/>
              </w:rPr>
            </w:pPr>
          </w:p>
        </w:tc>
        <w:tc>
          <w:tcPr>
            <w:tcW w:w="6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March 31,</w:t>
            </w:r>
          </w:p>
        </w:tc>
        <w:tc>
          <w:tcPr>
            <w:tcW w:w="4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9"/>
              </w:rPr>
              <w:t>2011</w:t>
            </w: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89"/>
              </w:rPr>
              <w:t>2011</w:t>
            </w: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6,137</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5,475</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Uncommitted</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6,644</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5,912</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Amounts Available</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w w:val="98"/>
              </w:rPr>
              <w:t>Total Credit Facilities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Under Credit Facilities</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4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80" w:type="dxa"/>
            <w:vAlign w:val="bottom"/>
          </w:tcPr>
          <w:p>
            <w:pPr>
              <w:spacing w:after="0"/>
              <w:rPr>
                <w:sz w:val="11"/>
                <w:szCs w:val="11"/>
                <w:color w:val="auto"/>
              </w:rPr>
            </w:pPr>
          </w:p>
        </w:tc>
        <w:tc>
          <w:tcPr>
            <w:tcW w:w="6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March 31,</w:t>
            </w:r>
          </w:p>
        </w:tc>
        <w:tc>
          <w:tcPr>
            <w:tcW w:w="4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9"/>
              </w:rPr>
              <w:t>2011</w:t>
            </w: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89"/>
              </w:rPr>
              <w:t>2011</w:t>
            </w: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Credit Facilities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Secured Revolving Credit Facility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5,000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5,000</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5,000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GM Hong Kong</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6,644</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6,632</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5,912</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credit facilities available primarily at our foreign subsidiaries that are not individually significant.</w:t>
      </w:r>
    </w:p>
    <w:p>
      <w:pPr>
        <w:spacing w:after="0" w:line="171"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color w:val="auto"/>
        </w:rPr>
        <w:t>At March 31, 2011 and December 31, 2010 our secured revolving credit facility comprised $5.0 billion of the amounts available under committed credit facilities and other committed credit facilities had $475 million available.</w:t>
      </w:r>
    </w:p>
    <w:p>
      <w:pPr>
        <w:spacing w:after="0" w:line="132" w:lineRule="exact"/>
        <w:rPr>
          <w:sz w:val="20"/>
          <w:szCs w:val="20"/>
          <w:color w:val="auto"/>
        </w:rPr>
      </w:pPr>
    </w:p>
    <w:p>
      <w:pPr>
        <w:ind w:right="80" w:firstLine="228"/>
        <w:spacing w:after="0" w:line="288" w:lineRule="auto"/>
        <w:rPr>
          <w:sz w:val="20"/>
          <w:szCs w:val="20"/>
          <w:color w:val="auto"/>
        </w:rPr>
      </w:pPr>
      <w:r>
        <w:rPr>
          <w:rFonts w:ascii="Arial" w:cs="Arial" w:eastAsia="Arial" w:hAnsi="Arial"/>
          <w:sz w:val="16"/>
          <w:szCs w:val="16"/>
          <w:color w:val="auto"/>
        </w:rPr>
        <w:t>While we do not believe that we will draw on the secured revolving credit facility to fund operating activities, the facility provides additional liquidity and financing flexibility. Availability under the secured revolving credit facility is subject to borrowing base restrictions. Our obligations under the secured revolving credit facility are guaranteed by certain of our domestic subsidiaries and by a substantial portion of our domestic assets, including accounts receivable, inventory, property, plants, and equipment, real estate, intercompany loans, intellectual property, trademarks and direct investments in Ally Financial. Obligations are also secured by the equity interests in certain of our direct domestic subsidiaries, as well as up to 65% of the voting equity interests in certain of our direct foreign subsidiaries, in each case, subject to certain exceptions. The collateral securing the secured revolving credit facility does not include, among other assets, cash, cash equivalents, marketable securities, as well as our investment in GM Financial and our equity interests in our China JVs and in GM Korea. If we receive an investment grade corporate rating from two or more of the credit rating agencies (Fitch, Moody’s and S&amp;P), we may no longer have to post collateral under the terms of the facility.</w:t>
      </w:r>
    </w:p>
    <w:p>
      <w:pPr>
        <w:spacing w:after="0" w:line="120"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Uncommitted credit facilities include lines of credit which are available to us, but under which the lenders have no legal obligation to provide funding upon our request. We and our subsidiaries use credit facilities to fund working capital needs, product programs, facilities development and other general corporate purposes.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 and Marketable Securities</w:t>
      </w:r>
    </w:p>
    <w:p>
      <w:pPr>
        <w:spacing w:after="0" w:line="171"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Pursuant to an agreement among General Motors of Canada Limited (GMCL), Export Development of Canada and an escrow agent we had $1.0 billion remaining in an escrow account at March 31, 2011 to fund certain of GMCL’s healthcare obligations pending the satisfaction of certain preconditions which have not yet been met.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In the three months ended March 31, 2011 we had negative cash flows from operating activities of $0.6 billion primarily due to: (1) unfavorable changes in working capital of $2.9 billion primarily driven by an increase in accounts receivable from the termination of the wholesale advance agreements; (2) unfavorable changes in other operating assets of $0.7 billion; (3) pension contributions and OPEB payments of $0.4 billion; partially offset by (4) net income of $3.4 billion which included non-cash charges of $2.0 billion resulting from depreciation, impairment and amortization expense (including amortization of debt issuance costs and discounts) and which also included gains of $1.6 billion from the sale of our Class A Membership Interests in New Delphi and $0.3 billion from the sale of our Ally Financial preferred stock.</w:t>
      </w:r>
    </w:p>
    <w:p>
      <w:pPr>
        <w:spacing w:after="0" w:line="120"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In the three months ended March 31, 2010 we had positive cash flows from operating activities of $1.9 billion primarily due to: (1) net income of $1.2 billion, which included non-cash charges of $1.8 billion resulting from depreciation, impairment and amortization expense (including amortization of debt issuance costs and discounts); and (2) changes in other operating assets and liabilities of $0.3 billion partially offset by (3) unfavorable changes in working capital of $0.8 billion; and (4) pension contributions and OPEB payments of $0.6 billion. The unfavorable changes in working capital were related to increases in accounts receivables and inventories, partially offset by an increase in accounts payable.</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 the three months ended March 31, 2011 we had positive cash flows from investing activities of $0.6 billion primarily due to: (1) proceeds received from the sale of our Class A Membership Interests in New Delphi and our Ally Financial preferred stock of $4.8 billion; (2) net decrease in restricted cash of $0.1 billion; partially offset by (3) net investments in marketable securities of $3.0 billion; and (4) capital expenditures of $1.3 billion.</w:t>
      </w:r>
    </w:p>
    <w:p>
      <w:pPr>
        <w:spacing w:after="0" w:line="107"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In the three months ended March 31, 2010 we had positive cash flows from investing activities of $0.5 billion primarily due to: (1) net decrease in restricted cash of $1.2 billion primarily related to withdrawals from the UST and HCT escrow accounts; (2) liquidations of operating leases of $0.1 billion; partially offset by (3) capital expenditures of $0.8 billion.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In the three months ended March 31, 2011 we had negative cash flows from financing activities of $0.3 billion primarily related to: (1) dividend payments on our Series A and Series B Preferred Stock of $0.2 billion; and (2) payment to acquire additional interest in GM Korea of $0.1 billion. Refer to Note 3 to the condensed consolidated financial statements for additional information on the acquisition of additional interest in GM Korea.</w:t>
      </w:r>
    </w:p>
    <w:p>
      <w:pPr>
        <w:spacing w:after="0" w:line="107"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In the three months ended March 31, 2010 we had negative cash flows from financing activities of $1.7 billion primarily due to: (1) repayments on the UST Loans and Canadian Loan of $1.0 billion and $0.2 billion; (2) dividend payments on our Series A Preferred Stock of $0.2 billion; (3) payments on the receivables program announced in March 2009 to provide financial assistance to automotive suppliers of $0.2 billion; and (4) net payments on other debt of $0.1 billion.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171"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GM Financial’s primary sources of cash are finance charge income, rental income, servicing fees, distributions from securitization trusts, borrowings under credit facilities, transfers of finance receivables to trusts in securitization transactions and collections, recoveries on finance receivables and net proceeds from senior notes and convertible senior notes transactions. GM Financial’s primary uses of cash are purchases of finance receivables and leased assets, repayment of credit facilities, securitization notes payable and other indebtedness, funding credit enhancement requirements for securitization transactions and credit facilities and operating expenses.</w:t>
      </w:r>
    </w:p>
    <w:p>
      <w:pPr>
        <w:spacing w:after="0" w:line="143"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GM Financial used cash of $1.1 billion for the purchase of finance receivables in the three months ended March 31, 2011. Generally, these purchases were funded initially utilizing cash and borrowings under credit facilities and subsequently funded in securitization transactions.</w:t>
      </w:r>
    </w:p>
    <w:p>
      <w:pPr>
        <w:spacing w:after="0" w:line="85"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GM Financial used cash of $0.3 billion for the purchase of operating leases in the three months ended March 31, 2011. These purchases were funded utilizing cash and borrowings under the lease warehouse facility.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GM Financial’s available liquidity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2011</w:t>
            </w:r>
          </w:p>
        </w:tc>
        <w:tc>
          <w:tcPr>
            <w:tcW w:w="10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5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Borrowing capacity on unpledged eligible receivables</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Borrowing capacity on unpledged eligible leased assets</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rPr>
              <w:t>Available liquidity</w:t>
            </w: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vMerge w:val="continue"/>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410</w:t>
            </w:r>
          </w:p>
        </w:tc>
        <w:tc>
          <w:tcPr>
            <w:tcW w:w="15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71"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In the normal course of business, in addition to using available cash, GM Financial pledges receivables to and borrows under credit facilities to fund operations and repays these borrowings as appropriate under GM Financial’s cash management strategy. The following table summarizes credit facilities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March 31, 2011</w:t>
            </w:r>
          </w:p>
        </w:tc>
        <w:tc>
          <w:tcPr>
            <w:tcW w:w="50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8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Facility</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Advances</w:t>
            </w:r>
          </w:p>
        </w:tc>
        <w:tc>
          <w:tcPr>
            <w:tcW w:w="500" w:type="dxa"/>
            <w:vAlign w:val="bottom"/>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Facility</w:t>
            </w: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Advances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4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Outstanding</w:t>
            </w:r>
          </w:p>
        </w:tc>
        <w:tc>
          <w:tcPr>
            <w:tcW w:w="5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5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Syndicated warehouse facility (a)</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2,000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90"/>
              </w:rPr>
              <w:t>$1,300</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Lease warehouse facility (b)</w:t>
            </w:r>
          </w:p>
        </w:tc>
        <w:tc>
          <w:tcPr>
            <w:tcW w:w="2600" w:type="dxa"/>
            <w:vAlign w:val="bottom"/>
            <w:gridSpan w:val="2"/>
          </w:tcPr>
          <w:p>
            <w:pPr>
              <w:ind w:left="25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Medium-term note facility (c)</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Bank funding facilities (d)</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February 2011 GM Financial extended the maturity date of the syndicated warehouse facility to May 2012 and increased the borrowing capacity to $2.0 billion from $1.3 billion.</w:t>
      </w:r>
    </w:p>
    <w:p>
      <w:pPr>
        <w:spacing w:after="0" w:line="5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January 2011 GM Financial entered into a lease warehouse facility for lease originations in the U.S. Borrowings on the facility are collateralized by leased assets.</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revolving period under this facility has ended and the outstanding debt balance will be repaid over time based on the amortization of the receivables pledged until October 2016 when any remaining amount outstanding will be due and payable.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outstanding debt balance under the bank funding facilities is secured by asset-backed securities of $53 million.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40" w:firstLine="228"/>
        <w:spacing w:after="0" w:line="291" w:lineRule="auto"/>
        <w:rPr>
          <w:sz w:val="20"/>
          <w:szCs w:val="20"/>
          <w:color w:val="auto"/>
        </w:rPr>
      </w:pPr>
      <w:r>
        <w:rPr>
          <w:rFonts w:ascii="Arial" w:cs="Arial" w:eastAsia="Arial" w:hAnsi="Arial"/>
          <w:sz w:val="16"/>
          <w:szCs w:val="16"/>
          <w:color w:val="auto"/>
        </w:rPr>
        <w:t>GM Financial is required to hold certain funds in restricted cash accounts to provide additional collateral for borrowings under the credit facilities and securitization notes payable. GM Financial’s funding agreements contain various covenants requiring minimum financial ratios, asset quality and portfolio performance ratios (portfolio net loss and delinquency ratios, and pool level cumulative net loss ratios) as well as limits on deferment levels. Failure to meet any of these covenants could result in an event of default under these agreements. If an event of default occurs under these agreements, the lenders could elect to declare all amounts outstanding under these agreements to be immediately due and payable, enforce their interests against collateral pledged under these agreements or, with respect to the syndicated warehouse facility, restrict GM Financial’s ability to obtain additional borrowings.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Charges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significant non-cash charges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6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w w:val="91"/>
              </w:rPr>
              <w:t>Three Months</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 related to investment in HKJV</w:t>
            </w:r>
          </w:p>
        </w:tc>
        <w:tc>
          <w:tcPr>
            <w:tcW w:w="20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Impairment charges related to goodwill</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980"/>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 related vehicles leased to rental car companies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Impairment charges related to product-specific tooling assets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9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significant non-cash charges</w:t>
            </w:r>
          </w:p>
        </w:tc>
        <w:tc>
          <w:tcPr>
            <w:tcW w:w="20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 Contributions</w:t>
      </w:r>
    </w:p>
    <w:p>
      <w:pPr>
        <w:spacing w:after="0" w:line="177" w:lineRule="exact"/>
        <w:rPr>
          <w:sz w:val="20"/>
          <w:szCs w:val="20"/>
          <w:color w:val="auto"/>
        </w:rPr>
      </w:pPr>
    </w:p>
    <w:p>
      <w:pPr>
        <w:ind w:right="180" w:firstLine="228"/>
        <w:spacing w:after="0" w:line="306" w:lineRule="auto"/>
        <w:rPr>
          <w:sz w:val="20"/>
          <w:szCs w:val="20"/>
          <w:color w:val="auto"/>
        </w:rPr>
      </w:pPr>
      <w:r>
        <w:rPr>
          <w:rFonts w:ascii="Arial" w:cs="Arial" w:eastAsia="Arial" w:hAnsi="Arial"/>
          <w:sz w:val="16"/>
          <w:szCs w:val="16"/>
          <w:color w:val="auto"/>
        </w:rPr>
        <w:t>We made a voluntary contribution in January 2011 to our U.S. hourly and salaried defined benefit pension plans of 61 million shares of our common stock, valued at $2.2 billion for funding purposes at the time of contribution. The contributed shares qualify as a plan asset for funding purposes immediately, and will qualify as a plan asset for accounting purposes when certain restrictions are removed, which is expected in 2011.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177" w:lineRule="exact"/>
        <w:rPr>
          <w:sz w:val="20"/>
          <w:szCs w:val="20"/>
          <w:color w:val="auto"/>
        </w:rPr>
      </w:pPr>
    </w:p>
    <w:p>
      <w:pPr>
        <w:jc w:val="both"/>
        <w:ind w:right="60" w:firstLine="228"/>
        <w:spacing w:after="0" w:line="306" w:lineRule="auto"/>
        <w:rPr>
          <w:sz w:val="20"/>
          <w:szCs w:val="20"/>
          <w:color w:val="auto"/>
        </w:rPr>
      </w:pPr>
      <w:r>
        <w:rPr>
          <w:rFonts w:ascii="Arial" w:cs="Arial" w:eastAsia="Arial" w:hAnsi="Arial"/>
          <w:sz w:val="16"/>
          <w:szCs w:val="16"/>
          <w:color w:val="auto"/>
        </w:rPr>
        <w:t>We have provided guarantees related to the residual value of operating leases, certain suppliers’ commitments, certain product-related claims and commercial loans made by Ally Financial and outstanding with certain third parties excluding vehicle repurchase obligations, residual support and risk sharing related to Ally Financial. The maximum potential obligation under these commitments was $1.0 billion at March 31, 2011 and December 31, 2010.</w:t>
      </w:r>
    </w:p>
    <w:p>
      <w:pPr>
        <w:spacing w:after="0" w:line="107" w:lineRule="exact"/>
        <w:rPr>
          <w:sz w:val="20"/>
          <w:szCs w:val="20"/>
          <w:color w:val="auto"/>
        </w:rPr>
      </w:pPr>
    </w:p>
    <w:p>
      <w:pPr>
        <w:ind w:right="80" w:firstLine="228"/>
        <w:spacing w:after="0" w:line="298" w:lineRule="auto"/>
        <w:rPr>
          <w:sz w:val="20"/>
          <w:szCs w:val="20"/>
          <w:color w:val="auto"/>
        </w:rPr>
      </w:pPr>
      <w:r>
        <w:rPr>
          <w:rFonts w:ascii="Arial" w:cs="Arial" w:eastAsia="Arial" w:hAnsi="Arial"/>
          <w:sz w:val="16"/>
          <w:szCs w:val="16"/>
          <w:color w:val="auto"/>
        </w:rPr>
        <w:t>Our agreement with Ally Financial requires the repurchase of Ally Financial financed inventory invoiced to dealers after September 1, 2008, with limited exclusions, in the event of a qualifying voluntary or involuntary termination of the dealer’s sales and service agreement. Repurchase obligations exclude vehicles which are damaged, have excessive mileage or have been altered. The repurchase obligation ended in August 2010 for vehicles invoiced through August 2009, ends in August 2011 for vehicles invoiced through August 2010 and ends in August 2012 for vehicles invoiced through August 2011.</w:t>
      </w:r>
    </w:p>
    <w:p>
      <w:pPr>
        <w:spacing w:after="0" w:line="113"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The maximum potential amount of future payments required to be made to Ally Financial under this guarantee would be based on the repurchase value of total eligible vehicles financed by Ally Financial in dealer stock and was estimated to be $20.2 billion and $18.8 billion at March 31, 2011 and December 31, 2010. If vehicles are required to be repurchased under this arrangement, the total exposure would be reduced to the extent vehicles are able to be resold to another dealer or at auction. The fair value of the guarantee was $18 million and $21 million at March 31, 2011 and December 31, 2010 which considers the likelihood of dealers terminating and the estimated loss exposure for the ultimate disposition of vehicles.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17 and 24 to the condensed consolidated financial statements for additional information on guarantees we have provided.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Pension Funding Obligations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do not have any required contributions due to our U.S. qualified plans in 2011. The next pension funding valuation to be prepared based on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requirements of the Pension Protection Act of 2006 (PPA) will be as of October 1, 2010. Based on the PPA, we have the option to select a funding interest rate for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valuation based on either the Full Yield Curve method or the 3-Segment method, both of which are considered to be acceptable methods. The PPA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provides the flexibility of selecting a 3-Segment rate up to the preceding five months from the valuation date of October 1, 2010, i.e., the 3-Segment rate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May 31, 2010. Therefore, for a hypothetical valuation at March 31, 2011, we have chosen the 3-Segment rate at May 31, 2010 as the funding interest rate that we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could use for the actual funding valuation. Since this hypothetical election does not limit us to only using the 3-Segment rate beyond 2010, we have assumed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retain the flexibility of selecting a funding interest rate based on either the Full Yield Curve method or the 3-Segment method. A hypothetical funding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valuation at March 31, 2011, using the 3-Segment rate at May 31, 2010 and assuming for the plan year beginning October 1, 2010 funding valuation, the Full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Yield Curve funding interest rate for all future valuations projects contributions of $2.1 billion and $0.9 billion in 2015 and 2016 and additional contributions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required thereafter. Alternatively, a hypothetical funding valuation at March 31, 2011 using the 3-Segment rate at May 31, 2010 for the plan year beginning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 2010 funding valuation, and assuming the March 31, 2011 3-Segment rate for all future valuations projects contributions of $ 0.7 billion in 2016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additional contributions may be required thereafter.</w:t>
      </w:r>
    </w:p>
    <w:p>
      <w:pPr>
        <w:spacing w:after="0" w:line="165" w:lineRule="exact"/>
        <w:rPr>
          <w:sz w:val="20"/>
          <w:szCs w:val="20"/>
          <w:color w:val="auto"/>
        </w:rPr>
      </w:pPr>
    </w:p>
    <w:p>
      <w:pPr>
        <w:jc w:val="both"/>
        <w:ind w:right="380" w:firstLine="228"/>
        <w:spacing w:after="0" w:line="306" w:lineRule="auto"/>
        <w:rPr>
          <w:sz w:val="20"/>
          <w:szCs w:val="20"/>
          <w:color w:val="auto"/>
        </w:rPr>
      </w:pPr>
      <w:r>
        <w:rPr>
          <w:rFonts w:ascii="Arial" w:cs="Arial" w:eastAsia="Arial" w:hAnsi="Arial"/>
          <w:sz w:val="16"/>
          <w:szCs w:val="16"/>
          <w:color w:val="auto"/>
        </w:rPr>
        <w:t>In both cases, we have assumed that the pension plans earn the expected return of 8.0% in the future and no further changes in funding interest rates. U.S. pension funding interest rate and return on assets rate sensitivity are shown below, assuming the 3-Segment rate at May 31, 2010 for plan year beginning on October 1, 2010 funding valuation and the Full Yield Curve funding interest rate for all future valuations (in billions):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00" w:type="dxa"/>
            <w:vAlign w:val="bottom"/>
            <w:gridSpan w:val="8"/>
            <w:vMerge w:val="restart"/>
          </w:tcPr>
          <w:p>
            <w:pPr>
              <w:jc w:val="right"/>
              <w:ind w:right="1040"/>
              <w:spacing w:after="0"/>
              <w:rPr>
                <w:sz w:val="20"/>
                <w:szCs w:val="20"/>
                <w:color w:val="auto"/>
              </w:rPr>
            </w:pPr>
            <w:r>
              <w:rPr>
                <w:rFonts w:ascii="Arial" w:cs="Arial" w:eastAsia="Arial" w:hAnsi="Arial"/>
                <w:sz w:val="14"/>
                <w:szCs w:val="14"/>
                <w:b w:val="1"/>
                <w:bCs w:val="1"/>
                <w:color w:val="auto"/>
              </w:rPr>
              <w:t>Funding Interest Rate Sensitivity Table</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07"/>
        </w:trPr>
        <w:tc>
          <w:tcPr>
            <w:tcW w:w="3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gridSpan w:val="8"/>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Return on</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Assets–7% - 100</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w w:val="86"/>
              </w:rPr>
              <w:t>50 basis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25 basis</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0"/>
              </w:rPr>
              <w:t>25 basis</w:t>
            </w:r>
          </w:p>
        </w:tc>
        <w:tc>
          <w:tcPr>
            <w:tcW w:w="140" w:type="dxa"/>
            <w:vAlign w:val="bottom"/>
          </w:tcPr>
          <w:p>
            <w:pPr>
              <w:spacing w:after="0"/>
              <w:rPr>
                <w:sz w:val="12"/>
                <w:szCs w:val="12"/>
                <w:color w:val="auto"/>
              </w:rPr>
            </w:pPr>
          </w:p>
        </w:tc>
        <w:tc>
          <w:tcPr>
            <w:tcW w:w="70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w w:val="86"/>
              </w:rPr>
              <w:t>50 basis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basis point</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2"/>
              </w:rPr>
              <w:t>point increase</w:t>
            </w:r>
          </w:p>
        </w:tc>
        <w:tc>
          <w:tcPr>
            <w:tcW w:w="5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point increase</w:t>
            </w:r>
          </w:p>
        </w:tc>
        <w:tc>
          <w:tcPr>
            <w:tcW w:w="5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Base Line</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point decrease</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2"/>
              </w:rPr>
              <w:t>point decrease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decrease</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jc w:val="right"/>
              <w:ind w:right="3372"/>
              <w:spacing w:after="0"/>
              <w:rPr>
                <w:sz w:val="20"/>
                <w:szCs w:val="20"/>
                <w:color w:val="auto"/>
              </w:rPr>
            </w:pPr>
            <w:r>
              <w:rPr>
                <w:rFonts w:ascii="Arial" w:cs="Arial" w:eastAsia="Arial" w:hAnsi="Arial"/>
                <w:sz w:val="18"/>
                <w:szCs w:val="18"/>
                <w:color w:val="auto"/>
                <w:w w:val="84"/>
              </w:rPr>
              <w:t>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jc w:val="right"/>
              <w:ind w:right="3372"/>
              <w:spacing w:after="0"/>
              <w:rPr>
                <w:sz w:val="20"/>
                <w:szCs w:val="20"/>
                <w:color w:val="auto"/>
              </w:rPr>
            </w:pPr>
            <w:r>
              <w:rPr>
                <w:rFonts w:ascii="Arial" w:cs="Arial" w:eastAsia="Arial" w:hAnsi="Arial"/>
                <w:sz w:val="18"/>
                <w:szCs w:val="18"/>
                <w:color w:val="auto"/>
                <w:w w:val="84"/>
              </w:rPr>
              <w:t>2012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jc w:val="right"/>
              <w:ind w:right="3372"/>
              <w:spacing w:after="0"/>
              <w:rPr>
                <w:sz w:val="20"/>
                <w:szCs w:val="20"/>
                <w:color w:val="auto"/>
              </w:rPr>
            </w:pPr>
            <w:r>
              <w:rPr>
                <w:rFonts w:ascii="Arial" w:cs="Arial" w:eastAsia="Arial" w:hAnsi="Arial"/>
                <w:sz w:val="18"/>
                <w:szCs w:val="18"/>
                <w:color w:val="auto"/>
                <w:w w:val="84"/>
              </w:rPr>
              <w:t>2013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jc w:val="right"/>
              <w:ind w:right="3372"/>
              <w:spacing w:after="0"/>
              <w:rPr>
                <w:sz w:val="20"/>
                <w:szCs w:val="20"/>
                <w:color w:val="auto"/>
              </w:rPr>
            </w:pPr>
            <w:r>
              <w:rPr>
                <w:rFonts w:ascii="Arial" w:cs="Arial" w:eastAsia="Arial" w:hAnsi="Arial"/>
                <w:sz w:val="18"/>
                <w:szCs w:val="18"/>
                <w:color w:val="auto"/>
                <w:w w:val="84"/>
              </w:rPr>
              <w:t>2014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jc w:val="right"/>
              <w:ind w:right="3372"/>
              <w:spacing w:after="0"/>
              <w:rPr>
                <w:sz w:val="20"/>
                <w:szCs w:val="20"/>
                <w:color w:val="auto"/>
              </w:rPr>
            </w:pPr>
            <w:r>
              <w:rPr>
                <w:rFonts w:ascii="Arial" w:cs="Arial" w:eastAsia="Arial" w:hAnsi="Arial"/>
                <w:sz w:val="18"/>
                <w:szCs w:val="18"/>
                <w:color w:val="auto"/>
                <w:w w:val="84"/>
              </w:rPr>
              <w:t>2015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Pr>
          <w:p>
            <w:pPr>
              <w:jc w:val="right"/>
              <w:ind w:right="3372"/>
              <w:spacing w:after="0"/>
              <w:rPr>
                <w:sz w:val="20"/>
                <w:szCs w:val="20"/>
                <w:color w:val="auto"/>
              </w:rPr>
            </w:pPr>
            <w:r>
              <w:rPr>
                <w:rFonts w:ascii="Arial" w:cs="Arial" w:eastAsia="Arial" w:hAnsi="Arial"/>
                <w:sz w:val="18"/>
                <w:szCs w:val="18"/>
                <w:color w:val="auto"/>
                <w:w w:val="84"/>
              </w:rPr>
              <w:t>2016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The hypothetical valuations do not consider the potential election of relief provisions that are available to us under the Pension Relief Act of 2010 for 2010 and 2011 plan year valuations.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At March 31, 2011 assets and liabilities classified in Level 3 were not significant. Prior to the three months ended December 31, 2010 significant assets and liabilities classified in Level 3, with the related Level 3 inputs, were as follows:</w:t>
      </w:r>
    </w:p>
    <w:p>
      <w:pPr>
        <w:spacing w:after="0" w:line="172" w:lineRule="exact"/>
        <w:rPr>
          <w:sz w:val="20"/>
          <w:szCs w:val="20"/>
          <w:color w:val="auto"/>
        </w:rPr>
      </w:pPr>
    </w:p>
    <w:p>
      <w:pPr>
        <w:ind w:left="660" w:hanging="436"/>
        <w:spacing w:after="0" w:line="291"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Foreign currency derivatives — Level 3 inputs used to determine the fair value of foreign currency derivative liabilities include the appropriate credit spread to measure our nonperformance risk. Given our nonperformance risk was not observable through a liquid credit default swap market we based this measurement on an analysis of comparable industrial companies to determine the appropriate credit spread which would be applied to us by market participants. In the three months ended December 31, 2010 we incorporated our published credit agency ratings into our credit rating conclusions. In the three months ended December 31, 2010 we determined that our nonperformance risk no longer represented a significant input in the determination of the fair value of our foreign currency derivative liabilities and transferred these liabilities to Level 2.</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color w:val="auto"/>
        </w:rPr>
        <w:t>Refer to Note 19 to the condensed consolidated financial statements for additional information regarding fair value measurements of financial assets and financial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Assets and Liabilities</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At March 31, 2011 we used Level 3 inputs to measure net liabilities of $10 million (or less than 0.1%) of our total liabilities. These net liabilities included $67 million (or 0.3%) of the total assets, and $77 million (or 56.6%) of the total liabilities that we measured at fair value.</w:t>
      </w:r>
    </w:p>
    <w:p>
      <w:pPr>
        <w:spacing w:after="0" w:line="132"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In the three months ended March 31, 2011 assets and liabilities measured using Level 3 inputs decreased $4 million from a net liability of $14 million to a net liability of $10 million primarily due to unrealized losses on options which we measure at fair value.</w:t>
      </w:r>
    </w:p>
    <w:p>
      <w:pPr>
        <w:spacing w:after="0" w:line="132" w:lineRule="exact"/>
        <w:rPr>
          <w:sz w:val="20"/>
          <w:szCs w:val="20"/>
          <w:color w:val="auto"/>
        </w:rPr>
      </w:pPr>
    </w:p>
    <w:p>
      <w:pPr>
        <w:ind w:right="60" w:firstLine="228"/>
        <w:spacing w:after="0" w:line="332" w:lineRule="auto"/>
        <w:rPr>
          <w:sz w:val="20"/>
          <w:szCs w:val="20"/>
          <w:color w:val="auto"/>
        </w:rPr>
      </w:pPr>
      <w:r>
        <w:rPr>
          <w:rFonts w:ascii="Arial" w:cs="Arial" w:eastAsia="Arial" w:hAnsi="Arial"/>
          <w:sz w:val="16"/>
          <w:szCs w:val="16"/>
          <w:color w:val="auto"/>
        </w:rPr>
        <w:t>At December 31, 2010 we used Level 3 inputs to measure net liabilities of $14 million (or less than 0.1%) of our total liabilities. These net liabilities included $10 million (or less than 0.1%) of the total assets, and $24 million (or 16.4%) of the total liabilities that we measured at fair value.</w:t>
      </w:r>
    </w:p>
    <w:p>
      <w:pPr>
        <w:spacing w:after="0" w:line="85"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At December 31, 2010 our nonperformance risk remained unobservable through a liquid credit default swap market. During the three months ended December 31, 2010 we determined that our nonperformance risk no longer represented a significant input in the determination of the fair value of our derivatives. The effect of our nonperformance risk in the valuation was reduced due to the reduction in the remaining duration and magnitude of these net derivative liability positions. In October 2010 we transferred foreign currency derivatives with a fair market value of $183 million from Level 3 to Level 2.</w:t>
      </w:r>
    </w:p>
    <w:p>
      <w:pPr>
        <w:spacing w:after="0" w:line="113"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Realized gains and losses related to assets and liabilities measured using Level 3 inputs did not have a material effect on operations, liquidity or capital resources in the three months ended March 31, 2011 and 2010.</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 Financing</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March 31, 2011 significant assets and liabilities classified in Level 3, with the related Level 3 inputs, are as follows:</w:t>
      </w:r>
    </w:p>
    <w:p>
      <w:pPr>
        <w:spacing w:after="0" w:line="212" w:lineRule="exact"/>
        <w:rPr>
          <w:sz w:val="20"/>
          <w:szCs w:val="20"/>
          <w:color w:val="auto"/>
        </w:rPr>
      </w:pPr>
    </w:p>
    <w:p>
      <w:pPr>
        <w:ind w:left="660" w:right="20" w:hanging="436"/>
        <w:spacing w:after="0" w:line="298"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Interest rate swaps — Level 3 inputs are used to determine the fair value of GM Financial’s interest rate swaps because they are not exchange traded but instead traded in over-the-counter markets where quoted market prices are not readily available. The fair value of derivatives is derived using models that primarily use market observable inputs, such as interest rate yield curves and credit curves. The effects of GM Financial’s and the counterparties’ non-performance risk to the derivative trades are considered when measuring the fair value of derivative assets and liabilities.</w:t>
      </w:r>
    </w:p>
    <w:p>
      <w:pPr>
        <w:spacing w:after="0" w:line="113"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color w:val="auto"/>
        </w:rPr>
        <w:t>Refer to Note 19 to the condensed consolidated financial statements for additional information regarding fair value measurements of financial assets and financial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7"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The declaration of any dividend on our common stock is a matter to be acted upon by our Board of Directors in its sole discretion. Since our formation, we have not paid any dividends on our common stock. We have no current plans to pay any dividends on our common stock.</w:t>
      </w:r>
    </w:p>
    <w:p>
      <w:pPr>
        <w:spacing w:after="0" w:line="132" w:lineRule="exact"/>
        <w:rPr>
          <w:sz w:val="20"/>
          <w:szCs w:val="20"/>
          <w:color w:val="auto"/>
        </w:rPr>
      </w:pPr>
    </w:p>
    <w:p>
      <w:pPr>
        <w:jc w:val="both"/>
        <w:ind w:right="100" w:firstLine="228"/>
        <w:spacing w:after="0" w:line="298" w:lineRule="auto"/>
        <w:rPr>
          <w:sz w:val="20"/>
          <w:szCs w:val="20"/>
          <w:color w:val="auto"/>
        </w:rPr>
      </w:pPr>
      <w:r>
        <w:rPr>
          <w:rFonts w:ascii="Arial" w:cs="Arial" w:eastAsia="Arial" w:hAnsi="Arial"/>
          <w:sz w:val="16"/>
          <w:szCs w:val="16"/>
          <w:color w:val="auto"/>
        </w:rPr>
        <w:t>So long as any share of our Series A Preferred Stock or Series B Preferred Stock remains outstanding, no dividend or distribution may be declared or paid on our common stock unless all accrued and unpaid dividends have been paid on our Series A Preferred Stock and Series B Preferred Stock, subject to exceptions, such as dividends on our common stock payable solely in shares of our common stock. Our secured revolving credit facility contains certain restrictions on our ability to pay dividends, subject to exceptions, such as dividends payable solely in shares of our common stock.</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So long as any share of our Series A Preferred Stock remains outstanding, no dividend or distribution may be declared or paid on our Series B Preferred Stock unless all accrued and unpaid dividends have been paid on our Series A Preferred Stock, subject to exceptions, such as dividends on our Series B Preferred Stock payable solely in shares of our common stock.</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dividends paid on our Series A Preferred Stock and Series B Preferred Stock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Three Months</w:t>
            </w:r>
          </w:p>
        </w:tc>
        <w:tc>
          <w:tcPr>
            <w:tcW w:w="9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r>
      <w:tr>
        <w:trPr>
          <w:trHeight w:val="149"/>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77"/>
              <w:spacing w:after="0" w:line="149" w:lineRule="exact"/>
              <w:rPr>
                <w:sz w:val="20"/>
                <w:szCs w:val="20"/>
                <w:color w:val="auto"/>
              </w:rPr>
            </w:pPr>
            <w:r>
              <w:rPr>
                <w:rFonts w:ascii="Arial" w:cs="Arial" w:eastAsia="Arial" w:hAnsi="Arial"/>
                <w:sz w:val="14"/>
                <w:szCs w:val="14"/>
                <w:b w:val="1"/>
                <w:bCs w:val="1"/>
                <w:color w:val="auto"/>
              </w:rPr>
              <w:t>Ended</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2011</w:t>
            </w:r>
          </w:p>
        </w:tc>
        <w:tc>
          <w:tcPr>
            <w:tcW w:w="98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Preferred Stock dividends paid</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9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228"/>
        <w:spacing w:after="0" w:line="259" w:lineRule="auto"/>
        <w:rPr>
          <w:sz w:val="20"/>
          <w:szCs w:val="20"/>
          <w:color w:val="auto"/>
        </w:rPr>
      </w:pPr>
      <w:r>
        <w:rPr>
          <w:rFonts w:ascii="Arial" w:cs="Arial" w:eastAsia="Arial" w:hAnsi="Arial"/>
          <w:sz w:val="18"/>
          <w:szCs w:val="18"/>
          <w:color w:val="auto"/>
        </w:rPr>
        <w:t>Our payment of dividends in the future, if any, will be determined by our Board of Directors and will be paid out of funds legally available for that purpose and will depend on business conditions, our financial condition, earnings, liquidity and capital requirements, the covenants in our debt instruments, and other factors.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7"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At March 31, 2011 we employed 205,000 employees, of whom 137,000 (67%) were hourly employees and 68,000 (33%) were salaried employees. The following table summarizes worldwide employment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March 31, 2011</w:t>
            </w:r>
          </w:p>
        </w:tc>
        <w:tc>
          <w:tcPr>
            <w:tcW w:w="10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GMNA</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GME</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GMIO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GMSA</w:t>
            </w: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GM Financial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2"/>
        </w:trPr>
        <w:tc>
          <w:tcPr>
            <w:tcW w:w="8280" w:type="dxa"/>
            <w:vAlign w:val="bottom"/>
          </w:tcPr>
          <w:p>
            <w:pPr>
              <w:spacing w:after="0"/>
              <w:rPr>
                <w:sz w:val="20"/>
                <w:szCs w:val="20"/>
                <w:color w:val="auto"/>
              </w:rPr>
            </w:pPr>
            <w:r>
              <w:rPr>
                <w:rFonts w:ascii="Arial" w:cs="Arial" w:eastAsia="Arial" w:hAnsi="Arial"/>
                <w:sz w:val="18"/>
                <w:szCs w:val="18"/>
                <w:color w:val="auto"/>
              </w:rPr>
              <w:t>Total Worldwide</w:t>
            </w: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U.S. – Salaried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22"/>
        </w:trPr>
        <w:tc>
          <w:tcPr>
            <w:tcW w:w="8280" w:type="dxa"/>
            <w:vAlign w:val="bottom"/>
          </w:tcPr>
          <w:p>
            <w:pPr>
              <w:spacing w:after="0"/>
              <w:rPr>
                <w:sz w:val="20"/>
                <w:szCs w:val="20"/>
                <w:color w:val="auto"/>
              </w:rPr>
            </w:pPr>
            <w:r>
              <w:rPr>
                <w:rFonts w:ascii="Arial" w:cs="Arial" w:eastAsia="Arial" w:hAnsi="Arial"/>
                <w:sz w:val="18"/>
                <w:szCs w:val="18"/>
                <w:color w:val="auto"/>
              </w:rPr>
              <w:t>U.S. – Hourly</w:t>
            </w: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 the use of estimates, judgments and assumptions that affect the reported amounts of assets and liabilities, the disclosure of contingent assets and liabilities at the date of the financial statements, and the reported amounts of revenues and expenses in the periods presented. The critical accounting estimates that affect the condensed consolidated financial statements and the judgments and assumptions used are consistent with those described in the MD&amp;A section in our 2010 Form 10-K, with updates to our critical accounting estimates related to events occurring subsequent to the filing of our 2010 Form 10-K discussed below.</w:t>
      </w:r>
    </w:p>
    <w:p>
      <w:pPr>
        <w:spacing w:after="0" w:line="116" w:lineRule="exact"/>
        <w:rPr>
          <w:sz w:val="20"/>
          <w:szCs w:val="20"/>
          <w:color w:val="auto"/>
        </w:rPr>
      </w:pPr>
    </w:p>
    <w:p>
      <w:pPr>
        <w:ind w:right="300" w:firstLine="228"/>
        <w:spacing w:after="0" w:line="332" w:lineRule="auto"/>
        <w:rPr>
          <w:sz w:val="20"/>
          <w:szCs w:val="20"/>
          <w:color w:val="auto"/>
        </w:rPr>
      </w:pPr>
      <w:r>
        <w:rPr>
          <w:rFonts w:ascii="Arial" w:cs="Arial" w:eastAsia="Arial" w:hAnsi="Arial"/>
          <w:sz w:val="16"/>
          <w:szCs w:val="16"/>
          <w:color w:val="auto"/>
        </w:rPr>
        <w:t>We believe that the accounting estimates employed are appropriate and resulting balances are reasonable; however, due to inherent uncertainties in making estimates actual results could differ from the original estimates, requiring adjustments to these balances in future periods.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71" w:lineRule="exact"/>
        <w:rPr>
          <w:sz w:val="20"/>
          <w:szCs w:val="20"/>
          <w:color w:val="auto"/>
        </w:rPr>
      </w:pPr>
    </w:p>
    <w:p>
      <w:pPr>
        <w:jc w:val="both"/>
        <w:ind w:right="160" w:firstLine="228"/>
        <w:spacing w:after="0" w:line="259" w:lineRule="auto"/>
        <w:rPr>
          <w:sz w:val="20"/>
          <w:szCs w:val="20"/>
          <w:color w:val="auto"/>
        </w:rPr>
      </w:pPr>
      <w:r>
        <w:rPr>
          <w:rFonts w:ascii="Arial" w:cs="Arial" w:eastAsia="Arial" w:hAnsi="Arial"/>
          <w:sz w:val="18"/>
          <w:szCs w:val="18"/>
          <w:color w:val="auto"/>
        </w:rPr>
        <w:t>In December 2010 the FASB issued ASU 2010-28. The amendments in this ASU modify Step 1 of the goodwill impairment test for reporting units with zero or negative carrying amounts. For those reporting units, an entity is required to perform Step 2 of the goodwill impairment test if it is more likely than not that a goodwill impairment exists. Any resulting goodwill impairment 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recorded as a cumulative-effect adjustment to beginning Retained earnings at the date of adoption with future impairments recorded to earnings. We adopted the provisions of ASU 2010-28 on January 1, 2011. GME has a negative carrying amount and we determined that it was more likely than not that a goodwill impairment existed at January 1, 2011 and at March 31, 2011 due to decreases in our nonperformance risk and improvements in our incremental borrowing interest rates occurring since July 10, 2009 through March 31, 2011.</w:t>
      </w:r>
    </w:p>
    <w:p>
      <w:pPr>
        <w:spacing w:after="0" w:line="143"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The adoption of ASU 2010-28 resulted in the recognition of a cumulative-effect adjustment to beginning Retained earnings of $1.5 billion for our GME reporting unit. In addition, because GME continued to have a negative carrying amount and it was more likely than not that a further goodwill impairment existed at March 31, 2011, an impairment charge of $395 million was recorded in Goodwill impairment charges during the three months ended March 31, 2011. Both the impairment recorded as a result of the initial adoption of ASU 2010-28 and the March 31, 2011 measurement represent the net decreases, from July 10, 2009 through January 1, 2011 and from January 1, 2011 through March 31, 2011, in the fair-value-to-U.S. GAAP differences attributable to those assets and liabilities that gave rise to goodwill upon our application of fresh-start reporting. The net decreases resulted primarily from: (1) a decrease in our nonperformance risk and an improvement in our incremental borrowing rates since July 10, 2009; (2) an increase in the high quality corporate bond rates utilized to measure our employee benefit obligations since January 1, 2011; and (3) a decrease in credit spreads between high quality corporate bond rates and market interest rates for companies with similar nonperformance risk. Refer to Notes 2 and 9 to our condensed consolidated financial statements for additional information related to the adoption of ASU 2010-28.</w:t>
      </w:r>
    </w:p>
    <w:p>
      <w:pPr>
        <w:spacing w:after="0" w:line="123"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When applying fresh-start reporting, certain accounts in GME, primarily employee benefit and income tax related, were recorded at amounts determined under specific U.S. GAAP rather than fair value, and the difference between the U.S. GAAP and fair value amounts gave rise to goodwill, which is a residual. Our employee benefit related accounts were recorded in accordance with Accounting Standards Codification (ASC) 712 “Compensation — Nonretirement Postemployment Benefits” and ASC 715 “Compensation Benefits.” The discount rates utilized to determine the fair value of these obligations were based on our incremental borrowing rates, which included our nonperformance risk. Our incremental borrowing rates are also affected by changes in market interest rates. Deferred income taxes were recorded in accordance with ASC 740 “Income Taxes.” Further, we recorded valuation allowances against certain of our deferred tax assets, which under ASC 852 “Reorganizations” also resulted in goodwill. If all identifiable assets and liabilities had been recorded at fair value upon application of fresh-start reporting, no goodwill would have resulted.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GME has a negative carrying amount and we determined that it was more likely than not that a goodwill impairment existed at January 1, 2011 and at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March 31, 2011 due to decreases in our nonperformance risk and improvements in our incremental borrowing interest rates occurring since July 10, 2009 through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March 31, 2011. As such, despite the fair value of GME’s equity being greater than its carrying amount, we performed Step 2 of the goodwill impairment testing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analysis. The valuation methodologies utilized to perform our goodwill impairment testing for GME were consistent with those used in our application of fresh-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start reporting on July 10, 2009, as discussed in Note 2 to our consolidated financial statements contained in our 2010 Form 10-K, and in our 2010 annual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goodwill impairment testing at October 1, 2010. The fair value measures used in our analyses were Level 3 measures.</w:t>
      </w:r>
    </w:p>
    <w:p>
      <w:pPr>
        <w:spacing w:after="0" w:line="165"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Because the fair value of goodwill can be measured only as a residual amount and cannot be determined directly, we calculated GME’s implied goodwill in the same manner that goodwill is recognized in a business combination pursuant to ASC 805 “Business Combinations.” In performing our Step 2 analyses, we utilized a discounted cash flow methodology to estimate the fair values of GME at January 1, 2011 and March 31, 2011. These fair value estimates utilized a weighted-average cost of capital of 17.0% and 16.5% at January 1, 2011 and March 31, 2011 that considered various factors including bond yields, risk premiums, and tax rates; a terminal value that was determined using a growth model that applied a long-term growth rate of 0.5% to our projected cash flows beyond 2015; and industry sales of 18.4 million and a market share for GME of 6.56% in 2011 increasing to industry sales of 22.0 million vehicles and a 7.42% market share in 2015. The fair value of property was determined based on its highest and best use utilizing a combination of the market or sales comparison approach, the cost approach and/or the income approach. The fair values of GME’s brands were determined based on a relief from royalty method and the fair value of GME’s dealer network was determined on a cost approach. Based on these fair value measures, we determined GME’s implied goodwill represents only the fair-value-to-U.S. GAAP differences attributable to those assets and liabilities that gave rise to goodwill upon our application of fresh-start reporting.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The key assumptions utilized in determining the fair-value-to-U.S. GAAP differences are the determination of our nonperformance risk, interest rates and the estimated timing of the utilization of our deferred tax assets. Of these factors, the amount of implied goodwill within GME at January 1, 2011 and at March 31, 2011 is most sensitive to changes in our nonperformance risk and interest rates.</w:t>
      </w:r>
    </w:p>
    <w:p>
      <w:pPr>
        <w:spacing w:after="0" w:line="140"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following table summarizes the effect on the determination of the implied goodwill of GME at March 31, 2011 of changes in our incremental borrowing rates utilized in calculating the implied goodwill for GME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7"/>
              </w:rPr>
              <w:t>Effect on Implied</w:t>
            </w:r>
          </w:p>
        </w:tc>
      </w:tr>
      <w:tr>
        <w:trPr>
          <w:trHeight w:val="149"/>
        </w:trPr>
        <w:tc>
          <w:tcPr>
            <w:tcW w:w="72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2"/>
              </w:rPr>
              <w:t>Goodwill at</w:t>
            </w:r>
          </w:p>
        </w:tc>
      </w:tr>
      <w:tr>
        <w:trPr>
          <w:trHeight w:val="161"/>
        </w:trPr>
        <w:tc>
          <w:tcPr>
            <w:tcW w:w="72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2011</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Incremental Borrowing Rates</w:t>
            </w:r>
          </w:p>
        </w:tc>
        <w:tc>
          <w:tcPr>
            <w:tcW w:w="3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25 basis point decrease in our incremental borrowing rates</w:t>
            </w:r>
          </w:p>
        </w:tc>
        <w:tc>
          <w:tcPr>
            <w:tcW w:w="3220" w:type="dxa"/>
            <w:vAlign w:val="bottom"/>
            <w:gridSpan w:val="2"/>
          </w:tcPr>
          <w:p>
            <w:pPr>
              <w:ind w:left="3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25 basis point increase in our incremental borrowing rates</w:t>
            </w:r>
          </w:p>
        </w:tc>
        <w:tc>
          <w:tcPr>
            <w:tcW w:w="322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bl>
    <w:p>
      <w:pPr>
        <w:spacing w:after="0" w:line="154"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The following table summarizes the effect on the implied goodwill of GME at March 31, 2011 of changes in high quality corporate rates in calculating the implied goodwill for GME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7"/>
              </w:rPr>
              <w:t>Effect on Implied</w:t>
            </w:r>
          </w:p>
        </w:tc>
      </w:tr>
      <w:tr>
        <w:trPr>
          <w:trHeight w:val="149"/>
        </w:trPr>
        <w:tc>
          <w:tcPr>
            <w:tcW w:w="70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2"/>
              </w:rPr>
              <w:t>Goodwill at</w:t>
            </w:r>
          </w:p>
        </w:tc>
      </w:tr>
      <w:tr>
        <w:trPr>
          <w:trHeight w:val="161"/>
        </w:trPr>
        <w:tc>
          <w:tcPr>
            <w:tcW w:w="70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2011</w:t>
            </w: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High Quality Corporate Rates</w:t>
            </w:r>
          </w:p>
        </w:tc>
        <w:tc>
          <w:tcPr>
            <w:tcW w:w="3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25 basis point decrease in high quality corporate rates</w:t>
            </w:r>
          </w:p>
        </w:tc>
        <w:tc>
          <w:tcPr>
            <w:tcW w:w="3380" w:type="dxa"/>
            <w:vAlign w:val="bottom"/>
            <w:gridSpan w:val="2"/>
          </w:tcPr>
          <w:p>
            <w:pPr>
              <w:ind w:left="32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25 basis point increase in high quality corporate rates</w:t>
            </w:r>
          </w:p>
        </w:tc>
        <w:tc>
          <w:tcPr>
            <w:tcW w:w="3380" w:type="dxa"/>
            <w:vAlign w:val="bottom"/>
            <w:gridSpan w:val="2"/>
            <w:shd w:val="clear" w:color="auto" w:fill="CCEEFF"/>
          </w:tcPr>
          <w:p>
            <w:pPr>
              <w:ind w:left="32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r>
    </w:tbl>
    <w:p>
      <w:pPr>
        <w:spacing w:after="0" w:line="154"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Future goodwill impairments could occur within GME should the fair-value-to-U.S. GAAP differences decrease, GME continues to have a negative carrying amount, and the fair value of the GME reporting unit does not increase sufficiently to offset such decreases or such increase in fair value results in a corresponding increase in the fair value of other identifiable assets without giving rise to additional implied goodwill. The difference between these fair-value-to-U.S. GAAP differences would decrease upon an improvement in our credit rating or a decrease in credit spreads between high quality corporate bonds and market interest rates, thus resulting in a decrease in the spread between our employee benefit related obligations under U.S. GAAP and their fair values. The fair-value-to-U.S. GAAP differences that gave rise to goodwill upon our application of fresh-start reporting within GME also included deferred tax asset valuation allowances. Similarly, a decrease would also occur upon reversal of our deferred tax asset valuation allowances within GME. Should the fair-value-to-U.S. GAAP differences decrease for these reasons, without an increase in the fair value of the GME reporting unit sufficient to offset such decreases, the implied goodwill balance will decline and future goodwill impairments would occur that may be material. Any declines would have a negative effect on our earnings and would be included in Goodwill impairment charges. Future goodwill impairments could also occur within our other reporting units, including GMNA, should we first fail Step 1 of the goodwill impairment testing analysis and the fair-value-to-U.S. GAAP differences noted above also decrease.</w:t>
      </w:r>
    </w:p>
    <w:p>
      <w:pPr>
        <w:spacing w:after="0" w:line="127" w:lineRule="exact"/>
        <w:rPr>
          <w:sz w:val="20"/>
          <w:szCs w:val="20"/>
          <w:color w:val="auto"/>
        </w:rPr>
      </w:pPr>
    </w:p>
    <w:p>
      <w:pPr>
        <w:jc w:val="both"/>
        <w:ind w:right="300" w:firstLine="228"/>
        <w:spacing w:after="0" w:line="259" w:lineRule="auto"/>
        <w:rPr>
          <w:sz w:val="20"/>
          <w:szCs w:val="20"/>
          <w:color w:val="auto"/>
        </w:rPr>
      </w:pPr>
      <w:r>
        <w:rPr>
          <w:rFonts w:ascii="Arial" w:cs="Arial" w:eastAsia="Arial" w:hAnsi="Arial"/>
          <w:sz w:val="18"/>
          <w:szCs w:val="18"/>
          <w:color w:val="auto"/>
        </w:rPr>
        <w:t>We believe future goodwill impairment charges could occur in 2011 related to GME, because GME has a negative carrying amount and it is possible: (1) a decrease in the credit spreads between high quality corporate bond rates and market interest rates for companies with similar nonperformance risk could occur and/or (2) a decrease in our nonperformance risk or improvement in our credit rating could occur.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In this report and in reports we subsequently file and have previously filed with the SEC on Forms 10-K and 10-Q and file or furnish on Form 8-K, and in related comments by our management, we use words like “anticipate,” “believe,” “continue,” “could,” “designed,” “effect,” “estimate,” “evaluate,” “expect,” “forecast,” “goal,” “initiative,” “intend,” “may,” “objective,” “outlook,” “plan,” “potential,” “priorities,” “project,” “pursue,” “seek,” “should,” “target,” “when,” “would,” or the negative of any of those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10-K, 10-Q and 8-K, include among others the following:</w:t>
      </w:r>
    </w:p>
    <w:p>
      <w:pPr>
        <w:spacing w:after="0" w:line="156" w:lineRule="exact"/>
        <w:rPr>
          <w:sz w:val="20"/>
          <w:szCs w:val="20"/>
          <w:color w:val="auto"/>
        </w:rPr>
      </w:pPr>
    </w:p>
    <w:p>
      <w:pPr>
        <w:ind w:left="660" w:hanging="43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ability to realize production efficiencies and to achieve reductions in costs as a result of our restructuring initiatives and labor modifications;</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90" w:lineRule="exact"/>
        <w:rPr>
          <w:rFonts w:ascii="Arial" w:cs="Arial" w:eastAsia="Arial" w:hAnsi="Arial"/>
          <w:sz w:val="18"/>
          <w:szCs w:val="18"/>
          <w:color w:val="auto"/>
        </w:rPr>
      </w:pPr>
    </w:p>
    <w:p>
      <w:pPr>
        <w:ind w:left="660" w:right="220" w:hanging="436"/>
        <w:spacing w:after="0" w:line="33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and an appropriate level of debt, including as required to fund our planned significant investment in new technology, and, even if funded, our ability to realize successful vehicle applications of new technology;</w:t>
      </w:r>
    </w:p>
    <w:p>
      <w:pPr>
        <w:spacing w:after="0" w:line="4" w:lineRule="exact"/>
        <w:rPr>
          <w:rFonts w:ascii="Arial" w:cs="Arial" w:eastAsia="Arial" w:hAnsi="Arial"/>
          <w:sz w:val="16"/>
          <w:szCs w:val="16"/>
          <w:color w:val="auto"/>
        </w:rPr>
      </w:pPr>
    </w:p>
    <w:p>
      <w:pPr>
        <w:ind w:left="660" w:right="680" w:hanging="436"/>
        <w:spacing w:after="0" w:line="268"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 of business or liquidity difficulties for us or one or more subsidiaries on other entities in our corporate group as a result of our highly integrated and complex corporate structure and operation;</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90" w:lineRule="exact"/>
        <w:rPr>
          <w:rFonts w:ascii="Arial" w:cs="Arial" w:eastAsia="Arial" w:hAnsi="Arial"/>
          <w:sz w:val="18"/>
          <w:szCs w:val="18"/>
          <w:color w:val="auto"/>
        </w:rPr>
      </w:pPr>
    </w:p>
    <w:p>
      <w:pPr>
        <w:ind w:left="660" w:right="340" w:hanging="436"/>
        <w:spacing w:after="0" w:line="268"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financial viability and ability to borrow of our key suppliers and their ability to provide systems, components and parts without disruption;</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ability of our suppliers to deliver parts, systems and components at such times to allow us to meet production schedules;</w:t>
      </w:r>
    </w:p>
    <w:p>
      <w:pPr>
        <w:spacing w:after="0" w:line="90" w:lineRule="exact"/>
        <w:rPr>
          <w:rFonts w:ascii="Arial" w:cs="Arial" w:eastAsia="Arial" w:hAnsi="Arial"/>
          <w:sz w:val="18"/>
          <w:szCs w:val="18"/>
          <w:color w:val="auto"/>
        </w:rPr>
      </w:pPr>
    </w:p>
    <w:p>
      <w:pPr>
        <w:ind w:left="660" w:right="180" w:hanging="436"/>
        <w:spacing w:after="0" w:line="33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ability to take actions we believe are important to our long-term strategy, including our ability to enter into certain material transactions outside of the ordinary course of business, which may be limited due to significant covenants in our secured revolving credit facility;</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 including our ability to consolidate our dealer network;</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successfully restructure our European operations;</w:t>
      </w:r>
    </w:p>
    <w:p>
      <w:pPr>
        <w:spacing w:after="0" w:line="90" w:lineRule="exact"/>
        <w:rPr>
          <w:rFonts w:ascii="Arial" w:cs="Arial" w:eastAsia="Arial" w:hAnsi="Arial"/>
          <w:sz w:val="18"/>
          <w:szCs w:val="18"/>
          <w:color w:val="auto"/>
        </w:rPr>
      </w:pPr>
    </w:p>
    <w:p>
      <w:pPr>
        <w:ind w:left="660" w:hanging="436"/>
        <w:spacing w:after="0" w:line="25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in the United States, Canada and the other markets in which we operate to support our ability to sell vehicles in those markets, which is dependent on Ally Financial’s ability to obtain funding and which may be suspended by Ally Financial if Ally Financial’s credit exposure to us exceeds certain limitations provided in our operating arrangements with Ally Financial;</w:t>
      </w:r>
    </w:p>
    <w:p>
      <w:pPr>
        <w:spacing w:after="0" w:line="62" w:lineRule="exact"/>
        <w:rPr>
          <w:rFonts w:ascii="Arial" w:cs="Arial" w:eastAsia="Arial" w:hAnsi="Arial"/>
          <w:sz w:val="18"/>
          <w:szCs w:val="18"/>
          <w:color w:val="auto"/>
        </w:rPr>
      </w:pPr>
    </w:p>
    <w:p>
      <w:pPr>
        <w:ind w:left="660" w:hanging="43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ability to develop captive financing capability, including through GM Financial and to successfully integrate GM Financial into our operations;</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Overall strength and stability of general economic conditions and of the automotive industry, both in the United States and in global markets;</w:t>
      </w:r>
    </w:p>
    <w:p>
      <w:pPr>
        <w:spacing w:after="0" w:line="113" w:lineRule="exact"/>
        <w:rPr>
          <w:rFonts w:ascii="Arial" w:cs="Arial" w:eastAsia="Arial" w:hAnsi="Arial"/>
          <w:sz w:val="16"/>
          <w:szCs w:val="16"/>
          <w:color w:val="auto"/>
        </w:rPr>
      </w:pPr>
    </w:p>
    <w:p>
      <w:pPr>
        <w:ind w:left="660" w:right="520" w:hanging="436"/>
        <w:spacing w:after="0" w:line="33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Continued economic instability or poor economic conditions in the United States and global markets, including the credit markets, or changes in economic conditions, commodity prices, housing prices, foreign currency exchange rates or political stability in the markets in which we operate;</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Shortages of and increases or volatility in the price of oil, including as a result of political instability in the Middle East and African nations;</w:t>
      </w:r>
    </w:p>
    <w:p>
      <w:pPr>
        <w:spacing w:after="0" w:line="113" w:lineRule="exact"/>
        <w:rPr>
          <w:rFonts w:ascii="Arial" w:cs="Arial" w:eastAsia="Arial" w:hAnsi="Arial"/>
          <w:sz w:val="16"/>
          <w:szCs w:val="16"/>
          <w:color w:val="auto"/>
        </w:rPr>
      </w:pPr>
    </w:p>
    <w:p>
      <w:pPr>
        <w:ind w:left="660" w:right="500" w:hanging="436"/>
        <w:spacing w:after="0" w:line="268"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660" w:right="60" w:hanging="436"/>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Significant changes in economic and market conditions in China, including the effect of competition from new market entrants, on our vehicle sales and market position in China;</w:t>
      </w:r>
    </w:p>
    <w:p>
      <w:pPr>
        <w:spacing w:after="0" w:line="50" w:lineRule="exact"/>
        <w:rPr>
          <w:rFonts w:ascii="Arial" w:cs="Arial" w:eastAsia="Arial" w:hAnsi="Arial"/>
          <w:sz w:val="18"/>
          <w:szCs w:val="18"/>
          <w:color w:val="auto"/>
        </w:rPr>
      </w:pPr>
    </w:p>
    <w:p>
      <w:pPr>
        <w:ind w:left="660" w:right="560" w:hanging="436"/>
        <w:spacing w:after="0" w:line="357" w:lineRule="auto"/>
        <w:tabs>
          <w:tab w:leader="none" w:pos="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Changes in the existing, or the adoption of new, laws, regulations, policies or other activities of governments, agencies and similar organizations, including where such actions may affect the production, licensing, distribution or sale of our products, the cost thereof or applicable tax rates;</w:t>
      </w:r>
    </w:p>
    <w:p>
      <w:pPr>
        <w:ind w:left="660" w:hanging="436"/>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90" w:lineRule="exact"/>
        <w:rPr>
          <w:rFonts w:ascii="Arial" w:cs="Arial" w:eastAsia="Arial" w:hAnsi="Arial"/>
          <w:sz w:val="18"/>
          <w:szCs w:val="18"/>
          <w:color w:val="auto"/>
        </w:rPr>
      </w:pPr>
    </w:p>
    <w:p>
      <w:pPr>
        <w:ind w:left="660" w:right="440" w:hanging="436"/>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 and</w:t>
      </w:r>
    </w:p>
    <w:p>
      <w:pPr>
        <w:spacing w:after="0" w:line="50" w:lineRule="exact"/>
        <w:rPr>
          <w:rFonts w:ascii="Arial" w:cs="Arial" w:eastAsia="Arial" w:hAnsi="Arial"/>
          <w:sz w:val="18"/>
          <w:szCs w:val="18"/>
          <w:color w:val="auto"/>
        </w:rPr>
      </w:pPr>
    </w:p>
    <w:p>
      <w:pPr>
        <w:ind w:left="660" w:right="120" w:hanging="436"/>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32"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have been no significant changes in our exposure to market risk since December 31, 2010. Refer to Item 7A in our 2010 Form 10-K.</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7" w:lineRule="exact"/>
        <w:rPr>
          <w:sz w:val="20"/>
          <w:szCs w:val="20"/>
          <w:color w:val="auto"/>
        </w:rPr>
      </w:pPr>
    </w:p>
    <w:p>
      <w:pPr>
        <w:ind w:right="200" w:firstLine="228"/>
        <w:spacing w:after="0" w:line="256"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43" w:lineRule="exact"/>
        <w:rPr>
          <w:sz w:val="20"/>
          <w:szCs w:val="20"/>
          <w:color w:val="auto"/>
        </w:rPr>
      </w:pPr>
    </w:p>
    <w:p>
      <w:pPr>
        <w:ind w:firstLine="228"/>
        <w:spacing w:after="0" w:line="335" w:lineRule="auto"/>
        <w:rPr>
          <w:sz w:val="20"/>
          <w:szCs w:val="20"/>
          <w:color w:val="auto"/>
        </w:rPr>
      </w:pPr>
      <w:r>
        <w:rPr>
          <w:rFonts w:ascii="Arial" w:cs="Arial" w:eastAsia="Arial" w:hAnsi="Arial"/>
          <w:sz w:val="15"/>
          <w:szCs w:val="15"/>
          <w:color w:val="auto"/>
        </w:rPr>
        <w:t>Our management, with the participation of our Chairman and CEO and Senior Vice President and CFO, evaluated the effectiveness of our disclosure controls and procedures (as defined in Rules 13a-15(e) or 15d-15(e) promulgated under the Exchange Act) at March 31, 2011. Based on this evaluation, our CEO and CFO concluded that, at that date, the disclosure controls and procedures required by paragraph (b) of Rules 13a-15 or 15d-15 were effective as of March 31, 2011.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77" w:lineRule="exact"/>
        <w:rPr>
          <w:sz w:val="20"/>
          <w:szCs w:val="20"/>
          <w:color w:val="auto"/>
        </w:rPr>
      </w:pPr>
    </w:p>
    <w:p>
      <w:pPr>
        <w:jc w:val="both"/>
        <w:ind w:right="300" w:firstLine="228"/>
        <w:spacing w:after="0" w:line="268" w:lineRule="auto"/>
        <w:rPr>
          <w:sz w:val="20"/>
          <w:szCs w:val="20"/>
          <w:color w:val="auto"/>
        </w:rPr>
      </w:pPr>
      <w:r>
        <w:rPr>
          <w:rFonts w:ascii="Arial" w:cs="Arial" w:eastAsia="Arial" w:hAnsi="Arial"/>
          <w:sz w:val="18"/>
          <w:szCs w:val="18"/>
          <w:color w:val="auto"/>
        </w:rPr>
        <w:t>There have not been any changes in internal control over financial reporting in the three months ended March 31, 2011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77" w:lineRule="exact"/>
        <w:rPr>
          <w:sz w:val="20"/>
          <w:szCs w:val="20"/>
          <w:color w:val="auto"/>
        </w:rPr>
      </w:pPr>
    </w:p>
    <w:p>
      <w:pPr>
        <w:jc w:val="both"/>
        <w:ind w:right="280" w:firstLine="228"/>
        <w:spacing w:after="0" w:line="259" w:lineRule="auto"/>
        <w:rPr>
          <w:sz w:val="20"/>
          <w:szCs w:val="20"/>
          <w:color w:val="auto"/>
        </w:rPr>
      </w:pPr>
      <w:r>
        <w:rPr>
          <w:rFonts w:ascii="Arial" w:cs="Arial" w:eastAsia="Arial" w:hAnsi="Arial"/>
          <w:sz w:val="18"/>
          <w:szCs w:val="18"/>
          <w:color w:val="auto"/>
        </w:rPr>
        <w:t>Our management, including our CEO and CFO, does not expect that our disclosure controls and procedures or internal control over financial reporting will prevent or detect all errors and all fraud. A control system cannot provide absolute assurance due to its inherent limitations; it is a process that involves human diligence and compliance and is subject to lapses in judgment and breakdowns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resulting from human failures. A control system also can be circumvented by collusion or improper management override. Further, the design of a control system must reflect the fact that there are resource constraints, and the benefits of controls must be considered relative to their costs. Because of such limitations, disclosure controls and procedures and internal control over financial reporting cannot prevent or detect all misstatements, whether unintentional errors or fraud. However, these inherent limitations are known features of the financial reporting process; therefore, it is possible to design into the process safeguards to reduce, though not eliminate, this risk.</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7"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The discussion in the following paragraphs is limited to an update of developments that have occurred in various material pending legal proceedings to which we are a party, other than ordinary routine litigation incidental to our business. These proceedings are fully described in our 2010 Form 10-K. We and the other defendants affiliated with us intend to defend all of the following actions vigorously.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Canadian Export Antitrust Class Actions</w:t>
      </w:r>
    </w:p>
    <w:p>
      <w:pPr>
        <w:spacing w:after="0" w:line="171"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As previously reported, certain class action cases were filed by purchasers of new motor vehicles in the United States since 2001 against Old GM, GMCL, Ford Motor Company, Chrysler, LLC, Toyota Motor Corporation, Honda Motor Co., Ltd., Nissan Motor Company, Limited and Bavarian Motor Works and their Canadian affiliates, the National Automobile Dealers Association, and the Canadian Automobile Dealers Association. In the Arizona state court cases, the court granted summary judgment in the defendants’ favor on February 28, 2011. The plaintiffs in the Arizona cases have appealed. Without conceding liability, GMCL has agreed with plaintiffs to settle all remaining state court cases in the amount of $21 million with the settlement to be apportioned among the claimants, their lawyers and administrative costs. Lawyers representing the plaintiffs will seek approval of the settlement by the state courts in California, Arizona, New Mexico, Tennessee, Wisconsin and Florida in the coming months.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Canadian Dealer Class Action</w:t>
      </w:r>
    </w:p>
    <w:p>
      <w:pPr>
        <w:spacing w:after="0" w:line="171" w:lineRule="exact"/>
        <w:rPr>
          <w:sz w:val="20"/>
          <w:szCs w:val="20"/>
          <w:color w:val="auto"/>
        </w:rPr>
      </w:pPr>
    </w:p>
    <w:p>
      <w:pPr>
        <w:jc w:val="both"/>
        <w:ind w:right="20" w:firstLine="228"/>
        <w:spacing w:after="0" w:line="305" w:lineRule="auto"/>
        <w:rPr>
          <w:sz w:val="20"/>
          <w:szCs w:val="20"/>
          <w:color w:val="auto"/>
        </w:rPr>
      </w:pPr>
      <w:r>
        <w:rPr>
          <w:rFonts w:ascii="Arial" w:cs="Arial" w:eastAsia="Arial" w:hAnsi="Arial"/>
          <w:sz w:val="15"/>
          <w:szCs w:val="15"/>
          <w:color w:val="auto"/>
        </w:rPr>
        <w:t>In the previously reported case pending in the Ontario Superior Court of Justice, on March 1, 2011, the Court approved certification of a class for the purpose of deciding a number of specifically defined issues, including: (1) whether GMCL breached its obligation of “good faith” in offering the wind-down agreements;</w:t>
      </w:r>
    </w:p>
    <w:p>
      <w:pPr>
        <w:ind w:right="40" w:firstLine="8"/>
        <w:spacing w:after="0" w:line="254"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GMCL has sought permission to appeal the class certification decision and is vigorously defending the plaintiff dealer claims.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AmeriCredit Transaction Claims</w:t>
      </w:r>
    </w:p>
    <w:p>
      <w:pPr>
        <w:spacing w:after="0" w:line="171"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 xml:space="preserve">In the previously reported cases </w:t>
      </w:r>
      <w:r>
        <w:rPr>
          <w:rFonts w:ascii="Arial" w:cs="Arial" w:eastAsia="Arial" w:hAnsi="Arial"/>
          <w:sz w:val="18"/>
          <w:szCs w:val="18"/>
          <w:i w:val="1"/>
          <w:iCs w:val="1"/>
          <w:color w:val="auto"/>
        </w:rPr>
        <w:t>Robert Hatfield, Derivatively on behalf of AmeriCredit Corp v Clifton Morris, Jr. et al.</w:t>
      </w:r>
      <w:r>
        <w:rPr>
          <w:rFonts w:ascii="Arial" w:cs="Arial" w:eastAsia="Arial" w:hAnsi="Arial"/>
          <w:sz w:val="18"/>
          <w:szCs w:val="18"/>
          <w:color w:val="auto"/>
        </w:rPr>
        <w:t xml:space="preserve"> and </w:t>
      </w:r>
      <w:r>
        <w:rPr>
          <w:rFonts w:ascii="Arial" w:cs="Arial" w:eastAsia="Arial" w:hAnsi="Arial"/>
          <w:sz w:val="18"/>
          <w:szCs w:val="18"/>
          <w:i w:val="1"/>
          <w:iCs w:val="1"/>
          <w:color w:val="auto"/>
        </w:rPr>
        <w:t>Carla Butler, Derivatively on</w:t>
      </w:r>
      <w:r>
        <w:rPr>
          <w:rFonts w:ascii="Arial" w:cs="Arial" w:eastAsia="Arial" w:hAnsi="Arial"/>
          <w:sz w:val="18"/>
          <w:szCs w:val="18"/>
          <w:color w:val="auto"/>
        </w:rPr>
        <w:t xml:space="preserve"> </w:t>
      </w:r>
      <w:r>
        <w:rPr>
          <w:rFonts w:ascii="Arial" w:cs="Arial" w:eastAsia="Arial" w:hAnsi="Arial"/>
          <w:sz w:val="18"/>
          <w:szCs w:val="18"/>
          <w:i w:val="1"/>
          <w:iCs w:val="1"/>
          <w:color w:val="auto"/>
        </w:rPr>
        <w:t>behalf of AmeriCredit Corp v. Clifton Morris, Jr. et al.</w:t>
      </w:r>
      <w:r>
        <w:rPr>
          <w:rFonts w:ascii="Arial" w:cs="Arial" w:eastAsia="Arial" w:hAnsi="Arial"/>
          <w:sz w:val="18"/>
          <w:szCs w:val="18"/>
          <w:color w:val="auto"/>
        </w:rPr>
        <w:t>, filed in the district court for Tarrant County, Texas, which were consolidated, the district court entered an</w:t>
      </w:r>
      <w:r>
        <w:rPr>
          <w:rFonts w:ascii="Arial" w:cs="Arial" w:eastAsia="Arial" w:hAnsi="Arial"/>
          <w:sz w:val="18"/>
          <w:szCs w:val="18"/>
          <w:i w:val="1"/>
          <w:iCs w:val="1"/>
          <w:color w:val="auto"/>
        </w:rPr>
        <w:t xml:space="preserve"> </w:t>
      </w:r>
      <w:r>
        <w:rPr>
          <w:rFonts w:ascii="Arial" w:cs="Arial" w:eastAsia="Arial" w:hAnsi="Arial"/>
          <w:sz w:val="18"/>
          <w:szCs w:val="18"/>
          <w:color w:val="auto"/>
        </w:rPr>
        <w:t>order dated April 6, 2011 sustaining General Motors Holdings, LLC’s and General Motors Company’s pleas to the jurisdiction and dismissing the consolidated cases with prejudice. The order of dismissal is subject to appeal.</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7"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results of operations and financial condition could be materially adversely affected by these risk factors.</w:t>
      </w:r>
    </w:p>
    <w:p>
      <w:pPr>
        <w:spacing w:after="0" w:line="132"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Other than as discussed below, there have been no material changes to the Risk Factors disclosed in our 2010 Form 10-K. While we described each risk separately, some of these risks are interrelated and certain risks could trigger the applicability of other risks.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240" w:top="459" w:right="3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60" w:firstLine="228"/>
        <w:spacing w:after="0" w:line="332" w:lineRule="auto"/>
        <w:rPr>
          <w:sz w:val="20"/>
          <w:szCs w:val="20"/>
          <w:color w:val="auto"/>
        </w:rPr>
      </w:pPr>
      <w:r>
        <w:rPr>
          <w:rFonts w:ascii="Arial" w:cs="Arial" w:eastAsia="Arial" w:hAnsi="Arial"/>
          <w:sz w:val="16"/>
          <w:szCs w:val="16"/>
          <w:b w:val="1"/>
          <w:bCs w:val="1"/>
          <w:i w:val="1"/>
          <w:iCs w:val="1"/>
          <w:color w:val="auto"/>
        </w:rPr>
        <w:t>Our automotive manufacturing operations are dependent upon the continued ability of our suppliers to provide us with systems, components, and parts and any disruption in our suppliers’ operations could disrupt our production schedule and adversely affect our operations.</w:t>
      </w:r>
    </w:p>
    <w:p>
      <w:pPr>
        <w:spacing w:after="0" w:line="85"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Our automotive manufacturing operations are dependent upon the continued ability of our suppliers to deliver the systems, components, and parts we need to manufacture our products. Our use of “just-in-time” manufacturing processes results in our having minimal inventories of the systems, components, and parts we need to conduct our automotive manufacturing operations. As a result, our ability to maintain production is dependent upon the continued ability of our suppliers to deliver sufficient quantities of systems, components, and parts at such times as allow us to meet our production schedules. A disruption in any of our suppliers’ operations, even if for a relatively short period of time, could cause us to alter our production schedules or suspend production entirely. For example, in March 2011 we suspended production at our Shreveport, Louisiana assembly facility due to a parts shortage resulting from the earthquake off the coast of Japan. In some instances, we purchase systems, components, parts and supplies from a single source and may be at an increased risk for supply disruptions. Where we experience supply disruptions, we may not be able to develop alternate sourcing quickly. Any disruption of our production schedule caused by an unexpected shortage of systems, components, or parts could adversely affect our financial results.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impairments could have a material non-cash adverse effect on our results of operations.</w:t>
      </w:r>
    </w:p>
    <w:p>
      <w:pPr>
        <w:spacing w:after="0" w:line="171"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We test our goodwill for impairment in the fourth quarter of each year for all reporting units, or more frequently if events occur or circumstances change that would warrant such a review. Because GME has a negative carrying amount, we test GME for goodwill impairment whenever it is more likely than not that goodwill is impaired. An impairment charge is recorded for the amount, if any, by which the carrying amount of goodwill exceeds its implied value. As discussed in Note 9 to our condensed consolidated financial statements, we believe future goodwill impairment charges could occur in 2011 related to GME should the fair-value-to-U.S. GAAP adjustments differences decrease. Should the fair value of the GME business not increase sufficiently to offset any possible decreases in the fair-value-to-U.S. GAAP differences that gave rise to goodwill in fresh-start reporting, we could incur a goodwill impairment. Decreases in the fair-value-to-U.S. GAAP differences that could result in a goodwill impairment would occur upon: (1) a decrease in our nonperformance risk and an improvement in our incremental borrowing rates; (2) an increase in high quality corporate bond rates utilized to measure our employee benefit plan obligations; (3) a decrease in credit spreads between high quality corporate bond rates and market interest rates for companies with similar nonperformance risk; and (4) upon reversal of our deferred tax asset valuation allowances. Any such goodwill impairments will result in charges to our earnings and will have a non-cash effect on our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400" w:type="dxa"/>
            <w:vAlign w:val="bottom"/>
            <w:gridSpan w:val="3"/>
          </w:tcPr>
          <w:p>
            <w:pPr>
              <w:ind w:left="3040"/>
              <w:spacing w:after="0"/>
              <w:rPr>
                <w:sz w:val="20"/>
                <w:szCs w:val="20"/>
                <w:color w:val="auto"/>
              </w:rPr>
            </w:pPr>
            <w:r>
              <w:rPr>
                <w:rFonts w:ascii="Arial" w:cs="Arial" w:eastAsia="Arial" w:hAnsi="Arial"/>
                <w:sz w:val="18"/>
                <w:szCs w:val="18"/>
                <w:b w:val="1"/>
                <w:bCs w:val="1"/>
                <w:color w:val="auto"/>
              </w:rPr>
              <w:t>GENERAL MOTORS COMPANY AND SUBSIDIARIES</w:t>
            </w:r>
          </w:p>
        </w:tc>
      </w:tr>
      <w:tr>
        <w:trPr>
          <w:trHeight w:val="365"/>
        </w:trPr>
        <w:tc>
          <w:tcPr>
            <w:tcW w:w="890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02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Name</w:t>
            </w:r>
          </w:p>
        </w:tc>
        <w:tc>
          <w:tcPr>
            <w:tcW w:w="3540" w:type="dxa"/>
            <w:vAlign w:val="bottom"/>
          </w:tcPr>
          <w:p>
            <w:pPr>
              <w:spacing w:after="0"/>
              <w:rPr>
                <w:sz w:val="14"/>
                <w:szCs w:val="14"/>
                <w:color w:val="auto"/>
              </w:rPr>
            </w:pPr>
          </w:p>
        </w:tc>
      </w:tr>
      <w:tr>
        <w:trPr>
          <w:trHeight w:val="316"/>
        </w:trPr>
        <w:tc>
          <w:tcPr>
            <w:tcW w:w="500" w:type="dxa"/>
            <w:vAlign w:val="bottom"/>
          </w:tcPr>
          <w:p>
            <w:pPr>
              <w:jc w:val="right"/>
              <w:ind w:right="96"/>
              <w:spacing w:after="0"/>
              <w:rPr>
                <w:sz w:val="20"/>
                <w:szCs w:val="20"/>
                <w:color w:val="auto"/>
              </w:rPr>
            </w:pPr>
            <w:r>
              <w:rPr>
                <w:rFonts w:ascii="Arial" w:cs="Arial" w:eastAsia="Arial" w:hAnsi="Arial"/>
                <w:sz w:val="18"/>
                <w:szCs w:val="18"/>
                <w:color w:val="auto"/>
              </w:rPr>
              <w:t>3.1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0"/>
              </w:rPr>
              <w:t>Bylaws of General Motors Company, dated March 15, 2011, incorporated herein by reference to Exhibit 3.1 to</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the Current Report on Form 8-K of General Motors Company filed March 21, 2011</w:t>
            </w:r>
          </w:p>
        </w:tc>
      </w:tr>
      <w:tr>
        <w:trPr>
          <w:trHeight w:val="324"/>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10.1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The General Motors Company Deferred Compensation Plan for Non-Employee Directors</w:t>
            </w:r>
          </w:p>
        </w:tc>
      </w:tr>
      <w:tr>
        <w:trPr>
          <w:trHeight w:val="318"/>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10.2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3"/>
              </w:rPr>
              <w:t>Redemption Agreement, dated as of March 31, 2011, between Delphi Automotive LLP and General Motors</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Holdings, LLC</w:t>
            </w:r>
          </w:p>
        </w:tc>
      </w:tr>
      <w:tr>
        <w:trPr>
          <w:trHeight w:val="318"/>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10.3</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1"/>
              </w:rPr>
              <w:t>Underwriting Agreement, dated March 22, 2011 by and among GM Preferred Finance Co. Holdings LLC, Ally</w:t>
            </w:r>
          </w:p>
        </w:tc>
      </w:tr>
      <w:tr>
        <w:trPr>
          <w:trHeight w:val="216"/>
        </w:trPr>
        <w:tc>
          <w:tcPr>
            <w:tcW w:w="500" w:type="dxa"/>
            <w:vAlign w:val="bottom"/>
          </w:tcPr>
          <w:p>
            <w:pPr>
              <w:spacing w:after="0"/>
              <w:rPr>
                <w:sz w:val="18"/>
                <w:szCs w:val="18"/>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5"/>
              </w:rPr>
              <w:t>Financial Inc., Credit Suisse Securities (USA) LLC, Deutsche Bank Securities Inc., Merrill Lynch, Pierce,</w:t>
            </w:r>
          </w:p>
        </w:tc>
      </w:tr>
      <w:tr>
        <w:trPr>
          <w:trHeight w:val="216"/>
        </w:trPr>
        <w:tc>
          <w:tcPr>
            <w:tcW w:w="500" w:type="dxa"/>
            <w:vAlign w:val="bottom"/>
          </w:tcPr>
          <w:p>
            <w:pPr>
              <w:spacing w:after="0"/>
              <w:rPr>
                <w:sz w:val="18"/>
                <w:szCs w:val="18"/>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1"/>
              </w:rPr>
              <w:t>Fenner &amp; Smith Incorporated and Barclays Capital Inc., as representatives to the several underwriters named</w:t>
            </w:r>
          </w:p>
        </w:tc>
      </w:tr>
      <w:tr>
        <w:trPr>
          <w:trHeight w:val="216"/>
        </w:trPr>
        <w:tc>
          <w:tcPr>
            <w:tcW w:w="500" w:type="dxa"/>
            <w:vAlign w:val="bottom"/>
          </w:tcPr>
          <w:p>
            <w:pPr>
              <w:spacing w:after="0"/>
              <w:rPr>
                <w:sz w:val="18"/>
                <w:szCs w:val="18"/>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0"/>
              </w:rPr>
              <w:t>therein, incorporated herein by reference to Exhibit 1.1 to the Current Report on Form 8-K of Ally Financial Inc.</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filed March 25, 2011</w:t>
            </w:r>
          </w:p>
        </w:tc>
      </w:tr>
      <w:tr>
        <w:trPr>
          <w:trHeight w:val="324"/>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31.1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Section 302 Certification of the Chief Executive Officer</w:t>
            </w:r>
          </w:p>
        </w:tc>
      </w:tr>
      <w:tr>
        <w:trPr>
          <w:trHeight w:val="324"/>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31.2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Section 302 Certification of the Chief Financial Officer</w:t>
            </w:r>
          </w:p>
        </w:tc>
      </w:tr>
      <w:tr>
        <w:trPr>
          <w:trHeight w:val="318"/>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32.1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Certification of the Chief Executive Officer Pursuant to 18 U.S.C. Section 1350, As Adopted Pursuant to Section</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906 of the Sarbanes-Oxley Act of 2002</w:t>
            </w:r>
          </w:p>
        </w:tc>
      </w:tr>
      <w:tr>
        <w:trPr>
          <w:trHeight w:val="318"/>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32.2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Certification of the Chief Financial Officer Pursuant to 18 U.S.C. Section 1350, As Adopted Pursuant to Section</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906 of the Sarbanes-Oxley Act of 2002</w:t>
            </w:r>
          </w:p>
        </w:tc>
      </w:tr>
    </w:tbl>
    <w:p>
      <w:pPr>
        <w:spacing w:after="0" w:line="156"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8900" w:space="360"/>
            <w:col w:w="1880"/>
          </w:cols>
          <w:pgMar w:left="240" w:top="459"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3"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(Nick S. Cyprus, Vice President, Controller and</w:t>
      </w:r>
    </w:p>
    <w:p>
      <w:pPr>
        <w:ind w:left="7280"/>
        <w:spacing w:after="0"/>
        <w:rPr>
          <w:sz w:val="20"/>
          <w:szCs w:val="20"/>
          <w:color w:val="auto"/>
        </w:rPr>
      </w:pPr>
      <w:r>
        <w:rPr>
          <w:rFonts w:ascii="Arial" w:cs="Arial" w:eastAsia="Arial" w:hAnsi="Arial"/>
          <w:sz w:val="14"/>
          <w:szCs w:val="14"/>
          <w:color w:val="auto"/>
        </w:rPr>
        <w:t>Chief Accounting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6, 2011</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400" w:type="dxa"/>
            <w:vAlign w:val="bottom"/>
            <w:gridSpan w:val="3"/>
          </w:tcPr>
          <w:p>
            <w:pPr>
              <w:jc w:val="center"/>
              <w:ind w:left="1932"/>
              <w:spacing w:after="0"/>
              <w:rPr>
                <w:sz w:val="20"/>
                <w:szCs w:val="20"/>
                <w:color w:val="auto"/>
              </w:rPr>
            </w:pPr>
            <w:r>
              <w:rPr>
                <w:rFonts w:ascii="Arial" w:cs="Arial" w:eastAsia="Arial" w:hAnsi="Arial"/>
                <w:sz w:val="18"/>
                <w:szCs w:val="18"/>
                <w:b w:val="1"/>
                <w:bCs w:val="1"/>
                <w:color w:val="auto"/>
                <w:w w:val="97"/>
              </w:rPr>
              <w:t>GENERAL MOTORS COMPANY AND SUBSIDIARIES</w:t>
            </w:r>
          </w:p>
        </w:tc>
      </w:tr>
      <w:tr>
        <w:trPr>
          <w:trHeight w:val="365"/>
        </w:trPr>
        <w:tc>
          <w:tcPr>
            <w:tcW w:w="5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8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02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Name</w:t>
            </w:r>
          </w:p>
        </w:tc>
        <w:tc>
          <w:tcPr>
            <w:tcW w:w="3540" w:type="dxa"/>
            <w:vAlign w:val="bottom"/>
          </w:tcPr>
          <w:p>
            <w:pPr>
              <w:spacing w:after="0"/>
              <w:rPr>
                <w:sz w:val="14"/>
                <w:szCs w:val="14"/>
                <w:color w:val="auto"/>
              </w:rPr>
            </w:pPr>
          </w:p>
        </w:tc>
      </w:tr>
      <w:tr>
        <w:trPr>
          <w:trHeight w:val="316"/>
        </w:trPr>
        <w:tc>
          <w:tcPr>
            <w:tcW w:w="500" w:type="dxa"/>
            <w:vAlign w:val="bottom"/>
          </w:tcPr>
          <w:p>
            <w:pPr>
              <w:jc w:val="right"/>
              <w:ind w:right="96"/>
              <w:spacing w:after="0"/>
              <w:rPr>
                <w:sz w:val="20"/>
                <w:szCs w:val="20"/>
                <w:color w:val="auto"/>
              </w:rPr>
            </w:pPr>
            <w:r>
              <w:rPr>
                <w:rFonts w:ascii="Arial" w:cs="Arial" w:eastAsia="Arial" w:hAnsi="Arial"/>
                <w:sz w:val="18"/>
                <w:szCs w:val="18"/>
                <w:color w:val="auto"/>
              </w:rPr>
              <w:t>3.1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0"/>
              </w:rPr>
              <w:t>Bylaws of General Motors Company, dated March 15, 2011, incorporated herein by reference to Exhibit 3.1 to</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the Current Report on Form 8-K of General Motors Company filed March 21, 2011</w:t>
            </w:r>
          </w:p>
        </w:tc>
      </w:tr>
      <w:tr>
        <w:trPr>
          <w:trHeight w:val="324"/>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10.1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The General Motors Company Deferred Compensation Plan for Non-Employee Directors</w:t>
            </w:r>
          </w:p>
        </w:tc>
      </w:tr>
      <w:tr>
        <w:trPr>
          <w:trHeight w:val="318"/>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10.2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3"/>
              </w:rPr>
              <w:t>Redemption Agreement, dated as of March 31, 2011, between Delphi Automotive LLP and General Motors</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Holdings, LLC</w:t>
            </w:r>
          </w:p>
        </w:tc>
      </w:tr>
      <w:tr>
        <w:trPr>
          <w:trHeight w:val="318"/>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10.3</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1"/>
              </w:rPr>
              <w:t>Underwriting Agreement, dated March 22, 2011 by and among GM Preferred Finance Co. Holdings LLC, Ally</w:t>
            </w:r>
          </w:p>
        </w:tc>
      </w:tr>
      <w:tr>
        <w:trPr>
          <w:trHeight w:val="216"/>
        </w:trPr>
        <w:tc>
          <w:tcPr>
            <w:tcW w:w="500" w:type="dxa"/>
            <w:vAlign w:val="bottom"/>
          </w:tcPr>
          <w:p>
            <w:pPr>
              <w:spacing w:after="0"/>
              <w:rPr>
                <w:sz w:val="18"/>
                <w:szCs w:val="18"/>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5"/>
              </w:rPr>
              <w:t>Financial Inc., Credit Suisse Securities (USA) LLC, Deutsche Bank Securities Inc., Merrill Lynch, Pierce,</w:t>
            </w:r>
          </w:p>
        </w:tc>
      </w:tr>
      <w:tr>
        <w:trPr>
          <w:trHeight w:val="216"/>
        </w:trPr>
        <w:tc>
          <w:tcPr>
            <w:tcW w:w="500" w:type="dxa"/>
            <w:vAlign w:val="bottom"/>
          </w:tcPr>
          <w:p>
            <w:pPr>
              <w:spacing w:after="0"/>
              <w:rPr>
                <w:sz w:val="18"/>
                <w:szCs w:val="18"/>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1"/>
              </w:rPr>
              <w:t>Fenner &amp; Smith Incorporated and Barclays Capital Inc., as representatives to the several underwriters named</w:t>
            </w:r>
          </w:p>
        </w:tc>
      </w:tr>
      <w:tr>
        <w:trPr>
          <w:trHeight w:val="216"/>
        </w:trPr>
        <w:tc>
          <w:tcPr>
            <w:tcW w:w="500" w:type="dxa"/>
            <w:vAlign w:val="bottom"/>
          </w:tcPr>
          <w:p>
            <w:pPr>
              <w:spacing w:after="0"/>
              <w:rPr>
                <w:sz w:val="18"/>
                <w:szCs w:val="18"/>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90"/>
              </w:rPr>
              <w:t>therein, incorporated herein by reference to Exhibit 1.1 to the Current Report on Form 8-K of Ally Financial Inc.</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filed March 25, 2011</w:t>
            </w:r>
          </w:p>
        </w:tc>
      </w:tr>
      <w:tr>
        <w:trPr>
          <w:trHeight w:val="324"/>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31.1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Section 302 Certification of the Chief Executive Officer</w:t>
            </w:r>
          </w:p>
        </w:tc>
      </w:tr>
      <w:tr>
        <w:trPr>
          <w:trHeight w:val="324"/>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31.2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Section 302 Certification of the Chief Financial Officer</w:t>
            </w:r>
          </w:p>
        </w:tc>
      </w:tr>
      <w:tr>
        <w:trPr>
          <w:trHeight w:val="318"/>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32.1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Certification of the Chief Executive Officer Pursuant to 18 U.S.C. Section 1350, As Adopted Pursuant to Section</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906 of the Sarbanes-Oxley Act of 2002</w:t>
            </w:r>
          </w:p>
        </w:tc>
      </w:tr>
      <w:tr>
        <w:trPr>
          <w:trHeight w:val="318"/>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85"/>
              </w:rPr>
              <w:t>32.2</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w w:val="89"/>
              </w:rPr>
              <w:t>Certification of the Chief Financial Officer Pursuant to 18 U.S.C. Section 1350, As Adopted Pursuant to Section</w:t>
            </w:r>
          </w:p>
        </w:tc>
      </w:tr>
      <w:tr>
        <w:trPr>
          <w:trHeight w:val="222"/>
        </w:trPr>
        <w:tc>
          <w:tcPr>
            <w:tcW w:w="500" w:type="dxa"/>
            <w:vAlign w:val="bottom"/>
          </w:tcPr>
          <w:p>
            <w:pPr>
              <w:spacing w:after="0"/>
              <w:rPr>
                <w:sz w:val="19"/>
                <w:szCs w:val="19"/>
                <w:color w:val="auto"/>
              </w:rPr>
            </w:pP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906 of the Sarbanes-Oxley Act of 2002</w:t>
            </w:r>
          </w:p>
        </w:tc>
      </w:tr>
      <w:tr>
        <w:trPr>
          <w:trHeight w:val="365"/>
        </w:trPr>
        <w:tc>
          <w:tcPr>
            <w:tcW w:w="500" w:type="dxa"/>
            <w:vAlign w:val="bottom"/>
          </w:tcPr>
          <w:p>
            <w:pPr>
              <w:spacing w:after="0"/>
              <w:rPr>
                <w:sz w:val="24"/>
                <w:szCs w:val="24"/>
                <w:color w:val="auto"/>
              </w:rPr>
            </w:pPr>
          </w:p>
        </w:tc>
        <w:tc>
          <w:tcPr>
            <w:tcW w:w="8400" w:type="dxa"/>
            <w:vAlign w:val="bottom"/>
            <w:gridSpan w:val="3"/>
          </w:tcPr>
          <w:p>
            <w:pPr>
              <w:jc w:val="center"/>
              <w:ind w:left="1932"/>
              <w:spacing w:after="0"/>
              <w:rPr>
                <w:sz w:val="20"/>
                <w:szCs w:val="20"/>
                <w:color w:val="auto"/>
              </w:rPr>
            </w:pPr>
            <w:r>
              <w:rPr>
                <w:rFonts w:ascii="Arial" w:cs="Arial" w:eastAsia="Arial" w:hAnsi="Arial"/>
                <w:sz w:val="18"/>
                <w:szCs w:val="18"/>
                <w:color w:val="auto"/>
                <w:w w:val="89"/>
              </w:rPr>
              <w:t>90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8900" w:space="360"/>
            <w:col w:w="1880"/>
          </w:cols>
          <w:pgMar w:left="240" w:top="459" w:right="51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MOTORS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DEFERRED COMPENSATION PLAN FOR NON-EMPLOYEE DIRECTORS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NAME AND PURPOSE; EFFECTIVE DATE</w:t>
      </w:r>
    </w:p>
    <w:p>
      <w:pPr>
        <w:spacing w:after="0" w:line="199" w:lineRule="exact"/>
        <w:rPr>
          <w:sz w:val="20"/>
          <w:szCs w:val="20"/>
          <w:color w:val="auto"/>
        </w:rPr>
      </w:pPr>
    </w:p>
    <w:p>
      <w:pPr>
        <w:ind w:left="460" w:right="80" w:hanging="445"/>
        <w:spacing w:after="0" w:line="268" w:lineRule="auto"/>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The name of this Plan is the General Motors Company Deferred Compensation Plan for Non-Employee Directors. Its purpose is to provide Non-Employee Directors of General Motors Company with a means to defer Compensation earned as a Director.</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color w:val="auto"/>
        </w:rPr>
        <w:t>The Plan shall be effective as of January 1, 2011.</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DEFINITIONS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clearly indicates otherwise, the following terms, when used in the capitalized form in the Plan, shall have the meanings set forth below.</w:t>
      </w:r>
    </w:p>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 xml:space="preserve">“Account” </w:t>
      </w:r>
      <w:r>
        <w:rPr>
          <w:rFonts w:ascii="Arial" w:cs="Arial" w:eastAsia="Arial" w:hAnsi="Arial"/>
          <w:sz w:val="15"/>
          <w:szCs w:val="15"/>
          <w:color w:val="auto"/>
        </w:rPr>
        <w:t>means an unfunded deferred compensation account established and maintained under the Plan for each Participant.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 xml:space="preserve">“Average Market Price” </w:t>
      </w:r>
      <w:r>
        <w:rPr>
          <w:rFonts w:ascii="Arial" w:cs="Arial" w:eastAsia="Arial" w:hAnsi="Arial"/>
          <w:sz w:val="15"/>
          <w:szCs w:val="15"/>
          <w:color w:val="auto"/>
        </w:rPr>
        <w:t>means the average of the highest and lowest sales prices of GM Common Stock on any valuation date under the Plan as reported</w:t>
      </w:r>
    </w:p>
    <w:p>
      <w:pPr>
        <w:spacing w:after="0" w:line="21" w:lineRule="exact"/>
        <w:rPr>
          <w:sz w:val="20"/>
          <w:szCs w:val="20"/>
          <w:color w:val="auto"/>
        </w:rPr>
      </w:pPr>
    </w:p>
    <w:p>
      <w:pPr>
        <w:ind w:left="460" w:right="500"/>
        <w:spacing w:after="0" w:line="261"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if such prices are not reported in The Wall Street Journal, in another reliable, widely available source of such prices as designated by the Committee).</w:t>
      </w:r>
    </w:p>
    <w:p>
      <w:pPr>
        <w:spacing w:after="0" w:line="51" w:lineRule="exact"/>
        <w:rPr>
          <w:sz w:val="20"/>
          <w:szCs w:val="20"/>
          <w:color w:val="auto"/>
        </w:rPr>
      </w:pPr>
    </w:p>
    <w:p>
      <w:pPr>
        <w:ind w:left="460" w:right="460" w:hanging="445"/>
        <w:spacing w:after="0" w:line="275" w:lineRule="auto"/>
        <w:tabs>
          <w:tab w:leader="none" w:pos="440" w:val="left"/>
        </w:tabs>
        <w:rPr>
          <w:sz w:val="20"/>
          <w:szCs w:val="20"/>
          <w:color w:val="auto"/>
        </w:rPr>
      </w:pPr>
      <w:r>
        <w:rPr>
          <w:rFonts w:ascii="Arial" w:cs="Arial" w:eastAsia="Arial" w:hAnsi="Arial"/>
          <w:sz w:val="18"/>
          <w:szCs w:val="18"/>
          <w:b w:val="1"/>
          <w:bCs w:val="1"/>
          <w:color w:val="auto"/>
        </w:rPr>
        <w:t>2.3</w:t>
        <w:tab/>
        <w:t xml:space="preserve">“Beneficiary” </w:t>
      </w:r>
      <w:r>
        <w:rPr>
          <w:rFonts w:ascii="Arial" w:cs="Arial" w:eastAsia="Arial" w:hAnsi="Arial"/>
          <w:sz w:val="18"/>
          <w:szCs w:val="18"/>
          <w:color w:val="auto"/>
        </w:rPr>
        <w:t>means the person, persons or trust designated in writing by the Participant to receive any benefits from the Plan due to the death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If no Beneficiary is designated, the Beneficiary shall be the Participant’s estate.</w:t>
      </w:r>
    </w:p>
    <w:p>
      <w:pPr>
        <w:spacing w:after="0" w:line="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 xml:space="preserve">“Board” </w:t>
      </w:r>
      <w:r>
        <w:rPr>
          <w:rFonts w:ascii="Arial" w:cs="Arial" w:eastAsia="Arial" w:hAnsi="Arial"/>
          <w:sz w:val="15"/>
          <w:szCs w:val="15"/>
          <w:color w:val="auto"/>
        </w:rPr>
        <w:t>means the Board of Directors of General Motors Company.</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 xml:space="preserve">“Code” </w:t>
      </w:r>
      <w:r>
        <w:rPr>
          <w:rFonts w:ascii="Arial" w:cs="Arial" w:eastAsia="Arial" w:hAnsi="Arial"/>
          <w:sz w:val="15"/>
          <w:szCs w:val="15"/>
          <w:color w:val="auto"/>
        </w:rPr>
        <w:t>means the Internal Revenue Code of 1986, as amended, or any successor statute thereto.</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color w:val="auto"/>
        </w:rPr>
        <w:t xml:space="preserve">“Committee” </w:t>
      </w:r>
      <w:r>
        <w:rPr>
          <w:rFonts w:ascii="Arial" w:cs="Arial" w:eastAsia="Arial" w:hAnsi="Arial"/>
          <w:sz w:val="15"/>
          <w:szCs w:val="15"/>
          <w:color w:val="auto"/>
        </w:rPr>
        <w:t>means the Directors and Corporate Governance Committee of the Board.</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color w:val="auto"/>
        </w:rPr>
        <w:t xml:space="preserve">“Common Stock” </w:t>
      </w:r>
      <w:r>
        <w:rPr>
          <w:rFonts w:ascii="Arial" w:cs="Arial" w:eastAsia="Arial" w:hAnsi="Arial"/>
          <w:sz w:val="15"/>
          <w:szCs w:val="15"/>
          <w:color w:val="auto"/>
        </w:rPr>
        <w:t>means the common stock, $0.01 par value, of the Company as listed on the New York Stock Exchange.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color w:val="auto"/>
        </w:rPr>
        <w:t xml:space="preserve">“Company” </w:t>
      </w:r>
      <w:r>
        <w:rPr>
          <w:rFonts w:ascii="Arial" w:cs="Arial" w:eastAsia="Arial" w:hAnsi="Arial"/>
          <w:sz w:val="15"/>
          <w:szCs w:val="15"/>
          <w:color w:val="auto"/>
        </w:rPr>
        <w:t>means General Motors Company, a Delaware corporation.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Adopted October 5, 2010</w:t>
            </w:r>
          </w:p>
        </w:tc>
        <w:tc>
          <w:tcPr>
            <w:tcW w:w="408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125" w:right="239" w:bottom="1440" w:gutter="0" w:footer="0" w:header="0"/>
        </w:sectPr>
      </w:pPr>
    </w:p>
    <w:bookmarkStart w:id="93" w:name="page94"/>
    <w:bookmarkEnd w:id="93"/>
    <w:p>
      <w:pPr>
        <w:ind w:left="460" w:hanging="445"/>
        <w:spacing w:after="0" w:line="275" w:lineRule="auto"/>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w:t>
        <w:tab/>
        <w:t xml:space="preserve">“Compensation” </w:t>
      </w:r>
      <w:r>
        <w:rPr>
          <w:rFonts w:ascii="Arial" w:cs="Arial" w:eastAsia="Arial" w:hAnsi="Arial"/>
          <w:sz w:val="18"/>
          <w:szCs w:val="18"/>
          <w:color w:val="auto"/>
        </w:rPr>
        <w:t>means the annual retainer paid to the Director in cash for serving as a member of the Board, but does not include any amounts earned for</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on Committees of the Board or as a Committee Chair, Lead Director, Chairman of the Board or otherwise.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2.10  “Dividend Equivalent” </w:t>
      </w:r>
      <w:r>
        <w:rPr>
          <w:rFonts w:ascii="Arial" w:cs="Arial" w:eastAsia="Arial" w:hAnsi="Arial"/>
          <w:sz w:val="18"/>
          <w:szCs w:val="18"/>
          <w:color w:val="auto"/>
        </w:rPr>
        <w:t>means Share Units equal in value to dividends, if any, paid on shares of Common Stock of the Company.</w:t>
      </w:r>
    </w:p>
    <w:p>
      <w:pPr>
        <w:spacing w:after="0" w:line="90" w:lineRule="exact"/>
        <w:rPr>
          <w:sz w:val="20"/>
          <w:szCs w:val="20"/>
          <w:color w:val="auto"/>
        </w:rPr>
      </w:pPr>
    </w:p>
    <w:p>
      <w:pPr>
        <w:jc w:val="both"/>
        <w:ind w:left="460" w:right="40" w:hanging="445"/>
        <w:spacing w:after="0" w:line="275" w:lineRule="auto"/>
        <w:tabs>
          <w:tab w:leader="none" w:pos="440" w:val="left"/>
        </w:tabs>
        <w:rPr>
          <w:sz w:val="20"/>
          <w:szCs w:val="20"/>
          <w:color w:val="auto"/>
        </w:rPr>
      </w:pPr>
      <w:r>
        <w:rPr>
          <w:rFonts w:ascii="Arial" w:cs="Arial" w:eastAsia="Arial" w:hAnsi="Arial"/>
          <w:sz w:val="18"/>
          <w:szCs w:val="18"/>
          <w:b w:val="1"/>
          <w:bCs w:val="1"/>
          <w:color w:val="auto"/>
        </w:rPr>
        <w:t>2.11</w:t>
        <w:tab/>
        <w:t xml:space="preserve">“Mandatory Deferral” </w:t>
      </w:r>
      <w:r>
        <w:rPr>
          <w:rFonts w:ascii="Arial" w:cs="Arial" w:eastAsia="Arial" w:hAnsi="Arial"/>
          <w:sz w:val="18"/>
          <w:szCs w:val="18"/>
          <w:color w:val="auto"/>
        </w:rPr>
        <w:t>means the amount or percentage of each Director’s Compensation required to be deferred into Share Units as annually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based upon the recommendation of the Committee.</w:t>
      </w:r>
    </w:p>
    <w:p>
      <w:pPr>
        <w:spacing w:after="0" w:line="39" w:lineRule="exact"/>
        <w:rPr>
          <w:sz w:val="20"/>
          <w:szCs w:val="20"/>
          <w:color w:val="auto"/>
        </w:rPr>
      </w:pPr>
    </w:p>
    <w:p>
      <w:pPr>
        <w:ind w:left="460" w:right="140" w:hanging="445"/>
        <w:spacing w:after="0" w:line="275" w:lineRule="auto"/>
        <w:rPr>
          <w:sz w:val="20"/>
          <w:szCs w:val="20"/>
          <w:color w:val="auto"/>
        </w:rPr>
      </w:pPr>
      <w:r>
        <w:rPr>
          <w:rFonts w:ascii="Arial" w:cs="Arial" w:eastAsia="Arial" w:hAnsi="Arial"/>
          <w:sz w:val="18"/>
          <w:szCs w:val="18"/>
          <w:b w:val="1"/>
          <w:bCs w:val="1"/>
          <w:color w:val="auto"/>
        </w:rPr>
        <w:t xml:space="preserve">2.12 “Non-Employee Director” </w:t>
      </w:r>
      <w:r>
        <w:rPr>
          <w:rFonts w:ascii="Arial" w:cs="Arial" w:eastAsia="Arial" w:hAnsi="Arial"/>
          <w:sz w:val="18"/>
          <w:szCs w:val="18"/>
          <w:color w:val="auto"/>
        </w:rPr>
        <w:t>or</w:t>
      </w:r>
      <w:r>
        <w:rPr>
          <w:rFonts w:ascii="Arial" w:cs="Arial" w:eastAsia="Arial" w:hAnsi="Arial"/>
          <w:sz w:val="18"/>
          <w:szCs w:val="18"/>
          <w:b w:val="1"/>
          <w:bCs w:val="1"/>
          <w:color w:val="auto"/>
        </w:rPr>
        <w:t xml:space="preserve"> “Director” </w:t>
      </w:r>
      <w:r>
        <w:rPr>
          <w:rFonts w:ascii="Arial" w:cs="Arial" w:eastAsia="Arial" w:hAnsi="Arial"/>
          <w:sz w:val="18"/>
          <w:szCs w:val="18"/>
          <w:color w:val="auto"/>
        </w:rPr>
        <w:t>means any individual who is a member of the Board but who is not otherwise an employee of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nor has otherwise been an employee.</w:t>
      </w:r>
    </w:p>
    <w:p>
      <w:pPr>
        <w:spacing w:after="0" w:line="39" w:lineRule="exact"/>
        <w:rPr>
          <w:sz w:val="20"/>
          <w:szCs w:val="20"/>
          <w:color w:val="auto"/>
        </w:rPr>
      </w:pPr>
    </w:p>
    <w:p>
      <w:pPr>
        <w:ind w:left="460" w:right="240" w:hanging="445"/>
        <w:spacing w:after="0" w:line="275" w:lineRule="auto"/>
        <w:rPr>
          <w:sz w:val="20"/>
          <w:szCs w:val="20"/>
          <w:color w:val="auto"/>
        </w:rPr>
      </w:pPr>
      <w:r>
        <w:rPr>
          <w:rFonts w:ascii="Arial" w:cs="Arial" w:eastAsia="Arial" w:hAnsi="Arial"/>
          <w:sz w:val="18"/>
          <w:szCs w:val="18"/>
          <w:b w:val="1"/>
          <w:bCs w:val="1"/>
          <w:color w:val="auto"/>
        </w:rPr>
        <w:t xml:space="preserve">2.13 “Participant” </w:t>
      </w:r>
      <w:r>
        <w:rPr>
          <w:rFonts w:ascii="Arial" w:cs="Arial" w:eastAsia="Arial" w:hAnsi="Arial"/>
          <w:sz w:val="18"/>
          <w:szCs w:val="18"/>
          <w:color w:val="auto"/>
        </w:rPr>
        <w:t>means any Non-Employee Director who elects to participate in the Plan or whose Compensation is or was subject to Mandatory Deferral</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Article V.</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2.14  “Plan” </w:t>
      </w:r>
      <w:r>
        <w:rPr>
          <w:rFonts w:ascii="Arial" w:cs="Arial" w:eastAsia="Arial" w:hAnsi="Arial"/>
          <w:sz w:val="16"/>
          <w:szCs w:val="16"/>
          <w:color w:val="auto"/>
        </w:rPr>
        <w:t>means the General Motors Company Deferred Compensation Plan for Non-Employee Directors, as it may be amended from time to time.</w:t>
      </w:r>
    </w:p>
    <w:p>
      <w:pPr>
        <w:spacing w:after="0" w:line="113" w:lineRule="exact"/>
        <w:rPr>
          <w:sz w:val="20"/>
          <w:szCs w:val="20"/>
          <w:color w:val="auto"/>
        </w:rPr>
      </w:pPr>
    </w:p>
    <w:p>
      <w:pPr>
        <w:ind w:left="460" w:right="320" w:hanging="445"/>
        <w:spacing w:after="0" w:line="339" w:lineRule="auto"/>
        <w:rPr>
          <w:sz w:val="20"/>
          <w:szCs w:val="20"/>
          <w:color w:val="auto"/>
        </w:rPr>
      </w:pPr>
      <w:r>
        <w:rPr>
          <w:rFonts w:ascii="Arial" w:cs="Arial" w:eastAsia="Arial" w:hAnsi="Arial"/>
          <w:sz w:val="16"/>
          <w:szCs w:val="16"/>
          <w:b w:val="1"/>
          <w:bCs w:val="1"/>
          <w:color w:val="auto"/>
        </w:rPr>
        <w:t xml:space="preserve">2.15 “Share Unit” </w:t>
      </w:r>
      <w:r>
        <w:rPr>
          <w:rFonts w:ascii="Arial" w:cs="Arial" w:eastAsia="Arial" w:hAnsi="Arial"/>
          <w:sz w:val="16"/>
          <w:szCs w:val="16"/>
          <w:color w:val="auto"/>
        </w:rPr>
        <w:t>means a hypothetical share of Common Stock of the Company that is credited to a Participant’s Account. Share Units shall not have any</w:t>
      </w:r>
      <w:r>
        <w:rPr>
          <w:rFonts w:ascii="Arial" w:cs="Arial" w:eastAsia="Arial" w:hAnsi="Arial"/>
          <w:sz w:val="16"/>
          <w:szCs w:val="16"/>
          <w:b w:val="1"/>
          <w:bCs w:val="1"/>
          <w:color w:val="auto"/>
        </w:rPr>
        <w:t xml:space="preserve"> </w:t>
      </w:r>
      <w:r>
        <w:rPr>
          <w:rFonts w:ascii="Arial" w:cs="Arial" w:eastAsia="Arial" w:hAnsi="Arial"/>
          <w:sz w:val="16"/>
          <w:szCs w:val="16"/>
          <w:color w:val="auto"/>
        </w:rPr>
        <w:t>voting rights, shall not represent any actual shares of Common Stock, and shall not give any Participant any rights as a stockholder in the Company.</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ARTICLE III</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ADMINISTRATION</w:t>
      </w:r>
    </w:p>
    <w:p>
      <w:pPr>
        <w:spacing w:after="0" w:line="199" w:lineRule="exact"/>
        <w:rPr>
          <w:sz w:val="20"/>
          <w:szCs w:val="20"/>
          <w:color w:val="auto"/>
        </w:rPr>
      </w:pPr>
    </w:p>
    <w:p>
      <w:pPr>
        <w:jc w:val="both"/>
        <w:ind w:left="460" w:right="40" w:hanging="445"/>
        <w:spacing w:after="0" w:line="306" w:lineRule="auto"/>
        <w:tabs>
          <w:tab w:leader="none" w:pos="4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color w:val="auto"/>
        </w:rPr>
        <w:t>The Plan shall be administered by the Committee. The Committee shall interpret the Plan, prescribe, amend and rescind the rules relating to it from time to time as it deems proper and in the best interests of the Company, and to take any other action necessary for the administration of the Plan. Any decision or interpretation adopted by the Committee shall be final and conclusive and binding on all Participants.</w:t>
      </w:r>
    </w:p>
    <w:p>
      <w:pPr>
        <w:spacing w:after="0" w:line="275" w:lineRule="exact"/>
        <w:rPr>
          <w:sz w:val="20"/>
          <w:szCs w:val="20"/>
          <w:color w:val="auto"/>
        </w:rPr>
      </w:pPr>
    </w:p>
    <w:p>
      <w:pPr>
        <w:ind w:left="5220"/>
        <w:spacing w:after="0"/>
        <w:rPr>
          <w:sz w:val="20"/>
          <w:szCs w:val="20"/>
          <w:color w:val="auto"/>
        </w:rPr>
      </w:pPr>
      <w:r>
        <w:rPr>
          <w:rFonts w:ascii="Arial" w:cs="Arial" w:eastAsia="Arial" w:hAnsi="Arial"/>
          <w:sz w:val="18"/>
          <w:szCs w:val="18"/>
          <w:b w:val="1"/>
          <w:bCs w:val="1"/>
          <w:i w:val="1"/>
          <w:iCs w:val="1"/>
          <w:color w:val="auto"/>
        </w:rPr>
        <w:t>ARTICLE IV</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ELIGIBILITY</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color w:val="auto"/>
        </w:rPr>
        <w:t>Eligibility to participate in the Plan is limited to Non-Employee Directors.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Adopted October 5, 2010</w:t>
            </w:r>
          </w:p>
        </w:tc>
        <w:tc>
          <w:tcPr>
            <w:tcW w:w="408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80"/>
          </w:cols>
          <w:pgMar w:left="240" w:top="274" w:right="279" w:bottom="1440" w:gutter="0" w:footer="0" w:header="0"/>
        </w:sectPr>
      </w:pPr>
    </w:p>
    <w:bookmarkStart w:id="94" w:name="page95"/>
    <w:bookmarkEnd w:id="94"/>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MANDATORY DEFERRAL</w:t>
      </w:r>
    </w:p>
    <w:p>
      <w:pPr>
        <w:spacing w:after="0" w:line="199" w:lineRule="exact"/>
        <w:rPr>
          <w:sz w:val="20"/>
          <w:szCs w:val="20"/>
          <w:color w:val="auto"/>
        </w:rPr>
      </w:pPr>
    </w:p>
    <w:p>
      <w:pPr>
        <w:ind w:left="460" w:hanging="445"/>
        <w:spacing w:after="0" w:line="288" w:lineRule="auto"/>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color w:val="auto"/>
        </w:rPr>
        <w:t>Any determination by the Board to require the Mandatory Deferral of all or a portion of each Director’s Compensation shall be made no later than December 31 of the calendar year immediately preceding the year in which the Compensation is to be earned. Any Mandatory Deferral pursuant to this Section shall remain in effect, until terminated or modified by the Board, with respect to Compensation payable in future years. Such Mandatory Deferral election shall become irrevocable as of December 31 of the year immediately preceding the year in which such Compensation otherwise would have been payable for services on the Board. Any such Compensation which is mandatorily deferred pursuant to this section shall be credited to the Participant’s Account in the form of Share Units and shall be entitled to Dividend Equivalents, if any dividends are paid on shares of Common Stock of the Company. The value of Share Units attributable to a Mandatory Deferral shall be payable in cash in a lump sum or in up to five annual installments, as elected by the Director pursuant to Article VI on, or commencing on, January 31 of the year following the year in which the Participant’s service as a Director terminates, or as soon as practicable, but in no event later than December 31 immediately following such January 31.</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ARTICLE VI</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ELECTION OF DEFERRAL</w:t>
      </w:r>
    </w:p>
    <w:p>
      <w:pPr>
        <w:spacing w:after="0" w:line="199" w:lineRule="exact"/>
        <w:rPr>
          <w:sz w:val="20"/>
          <w:szCs w:val="20"/>
          <w:color w:val="auto"/>
        </w:rPr>
      </w:pPr>
    </w:p>
    <w:p>
      <w:pPr>
        <w:ind w:left="460" w:right="220" w:hanging="445"/>
        <w:spacing w:after="0" w:line="268" w:lineRule="auto"/>
        <w:tabs>
          <w:tab w:leader="none" w:pos="4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color w:val="auto"/>
        </w:rPr>
        <w:t>In the event of a Mandatory Deferral pursuant to Article V, any election of a Director to voluntarily defer Compensation pursuant to this Article VI shall apply only to Compensation which is not subject to Mandatory Deferral.</w:t>
      </w:r>
    </w:p>
    <w:p>
      <w:pPr>
        <w:spacing w:after="0" w:line="51" w:lineRule="exact"/>
        <w:rPr>
          <w:sz w:val="20"/>
          <w:szCs w:val="20"/>
          <w:color w:val="auto"/>
        </w:rPr>
      </w:pPr>
    </w:p>
    <w:p>
      <w:pPr>
        <w:jc w:val="both"/>
        <w:ind w:left="460" w:right="80" w:hanging="445"/>
        <w:spacing w:after="0" w:line="306" w:lineRule="auto"/>
        <w:tabs>
          <w:tab w:leader="none" w:pos="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color w:val="auto"/>
        </w:rPr>
        <w:t>On or before December 31 of each year prior to the year Compensation is to be earned, each Director, or nominee for election as a Director, must make an irrevocable election to defer receipt of all or a specified portion of his or her Compensation otherwise payable during the following year for service on the Board. Any such election shall become irrevocable as of December 31 of the year of election.</w:t>
      </w:r>
    </w:p>
    <w:p>
      <w:pPr>
        <w:spacing w:after="0" w:line="26" w:lineRule="exact"/>
        <w:rPr>
          <w:sz w:val="20"/>
          <w:szCs w:val="20"/>
          <w:color w:val="auto"/>
        </w:rPr>
      </w:pPr>
    </w:p>
    <w:p>
      <w:pPr>
        <w:jc w:val="both"/>
        <w:ind w:left="460" w:right="60" w:hanging="445"/>
        <w:spacing w:after="0" w:line="268" w:lineRule="auto"/>
        <w:tabs>
          <w:tab w:leader="none" w:pos="4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color w:val="auto"/>
        </w:rPr>
        <w:t>Any election to defer Compensation pursuant to this Section shall be credited annually in Share Units valued under Article VII below to each Participant’s Account on December 31 of the year in which the Compensation was earned.</w:t>
      </w:r>
    </w:p>
    <w:p>
      <w:pPr>
        <w:spacing w:after="0" w:line="51" w:lineRule="exact"/>
        <w:rPr>
          <w:sz w:val="20"/>
          <w:szCs w:val="20"/>
          <w:color w:val="auto"/>
        </w:rPr>
      </w:pPr>
    </w:p>
    <w:p>
      <w:pPr>
        <w:ind w:left="460" w:right="60" w:hanging="445"/>
        <w:spacing w:after="0" w:line="306" w:lineRule="auto"/>
        <w:tabs>
          <w:tab w:leader="none" w:pos="4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color w:val="auto"/>
        </w:rPr>
        <w:t>A newly elected Director may elect to defer Compensation for the remainder of the calendar year in which he or she joins the Board. Any such election must be made within 30 days following the date of his or her election to the Board and shall be effective with respect to Compensation earned on and after the first day of the month next following the date on which such election becomes irrevocable and ending on the next following December 31.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Adopted October 5, 2010</w:t>
            </w:r>
          </w:p>
        </w:tc>
        <w:tc>
          <w:tcPr>
            <w:tcW w:w="408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360"/>
          </w:cols>
          <w:pgMar w:left="240" w:top="280" w:right="299" w:bottom="1440" w:gutter="0" w:footer="0" w:header="0"/>
        </w:sectPr>
      </w:pPr>
    </w:p>
    <w:bookmarkStart w:id="95" w:name="page96"/>
    <w:bookmarkEnd w:id="95"/>
    <w:p>
      <w:pPr>
        <w:ind w:left="460" w:right="680" w:hanging="445"/>
        <w:spacing w:after="0" w:line="268" w:lineRule="auto"/>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6.5</w:t>
      </w:r>
      <w:r>
        <w:rPr>
          <w:sz w:val="20"/>
          <w:szCs w:val="20"/>
          <w:color w:val="auto"/>
        </w:rPr>
        <w:tab/>
      </w:r>
      <w:r>
        <w:rPr>
          <w:rFonts w:ascii="Arial" w:cs="Arial" w:eastAsia="Arial" w:hAnsi="Arial"/>
          <w:sz w:val="18"/>
          <w:szCs w:val="18"/>
          <w:color w:val="auto"/>
        </w:rPr>
        <w:t>A Director may elect to defer Compensation by giving written notice to the Company on or before December 31 of the calendar year immediately preceding the year in which the Compensation is to be earned. Such notice will include:</w:t>
      </w:r>
    </w:p>
    <w:p>
      <w:pPr>
        <w:spacing w:after="0" w:line="57" w:lineRule="exact"/>
        <w:rPr>
          <w:sz w:val="20"/>
          <w:szCs w:val="20"/>
          <w:color w:val="auto"/>
        </w:rPr>
      </w:pPr>
    </w:p>
    <w:p>
      <w:pPr>
        <w:ind w:left="900" w:right="12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percentage of Compensation to be deferred and credited to the Participant’s Account in the form of Share Units. Each Participant may make an election to defer 50% or 100%; and</w:t>
      </w:r>
    </w:p>
    <w:p>
      <w:pPr>
        <w:spacing w:after="0" w:line="5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method of distribution, either a lump sum cash payment or a number of annual cash installments (not to exceed five), for the Compensation deferred. The method of distribution elected by the Participant shall apply to both voluntary and Mandatory Deferrals. For purposes of Section 409A of the Code, each installment shall be treated as a separate payment.</w:t>
      </w:r>
    </w:p>
    <w:p>
      <w:pPr>
        <w:spacing w:after="0" w:line="53" w:lineRule="exact"/>
        <w:rPr>
          <w:sz w:val="20"/>
          <w:szCs w:val="20"/>
          <w:color w:val="auto"/>
        </w:rPr>
      </w:pPr>
    </w:p>
    <w:p>
      <w:pPr>
        <w:ind w:left="460" w:right="120" w:hanging="445"/>
        <w:spacing w:after="0" w:line="306" w:lineRule="auto"/>
        <w:tabs>
          <w:tab w:leader="none" w:pos="4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color w:val="auto"/>
        </w:rPr>
        <w:t>The elections set forth in such notice shall be given continuing effect for subsequent years until a new notice terminating such previous elections or specifying different elections shall be delivered to the Company. Any new notice shall apply only to Compensation earned in years subsequent to the year in which such new notice is delivered and shall become irrevocable as of December 31 of the year in which such new notice is delivered.</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ARTICLE VII</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VALUATION OF DEFERRED COMPENSATION ACCOUNTS</w:t>
      </w:r>
    </w:p>
    <w:p>
      <w:pPr>
        <w:spacing w:after="0" w:line="199" w:lineRule="exact"/>
        <w:rPr>
          <w:sz w:val="20"/>
          <w:szCs w:val="20"/>
          <w:color w:val="auto"/>
        </w:rPr>
      </w:pPr>
    </w:p>
    <w:p>
      <w:pPr>
        <w:jc w:val="both"/>
        <w:ind w:left="460" w:hanging="445"/>
        <w:spacing w:after="0" w:line="294" w:lineRule="auto"/>
        <w:tabs>
          <w:tab w:leader="none" w:pos="4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color w:val="auto"/>
        </w:rPr>
        <w:t xml:space="preserve">Amounts deferred will be converted into Share Units determined by dividing the amount of Compensation deferred each calendar year by the average daily closing market price of GM Common Stock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for that calendar year. If applicable, Dividend Equivalents in the form of additional Share Units will be credited to the Participant’s Account annually on December 31 in an amount equal to the sum of the per share cash dividend of GM Common Stock multiplied by the number of Share Units in the Participant’s Account on December 31 after giving effect to that year’s annual credit pursuant to Article 5 and 6 above, and then divided by the Average Market Price of such stock on each dividend payment date.</w:t>
      </w:r>
    </w:p>
    <w:p>
      <w:pPr>
        <w:spacing w:after="0" w:line="35" w:lineRule="exact"/>
        <w:rPr>
          <w:sz w:val="20"/>
          <w:szCs w:val="20"/>
          <w:color w:val="auto"/>
        </w:rPr>
      </w:pPr>
    </w:p>
    <w:p>
      <w:pPr>
        <w:ind w:left="460" w:right="40" w:hanging="445"/>
        <w:spacing w:after="0" w:line="259" w:lineRule="auto"/>
        <w:tabs>
          <w:tab w:leader="none" w:pos="4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color w:val="auto"/>
        </w:rPr>
        <w:t>Balances in Participant Accounts will continue to accrue Dividend Equivalents, if applicable, until distributed in accordance with provisions of the Plan. In the event of any change in the number or kind of any outstanding shares of the Company, appropriate adjustments will be made in the number of Share Units credited to a Participant’s Account.</w:t>
      </w:r>
    </w:p>
    <w:p>
      <w:pPr>
        <w:spacing w:after="0" w:line="59" w:lineRule="exact"/>
        <w:rPr>
          <w:sz w:val="20"/>
          <w:szCs w:val="20"/>
          <w:color w:val="auto"/>
        </w:rPr>
      </w:pPr>
    </w:p>
    <w:p>
      <w:pPr>
        <w:ind w:left="460" w:right="160" w:hanging="445"/>
        <w:spacing w:after="0" w:line="370" w:lineRule="auto"/>
        <w:tabs>
          <w:tab w:leader="none" w:pos="4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color w:val="auto"/>
        </w:rPr>
        <w:t xml:space="preserve">The value of the Account for purposes of distribution to the Participant will be determined by multiplying the number of Share Units credited to the Account by the average daily closing market price of GM common stock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for the calendar quarter prior to payment.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Adopted October 5, 2010</w:t>
            </w:r>
          </w:p>
        </w:tc>
        <w:tc>
          <w:tcPr>
            <w:tcW w:w="408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80"/>
          </w:cols>
          <w:pgMar w:left="240" w:top="274" w:right="279" w:bottom="1440" w:gutter="0" w:footer="0" w:header="0"/>
        </w:sectPr>
      </w:pPr>
    </w:p>
    <w:bookmarkStart w:id="96" w:name="page97"/>
    <w:bookmarkEnd w:id="96"/>
    <w:p>
      <w:pPr>
        <w:ind w:left="460" w:right="200" w:hanging="445"/>
        <w:spacing w:after="0" w:line="268" w:lineRule="auto"/>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7.4</w:t>
      </w:r>
      <w:r>
        <w:rPr>
          <w:sz w:val="20"/>
          <w:szCs w:val="20"/>
          <w:color w:val="auto"/>
        </w:rPr>
        <w:tab/>
      </w:r>
      <w:r>
        <w:rPr>
          <w:rFonts w:ascii="Arial" w:cs="Arial" w:eastAsia="Arial" w:hAnsi="Arial"/>
          <w:sz w:val="18"/>
          <w:szCs w:val="18"/>
          <w:color w:val="auto"/>
        </w:rPr>
        <w:t>As further described in Article X, a Participant will not have any interest in the deferred compensation held in his or her Account until it is distributed in accordance with the Plan.</w:t>
      </w: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ARTICLE VIII</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METHOD OF DISTRIBUTION OF DEFERRED COMPENSATION</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color w:val="auto"/>
        </w:rPr>
        <w:t>No distribution of deferred compensation may be made except as provided in this Section.</w:t>
      </w:r>
    </w:p>
    <w:p>
      <w:pPr>
        <w:spacing w:after="0" w:line="90" w:lineRule="exact"/>
        <w:rPr>
          <w:sz w:val="20"/>
          <w:szCs w:val="20"/>
          <w:color w:val="auto"/>
        </w:rPr>
      </w:pPr>
    </w:p>
    <w:p>
      <w:pPr>
        <w:ind w:left="460" w:right="80" w:hanging="445"/>
        <w:spacing w:after="0" w:line="298" w:lineRule="auto"/>
        <w:tabs>
          <w:tab w:leader="none" w:pos="4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color w:val="auto"/>
        </w:rPr>
        <w:t>Amounts deferred and credited under this Plan are not available until after the Director retires or otherwise separates from the Board. After a Director leaves the Board, payment under this Plan will be made in cash, based on the number of Share Units in a Participant’s Account, valued at the market price as provided in section 7.3 above. The value of a Participant’s Account is payable in accordance with his or her deferral election, either in a lump sum cash payment or in up to five annual cash installments as provided in sections 5.1 and 6.5(b) above.</w:t>
      </w:r>
    </w:p>
    <w:p>
      <w:pPr>
        <w:spacing w:after="0" w:line="32" w:lineRule="exact"/>
        <w:rPr>
          <w:sz w:val="20"/>
          <w:szCs w:val="20"/>
          <w:color w:val="auto"/>
        </w:rPr>
      </w:pPr>
    </w:p>
    <w:p>
      <w:pPr>
        <w:ind w:left="460" w:hanging="445"/>
        <w:spacing w:after="0" w:line="291" w:lineRule="auto"/>
        <w:tabs>
          <w:tab w:leader="none" w:pos="4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color w:val="auto"/>
        </w:rPr>
        <w:t>If annual installments are elected, the amount of the first payment will be a fraction of the value of the Participant’s Account as of December 31 of the year preceding payment, the numerator of which is one and the denominator of which is the total number of installments elected. The amount of each subsequent payment will be a fraction of the value as of December 31of the year preceding each subsequent payment, the numerator of which is one and the denominator of which is the total number of installments elected minus the number of installments previously paid. The distribution of the Participant’s Account will be made on, or commence on, January 31 of the year following the year in which the Participant’s service as a Director terminates, or as soon as practicable, but in no event later than December 31 immediately following such January 31.</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ARTICLE IX</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DISTRIBUTION UPON DEATH</w:t>
      </w:r>
    </w:p>
    <w:p>
      <w:pPr>
        <w:spacing w:after="0" w:line="199" w:lineRule="exact"/>
        <w:rPr>
          <w:sz w:val="20"/>
          <w:szCs w:val="20"/>
          <w:color w:val="auto"/>
        </w:rPr>
      </w:pPr>
    </w:p>
    <w:p>
      <w:pPr>
        <w:ind w:left="460" w:right="20" w:hanging="445"/>
        <w:spacing w:after="0" w:line="254" w:lineRule="auto"/>
        <w:tabs>
          <w:tab w:leader="none" w:pos="4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color w:val="auto"/>
        </w:rPr>
        <w:t>A Participant may designate a Beneficiary or Beneficiaries to receive amounts credited under the Plan in the event of the Participant’s death. A designation of Beneficiary or Beneficiaries shall be on a form prescribed by and filed with the Secretary of the Committee. In the event of the Participant’s death, the unpaid amount reflected in the Participant’s Account will be paid to his or her Beneficiary, or if none has been designated, to his or her estate. Such payment will be made in one lump sum, in cash, on January 31 of the year following the year of death, or as soon as practicable, but in no event later than December 31 immediately following such January 31. The value of the Account on the date of payment will be determined in accordance with the provisions of Article VII hereof.</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Adopted October 5, 2010</w:t>
            </w:r>
          </w:p>
        </w:tc>
        <w:tc>
          <w:tcPr>
            <w:tcW w:w="408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360"/>
          </w:cols>
          <w:pgMar w:left="240" w:top="274" w:right="29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PARTICIPANT’S RIGHTS UNSECURED</w:t>
      </w:r>
    </w:p>
    <w:p>
      <w:pPr>
        <w:spacing w:after="0" w:line="199" w:lineRule="exact"/>
        <w:rPr>
          <w:sz w:val="20"/>
          <w:szCs w:val="20"/>
          <w:color w:val="auto"/>
        </w:rPr>
      </w:pPr>
    </w:p>
    <w:p>
      <w:pPr>
        <w:ind w:left="460" w:right="60" w:hanging="445"/>
        <w:spacing w:after="0" w:line="301" w:lineRule="auto"/>
        <w:rPr>
          <w:sz w:val="20"/>
          <w:szCs w:val="20"/>
          <w:color w:val="auto"/>
        </w:rPr>
      </w:pPr>
      <w:r>
        <w:rPr>
          <w:rFonts w:ascii="Arial" w:cs="Arial" w:eastAsia="Arial" w:hAnsi="Arial"/>
          <w:sz w:val="16"/>
          <w:szCs w:val="16"/>
          <w:b w:val="1"/>
          <w:bCs w:val="1"/>
          <w:color w:val="auto"/>
        </w:rPr>
        <w:t xml:space="preserve">10.1 </w:t>
      </w:r>
      <w:r>
        <w:rPr>
          <w:rFonts w:ascii="Arial" w:cs="Arial" w:eastAsia="Arial" w:hAnsi="Arial"/>
          <w:sz w:val="16"/>
          <w:szCs w:val="16"/>
          <w:color w:val="auto"/>
        </w:rPr>
        <w:t>A Participant shall not have any interest in any deferred Compensation credited to his or her Account until it is distributed in accordance with the Plan. All</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deferred under the Plan shall remain the sole property of the Company, subject to the claims of its general creditors and available for use by the Company for whatever purposes are desired. With respect to amounts deferred, a Participant shall be merely a general creditor of the Company and the obligation of the Company hereunder shall be purely contractual and shall not be funded or secured in any way.</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ARTICLE XI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NON-ASSIGNABILITY</w:t>
      </w:r>
    </w:p>
    <w:p>
      <w:pPr>
        <w:spacing w:after="0" w:line="199" w:lineRule="exact"/>
        <w:rPr>
          <w:sz w:val="20"/>
          <w:szCs w:val="20"/>
          <w:color w:val="auto"/>
        </w:rPr>
      </w:pPr>
    </w:p>
    <w:p>
      <w:pPr>
        <w:ind w:left="460" w:right="20" w:hanging="445"/>
        <w:spacing w:after="0" w:line="268" w:lineRule="auto"/>
        <w:tabs>
          <w:tab w:leader="none" w:pos="4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The right of a Participant to the payment of deferred Compensation as provided in this Plan shall not be assigned, transferred, pledged or encumbered or be subject in any manner to alienation or anticipation, except as provided in Article IX.</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ARTICLE XII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STATEMENT OF ACCOUNTS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Account statements shall be sent to each Participant as soon as practicable following the close of each calendar year.</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ARTICLE XIII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BUSINESS DAYS</w:t>
      </w:r>
    </w:p>
    <w:p>
      <w:pPr>
        <w:spacing w:after="0" w:line="199" w:lineRule="exact"/>
        <w:rPr>
          <w:sz w:val="20"/>
          <w:szCs w:val="20"/>
          <w:color w:val="auto"/>
        </w:rPr>
      </w:pPr>
    </w:p>
    <w:p>
      <w:pPr>
        <w:ind w:left="460" w:right="420" w:hanging="445"/>
        <w:spacing w:after="0" w:line="339"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color w:val="auto"/>
        </w:rPr>
        <w:t>If any date specified herein falls on a Saturday, Sunday or legal holiday such date shall be deemed to refer to the next GM business day after that date</w:t>
      </w:r>
      <w:r>
        <w:rPr>
          <w:rFonts w:ascii="Arial" w:cs="Arial" w:eastAsia="Arial" w:hAnsi="Arial"/>
          <w:sz w:val="16"/>
          <w:szCs w:val="16"/>
          <w:b w:val="1"/>
          <w:bCs w:val="1"/>
          <w:color w:val="auto"/>
        </w:rPr>
        <w:t xml:space="preserve"> </w:t>
      </w:r>
      <w:r>
        <w:rPr>
          <w:rFonts w:ascii="Arial" w:cs="Arial" w:eastAsia="Arial" w:hAnsi="Arial"/>
          <w:sz w:val="16"/>
          <w:szCs w:val="16"/>
          <w:color w:val="auto"/>
        </w:rPr>
        <w:t>unless such date is December 31, in which case such date shall be deemed to refer to the immediately prior GM business day.</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ARTICLE XIV</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AMENDMENTS AND TERMINATION</w:t>
      </w:r>
    </w:p>
    <w:p>
      <w:pPr>
        <w:spacing w:after="0" w:line="199" w:lineRule="exact"/>
        <w:rPr>
          <w:sz w:val="20"/>
          <w:szCs w:val="20"/>
          <w:color w:val="auto"/>
        </w:rPr>
      </w:pPr>
    </w:p>
    <w:p>
      <w:pPr>
        <w:ind w:left="460" w:hanging="445"/>
        <w:spacing w:after="0" w:line="296" w:lineRule="auto"/>
        <w:rPr>
          <w:sz w:val="20"/>
          <w:szCs w:val="20"/>
          <w:color w:val="auto"/>
        </w:rPr>
      </w:pPr>
      <w:r>
        <w:rPr>
          <w:rFonts w:ascii="Arial" w:cs="Arial" w:eastAsia="Arial" w:hAnsi="Arial"/>
          <w:sz w:val="16"/>
          <w:szCs w:val="16"/>
          <w:b w:val="1"/>
          <w:bCs w:val="1"/>
          <w:color w:val="auto"/>
        </w:rPr>
        <w:t xml:space="preserve">14.1 </w:t>
      </w:r>
      <w:r>
        <w:rPr>
          <w:rFonts w:ascii="Arial" w:cs="Arial" w:eastAsia="Arial" w:hAnsi="Arial"/>
          <w:sz w:val="16"/>
          <w:szCs w:val="16"/>
          <w:color w:val="auto"/>
        </w:rPr>
        <w:t>This Plan may at any time be amended, modified or terminated by the Committee to comport with changes in the Code, or the Employee Retirement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Security Act of 1974, as amended, or the rules or regulations promulgated thereunder. In addition the Committee may, in its sole discretion, modify the terms and conditions of the Plan in response to and consistent with any changes in other applicable law, rule or regulation. The Committee also reserves the right to modify the Plan from time to time, or to terminate the Plan entirely</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however, that no modification of the Plan, except for such modifications as may be required by law, rule or regulation, will operate to annul</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Adopted October 5, 2010</w:t>
            </w:r>
          </w:p>
        </w:tc>
        <w:tc>
          <w:tcPr>
            <w:tcW w:w="408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380"/>
          </w:cols>
          <w:pgMar w:left="240" w:top="280" w:right="279" w:bottom="1440" w:gutter="0" w:footer="0" w:header="0"/>
        </w:sectPr>
      </w:pPr>
    </w:p>
    <w:bookmarkStart w:id="98" w:name="page99"/>
    <w:bookmarkEnd w:id="98"/>
    <w:p>
      <w:pPr>
        <w:ind w:left="460"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election already in effect for the current calendar year or any preceding calendar year. The Committee shall not amend or terminate the Plan or an Account if such action would result in tax and penalties under Section 409A of the Code.</w:t>
      </w:r>
    </w:p>
    <w:p>
      <w:pPr>
        <w:spacing w:after="0" w:line="45" w:lineRule="exact"/>
        <w:rPr>
          <w:sz w:val="20"/>
          <w:szCs w:val="20"/>
          <w:color w:val="auto"/>
        </w:rPr>
      </w:pPr>
    </w:p>
    <w:p>
      <w:pPr>
        <w:ind w:left="460" w:hanging="445"/>
        <w:spacing w:after="0" w:line="301" w:lineRule="auto"/>
        <w:rPr>
          <w:sz w:val="20"/>
          <w:szCs w:val="20"/>
          <w:color w:val="auto"/>
        </w:rPr>
      </w:pPr>
      <w:r>
        <w:rPr>
          <w:rFonts w:ascii="Arial" w:cs="Arial" w:eastAsia="Arial" w:hAnsi="Arial"/>
          <w:sz w:val="16"/>
          <w:szCs w:val="16"/>
          <w:b w:val="1"/>
          <w:bCs w:val="1"/>
          <w:color w:val="auto"/>
        </w:rPr>
        <w:t xml:space="preserve">14.2 </w:t>
      </w:r>
      <w:r>
        <w:rPr>
          <w:rFonts w:ascii="Arial" w:cs="Arial" w:eastAsia="Arial" w:hAnsi="Arial"/>
          <w:sz w:val="16"/>
          <w:szCs w:val="16"/>
          <w:color w:val="auto"/>
        </w:rPr>
        <w:t>It is the Company’s intent that the Plan complies in all respects with Rule 16b-3 of the Securities Exchange Act of 1934 (the “Exchange Act”), or its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 and any regulations promulgated thereunder. If any provision of the Plan is found not to be in compliance with such Rule and such regulations, the provision will be deemed null and void, and the remaining provisions of the Plan will continue in full force and effect. All transactions under this Plan will be executed in accordance with the requirements of Section 16 of the Exchange Act and regulations promulgated thereunder.</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Adopted October 5, 2010</w:t>
            </w:r>
          </w:p>
        </w:tc>
        <w:tc>
          <w:tcPr>
            <w:tcW w:w="408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60"/>
          </w:cols>
          <w:pgMar w:left="240" w:top="280" w:right="39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COPY</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REDEMPTION AGREEMENT</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March 31, 2011</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DELPHI AUTOMOTIVE LLP</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GENERAL MOTORS HOLDINGS LLC</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relating to the redemption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of</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1,750,000 Class A Membership Interests</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of</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DELPHI AUTOMOTIVE LLP</w:t>
      </w:r>
    </w:p>
    <w:p>
      <w:pPr>
        <w:sectPr>
          <w:pgSz w:w="11900" w:h="16838" w:orient="portrait"/>
          <w:cols w:equalWidth="0" w:num="1">
            <w:col w:w="10220"/>
          </w:cols>
          <w:pgMar w:left="1440" w:top="125"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9940" w:type="dxa"/>
            <w:vAlign w:val="bottom"/>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9"/>
                <w:szCs w:val="19"/>
                <w:color w:val="auto"/>
              </w:rPr>
            </w:pPr>
          </w:p>
        </w:tc>
      </w:tr>
      <w:tr>
        <w:trPr>
          <w:trHeight w:val="353"/>
        </w:trPr>
        <w:tc>
          <w:tcPr>
            <w:tcW w:w="1080" w:type="dxa"/>
            <w:vAlign w:val="bottom"/>
          </w:tcPr>
          <w:p>
            <w:pPr>
              <w:spacing w:after="0"/>
              <w:rPr>
                <w:sz w:val="24"/>
                <w:szCs w:val="24"/>
                <w:color w:val="auto"/>
              </w:rPr>
            </w:pPr>
          </w:p>
        </w:tc>
        <w:tc>
          <w:tcPr>
            <w:tcW w:w="99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w:t>
            </w:r>
            <w:r>
              <w:rPr>
                <w:rFonts w:ascii="Arial" w:cs="Arial" w:eastAsia="Arial" w:hAnsi="Arial"/>
                <w:sz w:val="11"/>
                <w:szCs w:val="11"/>
                <w:color w:val="auto"/>
                <w:w w:val="85"/>
              </w:rPr>
              <w:t>AGE</w:t>
            </w:r>
          </w:p>
        </w:tc>
      </w:tr>
      <w:tr>
        <w:trPr>
          <w:trHeight w:val="309"/>
        </w:trPr>
        <w:tc>
          <w:tcPr>
            <w:tcW w:w="1080" w:type="dxa"/>
            <w:vAlign w:val="bottom"/>
          </w:tcPr>
          <w:p>
            <w:pPr>
              <w:spacing w:after="0"/>
              <w:rPr>
                <w:sz w:val="24"/>
                <w:szCs w:val="24"/>
                <w:color w:val="auto"/>
              </w:rPr>
            </w:pPr>
          </w:p>
        </w:tc>
        <w:tc>
          <w:tcPr>
            <w:tcW w:w="9940" w:type="dxa"/>
            <w:vAlign w:val="bottom"/>
          </w:tcPr>
          <w:p>
            <w:pPr>
              <w:jc w:val="center"/>
              <w:spacing w:after="0"/>
              <w:rPr>
                <w:sz w:val="20"/>
                <w:szCs w:val="20"/>
                <w:color w:val="auto"/>
              </w:rPr>
            </w:pPr>
            <w:r>
              <w:rPr>
                <w:rFonts w:ascii="Arial" w:cs="Arial" w:eastAsia="Arial" w:hAnsi="Arial"/>
                <w:sz w:val="18"/>
                <w:szCs w:val="18"/>
                <w:color w:val="auto"/>
                <w:w w:val="94"/>
              </w:rPr>
              <w:t>ARTICLE 1</w:t>
            </w:r>
          </w:p>
        </w:tc>
        <w:tc>
          <w:tcPr>
            <w:tcW w:w="30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994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300" w:type="dxa"/>
            <w:vAlign w:val="bottom"/>
          </w:tcPr>
          <w:p>
            <w:pPr>
              <w:spacing w:after="0"/>
              <w:rPr>
                <w:sz w:val="19"/>
                <w:szCs w:val="19"/>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1.01.</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Other Definitional and Interpretative Provisions</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1080" w:type="dxa"/>
            <w:vAlign w:val="bottom"/>
          </w:tcPr>
          <w:p>
            <w:pPr>
              <w:spacing w:after="0"/>
              <w:rPr>
                <w:sz w:val="24"/>
                <w:szCs w:val="24"/>
                <w:color w:val="auto"/>
              </w:rPr>
            </w:pPr>
          </w:p>
        </w:tc>
        <w:tc>
          <w:tcPr>
            <w:tcW w:w="9940" w:type="dxa"/>
            <w:vAlign w:val="bottom"/>
          </w:tcPr>
          <w:p>
            <w:pPr>
              <w:jc w:val="center"/>
              <w:spacing w:after="0"/>
              <w:rPr>
                <w:sz w:val="20"/>
                <w:szCs w:val="20"/>
                <w:color w:val="auto"/>
              </w:rPr>
            </w:pPr>
            <w:r>
              <w:rPr>
                <w:rFonts w:ascii="Arial" w:cs="Arial" w:eastAsia="Arial" w:hAnsi="Arial"/>
                <w:sz w:val="18"/>
                <w:szCs w:val="18"/>
                <w:color w:val="auto"/>
                <w:w w:val="94"/>
              </w:rPr>
              <w:t>ARTICLE 2</w:t>
            </w:r>
          </w:p>
        </w:tc>
        <w:tc>
          <w:tcPr>
            <w:tcW w:w="30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9940" w:type="dxa"/>
            <w:vAlign w:val="bottom"/>
          </w:tcPr>
          <w:p>
            <w:pPr>
              <w:jc w:val="center"/>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EDEMPTION</w:t>
            </w:r>
          </w:p>
        </w:tc>
        <w:tc>
          <w:tcPr>
            <w:tcW w:w="300" w:type="dxa"/>
            <w:vAlign w:val="bottom"/>
          </w:tcPr>
          <w:p>
            <w:pPr>
              <w:spacing w:after="0"/>
              <w:rPr>
                <w:sz w:val="19"/>
                <w:szCs w:val="19"/>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2.01.</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2.02.</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Closing</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080" w:type="dxa"/>
            <w:vAlign w:val="bottom"/>
          </w:tcPr>
          <w:p>
            <w:pPr>
              <w:spacing w:after="0"/>
              <w:rPr>
                <w:sz w:val="24"/>
                <w:szCs w:val="24"/>
                <w:color w:val="auto"/>
              </w:rPr>
            </w:pPr>
          </w:p>
        </w:tc>
        <w:tc>
          <w:tcPr>
            <w:tcW w:w="9940" w:type="dxa"/>
            <w:vAlign w:val="bottom"/>
          </w:tcPr>
          <w:p>
            <w:pPr>
              <w:jc w:val="center"/>
              <w:spacing w:after="0"/>
              <w:rPr>
                <w:sz w:val="20"/>
                <w:szCs w:val="20"/>
                <w:color w:val="auto"/>
              </w:rPr>
            </w:pPr>
            <w:r>
              <w:rPr>
                <w:rFonts w:ascii="Arial" w:cs="Arial" w:eastAsia="Arial" w:hAnsi="Arial"/>
                <w:sz w:val="18"/>
                <w:szCs w:val="18"/>
                <w:color w:val="auto"/>
                <w:w w:val="94"/>
              </w:rPr>
              <w:t>ARTICLE 3</w:t>
            </w:r>
          </w:p>
        </w:tc>
        <w:tc>
          <w:tcPr>
            <w:tcW w:w="30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9940" w:type="dxa"/>
            <w:vAlign w:val="bottom"/>
          </w:tcPr>
          <w:p>
            <w:pPr>
              <w:jc w:val="center"/>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EPRESENTATIONS AND</w:t>
            </w:r>
            <w:r>
              <w:rPr>
                <w:rFonts w:ascii="Arial" w:cs="Arial" w:eastAsia="Arial" w:hAnsi="Arial"/>
                <w:sz w:val="18"/>
                <w:szCs w:val="18"/>
                <w:color w:val="auto"/>
                <w:w w:val="98"/>
              </w:rPr>
              <w:t xml:space="preserve"> W</w:t>
            </w:r>
            <w:r>
              <w:rPr>
                <w:rFonts w:ascii="Arial" w:cs="Arial" w:eastAsia="Arial" w:hAnsi="Arial"/>
                <w:sz w:val="14"/>
                <w:szCs w:val="14"/>
                <w:color w:val="auto"/>
                <w:w w:val="98"/>
              </w:rPr>
              <w:t>ARRANTIES OF</w:t>
            </w:r>
            <w:r>
              <w:rPr>
                <w:rFonts w:ascii="Arial" w:cs="Arial" w:eastAsia="Arial" w:hAnsi="Arial"/>
                <w:sz w:val="18"/>
                <w:szCs w:val="18"/>
                <w:color w:val="auto"/>
                <w:w w:val="98"/>
              </w:rPr>
              <w:t xml:space="preserve"> GM</w:t>
            </w:r>
          </w:p>
        </w:tc>
        <w:tc>
          <w:tcPr>
            <w:tcW w:w="300" w:type="dxa"/>
            <w:vAlign w:val="bottom"/>
          </w:tcPr>
          <w:p>
            <w:pPr>
              <w:spacing w:after="0"/>
              <w:rPr>
                <w:sz w:val="19"/>
                <w:szCs w:val="19"/>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3.01.</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Organization and Good Standing</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3.02.</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Due Authorization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3.03.</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Ownership</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3.04.</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Governmental Authorization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3.05.</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Noncontravention</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3.06.</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Total Membership Interests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3.07.</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Finder’s Fees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3.08.</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Non-Reliance</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3.09.</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Private Offering</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1080" w:type="dxa"/>
            <w:vAlign w:val="bottom"/>
          </w:tcPr>
          <w:p>
            <w:pPr>
              <w:spacing w:after="0"/>
              <w:rPr>
                <w:sz w:val="24"/>
                <w:szCs w:val="24"/>
                <w:color w:val="auto"/>
              </w:rPr>
            </w:pPr>
          </w:p>
        </w:tc>
        <w:tc>
          <w:tcPr>
            <w:tcW w:w="9940" w:type="dxa"/>
            <w:vAlign w:val="bottom"/>
          </w:tcPr>
          <w:p>
            <w:pPr>
              <w:jc w:val="center"/>
              <w:spacing w:after="0"/>
              <w:rPr>
                <w:sz w:val="20"/>
                <w:szCs w:val="20"/>
                <w:color w:val="auto"/>
              </w:rPr>
            </w:pPr>
            <w:r>
              <w:rPr>
                <w:rFonts w:ascii="Arial" w:cs="Arial" w:eastAsia="Arial" w:hAnsi="Arial"/>
                <w:sz w:val="18"/>
                <w:szCs w:val="18"/>
                <w:color w:val="auto"/>
                <w:w w:val="94"/>
              </w:rPr>
              <w:t>ARTICLE 4</w:t>
            </w:r>
          </w:p>
        </w:tc>
        <w:tc>
          <w:tcPr>
            <w:tcW w:w="30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9940" w:type="dxa"/>
            <w:vAlign w:val="bottom"/>
          </w:tcPr>
          <w:p>
            <w:pPr>
              <w:jc w:val="center"/>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EPRESENTATIONS AND</w:t>
            </w:r>
            <w:r>
              <w:rPr>
                <w:rFonts w:ascii="Arial" w:cs="Arial" w:eastAsia="Arial" w:hAnsi="Arial"/>
                <w:sz w:val="18"/>
                <w:szCs w:val="18"/>
                <w:color w:val="auto"/>
                <w:w w:val="99"/>
              </w:rPr>
              <w:t xml:space="preserve"> W</w:t>
            </w:r>
            <w:r>
              <w:rPr>
                <w:rFonts w:ascii="Arial" w:cs="Arial" w:eastAsia="Arial" w:hAnsi="Arial"/>
                <w:sz w:val="14"/>
                <w:szCs w:val="14"/>
                <w:color w:val="auto"/>
                <w:w w:val="99"/>
              </w:rPr>
              <w:t>ARRANTIES OF THE</w:t>
            </w:r>
            <w:r>
              <w:rPr>
                <w:rFonts w:ascii="Arial" w:cs="Arial" w:eastAsia="Arial" w:hAnsi="Arial"/>
                <w:sz w:val="18"/>
                <w:szCs w:val="18"/>
                <w:color w:val="auto"/>
                <w:w w:val="99"/>
              </w:rPr>
              <w:t xml:space="preserve"> C</w:t>
            </w:r>
            <w:r>
              <w:rPr>
                <w:rFonts w:ascii="Arial" w:cs="Arial" w:eastAsia="Arial" w:hAnsi="Arial"/>
                <w:sz w:val="14"/>
                <w:szCs w:val="14"/>
                <w:color w:val="auto"/>
                <w:w w:val="99"/>
              </w:rPr>
              <w:t>OMPANY</w:t>
            </w:r>
          </w:p>
        </w:tc>
        <w:tc>
          <w:tcPr>
            <w:tcW w:w="300" w:type="dxa"/>
            <w:vAlign w:val="bottom"/>
          </w:tcPr>
          <w:p>
            <w:pPr>
              <w:spacing w:after="0"/>
              <w:rPr>
                <w:sz w:val="19"/>
                <w:szCs w:val="19"/>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4.01.</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Organization and Good Standing</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4.02.</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Due Authorization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4.03.</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Governmental Authorization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4.04.</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Noncontravention</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4.05.</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Financing</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4.06.</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Solvency</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4.07.</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Financial Information</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4.08.</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Finder’s Fees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4.09.</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Non-Reliance</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4.10.</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Securities Act</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w:t>
            </w:r>
            <w:r>
              <w:rPr>
                <w:rFonts w:ascii="Arial" w:cs="Arial" w:eastAsia="Arial" w:hAnsi="Arial"/>
                <w:sz w:val="11"/>
                <w:szCs w:val="11"/>
                <w:color w:val="auto"/>
                <w:w w:val="85"/>
              </w:rPr>
              <w:t>AGE</w:t>
            </w:r>
          </w:p>
        </w:tc>
      </w:tr>
      <w:tr>
        <w:trPr>
          <w:trHeight w:val="201"/>
        </w:trPr>
        <w:tc>
          <w:tcPr>
            <w:tcW w:w="10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6120" w:type="dxa"/>
            <w:vAlign w:val="bottom"/>
          </w:tcPr>
          <w:p>
            <w:pPr>
              <w:jc w:val="center"/>
              <w:ind w:right="3812"/>
              <w:spacing w:after="0" w:line="201" w:lineRule="exact"/>
              <w:rPr>
                <w:sz w:val="20"/>
                <w:szCs w:val="20"/>
                <w:color w:val="auto"/>
              </w:rPr>
            </w:pPr>
            <w:r>
              <w:rPr>
                <w:rFonts w:ascii="Arial" w:cs="Arial" w:eastAsia="Arial" w:hAnsi="Arial"/>
                <w:sz w:val="18"/>
                <w:szCs w:val="18"/>
                <w:color w:val="auto"/>
                <w:w w:val="94"/>
              </w:rPr>
              <w:t>ARTICLE 5</w:t>
            </w:r>
          </w:p>
        </w:tc>
        <w:tc>
          <w:tcPr>
            <w:tcW w:w="300" w:type="dxa"/>
            <w:vAlign w:val="bottom"/>
          </w:tcPr>
          <w:p>
            <w:pPr>
              <w:spacing w:after="0"/>
              <w:rPr>
                <w:sz w:val="17"/>
                <w:szCs w:val="17"/>
                <w:color w:val="auto"/>
              </w:rPr>
            </w:pPr>
          </w:p>
        </w:tc>
      </w:tr>
      <w:tr>
        <w:trPr>
          <w:trHeight w:val="222"/>
        </w:trPr>
        <w:tc>
          <w:tcPr>
            <w:tcW w:w="10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6420" w:type="dxa"/>
            <w:vAlign w:val="bottom"/>
            <w:gridSpan w:val="2"/>
          </w:tcPr>
          <w:p>
            <w:pPr>
              <w:jc w:val="center"/>
              <w:ind w:right="4112"/>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OVENANTS OF</w:t>
            </w:r>
            <w:r>
              <w:rPr>
                <w:rFonts w:ascii="Arial" w:cs="Arial" w:eastAsia="Arial" w:hAnsi="Arial"/>
                <w:sz w:val="18"/>
                <w:szCs w:val="18"/>
                <w:color w:val="auto"/>
                <w:w w:val="97"/>
              </w:rPr>
              <w:t xml:space="preserve"> T</w:t>
            </w:r>
            <w:r>
              <w:rPr>
                <w:rFonts w:ascii="Arial" w:cs="Arial" w:eastAsia="Arial" w:hAnsi="Arial"/>
                <w:sz w:val="14"/>
                <w:szCs w:val="14"/>
                <w:color w:val="auto"/>
                <w:w w:val="97"/>
              </w:rPr>
              <w:t>HE</w:t>
            </w:r>
            <w:r>
              <w:rPr>
                <w:rFonts w:ascii="Arial" w:cs="Arial" w:eastAsia="Arial" w:hAnsi="Arial"/>
                <w:sz w:val="18"/>
                <w:szCs w:val="18"/>
                <w:color w:val="auto"/>
                <w:w w:val="97"/>
              </w:rPr>
              <w:t xml:space="preserve"> P</w:t>
            </w:r>
            <w:r>
              <w:rPr>
                <w:rFonts w:ascii="Arial" w:cs="Arial" w:eastAsia="Arial" w:hAnsi="Arial"/>
                <w:sz w:val="14"/>
                <w:szCs w:val="14"/>
                <w:color w:val="auto"/>
                <w:w w:val="97"/>
              </w:rPr>
              <w:t>ARTIES</w:t>
            </w: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5.01.</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Reasonable Best Efforts; Further Assurances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5.02.</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Certain Filings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5.03.</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Termination of Access Agreement</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5.04.</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Consent; Waiver and Release</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5.05.</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GM Consent Right</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5.06.</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Resignations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5.07.</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Confidentiality</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5.08.</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Public Announcements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5.09.</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Loan Facility Agreement</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5.10.</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Restrictions on Transfer</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5.11.</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Execution of Agreement</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10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420" w:type="dxa"/>
            <w:vAlign w:val="bottom"/>
            <w:gridSpan w:val="2"/>
          </w:tcPr>
          <w:p>
            <w:pPr>
              <w:jc w:val="center"/>
              <w:ind w:right="4132"/>
              <w:spacing w:after="0"/>
              <w:rPr>
                <w:sz w:val="20"/>
                <w:szCs w:val="20"/>
                <w:color w:val="auto"/>
              </w:rPr>
            </w:pPr>
            <w:r>
              <w:rPr>
                <w:rFonts w:ascii="Arial" w:cs="Arial" w:eastAsia="Arial" w:hAnsi="Arial"/>
                <w:sz w:val="18"/>
                <w:szCs w:val="18"/>
                <w:color w:val="auto"/>
                <w:w w:val="94"/>
              </w:rPr>
              <w:t>ARTICLE 6</w:t>
            </w:r>
          </w:p>
        </w:tc>
      </w:tr>
      <w:tr>
        <w:trPr>
          <w:trHeight w:val="222"/>
        </w:trPr>
        <w:tc>
          <w:tcPr>
            <w:tcW w:w="10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6420" w:type="dxa"/>
            <w:vAlign w:val="bottom"/>
            <w:gridSpan w:val="2"/>
          </w:tcPr>
          <w:p>
            <w:pPr>
              <w:jc w:val="center"/>
              <w:ind w:right="4112"/>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AX</w:t>
            </w:r>
            <w:r>
              <w:rPr>
                <w:rFonts w:ascii="Arial" w:cs="Arial" w:eastAsia="Arial" w:hAnsi="Arial"/>
                <w:sz w:val="18"/>
                <w:szCs w:val="18"/>
                <w:color w:val="auto"/>
                <w:w w:val="99"/>
              </w:rPr>
              <w:t xml:space="preserve"> M</w:t>
            </w:r>
            <w:r>
              <w:rPr>
                <w:rFonts w:ascii="Arial" w:cs="Arial" w:eastAsia="Arial" w:hAnsi="Arial"/>
                <w:sz w:val="14"/>
                <w:szCs w:val="14"/>
                <w:color w:val="auto"/>
                <w:w w:val="99"/>
              </w:rPr>
              <w:t>ATTERS</w:t>
            </w: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6.01.</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Interim Closing of the Books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6.02.</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Allocations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6.03.</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Tax Treatment</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6.04.</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Tax Returns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6.05.</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Cooperation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6.06.</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Transfer Taxes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10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420" w:type="dxa"/>
            <w:vAlign w:val="bottom"/>
            <w:gridSpan w:val="2"/>
          </w:tcPr>
          <w:p>
            <w:pPr>
              <w:jc w:val="center"/>
              <w:ind w:right="4132"/>
              <w:spacing w:after="0"/>
              <w:rPr>
                <w:sz w:val="20"/>
                <w:szCs w:val="20"/>
                <w:color w:val="auto"/>
              </w:rPr>
            </w:pPr>
            <w:r>
              <w:rPr>
                <w:rFonts w:ascii="Arial" w:cs="Arial" w:eastAsia="Arial" w:hAnsi="Arial"/>
                <w:sz w:val="18"/>
                <w:szCs w:val="18"/>
                <w:color w:val="auto"/>
                <w:w w:val="94"/>
              </w:rPr>
              <w:t>ARTICLE 7</w:t>
            </w:r>
          </w:p>
        </w:tc>
      </w:tr>
      <w:tr>
        <w:trPr>
          <w:trHeight w:val="222"/>
        </w:trPr>
        <w:tc>
          <w:tcPr>
            <w:tcW w:w="10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6420" w:type="dxa"/>
            <w:vAlign w:val="bottom"/>
            <w:gridSpan w:val="2"/>
          </w:tcPr>
          <w:p>
            <w:pPr>
              <w:jc w:val="center"/>
              <w:ind w:right="411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ONDITIONS TO</w:t>
            </w:r>
            <w:r>
              <w:rPr>
                <w:rFonts w:ascii="Arial" w:cs="Arial" w:eastAsia="Arial" w:hAnsi="Arial"/>
                <w:sz w:val="18"/>
                <w:szCs w:val="18"/>
                <w:color w:val="auto"/>
                <w:w w:val="99"/>
              </w:rPr>
              <w:t xml:space="preserve"> C</w:t>
            </w:r>
            <w:r>
              <w:rPr>
                <w:rFonts w:ascii="Arial" w:cs="Arial" w:eastAsia="Arial" w:hAnsi="Arial"/>
                <w:sz w:val="14"/>
                <w:szCs w:val="14"/>
                <w:color w:val="auto"/>
                <w:w w:val="99"/>
              </w:rPr>
              <w:t>LOSING</w:t>
            </w: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7.01.</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w w:val="90"/>
              </w:rPr>
              <w:t>Conditions to Obligations of the Company and GM</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7.02.</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Conditions to Obligation of the Company</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7.03.</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Conditions to Obligation of GM</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10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420" w:type="dxa"/>
            <w:vAlign w:val="bottom"/>
            <w:gridSpan w:val="2"/>
          </w:tcPr>
          <w:p>
            <w:pPr>
              <w:jc w:val="center"/>
              <w:ind w:right="4132"/>
              <w:spacing w:after="0"/>
              <w:rPr>
                <w:sz w:val="20"/>
                <w:szCs w:val="20"/>
                <w:color w:val="auto"/>
              </w:rPr>
            </w:pPr>
            <w:r>
              <w:rPr>
                <w:rFonts w:ascii="Arial" w:cs="Arial" w:eastAsia="Arial" w:hAnsi="Arial"/>
                <w:sz w:val="18"/>
                <w:szCs w:val="18"/>
                <w:color w:val="auto"/>
                <w:w w:val="94"/>
              </w:rPr>
              <w:t>ARTICLE 8</w:t>
            </w:r>
          </w:p>
        </w:tc>
      </w:tr>
      <w:tr>
        <w:trPr>
          <w:trHeight w:val="222"/>
        </w:trPr>
        <w:tc>
          <w:tcPr>
            <w:tcW w:w="10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6420" w:type="dxa"/>
            <w:vAlign w:val="bottom"/>
            <w:gridSpan w:val="2"/>
          </w:tcPr>
          <w:p>
            <w:pPr>
              <w:jc w:val="center"/>
              <w:ind w:right="4132"/>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ERMINATION</w:t>
            </w: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8.01.</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Grounds for Termination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8.02.</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Effect of Termination</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0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420" w:type="dxa"/>
            <w:vAlign w:val="bottom"/>
            <w:gridSpan w:val="2"/>
          </w:tcPr>
          <w:p>
            <w:pPr>
              <w:jc w:val="center"/>
              <w:ind w:right="4132"/>
              <w:spacing w:after="0"/>
              <w:rPr>
                <w:sz w:val="20"/>
                <w:szCs w:val="20"/>
                <w:color w:val="auto"/>
              </w:rPr>
            </w:pPr>
            <w:r>
              <w:rPr>
                <w:rFonts w:ascii="Arial" w:cs="Arial" w:eastAsia="Arial" w:hAnsi="Arial"/>
                <w:sz w:val="18"/>
                <w:szCs w:val="18"/>
                <w:color w:val="auto"/>
                <w:w w:val="94"/>
              </w:rPr>
              <w:t>ARTICLE 9</w:t>
            </w:r>
          </w:p>
        </w:tc>
      </w:tr>
      <w:tr>
        <w:trPr>
          <w:trHeight w:val="222"/>
        </w:trPr>
        <w:tc>
          <w:tcPr>
            <w:tcW w:w="10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6420" w:type="dxa"/>
            <w:vAlign w:val="bottom"/>
            <w:gridSpan w:val="2"/>
          </w:tcPr>
          <w:p>
            <w:pPr>
              <w:jc w:val="center"/>
              <w:ind w:right="411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9.01.</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Notices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9.02.</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Amendments and Waivers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9.03.</w:t>
            </w:r>
          </w:p>
        </w:tc>
        <w:tc>
          <w:tcPr>
            <w:tcW w:w="3820" w:type="dxa"/>
            <w:vAlign w:val="bottom"/>
          </w:tcPr>
          <w:p>
            <w:pPr>
              <w:ind w:left="160"/>
              <w:spacing w:after="0"/>
              <w:rPr>
                <w:sz w:val="20"/>
                <w:szCs w:val="20"/>
                <w:color w:val="auto"/>
              </w:rPr>
            </w:pPr>
            <w:r>
              <w:rPr>
                <w:rFonts w:ascii="Arial" w:cs="Arial" w:eastAsia="Arial" w:hAnsi="Arial"/>
                <w:sz w:val="18"/>
                <w:szCs w:val="18"/>
                <w:i w:val="1"/>
                <w:iCs w:val="1"/>
                <w:color w:val="auto"/>
              </w:rPr>
              <w:t>Expenses</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6"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w:t>
            </w:r>
            <w:r>
              <w:rPr>
                <w:rFonts w:ascii="Arial" w:cs="Arial" w:eastAsia="Arial" w:hAnsi="Arial"/>
                <w:sz w:val="11"/>
                <w:szCs w:val="11"/>
                <w:color w:val="auto"/>
                <w:w w:val="85"/>
              </w:rPr>
              <w:t>AGE</w:t>
            </w:r>
          </w:p>
        </w:tc>
      </w:tr>
      <w:tr>
        <w:trPr>
          <w:trHeight w:val="309"/>
        </w:trPr>
        <w:tc>
          <w:tcPr>
            <w:tcW w:w="1080" w:type="dxa"/>
            <w:vAlign w:val="bottom"/>
          </w:tcPr>
          <w:p>
            <w:pPr>
              <w:spacing w:after="0"/>
              <w:rPr>
                <w:sz w:val="20"/>
                <w:szCs w:val="20"/>
                <w:color w:val="auto"/>
              </w:rPr>
            </w:pPr>
            <w:r>
              <w:rPr>
                <w:rFonts w:ascii="Arial" w:cs="Arial" w:eastAsia="Arial" w:hAnsi="Arial"/>
                <w:sz w:val="18"/>
                <w:szCs w:val="18"/>
                <w:color w:val="auto"/>
              </w:rPr>
              <w:t>Section 9.04.</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Successors and Assigns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9.05.</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Governing Law</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9.06.</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Jurisdiction</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9.07.</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WAIVER OF JURY TRIAL</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9.08.</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Counterparts; Effectiveness; Third Party Beneficiaries</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9.09.</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Entire Agreement</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9.10.</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Severability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9.11.</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Survival of Representations, Warranties and Covenants</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9.12.</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Specific Performance</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6"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Schedules</w:t>
      </w:r>
    </w:p>
    <w:p>
      <w:pPr>
        <w:spacing w:after="0" w:line="1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Schedule A</w:t>
      </w:r>
      <w:r>
        <w:rPr>
          <w:sz w:val="20"/>
          <w:szCs w:val="20"/>
          <w:color w:val="auto"/>
        </w:rPr>
        <w:tab/>
      </w:r>
      <w:r>
        <w:rPr>
          <w:rFonts w:ascii="Arial" w:cs="Arial" w:eastAsia="Arial" w:hAnsi="Arial"/>
          <w:sz w:val="15"/>
          <w:szCs w:val="15"/>
          <w:color w:val="auto"/>
        </w:rPr>
        <w:t>List of Required Consents</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Schedule B</w:t>
      </w:r>
      <w:r>
        <w:rPr>
          <w:sz w:val="20"/>
          <w:szCs w:val="20"/>
          <w:color w:val="auto"/>
        </w:rPr>
        <w:tab/>
      </w:r>
      <w:r>
        <w:rPr>
          <w:rFonts w:ascii="Arial" w:cs="Arial" w:eastAsia="Arial" w:hAnsi="Arial"/>
          <w:sz w:val="16"/>
          <w:szCs w:val="16"/>
          <w:color w:val="auto"/>
        </w:rPr>
        <w:t>Form of Instrument of Transfer</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Schedule C</w:t>
      </w:r>
      <w:r>
        <w:rPr>
          <w:sz w:val="20"/>
          <w:szCs w:val="20"/>
          <w:color w:val="auto"/>
        </w:rPr>
        <w:tab/>
      </w:r>
      <w:r>
        <w:rPr>
          <w:rFonts w:ascii="Arial" w:cs="Arial" w:eastAsia="Arial" w:hAnsi="Arial"/>
          <w:sz w:val="16"/>
          <w:szCs w:val="16"/>
          <w:color w:val="auto"/>
        </w:rPr>
        <w:t>Form of Termination Notice</w:t>
      </w:r>
    </w:p>
    <w:p>
      <w:pPr>
        <w:spacing w:after="0" w:line="15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280" w:right="1440"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AGREEMENT</w:t>
      </w:r>
    </w:p>
    <w:p>
      <w:pPr>
        <w:spacing w:after="0" w:line="171" w:lineRule="exact"/>
        <w:rPr>
          <w:sz w:val="20"/>
          <w:szCs w:val="20"/>
          <w:color w:val="auto"/>
        </w:rPr>
      </w:pPr>
    </w:p>
    <w:p>
      <w:pPr>
        <w:jc w:val="both"/>
        <w:ind w:right="280" w:firstLine="456"/>
        <w:spacing w:after="0" w:line="262" w:lineRule="auto"/>
        <w:rPr>
          <w:sz w:val="20"/>
          <w:szCs w:val="20"/>
          <w:color w:val="auto"/>
        </w:rPr>
      </w:pPr>
      <w:r>
        <w:rPr>
          <w:rFonts w:ascii="Arial" w:cs="Arial" w:eastAsia="Arial" w:hAnsi="Arial"/>
          <w:sz w:val="18"/>
          <w:szCs w:val="18"/>
          <w:color w:val="auto"/>
        </w:rPr>
        <w:t>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March 31, 2011 by and among Delphi Automotive LLP, a limited liability partnership formed under the laws of England and Wales, (the “</w:t>
      </w:r>
      <w:r>
        <w:rPr>
          <w:rFonts w:ascii="Arial" w:cs="Arial" w:eastAsia="Arial" w:hAnsi="Arial"/>
          <w:sz w:val="18"/>
          <w:szCs w:val="18"/>
          <w:b w:val="1"/>
          <w:bCs w:val="1"/>
          <w:color w:val="auto"/>
        </w:rPr>
        <w:t>Company</w:t>
      </w:r>
      <w:r>
        <w:rPr>
          <w:rFonts w:ascii="Arial" w:cs="Arial" w:eastAsia="Arial" w:hAnsi="Arial"/>
          <w:sz w:val="18"/>
          <w:szCs w:val="18"/>
          <w:color w:val="auto"/>
        </w:rPr>
        <w:t>”) and General Motors Holdings LLC, a limited liability company formed under the laws of the State of Delaware (“</w:t>
      </w:r>
      <w:r>
        <w:rPr>
          <w:rFonts w:ascii="Arial" w:cs="Arial" w:eastAsia="Arial" w:hAnsi="Arial"/>
          <w:sz w:val="18"/>
          <w:szCs w:val="18"/>
          <w:b w:val="1"/>
          <w:bCs w:val="1"/>
          <w:color w:val="auto"/>
        </w:rPr>
        <w:t>GM</w:t>
      </w:r>
      <w:r>
        <w:rPr>
          <w:rFonts w:ascii="Arial" w:cs="Arial" w:eastAsia="Arial" w:hAnsi="Arial"/>
          <w:sz w:val="18"/>
          <w:szCs w:val="18"/>
          <w:color w:val="auto"/>
        </w:rPr>
        <w: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 :</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GM is the record and beneficial owner of 1,750,000 Class A membership interests of the Company, representing 100% of the authorized and outstanding Class A membership interests of the Company (the “</w:t>
      </w:r>
      <w:r>
        <w:rPr>
          <w:rFonts w:ascii="Arial" w:cs="Arial" w:eastAsia="Arial" w:hAnsi="Arial"/>
          <w:sz w:val="18"/>
          <w:szCs w:val="18"/>
          <w:b w:val="1"/>
          <w:bCs w:val="1"/>
          <w:color w:val="auto"/>
        </w:rPr>
        <w:t>Class A Membership Interests</w:t>
      </w:r>
      <w:r>
        <w:rPr>
          <w:rFonts w:ascii="Arial" w:cs="Arial" w:eastAsia="Arial" w:hAnsi="Arial"/>
          <w:sz w:val="18"/>
          <w:szCs w:val="18"/>
          <w:color w:val="auto"/>
        </w:rPr>
        <w:t>”);</w:t>
      </w:r>
    </w:p>
    <w:p>
      <w:pPr>
        <w:spacing w:after="0" w:line="132" w:lineRule="exact"/>
        <w:rPr>
          <w:sz w:val="20"/>
          <w:szCs w:val="20"/>
          <w:color w:val="auto"/>
        </w:rPr>
      </w:pPr>
    </w:p>
    <w:p>
      <w:pPr>
        <w:ind w:right="640" w:firstLine="456"/>
        <w:spacing w:after="0" w:line="370" w:lineRule="auto"/>
        <w:rPr>
          <w:sz w:val="20"/>
          <w:szCs w:val="20"/>
          <w:color w:val="auto"/>
        </w:rPr>
      </w:pPr>
      <w:r>
        <w:rPr>
          <w:rFonts w:ascii="Arial" w:cs="Arial" w:eastAsia="Arial" w:hAnsi="Arial"/>
          <w:sz w:val="15"/>
          <w:szCs w:val="15"/>
          <w:color w:val="auto"/>
        </w:rPr>
        <w:t>WHEREAS, the Company desires to redeem the Class A Membership Interests from GM, and GM desires to effect the redemption by transferring, assigning and conveying the Class A Membership Interests to the Company, upon the terms and subject to the conditions hereinafter set forth;</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prior to or concurrently with the execution of this Agreement, the Company has received the Required Consents (as hereinafter defined);</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contained herein, the parties hereto agree as follows: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(a) As used herein, the following terms have the following meanings:</w:t>
      </w:r>
    </w:p>
    <w:p>
      <w:pPr>
        <w:spacing w:after="0" w:line="165"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 Agreement</w:t>
      </w:r>
      <w:r>
        <w:rPr>
          <w:rFonts w:ascii="Arial" w:cs="Arial" w:eastAsia="Arial" w:hAnsi="Arial"/>
          <w:sz w:val="18"/>
          <w:szCs w:val="18"/>
          <w:color w:val="auto"/>
        </w:rPr>
        <w:t>” means the Access Agreement between DIP Holdco 3, LLC and General Motors Company dated as of July 26, 2009, as amended on October 6, 2009.</w:t>
      </w:r>
    </w:p>
    <w:p>
      <w:pPr>
        <w:spacing w:after="0" w:line="120"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with respect to any Person, any other Person directly or indirectly controlling, controlled by, or under common control with such Person;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neither the Company nor any of its Subsidiaries shall be considered an Affiliate of GM. “</w:t>
      </w:r>
      <w:r>
        <w:rPr>
          <w:rFonts w:ascii="Arial" w:cs="Arial" w:eastAsia="Arial" w:hAnsi="Arial"/>
          <w:sz w:val="16"/>
          <w:szCs w:val="16"/>
          <w:b w:val="1"/>
          <w:bCs w:val="1"/>
          <w:color w:val="auto"/>
        </w:rPr>
        <w:t>Control</w:t>
      </w:r>
      <w:r>
        <w:rPr>
          <w:rFonts w:ascii="Arial" w:cs="Arial" w:eastAsia="Arial" w:hAnsi="Arial"/>
          <w:sz w:val="16"/>
          <w:szCs w:val="16"/>
          <w:color w:val="auto"/>
        </w:rPr>
        <w:t>,” “</w:t>
      </w:r>
      <w:r>
        <w:rPr>
          <w:rFonts w:ascii="Arial" w:cs="Arial" w:eastAsia="Arial" w:hAnsi="Arial"/>
          <w:sz w:val="16"/>
          <w:szCs w:val="16"/>
          <w:b w:val="1"/>
          <w:bCs w:val="1"/>
          <w:color w:val="auto"/>
        </w:rPr>
        <w:t>controlled</w:t>
      </w:r>
      <w:r>
        <w:rPr>
          <w:rFonts w:ascii="Arial" w:cs="Arial" w:eastAsia="Arial" w:hAnsi="Arial"/>
          <w:sz w:val="16"/>
          <w:szCs w:val="16"/>
          <w:color w:val="auto"/>
        </w:rPr>
        <w:t>” or “</w:t>
      </w:r>
      <w:r>
        <w:rPr>
          <w:rFonts w:ascii="Arial" w:cs="Arial" w:eastAsia="Arial" w:hAnsi="Arial"/>
          <w:sz w:val="16"/>
          <w:szCs w:val="16"/>
          <w:b w:val="1"/>
          <w:bCs w:val="1"/>
          <w:color w:val="auto"/>
        </w:rPr>
        <w:t>controlling</w:t>
      </w:r>
      <w:r>
        <w:rPr>
          <w:rFonts w:ascii="Arial" w:cs="Arial" w:eastAsia="Arial" w:hAnsi="Arial"/>
          <w:sz w:val="16"/>
          <w:szCs w:val="16"/>
          <w:color w:val="auto"/>
        </w:rPr>
        <w:t>” means, with</w:t>
      </w:r>
    </w:p>
    <w:p>
      <w:pPr>
        <w:sectPr>
          <w:pgSz w:w="11900" w:h="16838" w:orient="portrait"/>
          <w:cols w:equalWidth="0" w:num="1">
            <w:col w:w="11420"/>
          </w:cols>
          <w:pgMar w:left="240" w:top="274" w:right="239" w:bottom="1440" w:gutter="0" w:footer="0" w:header="0"/>
        </w:sectPr>
      </w:pPr>
    </w:p>
    <w:bookmarkStart w:id="105" w:name="page106"/>
    <w:bookmarkEnd w:id="10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any Person, any circumstance in which such Person is directly or indirectly controlled by another Person by virtue of the latter Person having the power to (i) elect, or cause the election of (whether by way of voting capital stock, by contract, trust or otherwise), the majority of the members of the board of managers, directors or a similar governing body of the first Person, or (ii) direct (whether by way of voting capital stock, by contract, trust or otherwise) the affairs and policies of such Person.</w:t>
      </w:r>
    </w:p>
    <w:p>
      <w:pPr>
        <w:spacing w:after="0" w:line="137"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Person, any transnational, domestic or foreign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 as amended as of the date of determination unless expressly specified otherwise.</w:t>
      </w:r>
    </w:p>
    <w:p>
      <w:pPr>
        <w:spacing w:after="0" w:line="136"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Saturday, Sunday or other day on which commercial banks in Detroit, Michigan or New York, New York are authorized or required by Applicable Law to close.</w:t>
      </w:r>
    </w:p>
    <w:p>
      <w:pPr>
        <w:spacing w:after="0" w:line="120"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C Membership Interests</w:t>
      </w:r>
      <w:r>
        <w:rPr>
          <w:rFonts w:ascii="Arial" w:cs="Arial" w:eastAsia="Arial" w:hAnsi="Arial"/>
          <w:sz w:val="18"/>
          <w:szCs w:val="18"/>
          <w:color w:val="auto"/>
        </w:rPr>
        <w:t>” means 100,000 Class C membership interests of the Company, representing 100% of the Company’s authorized and outstanding Class C membership interests, all of which are owned by PBGC as of the date of this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of the Closing.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Delphi Automotive LLP, a limited liability partnership formed under the laws of England and Wales.</w:t>
      </w:r>
    </w:p>
    <w:p>
      <w:pPr>
        <w:spacing w:after="0" w:line="171"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means the earlier of (a) the fourth anniversary of the Closing Date and (b) if the Company consummates an Initial Public Offering (as such term is defined in the LLP Agreement) or any other transaction pursuant to which membership interests or other equity securities of the Issuer or LLP (in each case, as defined in the LLP Agreement) are listed on the New York Stock Exchange, the Nasdaq Stock Market or a similar securities exchange that requires registration of listed securities under Section 12 of the Securities Exchange Act of 1934, as amended, prior to the fourth anniversary of the Closing Date, the later of (i) the date of consummation of such Initial Public Offering or date of effectiveness of such other listing, as applicable and (ii) October 6, 2011.</w:t>
      </w:r>
    </w:p>
    <w:p>
      <w:pPr>
        <w:spacing w:after="0" w:line="108"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or official, including any political subdivision thereof.</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06" w:name="page107"/>
    <w:bookmarkEnd w:id="10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Lien</w:t>
      </w:r>
      <w:r>
        <w:rPr>
          <w:rFonts w:ascii="Arial" w:cs="Arial" w:eastAsia="Arial" w:hAnsi="Arial"/>
          <w:sz w:val="16"/>
          <w:szCs w:val="16"/>
          <w:color w:val="auto"/>
        </w:rPr>
        <w:t>” means, with respect to any property or asset, any mortgage, lien, pledge, charge, security interest or encumbrance in respect of such property 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asset.</w:t>
      </w:r>
    </w:p>
    <w:p>
      <w:pPr>
        <w:spacing w:after="0" w:line="159" w:lineRule="exact"/>
        <w:rPr>
          <w:sz w:val="20"/>
          <w:szCs w:val="20"/>
          <w:color w:val="auto"/>
        </w:rPr>
      </w:pPr>
    </w:p>
    <w:p>
      <w:pPr>
        <w:ind w:right="3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LLP Agreement</w:t>
      </w:r>
      <w:r>
        <w:rPr>
          <w:rFonts w:ascii="Arial" w:cs="Arial" w:eastAsia="Arial" w:hAnsi="Arial"/>
          <w:sz w:val="16"/>
          <w:szCs w:val="16"/>
          <w:color w:val="auto"/>
        </w:rPr>
        <w:t>” means the Second Amended and Restated Limited Liability Partnership Agreement of Delphi Automotive LLP dated as of June 30, 2010 and the Side Letter among General Motors Company, SP Auto, Ltd., SPCP Group, LLC and DIP Holdco 5, Ltd. dated June 30, 2010.</w:t>
      </w:r>
    </w:p>
    <w:p>
      <w:pPr>
        <w:spacing w:after="0" w:line="74"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Facility Agreement</w:t>
      </w:r>
      <w:r>
        <w:rPr>
          <w:rFonts w:ascii="Arial" w:cs="Arial" w:eastAsia="Arial" w:hAnsi="Arial"/>
          <w:sz w:val="18"/>
          <w:szCs w:val="18"/>
          <w:color w:val="auto"/>
        </w:rPr>
        <w:t>” means the Credit Agreement dated as of October 6, 2009 among the Company (formerly DIP Holdco LLP) and the other borrowers party thereto, the Lenders party thereto and The Bank of New York Mellon, as administrative agent.</w:t>
      </w:r>
    </w:p>
    <w:p>
      <w:pPr>
        <w:spacing w:after="0" w:line="120"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on the Company or GM, as applicable, means any material delay or impairment of such Person’s ability to consummate the transactions contemplated by, or otherwise perform its obligations under, this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Pension Benefit Guaranty Corporation.</w:t>
      </w:r>
    </w:p>
    <w:p>
      <w:pPr>
        <w:spacing w:after="0" w:line="171"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 Transaction</w:t>
      </w:r>
      <w:r>
        <w:rPr>
          <w:rFonts w:ascii="Arial" w:cs="Arial" w:eastAsia="Arial" w:hAnsi="Arial"/>
          <w:sz w:val="18"/>
          <w:szCs w:val="18"/>
          <w:color w:val="auto"/>
        </w:rPr>
        <w:t>” means the purchase of the outstanding Class C Membership Interests of the Company in accordance with the terms of the Class C Redemption Agreement, dated as of the date hereof, previously provided to GM.</w:t>
      </w:r>
    </w:p>
    <w:p>
      <w:pPr>
        <w:spacing w:after="0" w:line="120" w:lineRule="exact"/>
        <w:rPr>
          <w:sz w:val="20"/>
          <w:szCs w:val="20"/>
          <w:color w:val="auto"/>
        </w:rPr>
      </w:pPr>
    </w:p>
    <w:p>
      <w:pPr>
        <w:ind w:right="4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general partnership, limited partnership, limited liability partnership, corporation, association, cooperative, joint stock company, trust, limited liability company, business or statutory trust, joint venture, other entity, unincorporated organization or Governmental Authority.</w:t>
      </w:r>
    </w:p>
    <w:p>
      <w:pPr>
        <w:spacing w:after="0" w:line="7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Person, each of its respective directors, officers, attorneys, accountants, employees, advisors, agents, consultants or any other individuals acting in an official capacity for or on behalf of such Person.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Consents</w:t>
      </w:r>
      <w:r>
        <w:rPr>
          <w:rFonts w:ascii="Arial" w:cs="Arial" w:eastAsia="Arial" w:hAnsi="Arial"/>
          <w:sz w:val="18"/>
          <w:szCs w:val="18"/>
          <w:color w:val="auto"/>
        </w:rPr>
        <w:t>” means the consents listed on Schedule A.</w:t>
      </w:r>
    </w:p>
    <w:p>
      <w:pPr>
        <w:spacing w:after="0" w:line="171"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entity of which securities or other ownership interests having ordinary voting power to elect a majority of the board of directors, board of managers or other persons performing similar functions are at the time directly or indirectly owned by such Person. References to Subsidiaries of GM do not include the Company or any Subsidiaries of the Company.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07" w:name="page108"/>
    <w:bookmarkEnd w:id="10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Each of the following terms is defined in the Section set forth opposite such term:</w:t>
      </w:r>
    </w:p>
    <w:p>
      <w:pPr>
        <w:spacing w:after="0" w:line="19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4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3120" w:type="dxa"/>
            <w:vAlign w:val="bottom"/>
          </w:tcPr>
          <w:p>
            <w:pPr>
              <w:jc w:val="center"/>
              <w:ind w:left="2133"/>
              <w:spacing w:after="0"/>
              <w:rPr>
                <w:sz w:val="20"/>
                <w:szCs w:val="20"/>
                <w:color w:val="auto"/>
              </w:rPr>
            </w:pPr>
            <w:r>
              <w:rPr>
                <w:rFonts w:ascii="Arial" w:cs="Arial" w:eastAsia="Arial" w:hAnsi="Arial"/>
                <w:sz w:val="14"/>
                <w:szCs w:val="14"/>
                <w:b w:val="1"/>
                <w:bCs w:val="1"/>
                <w:color w:val="auto"/>
                <w:w w:val="82"/>
              </w:rPr>
              <w:t>Section</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Agreement</w:t>
            </w:r>
          </w:p>
        </w:tc>
        <w:tc>
          <w:tcPr>
            <w:tcW w:w="3120" w:type="dxa"/>
            <w:vAlign w:val="bottom"/>
          </w:tcPr>
          <w:p>
            <w:pPr>
              <w:jc w:val="center"/>
              <w:ind w:left="2133"/>
              <w:spacing w:after="0"/>
              <w:rPr>
                <w:sz w:val="20"/>
                <w:szCs w:val="20"/>
                <w:color w:val="auto"/>
              </w:rPr>
            </w:pPr>
            <w:r>
              <w:rPr>
                <w:rFonts w:ascii="Arial" w:cs="Arial" w:eastAsia="Arial" w:hAnsi="Arial"/>
                <w:sz w:val="18"/>
                <w:szCs w:val="18"/>
                <w:color w:val="auto"/>
                <w:w w:val="85"/>
              </w:rPr>
              <w:t>Preamble</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Claims</w:t>
            </w:r>
          </w:p>
        </w:tc>
        <w:tc>
          <w:tcPr>
            <w:tcW w:w="3120" w:type="dxa"/>
            <w:vAlign w:val="bottom"/>
          </w:tcPr>
          <w:p>
            <w:pPr>
              <w:jc w:val="center"/>
              <w:ind w:left="2153"/>
              <w:spacing w:after="0"/>
              <w:rPr>
                <w:sz w:val="20"/>
                <w:szCs w:val="20"/>
                <w:color w:val="auto"/>
              </w:rPr>
            </w:pPr>
            <w:r>
              <w:rPr>
                <w:rFonts w:ascii="Arial" w:cs="Arial" w:eastAsia="Arial" w:hAnsi="Arial"/>
                <w:sz w:val="18"/>
                <w:szCs w:val="18"/>
                <w:color w:val="auto"/>
                <w:w w:val="87"/>
              </w:rPr>
              <w:t>Section 5.04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Class A Membership Interests</w:t>
            </w:r>
          </w:p>
        </w:tc>
        <w:tc>
          <w:tcPr>
            <w:tcW w:w="3120" w:type="dxa"/>
            <w:vAlign w:val="bottom"/>
          </w:tcPr>
          <w:p>
            <w:pPr>
              <w:jc w:val="center"/>
              <w:ind w:left="2153"/>
              <w:spacing w:after="0"/>
              <w:rPr>
                <w:sz w:val="20"/>
                <w:szCs w:val="20"/>
                <w:color w:val="auto"/>
              </w:rPr>
            </w:pPr>
            <w:r>
              <w:rPr>
                <w:rFonts w:ascii="Arial" w:cs="Arial" w:eastAsia="Arial" w:hAnsi="Arial"/>
                <w:sz w:val="18"/>
                <w:szCs w:val="18"/>
                <w:color w:val="auto"/>
                <w:w w:val="87"/>
              </w:rPr>
              <w:t>Recitals</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Closing</w:t>
            </w:r>
          </w:p>
        </w:tc>
        <w:tc>
          <w:tcPr>
            <w:tcW w:w="3120" w:type="dxa"/>
            <w:vAlign w:val="bottom"/>
          </w:tcPr>
          <w:p>
            <w:pPr>
              <w:jc w:val="center"/>
              <w:ind w:left="2153"/>
              <w:spacing w:after="0"/>
              <w:rPr>
                <w:sz w:val="20"/>
                <w:szCs w:val="20"/>
                <w:color w:val="auto"/>
              </w:rPr>
            </w:pPr>
            <w:r>
              <w:rPr>
                <w:rFonts w:ascii="Arial" w:cs="Arial" w:eastAsia="Arial" w:hAnsi="Arial"/>
                <w:sz w:val="18"/>
                <w:szCs w:val="18"/>
                <w:color w:val="auto"/>
                <w:w w:val="87"/>
              </w:rPr>
              <w:t>Section 2.02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Company</w:t>
            </w:r>
          </w:p>
        </w:tc>
        <w:tc>
          <w:tcPr>
            <w:tcW w:w="3120" w:type="dxa"/>
            <w:vAlign w:val="bottom"/>
          </w:tcPr>
          <w:p>
            <w:pPr>
              <w:jc w:val="center"/>
              <w:ind w:left="2133"/>
              <w:spacing w:after="0"/>
              <w:rPr>
                <w:sz w:val="20"/>
                <w:szCs w:val="20"/>
                <w:color w:val="auto"/>
              </w:rPr>
            </w:pPr>
            <w:r>
              <w:rPr>
                <w:rFonts w:ascii="Arial" w:cs="Arial" w:eastAsia="Arial" w:hAnsi="Arial"/>
                <w:sz w:val="18"/>
                <w:szCs w:val="18"/>
                <w:color w:val="auto"/>
                <w:w w:val="85"/>
              </w:rPr>
              <w:t>Preamble</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Discloser</w:t>
            </w:r>
          </w:p>
        </w:tc>
        <w:tc>
          <w:tcPr>
            <w:tcW w:w="3120" w:type="dxa"/>
            <w:vAlign w:val="bottom"/>
          </w:tcPr>
          <w:p>
            <w:pPr>
              <w:jc w:val="center"/>
              <w:ind w:left="2153"/>
              <w:spacing w:after="0"/>
              <w:rPr>
                <w:sz w:val="20"/>
                <w:szCs w:val="20"/>
                <w:color w:val="auto"/>
              </w:rPr>
            </w:pPr>
            <w:r>
              <w:rPr>
                <w:rFonts w:ascii="Arial" w:cs="Arial" w:eastAsia="Arial" w:hAnsi="Arial"/>
                <w:sz w:val="18"/>
                <w:szCs w:val="18"/>
                <w:color w:val="auto"/>
                <w:w w:val="87"/>
              </w:rPr>
              <w:t>Section 5.07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Financial Statements</w:t>
            </w:r>
          </w:p>
        </w:tc>
        <w:tc>
          <w:tcPr>
            <w:tcW w:w="3120" w:type="dxa"/>
            <w:vAlign w:val="bottom"/>
          </w:tcPr>
          <w:p>
            <w:pPr>
              <w:jc w:val="center"/>
              <w:ind w:left="2153"/>
              <w:spacing w:after="0"/>
              <w:rPr>
                <w:sz w:val="20"/>
                <w:szCs w:val="20"/>
                <w:color w:val="auto"/>
              </w:rPr>
            </w:pPr>
            <w:r>
              <w:rPr>
                <w:rFonts w:ascii="Arial" w:cs="Arial" w:eastAsia="Arial" w:hAnsi="Arial"/>
                <w:sz w:val="18"/>
                <w:szCs w:val="18"/>
                <w:color w:val="auto"/>
                <w:w w:val="87"/>
              </w:rPr>
              <w:t>Section 4.07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GM LLC</w:t>
            </w:r>
          </w:p>
        </w:tc>
        <w:tc>
          <w:tcPr>
            <w:tcW w:w="3120" w:type="dxa"/>
            <w:vAlign w:val="bottom"/>
          </w:tcPr>
          <w:p>
            <w:pPr>
              <w:jc w:val="center"/>
              <w:ind w:left="2153"/>
              <w:spacing w:after="0"/>
              <w:rPr>
                <w:sz w:val="20"/>
                <w:szCs w:val="20"/>
                <w:color w:val="auto"/>
              </w:rPr>
            </w:pPr>
            <w:r>
              <w:rPr>
                <w:rFonts w:ascii="Arial" w:cs="Arial" w:eastAsia="Arial" w:hAnsi="Arial"/>
                <w:sz w:val="18"/>
                <w:szCs w:val="18"/>
                <w:color w:val="auto"/>
                <w:w w:val="87"/>
              </w:rPr>
              <w:t>Section 5.09</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Information</w:t>
            </w:r>
          </w:p>
        </w:tc>
        <w:tc>
          <w:tcPr>
            <w:tcW w:w="3120" w:type="dxa"/>
            <w:vAlign w:val="bottom"/>
          </w:tcPr>
          <w:p>
            <w:pPr>
              <w:jc w:val="center"/>
              <w:ind w:left="2153"/>
              <w:spacing w:after="0"/>
              <w:rPr>
                <w:sz w:val="20"/>
                <w:szCs w:val="20"/>
                <w:color w:val="auto"/>
              </w:rPr>
            </w:pPr>
            <w:r>
              <w:rPr>
                <w:rFonts w:ascii="Arial" w:cs="Arial" w:eastAsia="Arial" w:hAnsi="Arial"/>
                <w:sz w:val="18"/>
                <w:szCs w:val="18"/>
                <w:color w:val="auto"/>
                <w:w w:val="87"/>
              </w:rPr>
              <w:t>Section 5.07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Instrument of Transfer</w:t>
            </w:r>
          </w:p>
        </w:tc>
        <w:tc>
          <w:tcPr>
            <w:tcW w:w="3120" w:type="dxa"/>
            <w:vAlign w:val="bottom"/>
          </w:tcPr>
          <w:p>
            <w:pPr>
              <w:jc w:val="center"/>
              <w:ind w:left="2153"/>
              <w:spacing w:after="0"/>
              <w:rPr>
                <w:sz w:val="20"/>
                <w:szCs w:val="20"/>
                <w:color w:val="auto"/>
              </w:rPr>
            </w:pPr>
            <w:r>
              <w:rPr>
                <w:rFonts w:ascii="Arial" w:cs="Arial" w:eastAsia="Arial" w:hAnsi="Arial"/>
                <w:sz w:val="18"/>
                <w:szCs w:val="18"/>
                <w:color w:val="auto"/>
                <w:w w:val="87"/>
              </w:rPr>
              <w:t>Section 2.02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Payoff Letters</w:t>
            </w:r>
          </w:p>
        </w:tc>
        <w:tc>
          <w:tcPr>
            <w:tcW w:w="3120" w:type="dxa"/>
            <w:vAlign w:val="bottom"/>
          </w:tcPr>
          <w:p>
            <w:pPr>
              <w:jc w:val="center"/>
              <w:ind w:left="2153"/>
              <w:spacing w:after="0"/>
              <w:rPr>
                <w:sz w:val="20"/>
                <w:szCs w:val="20"/>
                <w:color w:val="auto"/>
              </w:rPr>
            </w:pPr>
            <w:r>
              <w:rPr>
                <w:rFonts w:ascii="Arial" w:cs="Arial" w:eastAsia="Arial" w:hAnsi="Arial"/>
                <w:sz w:val="18"/>
                <w:szCs w:val="18"/>
                <w:color w:val="auto"/>
                <w:w w:val="87"/>
              </w:rPr>
              <w:t>Section 5.09</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Projections</w:t>
            </w:r>
          </w:p>
        </w:tc>
        <w:tc>
          <w:tcPr>
            <w:tcW w:w="3120" w:type="dxa"/>
            <w:vAlign w:val="bottom"/>
          </w:tcPr>
          <w:p>
            <w:pPr>
              <w:jc w:val="center"/>
              <w:ind w:left="2153"/>
              <w:spacing w:after="0"/>
              <w:rPr>
                <w:sz w:val="20"/>
                <w:szCs w:val="20"/>
                <w:color w:val="auto"/>
              </w:rPr>
            </w:pPr>
            <w:r>
              <w:rPr>
                <w:rFonts w:ascii="Arial" w:cs="Arial" w:eastAsia="Arial" w:hAnsi="Arial"/>
                <w:sz w:val="18"/>
                <w:szCs w:val="18"/>
                <w:color w:val="auto"/>
                <w:w w:val="87"/>
              </w:rPr>
              <w:t>Section 4.07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Recipient</w:t>
            </w:r>
          </w:p>
        </w:tc>
        <w:tc>
          <w:tcPr>
            <w:tcW w:w="3120" w:type="dxa"/>
            <w:vAlign w:val="bottom"/>
          </w:tcPr>
          <w:p>
            <w:pPr>
              <w:jc w:val="center"/>
              <w:ind w:left="2153"/>
              <w:spacing w:after="0"/>
              <w:rPr>
                <w:sz w:val="20"/>
                <w:szCs w:val="20"/>
                <w:color w:val="auto"/>
              </w:rPr>
            </w:pPr>
            <w:r>
              <w:rPr>
                <w:rFonts w:ascii="Arial" w:cs="Arial" w:eastAsia="Arial" w:hAnsi="Arial"/>
                <w:sz w:val="18"/>
                <w:szCs w:val="18"/>
                <w:color w:val="auto"/>
                <w:w w:val="87"/>
              </w:rPr>
              <w:t>Section 5.07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Redemption Price</w:t>
            </w:r>
          </w:p>
        </w:tc>
        <w:tc>
          <w:tcPr>
            <w:tcW w:w="3120" w:type="dxa"/>
            <w:vAlign w:val="bottom"/>
          </w:tcPr>
          <w:p>
            <w:pPr>
              <w:jc w:val="center"/>
              <w:ind w:left="2153"/>
              <w:spacing w:after="0"/>
              <w:rPr>
                <w:sz w:val="20"/>
                <w:szCs w:val="20"/>
                <w:color w:val="auto"/>
              </w:rPr>
            </w:pPr>
            <w:r>
              <w:rPr>
                <w:rFonts w:ascii="Arial" w:cs="Arial" w:eastAsia="Arial" w:hAnsi="Arial"/>
                <w:sz w:val="18"/>
                <w:szCs w:val="18"/>
                <w:color w:val="auto"/>
                <w:w w:val="87"/>
              </w:rPr>
              <w:t>Section 2.01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SEC</w:t>
            </w:r>
          </w:p>
        </w:tc>
        <w:tc>
          <w:tcPr>
            <w:tcW w:w="3120" w:type="dxa"/>
            <w:vAlign w:val="bottom"/>
          </w:tcPr>
          <w:p>
            <w:pPr>
              <w:jc w:val="center"/>
              <w:ind w:left="2153"/>
              <w:spacing w:after="0"/>
              <w:rPr>
                <w:sz w:val="20"/>
                <w:szCs w:val="20"/>
                <w:color w:val="auto"/>
              </w:rPr>
            </w:pPr>
            <w:r>
              <w:rPr>
                <w:rFonts w:ascii="Arial" w:cs="Arial" w:eastAsia="Arial" w:hAnsi="Arial"/>
                <w:sz w:val="18"/>
                <w:szCs w:val="18"/>
                <w:color w:val="auto"/>
                <w:w w:val="87"/>
              </w:rPr>
              <w:t>Section 5.07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Securities Act</w:t>
            </w:r>
          </w:p>
        </w:tc>
        <w:tc>
          <w:tcPr>
            <w:tcW w:w="3120" w:type="dxa"/>
            <w:vAlign w:val="bottom"/>
          </w:tcPr>
          <w:p>
            <w:pPr>
              <w:jc w:val="center"/>
              <w:ind w:left="2153"/>
              <w:spacing w:after="0"/>
              <w:rPr>
                <w:sz w:val="20"/>
                <w:szCs w:val="20"/>
                <w:color w:val="auto"/>
              </w:rPr>
            </w:pPr>
            <w:r>
              <w:rPr>
                <w:rFonts w:ascii="Arial" w:cs="Arial" w:eastAsia="Arial" w:hAnsi="Arial"/>
                <w:sz w:val="18"/>
                <w:szCs w:val="18"/>
                <w:color w:val="auto"/>
                <w:w w:val="87"/>
              </w:rPr>
              <w:t>Section 3.09</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GM</w:t>
            </w:r>
          </w:p>
        </w:tc>
        <w:tc>
          <w:tcPr>
            <w:tcW w:w="3120" w:type="dxa"/>
            <w:vAlign w:val="bottom"/>
          </w:tcPr>
          <w:p>
            <w:pPr>
              <w:jc w:val="center"/>
              <w:ind w:left="2133"/>
              <w:spacing w:after="0"/>
              <w:rPr>
                <w:sz w:val="20"/>
                <w:szCs w:val="20"/>
                <w:color w:val="auto"/>
              </w:rPr>
            </w:pPr>
            <w:r>
              <w:rPr>
                <w:rFonts w:ascii="Arial" w:cs="Arial" w:eastAsia="Arial" w:hAnsi="Arial"/>
                <w:sz w:val="18"/>
                <w:szCs w:val="18"/>
                <w:color w:val="auto"/>
                <w:w w:val="85"/>
              </w:rPr>
              <w:t>Preamble</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Termination Notice</w:t>
            </w:r>
          </w:p>
        </w:tc>
        <w:tc>
          <w:tcPr>
            <w:tcW w:w="3120" w:type="dxa"/>
            <w:vAlign w:val="bottom"/>
          </w:tcPr>
          <w:p>
            <w:pPr>
              <w:jc w:val="center"/>
              <w:ind w:left="2153"/>
              <w:spacing w:after="0"/>
              <w:rPr>
                <w:sz w:val="20"/>
                <w:szCs w:val="20"/>
                <w:color w:val="auto"/>
              </w:rPr>
            </w:pPr>
            <w:r>
              <w:rPr>
                <w:rFonts w:ascii="Arial" w:cs="Arial" w:eastAsia="Arial" w:hAnsi="Arial"/>
                <w:sz w:val="18"/>
                <w:szCs w:val="18"/>
                <w:color w:val="auto"/>
                <w:w w:val="87"/>
              </w:rPr>
              <w:t>Section 5.09</w:t>
            </w:r>
          </w:p>
        </w:tc>
      </w:tr>
    </w:tbl>
    <w:p>
      <w:pPr>
        <w:spacing w:after="0" w:line="15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 1.02</w:t>
      </w:r>
      <w:r>
        <w:rPr>
          <w:rFonts w:ascii="Arial" w:cs="Arial" w:eastAsia="Arial" w:hAnsi="Arial"/>
          <w:sz w:val="16"/>
          <w:szCs w:val="16"/>
          <w:i w:val="1"/>
          <w:iCs w:val="1"/>
          <w:color w:val="auto"/>
        </w:rPr>
        <w:t>. Other Definitional and Interpretative Provisions.</w:t>
      </w:r>
      <w:r>
        <w:rPr>
          <w:rFonts w:ascii="Arial" w:cs="Arial" w:eastAsia="Arial" w:hAnsi="Arial"/>
          <w:sz w:val="16"/>
          <w:szCs w:val="16"/>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or in any document or certificate made or delivered pursuant hereto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law or statute shall be deemed to refer to such law or statute as amended, modified or supplemented from time to time and to any rules or regulations promulgated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108" w:name="page109"/>
    <w:bookmarkEnd w:id="10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thereunder, including by succession of comparable successor laws. References to any agreement or contract, including the LLP Agreement and the Loan Facility Agreement, are to that agreement or contract in effect on the date hereof prior to the execution and delivery of this Agreement.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and all Applicable Law. References to “$” shall mean the lawful currency of the United States of America.</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w:t>
      </w:r>
    </w:p>
    <w:p>
      <w:pPr>
        <w:spacing w:after="0" w:line="165"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Redemption</w:t>
      </w:r>
      <w:r>
        <w:rPr>
          <w:rFonts w:ascii="Arial" w:cs="Arial" w:eastAsia="Arial" w:hAnsi="Arial"/>
          <w:sz w:val="18"/>
          <w:szCs w:val="18"/>
          <w:color w:val="auto"/>
        </w:rPr>
        <w:t>. Upon the terms and subject to the conditions of this Agreement, the Company agrees to redeem from GM, and GM agrees to transfer, assign and convey to the Company, the Class A Membership Interests at the Closing. The consideration payable by the Company to GM for the redemption of the Class A Membership Interests (the “</w:t>
      </w:r>
      <w:r>
        <w:rPr>
          <w:rFonts w:ascii="Arial" w:cs="Arial" w:eastAsia="Arial" w:hAnsi="Arial"/>
          <w:sz w:val="18"/>
          <w:szCs w:val="18"/>
          <w:b w:val="1"/>
          <w:bCs w:val="1"/>
          <w:color w:val="auto"/>
        </w:rPr>
        <w:t>Redemption Price</w:t>
      </w:r>
      <w:r>
        <w:rPr>
          <w:rFonts w:ascii="Arial" w:cs="Arial" w:eastAsia="Arial" w:hAnsi="Arial"/>
          <w:sz w:val="18"/>
          <w:szCs w:val="18"/>
          <w:color w:val="auto"/>
        </w:rPr>
        <w:t>”) is $3,791,400,000 in cash. The Redemption Price shall be paid as provided in Section 2.02.</w:t>
      </w:r>
    </w:p>
    <w:p>
      <w:pPr>
        <w:spacing w:after="0" w:line="137"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Closing</w:t>
      </w:r>
      <w:r>
        <w:rPr>
          <w:rFonts w:ascii="Arial" w:cs="Arial" w:eastAsia="Arial" w:hAnsi="Arial"/>
          <w:sz w:val="16"/>
          <w:szCs w:val="16"/>
          <w:color w:val="auto"/>
        </w:rPr>
        <w:t>. The closing (the “</w:t>
      </w:r>
      <w:r>
        <w:rPr>
          <w:rFonts w:ascii="Arial" w:cs="Arial" w:eastAsia="Arial" w:hAnsi="Arial"/>
          <w:sz w:val="16"/>
          <w:szCs w:val="16"/>
          <w:b w:val="1"/>
          <w:bCs w:val="1"/>
          <w:color w:val="auto"/>
        </w:rPr>
        <w:t>Closing</w:t>
      </w:r>
      <w:r>
        <w:rPr>
          <w:rFonts w:ascii="Arial" w:cs="Arial" w:eastAsia="Arial" w:hAnsi="Arial"/>
          <w:sz w:val="16"/>
          <w:szCs w:val="16"/>
          <w:color w:val="auto"/>
        </w:rPr>
        <w:t>”) of the redemption of the Class A Membership Interests hereunder shall take place at the offices of Davis Polk &amp; Wardwell LLP, 450 Lexington Avenue, New York, New York 10017, on March 31, 2011, subject to the conditions set forth in Article 7 having been satisfied (or, to the extent permitted by Applicable Law, waived by the party or parties entitled to the benefits thereof). At the Closing:</w:t>
      </w:r>
    </w:p>
    <w:p>
      <w:pPr>
        <w:spacing w:after="0" w:line="22" w:lineRule="exact"/>
        <w:rPr>
          <w:sz w:val="20"/>
          <w:szCs w:val="20"/>
          <w:color w:val="auto"/>
        </w:rPr>
      </w:pPr>
    </w:p>
    <w:p>
      <w:pPr>
        <w:ind w:left="460" w:right="40" w:firstLine="443"/>
        <w:spacing w:after="0" w:line="259" w:lineRule="auto"/>
        <w:tabs>
          <w:tab w:leader="none" w:pos="11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deliver or cause to be delivered to GM the Redemption Price in immediately available funds by wire transfer to an account of GM with a bank in New York City designated by GM, by notice to the Company, which notice shall be delivered not later than one Business Day prior to the Closing Date.</w:t>
      </w:r>
    </w:p>
    <w:p>
      <w:pPr>
        <w:spacing w:after="0" w:line="59" w:lineRule="exact"/>
        <w:rPr>
          <w:rFonts w:ascii="Arial" w:cs="Arial" w:eastAsia="Arial" w:hAnsi="Arial"/>
          <w:sz w:val="18"/>
          <w:szCs w:val="18"/>
          <w:color w:val="auto"/>
        </w:rPr>
      </w:pPr>
    </w:p>
    <w:p>
      <w:pPr>
        <w:ind w:left="460" w:right="260" w:firstLine="443"/>
        <w:spacing w:after="0" w:line="306" w:lineRule="auto"/>
        <w:tabs>
          <w:tab w:leader="none" w:pos="11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GM shall effect the redemption by transferring, assigning and conveying to the Company full ownership and title to the Class A Membership Interests free and clear of all Liens (except for any imposed under the LLP Agreement), and shall deliver to the Company (i) an instrument of transfer in substantially the form attached as Schedule B hereto (the “</w:t>
      </w:r>
      <w:r>
        <w:rPr>
          <w:rFonts w:ascii="Arial" w:cs="Arial" w:eastAsia="Arial" w:hAnsi="Arial"/>
          <w:sz w:val="16"/>
          <w:szCs w:val="16"/>
          <w:b w:val="1"/>
          <w:bCs w:val="1"/>
          <w:color w:val="auto"/>
        </w:rPr>
        <w:t>Instrument of Transfer</w:t>
      </w:r>
      <w:r>
        <w:rPr>
          <w:rFonts w:ascii="Arial" w:cs="Arial" w:eastAsia="Arial" w:hAnsi="Arial"/>
          <w:sz w:val="16"/>
          <w:szCs w:val="16"/>
          <w:color w:val="auto"/>
        </w:rPr>
        <w:t>”) and (ii) a receipt for the Redemption Price.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09" w:name="page110"/>
    <w:bookmarkEnd w:id="109"/>
    <w:p>
      <w:pPr>
        <w:jc w:val="both"/>
        <w:ind w:left="460" w:right="660" w:firstLine="443"/>
        <w:spacing w:after="0" w:line="370" w:lineRule="auto"/>
        <w:tabs>
          <w:tab w:leader="none" w:pos="1137" w:val="left"/>
        </w:tabs>
        <w:numPr>
          <w:ilvl w:val="0"/>
          <w:numId w:val="6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acknowledges that, other than as contemplated by this Agreement or any Schedule hereto, no additional opinions or other documents will be required to be delivered by GM or any other Person in order to consummate the transactions contemplated by this Agreement.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 OF</w:t>
      </w:r>
      <w:r>
        <w:rPr>
          <w:rFonts w:ascii="Arial" w:cs="Arial" w:eastAsia="Arial" w:hAnsi="Arial"/>
          <w:sz w:val="18"/>
          <w:szCs w:val="18"/>
          <w:color w:val="auto"/>
        </w:rPr>
        <w:t xml:space="preserve"> GM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GM represents and warrants to the Company as of the date hereof that: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Organization and Good Standing</w:t>
      </w:r>
      <w:r>
        <w:rPr>
          <w:rFonts w:ascii="Arial" w:cs="Arial" w:eastAsia="Arial" w:hAnsi="Arial"/>
          <w:sz w:val="18"/>
          <w:szCs w:val="18"/>
          <w:color w:val="auto"/>
        </w:rPr>
        <w:t>. GM is a limited liability company duly formed, validly existing and in good standing under the laws of the State of Delaware.</w:t>
      </w:r>
    </w:p>
    <w:p>
      <w:pPr>
        <w:spacing w:after="0" w:line="1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Section 3.02. </w:t>
      </w:r>
      <w:r>
        <w:rPr>
          <w:rFonts w:ascii="Arial" w:cs="Arial" w:eastAsia="Arial" w:hAnsi="Arial"/>
          <w:sz w:val="15"/>
          <w:szCs w:val="15"/>
          <w:i w:val="1"/>
          <w:iCs w:val="1"/>
          <w:color w:val="auto"/>
        </w:rPr>
        <w:t>Due Authorization</w:t>
      </w:r>
      <w:r>
        <w:rPr>
          <w:rFonts w:ascii="Arial" w:cs="Arial" w:eastAsia="Arial" w:hAnsi="Arial"/>
          <w:sz w:val="15"/>
          <w:szCs w:val="15"/>
          <w:color w:val="auto"/>
        </w:rPr>
        <w:t>. The execution, delivery and performance by GM of this Agreement and the consummation of the transactions contemplated hereby are within the limited liability company powers of GM and have been duly authorized by all necessary limited liability company action. Assuming due execution by the Company, this Agreement constitutes a legal, valid and binding agreement of GM, enforceable against GM in accordance with its terms, except as such enforcement may be limited by (i) bankruptcy, insolvency, reorganization, moratorium and other laws of general application affecting the rights and remedies of creditors, and (ii) general principles of equity (regardless of whether such enforcement is considered in a proceeding in equity or at law).</w:t>
      </w:r>
    </w:p>
    <w:p>
      <w:pPr>
        <w:spacing w:after="0" w:line="10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Ownership</w:t>
      </w:r>
      <w:r>
        <w:rPr>
          <w:rFonts w:ascii="Arial" w:cs="Arial" w:eastAsia="Arial" w:hAnsi="Arial"/>
          <w:sz w:val="18"/>
          <w:szCs w:val="18"/>
          <w:color w:val="auto"/>
        </w:rPr>
        <w:t>. GM is the lawful record and beneficial owner of the Class A Membership Interests and will transfer to the Company at the Closing good title to the Class A Membership Interests, free and clear of all Liens, and with no restriction on, or agreement relating to the voting rights, transfer, and other incidents of record and beneficial ownership pertaining to the Class A Membership Interests, except for any of the foregoing imposed under the LLP Agreement.</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Governmental Authorization</w:t>
      </w:r>
      <w:r>
        <w:rPr>
          <w:rFonts w:ascii="Arial" w:cs="Arial" w:eastAsia="Arial" w:hAnsi="Arial"/>
          <w:sz w:val="16"/>
          <w:szCs w:val="16"/>
          <w:color w:val="auto"/>
        </w:rPr>
        <w:t xml:space="preserve">. Other than the applicable filings required in Mexico with the Federal Competition Commission and in Brazil with CADE, each as set forth in Section 5.02 of this Agreement, the execution, delivery and performance by GM of this Agreement and the consummation of the transactions contemplated hereby require no action by or in respect of, or filing with, any Governmental Authority; </w:t>
      </w:r>
      <w:r>
        <w:rPr>
          <w:rFonts w:ascii="Arial" w:cs="Arial" w:eastAsia="Arial" w:hAnsi="Arial"/>
          <w:sz w:val="16"/>
          <w:szCs w:val="16"/>
          <w:i w:val="1"/>
          <w:iCs w:val="1"/>
          <w:color w:val="auto"/>
        </w:rPr>
        <w:t>provided</w:t>
      </w:r>
      <w:r>
        <w:rPr>
          <w:rFonts w:ascii="Arial" w:cs="Arial" w:eastAsia="Arial" w:hAnsi="Arial"/>
          <w:sz w:val="16"/>
          <w:szCs w:val="16"/>
          <w:color w:val="auto"/>
        </w:rPr>
        <w:t>, however, that no representation is made with respect to any such action or filing that is required as a result of information relating to the Company that is not known by GM.</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10" w:name="page111"/>
    <w:bookmarkEnd w:id="110"/>
    <w:p>
      <w:pPr>
        <w:ind w:right="6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3.05. </w:t>
      </w:r>
      <w:r>
        <w:rPr>
          <w:rFonts w:ascii="Arial" w:cs="Arial" w:eastAsia="Arial" w:hAnsi="Arial"/>
          <w:sz w:val="16"/>
          <w:szCs w:val="16"/>
          <w:i w:val="1"/>
          <w:iCs w:val="1"/>
          <w:color w:val="auto"/>
        </w:rPr>
        <w:t>Noncontravention</w:t>
      </w:r>
      <w:r>
        <w:rPr>
          <w:rFonts w:ascii="Arial" w:cs="Arial" w:eastAsia="Arial" w:hAnsi="Arial"/>
          <w:sz w:val="16"/>
          <w:szCs w:val="16"/>
          <w:color w:val="auto"/>
        </w:rPr>
        <w:t>. The execution, delivery and performance by GM of this Agreement and the consummation of the transactions contemplated hereby do not and will not (i) violate the certificate of formation, operating agreement or other applicable organizational documents of GM,</w:t>
      </w:r>
    </w:p>
    <w:p>
      <w:pPr>
        <w:ind w:right="60" w:firstLine="8"/>
        <w:spacing w:after="0" w:line="287" w:lineRule="auto"/>
        <w:tabs>
          <w:tab w:leader="none" w:pos="258" w:val="left"/>
        </w:tabs>
        <w:numPr>
          <w:ilvl w:val="0"/>
          <w:numId w:val="67"/>
        </w:numPr>
        <w:rPr>
          <w:rFonts w:ascii="Arial" w:cs="Arial" w:eastAsia="Arial" w:hAnsi="Arial"/>
          <w:sz w:val="16"/>
          <w:szCs w:val="16"/>
          <w:color w:val="auto"/>
        </w:rPr>
      </w:pPr>
      <w:r>
        <w:rPr>
          <w:rFonts w:ascii="Arial" w:cs="Arial" w:eastAsia="Arial" w:hAnsi="Arial"/>
          <w:sz w:val="16"/>
          <w:szCs w:val="16"/>
          <w:color w:val="auto"/>
        </w:rPr>
        <w:t>violate any Applicable Law (provided, however, that no representation is made with respect to the violation of any Applicable Law as a result of information relating to the Company that is not known by GM), (iii) other than the Required Consents, require any consent or other action by any Person under, constitute a default under, or give rise to any right of termination, cancellation or acceleration of any right or obligation of GM or to a loss of any benefit to which GM is entitled under any provision of any agreement or other instrument binding upon GM or any of its assets or properties (provided that no representation or warranty is made herein with respect to any such consent, action, default or right under the LLP Agreement or the Loan Facility Agreement) or (iv) result in the creation or imposition of any Lien on any asset of GM, except in the case of clauses (ii)-(iv) for (a) such violations that would not reasonably be expected to have, individually or in the aggregate, a Material Adverse Effect on GM, (b) such consents or actions the failure of which to be obtained or made would not reasonably be expected to have, individually or in the aggregate, a Material Adverse Effect on GM and (c) such Liens that would not reasonably be expected to have, individually or in the aggregate, a Material Adverse Effect on GM.</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Total Membership Interests</w:t>
      </w:r>
      <w:r>
        <w:rPr>
          <w:rFonts w:ascii="Arial" w:cs="Arial" w:eastAsia="Arial" w:hAnsi="Arial"/>
          <w:sz w:val="18"/>
          <w:szCs w:val="18"/>
          <w:color w:val="auto"/>
        </w:rPr>
        <w:t>. Except for the Class A Membership Interests, neither GM nor any Affiliate of GM beneficially owns (i) any other membership interests or other securities of the Company, (ii) any securities convertible into or exchangeable for membership interests of the Company (whether or not such securities are currently exercisable), or (iii) any options or other rights to acquire any membership interests or other securities of the Company, in each case, except as expressly set forth in the LLP Agreement.</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Finder’s Fees</w:t>
      </w:r>
      <w:r>
        <w:rPr>
          <w:rFonts w:ascii="Arial" w:cs="Arial" w:eastAsia="Arial" w:hAnsi="Arial"/>
          <w:sz w:val="18"/>
          <w:szCs w:val="18"/>
          <w:color w:val="auto"/>
        </w:rPr>
        <w:t>. No investment banker, broker, finder or other intermediary is entitled to a fee or commission from the Company in respect of this Agreement based upon any arrangement or agreement made by or on behalf of GM or any of its Affiliates.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Non-Reliance.</w:t>
      </w:r>
      <w:r>
        <w:rPr>
          <w:rFonts w:ascii="Arial" w:cs="Arial" w:eastAsia="Arial" w:hAnsi="Arial"/>
          <w:sz w:val="18"/>
          <w:szCs w:val="18"/>
          <w:color w:val="auto"/>
        </w:rPr>
        <w:t xml:space="preserve"> GM is an informed and sophisticated party and, in making the decision to enter into this Agreement and consummate the transactions contemplated hereby, has relied solely on its own independent analysis and investigation as of the date hereof and not on any information provided by the Company (other than the representations and warranties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1" w:name="page112"/>
    <w:bookmarkEnd w:id="111"/>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contained in this Agreement). Except for the representations and warranties contained in Article 4 and Article 6, GM acknowledges that none of the Company or any of its Subsidiaries or its Affiliates, or any other Person on behalf of the Company or any of its Subsidiaries or its Affiliates, makes or has made any other express or implied representation or warranty in connection with the transactions contemplated by this Agreement.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i w:val="1"/>
          <w:iCs w:val="1"/>
          <w:color w:val="auto"/>
        </w:rPr>
        <w:t>Private Offering</w:t>
      </w:r>
      <w:r>
        <w:rPr>
          <w:rFonts w:ascii="Arial" w:cs="Arial" w:eastAsia="Arial" w:hAnsi="Arial"/>
          <w:sz w:val="16"/>
          <w:szCs w:val="16"/>
          <w:color w:val="auto"/>
        </w:rPr>
        <w:t>. None of GM or its Affiliates has issued, sold or offered any security of the Company to any Person under circumstances that would cause the transfer of the Class A Membership Interests, as contemplated by this Agreement, to be subject to the registration requirements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None of GM or its Affiliates will offer the Class A Membership Interests or any part thereof or any similar securities for issuance or sale to, or solicit any offer to acquire any of the same from, any Person so as to make the transfer of the Class A Membership Interests subject to the registration requirements of Section 5 of the Securities Act. Assuming the representations of the Company contained in Section 4.10 are true and correct, the transfer of the Class A Membership Interests hereunder is exempt from the registration and prospectus delivery requirements of the Securities Act.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 OF THE</w:t>
      </w:r>
      <w:r>
        <w:rPr>
          <w:rFonts w:ascii="Arial" w:cs="Arial" w:eastAsia="Arial" w:hAnsi="Arial"/>
          <w:sz w:val="18"/>
          <w:szCs w:val="18"/>
          <w:color w:val="auto"/>
        </w:rPr>
        <w:t xml:space="preserve"> C</w:t>
      </w:r>
      <w:r>
        <w:rPr>
          <w:rFonts w:ascii="Arial" w:cs="Arial" w:eastAsia="Arial" w:hAnsi="Arial"/>
          <w:sz w:val="14"/>
          <w:szCs w:val="14"/>
          <w:color w:val="auto"/>
        </w:rPr>
        <w:t>OMPANY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represents and warrants to GM as of the date hereof that: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Organization and Good Standing</w:t>
      </w:r>
      <w:r>
        <w:rPr>
          <w:rFonts w:ascii="Arial" w:cs="Arial" w:eastAsia="Arial" w:hAnsi="Arial"/>
          <w:sz w:val="18"/>
          <w:szCs w:val="18"/>
          <w:color w:val="auto"/>
        </w:rPr>
        <w:t>. The Company is a limited liability partnership duly formed, validly existing and in good standing under the laws of England and Wales.</w:t>
      </w:r>
    </w:p>
    <w:p>
      <w:pPr>
        <w:spacing w:after="0" w:line="132"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Due Authorization</w:t>
      </w:r>
      <w:r>
        <w:rPr>
          <w:rFonts w:ascii="Arial" w:cs="Arial" w:eastAsia="Arial" w:hAnsi="Arial"/>
          <w:sz w:val="16"/>
          <w:szCs w:val="16"/>
          <w:color w:val="auto"/>
        </w:rPr>
        <w:t>. The execution, delivery and performance by the Company of this Agreement and the consummation of the transactions contemplated hereby are within the partnership powers of the Company and have been duly authorized by all necessary partnership action. This Agreement constitutes a legal, valid and binding agreement of the Company, enforceable against the Company in accordance with its terms, except as such enforcement may be limited by (i) bankruptcy, insolvency, reorganization, moratorium and other laws of general application affecting the rights and remedies of creditors, and</w:t>
      </w:r>
    </w:p>
    <w:p>
      <w:pPr>
        <w:spacing w:after="0" w:line="3" w:lineRule="exact"/>
        <w:rPr>
          <w:sz w:val="20"/>
          <w:szCs w:val="20"/>
          <w:color w:val="auto"/>
        </w:rPr>
      </w:pPr>
    </w:p>
    <w:p>
      <w:pPr>
        <w:ind w:left="5680" w:right="2820" w:hanging="5672"/>
        <w:spacing w:after="0" w:line="433" w:lineRule="auto"/>
        <w:tabs>
          <w:tab w:leader="none" w:pos="276" w:val="left"/>
        </w:tabs>
        <w:numPr>
          <w:ilvl w:val="0"/>
          <w:numId w:val="68"/>
        </w:numPr>
        <w:rPr>
          <w:rFonts w:ascii="Arial" w:cs="Arial" w:eastAsia="Arial" w:hAnsi="Arial"/>
          <w:sz w:val="18"/>
          <w:szCs w:val="18"/>
          <w:color w:val="auto"/>
        </w:rPr>
      </w:pPr>
      <w:r>
        <w:rPr>
          <w:rFonts w:ascii="Arial" w:cs="Arial" w:eastAsia="Arial" w:hAnsi="Arial"/>
          <w:sz w:val="18"/>
          <w:szCs w:val="18"/>
          <w:color w:val="auto"/>
        </w:rPr>
        <w:t>general principles of equity (regardless of whether such enforcement is considered in a proceeding in equity or at law). 8</w:t>
      </w:r>
    </w:p>
    <w:p>
      <w:pPr>
        <w:sectPr>
          <w:pgSz w:w="11900" w:h="16838" w:orient="portrait"/>
          <w:cols w:equalWidth="0" w:num="1">
            <w:col w:w="11420"/>
          </w:cols>
          <w:pgMar w:left="240" w:top="280" w:right="239" w:bottom="1440" w:gutter="0" w:footer="0" w:header="0"/>
        </w:sectPr>
      </w:pPr>
    </w:p>
    <w:bookmarkStart w:id="112" w:name="page113"/>
    <w:bookmarkEnd w:id="112"/>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4.03. </w:t>
      </w:r>
      <w:r>
        <w:rPr>
          <w:rFonts w:ascii="Arial" w:cs="Arial" w:eastAsia="Arial" w:hAnsi="Arial"/>
          <w:sz w:val="16"/>
          <w:szCs w:val="16"/>
          <w:i w:val="1"/>
          <w:iCs w:val="1"/>
          <w:color w:val="auto"/>
        </w:rPr>
        <w:t>Governmental Authorization</w:t>
      </w:r>
      <w:r>
        <w:rPr>
          <w:rFonts w:ascii="Arial" w:cs="Arial" w:eastAsia="Arial" w:hAnsi="Arial"/>
          <w:sz w:val="16"/>
          <w:szCs w:val="16"/>
          <w:color w:val="auto"/>
        </w:rPr>
        <w:t xml:space="preserve">. Other than the applicable filings required in Mexico with the Federal Competition Commission and in Brazil with CADE, each as set forth in Section 5.02 of this Agreement, the execution, delivery and performance by the Company of this Agreement and the consummation of the transactions contemplated hereby require no action by or in respect of, or filing with, any Governmental Authority; </w:t>
      </w:r>
      <w:r>
        <w:rPr>
          <w:rFonts w:ascii="Arial" w:cs="Arial" w:eastAsia="Arial" w:hAnsi="Arial"/>
          <w:sz w:val="16"/>
          <w:szCs w:val="16"/>
          <w:i w:val="1"/>
          <w:iCs w:val="1"/>
          <w:color w:val="auto"/>
        </w:rPr>
        <w:t>provided</w:t>
      </w:r>
      <w:r>
        <w:rPr>
          <w:rFonts w:ascii="Arial" w:cs="Arial" w:eastAsia="Arial" w:hAnsi="Arial"/>
          <w:sz w:val="16"/>
          <w:szCs w:val="16"/>
          <w:color w:val="auto"/>
        </w:rPr>
        <w:t>, however, that no representation is made with respect to any such action or filing that is required as a result of information relating to GM that is not known by the Company.</w:t>
      </w:r>
    </w:p>
    <w:p>
      <w:pPr>
        <w:spacing w:after="0" w:line="11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Noncontravention</w:t>
      </w:r>
      <w:r>
        <w:rPr>
          <w:rFonts w:ascii="Arial" w:cs="Arial" w:eastAsia="Arial" w:hAnsi="Arial"/>
          <w:sz w:val="16"/>
          <w:szCs w:val="16"/>
          <w:color w:val="auto"/>
        </w:rPr>
        <w:t>. The execution, delivery and performance by the Company of this Agreement and the consummation of the transactions contemplated hereby do not and will not (i) violate the LLP Agreement or other applicable organizational documents of the Company or any of its Subsidiaries,</w:t>
      </w:r>
    </w:p>
    <w:p>
      <w:pPr>
        <w:ind w:right="60" w:firstLine="8"/>
        <w:spacing w:after="0" w:line="286" w:lineRule="auto"/>
        <w:tabs>
          <w:tab w:leader="none" w:pos="258" w:val="left"/>
        </w:tabs>
        <w:numPr>
          <w:ilvl w:val="0"/>
          <w:numId w:val="69"/>
        </w:numPr>
        <w:rPr>
          <w:rFonts w:ascii="Arial" w:cs="Arial" w:eastAsia="Arial" w:hAnsi="Arial"/>
          <w:sz w:val="16"/>
          <w:szCs w:val="16"/>
          <w:color w:val="auto"/>
        </w:rPr>
      </w:pPr>
      <w:r>
        <w:rPr>
          <w:rFonts w:ascii="Arial" w:cs="Arial" w:eastAsia="Arial" w:hAnsi="Arial"/>
          <w:sz w:val="16"/>
          <w:szCs w:val="16"/>
          <w:color w:val="auto"/>
        </w:rPr>
        <w:t>violate any Applicable Law (provided, however, that no representation is made with respect to the violation of any Applicable Law as a result of information relating to GM that is not known by the Company), (iii) other than the Required Consents, require any consent or other action by any Person under, constitute a default under, or give rise to any right of termination, cancellation or acceleration of any right or obligation of the Company or any of its Subsidiaries or to a loss of any benefit to which the Company or any of its Subsidiaries is entitled under any provision of any agreement or other instrument binding upon the Company, such Subsidiaries or any of their respective assets or properties or (iv) result in the creation or imposition of any Lien on any asset of the Company or any of its Subsidiaries, except in the case of clauses (ii)-(iv) for (a) such violations that would not reasonably be expected to have, individually or in the aggregate, a Material Adverse Effect on the Company, (b) such consents or actions the failure of which to be obtained or made would not reasonably be expected to have, individually or in the aggregate, a Material Adverse Effect on the Company and (c) such Liens that would not reasonably be expected to have, individually or in the aggregate, a Material Adverse Effect on the Company. The Required Consents are in full force and effect, have not been amended or modified and are not subject to any condition or limitation other than those conditions and limitations, if any, expressly set forth in the Required Consents provided to GM.</w:t>
      </w:r>
    </w:p>
    <w:p>
      <w:pPr>
        <w:spacing w:after="0" w:line="12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Financing</w:t>
      </w:r>
      <w:r>
        <w:rPr>
          <w:rFonts w:ascii="Arial" w:cs="Arial" w:eastAsia="Arial" w:hAnsi="Arial"/>
          <w:sz w:val="18"/>
          <w:szCs w:val="18"/>
          <w:color w:val="auto"/>
        </w:rPr>
        <w:t>. The Company has, or will have prior to the Closing, sufficient cash, available lines of credit or other sources of immediately available funds to enable it to make payment of the Redemption Price.</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Solvency</w:t>
      </w:r>
      <w:r>
        <w:rPr>
          <w:rFonts w:ascii="Arial" w:cs="Arial" w:eastAsia="Arial" w:hAnsi="Arial"/>
          <w:sz w:val="16"/>
          <w:szCs w:val="16"/>
          <w:color w:val="auto"/>
        </w:rPr>
        <w:t>. Immediately after giving effect to the transactions contemplated hereby, the Company (a) will be solvent (in that both the fair value of its assets will not be less than the sum of its debts and that the present fair saleable value of its assets will not be less than the amount required to</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113" w:name="page114"/>
    <w:bookmarkEnd w:id="113"/>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 its probable liabilities on its debts as they become absolute and matured); (b) will have adequate capital and liquidity with which to engage in its business; and (c) will not have incurred and does not plan to incur debts beyond its ability to pay as they become absolute and matured (including a reasonable estimate of the amount of all contingent liabilities). No transfer of property is being made and no obligation is being incurred in connection with the transactions contemplated hereby with the actual intent to hinder, delay or defraud either present or future creditors of the Company.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i w:val="1"/>
          <w:iCs w:val="1"/>
          <w:color w:val="auto"/>
        </w:rPr>
        <w:t>Financial Information.</w:t>
      </w:r>
      <w:r>
        <w:rPr>
          <w:rFonts w:ascii="Arial" w:cs="Arial" w:eastAsia="Arial" w:hAnsi="Arial"/>
          <w:sz w:val="16"/>
          <w:szCs w:val="16"/>
          <w:color w:val="auto"/>
        </w:rPr>
        <w:t xml:space="preserve"> The Company has previously furnished GM with copies of (i) audited consolidated balance sheets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and its Subsidiaries and the related audited consolidated statements of income and cash flows of the Company and its Subsidiaries as of December 31, 2010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(ii) unaudited monthly financial statements of the Company and its Subsidiaries dated March 2, 2011 for the month ending January 2011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Financial Statements</w:t>
      </w:r>
      <w:r>
        <w:rPr>
          <w:rFonts w:ascii="Arial" w:cs="Arial" w:eastAsia="Arial" w:hAnsi="Arial"/>
          <w:sz w:val="16"/>
          <w:szCs w:val="16"/>
          <w:color w:val="auto"/>
        </w:rPr>
        <w:t>”). The Financial Statements were (a) compiled from books and records regularly maintained by management of the Company used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prepare the financial statements of the Company and its Subsidiaries, (b) prepared in accordance with GAAP, consistently applied (except, with respect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referred to in clause (ii) above only, for the absence of footnote disclosure and year-end adjustments) and (c) prepared in compliance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Article IV of the LLP Agreement. The Financial Statements referred to in clause (i) above presents fairly in accordance with GAAP the financial position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results of operations and cash flows of the Company and its Subsidiaries at and as of the dates thereof and/or for the periods covered thereby. The financial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projections dated January 28, 2011 that were made available to GM by the Company (the “</w:t>
      </w:r>
      <w:r>
        <w:rPr>
          <w:rFonts w:ascii="Arial" w:cs="Arial" w:eastAsia="Arial" w:hAnsi="Arial"/>
          <w:sz w:val="15"/>
          <w:szCs w:val="15"/>
          <w:b w:val="1"/>
          <w:bCs w:val="1"/>
          <w:color w:val="auto"/>
        </w:rPr>
        <w:t>Projections</w:t>
      </w:r>
      <w:r>
        <w:rPr>
          <w:rFonts w:ascii="Arial" w:cs="Arial" w:eastAsia="Arial" w:hAnsi="Arial"/>
          <w:sz w:val="15"/>
          <w:szCs w:val="15"/>
          <w:color w:val="auto"/>
        </w:rPr>
        <w:t>”) (which were prepared by management and are the same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projections that were delivered to the lenders under GM’s credit facility and used for purposes of establishing management compensation targets) were prepared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good faith based upon assumptions believed by the Company to be reasonable at the time prepared, it being understood that (a) the Company makes no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representation or warranty that the Company’s actual results will not be lower than or greater than as set forth in the Projections; (b) such Projections (i) are not be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to viewed as facts, (ii) have not been updated to reflect any changes in assumptions from the date prepared, (iii) are based on a number of assumptions, including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to annual rates of vehicle production, some of which are based upon projections of vehicle manufacturers (including GM); and (c) actual results may materially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differ from the Projections. The parties acknowledge that the actual results for the month ending January 2011 as reflected in the unaudited monthly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the Company and its Subsidiaries referred to in the first sentence of this Section 4.07 reflect performance that is better than as set forth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Projections. The Board of Managers of the Company has not reviewed or approved financial projections of the Company for the 2011 or 2012 calendar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14" w:name="page115"/>
    <w:bookmarkEnd w:id="114"/>
    <w:p>
      <w:pPr>
        <w:ind w:right="70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years that reflect higher revenues, income or earnings before interest, taxes, depreciation and amortization than are set forth in the Projections, it being acknowledged that the Board of Managers has reviewed actual results of the Company for January and February 2011 which differ from the Projections.</w:t>
      </w:r>
    </w:p>
    <w:p>
      <w:pPr>
        <w:spacing w:after="0" w:line="62"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i w:val="1"/>
          <w:iCs w:val="1"/>
          <w:color w:val="auto"/>
        </w:rPr>
        <w:t>Finder’s Fees</w:t>
      </w:r>
      <w:r>
        <w:rPr>
          <w:rFonts w:ascii="Arial" w:cs="Arial" w:eastAsia="Arial" w:hAnsi="Arial"/>
          <w:sz w:val="16"/>
          <w:szCs w:val="16"/>
          <w:color w:val="auto"/>
        </w:rPr>
        <w:t>. No investment banker, broker, finder or other intermediary is entitled to a fee or commission from GM or any of its Subsidiaries in respect of this Agreement based upon any arrangement or agreement made by or on behalf of the Company or any of its Affiliates.</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i w:val="1"/>
          <w:iCs w:val="1"/>
          <w:color w:val="auto"/>
        </w:rPr>
        <w:t>Non-Reliance.</w:t>
      </w:r>
      <w:r>
        <w:rPr>
          <w:rFonts w:ascii="Arial" w:cs="Arial" w:eastAsia="Arial" w:hAnsi="Arial"/>
          <w:sz w:val="16"/>
          <w:szCs w:val="16"/>
          <w:color w:val="auto"/>
        </w:rPr>
        <w:t xml:space="preserve"> The Company is an informed and sophisticated party and, in making the decision to enter into this Agreement and consummate the transactions contemplated hereby, has relied solely on its own independent analysis and investigation as of the date hereof and not on any information provided by GM (other than the representations and warranties contained in this Agreement). Except for the representations and warranties contained in Article 3, the Company acknowledges that none of GM or its Affiliates, or any other Person on behalf of GM or its Affiliates, makes or has made any other express or implied representation or warranty in connection with the transactions contemplated by this Agreement.</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The Class A Membership Interests redeemed by the Company pursuant to this Agreement are being acquired for the Company’s own account, for investment only and not with a view to any public distribution thereof, and the Company shall not offer to sell or otherwise dispose of the Class A Membership Interests so acquired by it in violation of any of the registration requirements of the Securities Act.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 OF</w:t>
      </w:r>
      <w:r>
        <w:rPr>
          <w:rFonts w:ascii="Arial" w:cs="Arial" w:eastAsia="Arial" w:hAnsi="Arial"/>
          <w:sz w:val="18"/>
          <w:szCs w:val="18"/>
          <w:color w:val="auto"/>
        </w:rPr>
        <w:t xml:space="preserve"> T</w:t>
      </w:r>
      <w:r>
        <w:rPr>
          <w:rFonts w:ascii="Arial" w:cs="Arial" w:eastAsia="Arial" w:hAnsi="Arial"/>
          <w:sz w:val="14"/>
          <w:szCs w:val="14"/>
          <w:color w:val="auto"/>
        </w:rPr>
        <w:t>HE</w:t>
      </w:r>
      <w:r>
        <w:rPr>
          <w:rFonts w:ascii="Arial" w:cs="Arial" w:eastAsia="Arial" w:hAnsi="Arial"/>
          <w:sz w:val="18"/>
          <w:szCs w:val="18"/>
          <w:color w:val="auto"/>
        </w:rPr>
        <w:t xml:space="preserve"> P</w:t>
      </w:r>
      <w:r>
        <w:rPr>
          <w:rFonts w:ascii="Arial" w:cs="Arial" w:eastAsia="Arial" w:hAnsi="Arial"/>
          <w:sz w:val="14"/>
          <w:szCs w:val="14"/>
          <w:color w:val="auto"/>
        </w:rPr>
        <w:t>ARTIES</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Reasonable Best Efforts; Further Assurances</w:t>
      </w:r>
      <w:r>
        <w:rPr>
          <w:rFonts w:ascii="Arial" w:cs="Arial" w:eastAsia="Arial" w:hAnsi="Arial"/>
          <w:sz w:val="16"/>
          <w:szCs w:val="16"/>
          <w:color w:val="auto"/>
        </w:rPr>
        <w:t>. Subject to the terms and conditions of this Agreement, the Company and GM will use their reasonable best efforts to take, or cause to be taken, all actions and to do, or cause to be done, all things necessary under Applicable Law to consummate the transactions contemplated by this Agreement. The Company and GM agree to execute and deliver such other documents, certificates, agreements and other writings and to take such other actions as may be reasonably requested by the other party in order to cause the conditions to Closing in Article 7 to be satisfied, or otherwise are reasonably necessary or desirable and customary in order to consummate the transactions contemplated by this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5" w:name="page116"/>
    <w:bookmarkEnd w:id="115"/>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5.02. </w:t>
      </w:r>
      <w:r>
        <w:rPr>
          <w:rFonts w:ascii="Arial" w:cs="Arial" w:eastAsia="Arial" w:hAnsi="Arial"/>
          <w:sz w:val="16"/>
          <w:szCs w:val="16"/>
          <w:i w:val="1"/>
          <w:iCs w:val="1"/>
          <w:color w:val="auto"/>
        </w:rPr>
        <w:t>Certain Filings</w:t>
      </w:r>
      <w:r>
        <w:rPr>
          <w:rFonts w:ascii="Arial" w:cs="Arial" w:eastAsia="Arial" w:hAnsi="Arial"/>
          <w:sz w:val="16"/>
          <w:szCs w:val="16"/>
          <w:color w:val="auto"/>
        </w:rPr>
        <w:t>. The Company and GM shall use commercially reasonable efforts to cooperate with one another in taking, as promptly as practicable after the date hereof, any actions, or making any notifications or filings, in each case required in connection with the consummation of the transactions contemplated hereby, including (i) an appropriate filing in Mexico with the Federal Competition Commission of notification and report forms, if any, required under this Agreement pursuant to the Federal Economic Competition Law and (b) an appropriate filing in Brazil with CADE of notification and report forms, if any, required under this Agreement pursuant to the Brazil Competition Act (which filing shall be made no later than April 8, 2011). The Company, on the one hand, and GM, on the other hand, shall furnish to the other such necessary information and reasonable assistance as the other may request in connection with its preparation of any filing or submission which is necessary under applicable competition laws.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Termination of Access Agreement</w:t>
      </w:r>
      <w:r>
        <w:rPr>
          <w:rFonts w:ascii="Arial" w:cs="Arial" w:eastAsia="Arial" w:hAnsi="Arial"/>
          <w:sz w:val="16"/>
          <w:szCs w:val="16"/>
          <w:color w:val="auto"/>
        </w:rPr>
        <w:t xml:space="preserve">. GM and the Company hereby agree that, effective as of the Closing, the Access Agreement shall terminate in all respects without any further action by any Person, other than Section 8, and any terms or clauses referenced in Section 8, of the Access Agreement and the rights and obligations contained therein, which shall survive the Closing and the termination of the Access Agreement and shall continue in effect until the fourth anniversary of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that if, before the fourth anniversary of the Closing Date, any Event of Default (as defined in the Access Agreement) with respect to a specific Access Facility (as defined in the Access Agreement) occurs and remains uncured for three days after the Company receives written notice thereof, GM’s License (as set forth in the Access Agreement) with respect to the applicable Component Parts for which GM’s right to utilize the License has become effective in accordance with the Access Agreement and right to use such License will be perpetual and will not terminate on the fourth anniversary of the Closing Date.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Consent; Waiver and Release</w:t>
      </w:r>
      <w:r>
        <w:rPr>
          <w:rFonts w:ascii="Arial" w:cs="Arial" w:eastAsia="Arial" w:hAnsi="Arial"/>
          <w:sz w:val="16"/>
          <w:szCs w:val="16"/>
          <w:color w:val="auto"/>
        </w:rPr>
        <w:t>. (a) GM hereby (i) agrees that, effective as of the Closing, GM shall cease for all purposes of the LLP Agreement or otherwise to be a Member of the Company and shall cease to have any rights or, except as set forth in Section 5.04(c) below, any obligations under the LLP Agreement and (ii) irrevocably waives any and all Claims (as defined below) that it may have against the Company and its Subsidiaries following the Closing pursuant to or arising out of the LLP Agreement, the Loan Facility Agreement and/or those provisions of the Access Agreement that are terminated pursuant to and in accordance with Section 5.03 and, effective as of the Closing, GM hereby releases and forever discharges, from the beginning of time through the Closing, any and all claims, actions, causes of action, demands, rights, damages, debts, accounts, suits, expenses, attorneys’ fees and liabilities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16" w:name="page117"/>
    <w:bookmarkEnd w:id="116"/>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whatever kind or nature, in law (sounding in contract, tort, or otherwise), equity, or otherwise (collectively, “</w:t>
      </w:r>
      <w:r>
        <w:rPr>
          <w:rFonts w:ascii="Arial" w:cs="Arial" w:eastAsia="Arial" w:hAnsi="Arial"/>
          <w:sz w:val="16"/>
          <w:szCs w:val="16"/>
          <w:b w:val="1"/>
          <w:bCs w:val="1"/>
          <w:color w:val="auto"/>
        </w:rPr>
        <w:t>Claims</w:t>
      </w:r>
      <w:r>
        <w:rPr>
          <w:rFonts w:ascii="Arial" w:cs="Arial" w:eastAsia="Arial" w:hAnsi="Arial"/>
          <w:sz w:val="16"/>
          <w:szCs w:val="16"/>
          <w:color w:val="auto"/>
        </w:rPr>
        <w:t>”) pursuant to or arising out of the LLP Agreement, the Loan Facility Agreement and/or those provisions of the Access Agreement that are terminated pursuant to and in accordance with Section 5.03, whether now known or unknown, whether accrued or not accrued, which GM now has, owns or holds, or has at any time heretofore had, owned or held against the Company, other than Claims arising under this Agreement. For the avoidance of doubt, nothing herein shall affect any Claims arising between GM and any of its Affiliates, on the one hand, and the Company and its Subsidiaries, on the other hand, in the parties course of dealings as customer and supplier, or otherwise to the extent not pursuant to and not arising out of the LLP Agreement, Loan Facility Agreement and/or those provisions of the Access Agreement that are terminated pursuant to and in accordance with Section 5.03.</w:t>
      </w:r>
    </w:p>
    <w:p>
      <w:pPr>
        <w:spacing w:after="0" w:line="119" w:lineRule="exact"/>
        <w:rPr>
          <w:sz w:val="20"/>
          <w:szCs w:val="20"/>
          <w:color w:val="auto"/>
        </w:rPr>
      </w:pPr>
    </w:p>
    <w:p>
      <w:pPr>
        <w:ind w:firstLine="464"/>
        <w:spacing w:after="0" w:line="308" w:lineRule="auto"/>
        <w:tabs>
          <w:tab w:leader="none" w:pos="705" w:val="left"/>
        </w:tabs>
        <w:numPr>
          <w:ilvl w:val="0"/>
          <w:numId w:val="70"/>
        </w:numPr>
        <w:rPr>
          <w:rFonts w:ascii="Arial" w:cs="Arial" w:eastAsia="Arial" w:hAnsi="Arial"/>
          <w:sz w:val="15"/>
          <w:szCs w:val="15"/>
          <w:color w:val="auto"/>
        </w:rPr>
      </w:pPr>
      <w:r>
        <w:rPr>
          <w:rFonts w:ascii="Arial" w:cs="Arial" w:eastAsia="Arial" w:hAnsi="Arial"/>
          <w:sz w:val="15"/>
          <w:szCs w:val="15"/>
          <w:color w:val="auto"/>
        </w:rPr>
        <w:t>Except as otherwise set forth in clause (c) of this Section 5.04 with respect to Claims pursuant to or arising out of any breach or alleged breach by GM of Sections 13.1 and 13.2 of the LLP Agreement, the Company irrevocably waives any and all Claims that it may have against GM and its Affiliates following the Closing pursuant to or arising out of the LLP Agreement, the Loan Facility Agreement and/or those provisions of the Access Agreement that are terminated pursuant to and in accordance with Section 5.03 and, effective as of the Closing, the Company hereby releases and forever discharges, from the beginning of time through the Closing, any Claims pursuant to or arising out of the LLP Agreement, the Loan Facility Agreement and/or those provisions of the Access Agreement that are terminated pursuant to and in accordance with Section 5.03, whether now known or unknown, whether accrued or not accrued, which the Company now has, owns or holds, or has at any time heretofore had, owned or held against GM and its Affiliates, other than Claims arising under this Agreement. For the avoidance of doubt, nothing herein shall affect any Claims arising between GM and any of its Affiliates, on the one hand, and the Company and its Subsidiaries, on the other hand, in the parties course of dealings as customer and supplier, or otherwise to the extent not pursuant to and not arising out of the LLP Agreement, Loan Facility Agreement and/or those provisions of the Access Agreement that are terminated pursuant to and in accordance with Section 5.03.</w:t>
      </w:r>
    </w:p>
    <w:p>
      <w:pPr>
        <w:spacing w:after="0" w:line="109" w:lineRule="exact"/>
        <w:rPr>
          <w:rFonts w:ascii="Arial" w:cs="Arial" w:eastAsia="Arial" w:hAnsi="Arial"/>
          <w:sz w:val="15"/>
          <w:szCs w:val="15"/>
          <w:color w:val="auto"/>
        </w:rPr>
      </w:pPr>
    </w:p>
    <w:p>
      <w:pPr>
        <w:ind w:right="40" w:firstLine="464"/>
        <w:spacing w:after="0" w:line="256"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Notwithstanding the foregoing, with respect to any Claims waived and released pursuant to Section 5.04(b) relating to Sections 13.1 and 13.2 of the LLP Agreement, such waiver and release shall be limited to Claims pursuant to or arising out of any breach or alleged breach by GM of such sections of the LLP Agreement prior to the date hereof only. Nothing in this Section 5.04 shall affect any obligation of GM to comply with its obligations with respect to Confidential Information (as defined in the LLP Agreement) from and after the date hereof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17" w:name="page118"/>
    <w:bookmarkEnd w:id="11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and for the time period specified in Sections 13.1 and 13.2 of the LLP Agreement (regardless of whether such Sections of the LLP Agreement shall be amended following Closing).</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GM Consent Right.</w:t>
      </w:r>
      <w:r>
        <w:rPr>
          <w:rFonts w:ascii="Arial" w:cs="Arial" w:eastAsia="Arial" w:hAnsi="Arial"/>
          <w:sz w:val="18"/>
          <w:szCs w:val="18"/>
          <w:color w:val="auto"/>
        </w:rPr>
        <w:t xml:space="preserve"> Until the Expiration Date, GM shall have the right to approve the buyer in connection with any sale or other disposal of any business of the Company as to which the revenues received by such business from GM represent more than 15% of such business’ total revenue for the twelve-month period immediately preceding such sale or disposal;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GM’s approval shall not be unreasonably withheld, conditioned or delayed, such determination to be based upon GM’s reasonable assessment of the potential buyer solely in GM’s capacity as a customer of the Company;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nothing herein and no consent by GM hereunder shall modify GM’s rights under, or be deemed to constitute GM’s consent to the assignment of, its purchase orders and commercial agreements.</w:t>
      </w:r>
    </w:p>
    <w:p>
      <w:pPr>
        <w:spacing w:after="0" w:line="14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Resignations</w:t>
      </w:r>
      <w:r>
        <w:rPr>
          <w:rFonts w:ascii="Arial" w:cs="Arial" w:eastAsia="Arial" w:hAnsi="Arial"/>
          <w:sz w:val="18"/>
          <w:szCs w:val="18"/>
          <w:color w:val="auto"/>
        </w:rPr>
        <w:t>. At or prior to the Closing, at the Company’s election provided not less than three days before Closing, GM will deliver to the Company the resignation of, or otherwise remove, the current Class A Designee Manager elected to the Company’s Board of Managers by GM pursuant to the LLP Agreement, which resignation, or removal, shall be effective as of the Closing.</w:t>
      </w:r>
    </w:p>
    <w:p>
      <w:pPr>
        <w:spacing w:after="0" w:line="13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Section 5.07</w:t>
      </w:r>
      <w:r>
        <w:rPr>
          <w:rFonts w:ascii="Arial" w:cs="Arial" w:eastAsia="Arial" w:hAnsi="Arial"/>
          <w:sz w:val="16"/>
          <w:szCs w:val="16"/>
          <w:i w:val="1"/>
          <w:iCs w:val="1"/>
          <w:color w:val="auto"/>
        </w:rPr>
        <w:t>. Confidentiality</w:t>
      </w:r>
      <w:r>
        <w:rPr>
          <w:rFonts w:ascii="Arial" w:cs="Arial" w:eastAsia="Arial" w:hAnsi="Arial"/>
          <w:sz w:val="16"/>
          <w:szCs w:val="16"/>
          <w:color w:val="auto"/>
        </w:rPr>
        <w:t>. All information that each of the Company or GM (as applicable, the “</w:t>
      </w:r>
      <w:r>
        <w:rPr>
          <w:rFonts w:ascii="Arial" w:cs="Arial" w:eastAsia="Arial" w:hAnsi="Arial"/>
          <w:sz w:val="16"/>
          <w:szCs w:val="16"/>
          <w:b w:val="1"/>
          <w:bCs w:val="1"/>
          <w:color w:val="auto"/>
        </w:rPr>
        <w:t>Discloser</w:t>
      </w:r>
      <w:r>
        <w:rPr>
          <w:rFonts w:ascii="Arial" w:cs="Arial" w:eastAsia="Arial" w:hAnsi="Arial"/>
          <w:sz w:val="16"/>
          <w:szCs w:val="16"/>
          <w:color w:val="auto"/>
        </w:rPr>
        <w:t>”) has disclosed or provided to the other party (as applicable, the “</w:t>
      </w:r>
      <w:r>
        <w:rPr>
          <w:rFonts w:ascii="Arial" w:cs="Arial" w:eastAsia="Arial" w:hAnsi="Arial"/>
          <w:sz w:val="16"/>
          <w:szCs w:val="16"/>
          <w:b w:val="1"/>
          <w:bCs w:val="1"/>
          <w:color w:val="auto"/>
        </w:rPr>
        <w:t>Recipient</w:t>
      </w:r>
      <w:r>
        <w:rPr>
          <w:rFonts w:ascii="Arial" w:cs="Arial" w:eastAsia="Arial" w:hAnsi="Arial"/>
          <w:sz w:val="16"/>
          <w:szCs w:val="16"/>
          <w:color w:val="auto"/>
        </w:rPr>
        <w:t>”), whether written or otherwise, in connection with the transactions contemplated hereby and the negotiations and discussions that have occurred between GM and the Company in connection therewith (collectively, the “</w:t>
      </w:r>
      <w:r>
        <w:rPr>
          <w:rFonts w:ascii="Arial" w:cs="Arial" w:eastAsia="Arial" w:hAnsi="Arial"/>
          <w:sz w:val="16"/>
          <w:szCs w:val="16"/>
          <w:b w:val="1"/>
          <w:bCs w:val="1"/>
          <w:color w:val="auto"/>
        </w:rPr>
        <w:t>Information</w:t>
      </w:r>
      <w:r>
        <w:rPr>
          <w:rFonts w:ascii="Arial" w:cs="Arial" w:eastAsia="Arial" w:hAnsi="Arial"/>
          <w:sz w:val="16"/>
          <w:szCs w:val="16"/>
          <w:color w:val="auto"/>
        </w:rPr>
        <w:t>”), shall be treated as confidential by the Recipient and the Recipient shall use commercially reasonable efforts not to disclose the Information to any other Person. For purposes hereof, a Recipient shall be deemed to use commercially reasonable efforts not to disclose Information if it uses the same standard of care with respect to such Information as the Recipient uses with its own confidential information of similar kind and character, but not less than reasonable care. Notwithstanding the foregoing, (A) Information does not include information which: (i) is or becomes generally available to the public other than as a result of an unauthorized disclosure by the Recipient, (ii) is or becomes available to the Recipient on a non-confidential basis from a source other than the Discloser, (iii) was possessed or known by the Recipient prior to the disclosure thereof to the Recipient by the Discloser, or (iv) was or is developed by the Recipient without reference to the Information, (B) Information may be disclosed by Recipient to its, and its Affiliates’, Representatives, and the Recipient shall use commercially reasonable efforts to</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18" w:name="page119"/>
    <w:bookmarkEnd w:id="118"/>
    <w:p>
      <w:pPr>
        <w:ind w:right="1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cause its, and its Affiliates’, Representatives to abide by the terms of this Section 5.07, and (C) nothing in this Section 5.07 shall prohibit disclosure of Information by any party to the extent that such disclosure is (i) required by Applicable Law (including the rules or regulations of any applicable securities exchange or at the request of any Governmental Authority or other regulatory or self-regulatory body and including any disclosure contained in a registration statement on Form S-1, as such Form S-1 may be amended, filed with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in connection with an Initial Public Offering (as such term is defined in the LLP Agreement), contained in a Form 8-K, Form 10-Q, Form 10-K or other filings with the SEC or made in connection with applications for approval of the transactions contemplated herein) (ii) made pursuant to subpoena or other court or Governmental Authority proceedings,</w:t>
      </w:r>
    </w:p>
    <w:p>
      <w:pPr>
        <w:spacing w:after="0" w:line="1" w:lineRule="exact"/>
        <w:rPr>
          <w:sz w:val="20"/>
          <w:szCs w:val="20"/>
          <w:color w:val="auto"/>
        </w:rPr>
      </w:pPr>
    </w:p>
    <w:p>
      <w:pPr>
        <w:ind w:firstLine="8"/>
        <w:spacing w:after="0" w:line="288" w:lineRule="auto"/>
        <w:tabs>
          <w:tab w:leader="none" w:pos="307" w:val="left"/>
        </w:tabs>
        <w:numPr>
          <w:ilvl w:val="0"/>
          <w:numId w:val="71"/>
        </w:numPr>
        <w:rPr>
          <w:rFonts w:ascii="Arial" w:cs="Arial" w:eastAsia="Arial" w:hAnsi="Arial"/>
          <w:sz w:val="16"/>
          <w:szCs w:val="16"/>
          <w:color w:val="auto"/>
        </w:rPr>
      </w:pPr>
      <w:r>
        <w:rPr>
          <w:rFonts w:ascii="Arial" w:cs="Arial" w:eastAsia="Arial" w:hAnsi="Arial"/>
          <w:sz w:val="16"/>
          <w:szCs w:val="16"/>
          <w:color w:val="auto"/>
        </w:rPr>
        <w:t>made in any litigation regarding this Agreement or the transactions contemplated hereby, (iv) to PBGC in its capacity as holder of the Class C Membership Interests, or (v) made with the prior written consent of the other party. To the extent disclosure is required by Applicable Law, the disclosing party will, to the extent permitted by Applicable Law, provide as much advance notice to the other party of such proposed disclosure (including timing and content) as is reasonably practicable. The obligations with respect to Information in this Section 5.07 shall terminate two (2) years from the date hereof. The parties acknowledge that this Agreement (including all schedules hereto) and the terms and conditions hereof are not Confidential Information under the LLP Agreement or Information under this Agreement and that there is no expectation of confidentiality with respect thereto. The parties acknowledge and agree that this Agreement (including all schedules hereto) will be filed by GM or its Affiliates with the SEC.</w:t>
      </w:r>
    </w:p>
    <w:p>
      <w:pPr>
        <w:spacing w:after="0" w:line="12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i w:val="1"/>
          <w:iCs w:val="1"/>
          <w:color w:val="auto"/>
        </w:rPr>
        <w:t>Public Announcements</w:t>
      </w:r>
      <w:r>
        <w:rPr>
          <w:rFonts w:ascii="Arial" w:cs="Arial" w:eastAsia="Arial" w:hAnsi="Arial"/>
          <w:sz w:val="16"/>
          <w:szCs w:val="16"/>
          <w:color w:val="auto"/>
        </w:rPr>
        <w:t>. GM and the Company shall agree on the form of press release to announce this Agreement and the transactions contemplated hereby. Except as otherwise required by Applicable Law (including any disclosure contained in a registration statement on Form S-1, as such Form S-1 may be amended, filed with the SEC in connection with an Initial Public Offering (as such term is defined in the LLP Agreement) and any disclosure contained in a Form 8-K, Form 10-Q, Form 10-K or other filings with the SEC or made in connection with applications for approval of the transactions contemplated herein), GM and the Company agree that neither of them will make, issue or release any public announcement or public statement regarding this Agreement or the transactions contemplated hereby that are inconsistent with or contain Information in addition to that contained in such press release without first consulting with and obtaining the consent of the other party (such consent not to be unreasonably withheld). To the extent such disclosure is required by Applicable Law, the disclosing party will provide as much advance notice to the other party of such proposed disclosure (including timing and content) as is reasonably practicable.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19" w:name="page120"/>
    <w:bookmarkEnd w:id="11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5.09. </w:t>
      </w:r>
      <w:r>
        <w:rPr>
          <w:rFonts w:ascii="Arial" w:cs="Arial" w:eastAsia="Arial" w:hAnsi="Arial"/>
          <w:sz w:val="16"/>
          <w:szCs w:val="16"/>
          <w:i w:val="1"/>
          <w:iCs w:val="1"/>
          <w:color w:val="auto"/>
        </w:rPr>
        <w:t>Loan Facility Agreement</w:t>
      </w:r>
      <w:r>
        <w:rPr>
          <w:rFonts w:ascii="Arial" w:cs="Arial" w:eastAsia="Arial" w:hAnsi="Arial"/>
          <w:sz w:val="16"/>
          <w:szCs w:val="16"/>
          <w:color w:val="auto"/>
        </w:rPr>
        <w:t>. (a) The Company hereby acknowledges and agrees, on behalf of itself and each of the other Loan Parties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defined in the Loan Facility Agreement), that, effective upon Closing, General Motors LLC (as successor to General Motors Company) (“</w:t>
      </w:r>
      <w:r>
        <w:rPr>
          <w:rFonts w:ascii="Arial" w:cs="Arial" w:eastAsia="Arial" w:hAnsi="Arial"/>
          <w:sz w:val="16"/>
          <w:szCs w:val="16"/>
          <w:b w:val="1"/>
          <w:bCs w:val="1"/>
          <w:color w:val="auto"/>
        </w:rPr>
        <w:t>GM LLC</w:t>
      </w:r>
      <w:r>
        <w:rPr>
          <w:rFonts w:ascii="Arial" w:cs="Arial" w:eastAsia="Arial" w:hAnsi="Arial"/>
          <w:sz w:val="16"/>
          <w:szCs w:val="16"/>
          <w:color w:val="auto"/>
        </w:rPr>
        <w:t>”)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released from all commitments, obligations and liabilities under the Loan Facility Agreement. The Company shall (i) take all actions necessary to terminate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Facility Agreement, including delivering a notice of termination of the Loan Facility Agreement in substantially the form set forth in Schedule C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Notice</w:t>
      </w:r>
      <w:r>
        <w:rPr>
          <w:rFonts w:ascii="Arial" w:cs="Arial" w:eastAsia="Arial" w:hAnsi="Arial"/>
          <w:sz w:val="16"/>
          <w:szCs w:val="16"/>
          <w:color w:val="auto"/>
        </w:rPr>
        <w:t>”) to the Administrative Agent (as defined in the Loan Facility Agreement) at or prior to the Closing, (ii) provide GM with a copy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Notice and evidence of its delivery to the Administrative Agent at or prior to Closing, (iii) borrow at or prior to the Closing in excess of $890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secured indebtedness and (iv) request receipt from the Administrative Agent of customary “payoff” letters in respect of the termination of the Loan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stating that upon receipt of the referenced payoff amount the Loan Facility Agreement and all commitments thereunder will terminate (“</w:t>
      </w:r>
      <w:r>
        <w:rPr>
          <w:rFonts w:ascii="Arial" w:cs="Arial" w:eastAsia="Arial" w:hAnsi="Arial"/>
          <w:sz w:val="16"/>
          <w:szCs w:val="16"/>
          <w:b w:val="1"/>
          <w:bCs w:val="1"/>
          <w:color w:val="auto"/>
        </w:rPr>
        <w:t>Payoff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w:t>
      </w:r>
      <w:r>
        <w:rPr>
          <w:rFonts w:ascii="Arial" w:cs="Arial" w:eastAsia="Arial" w:hAnsi="Arial"/>
          <w:sz w:val="16"/>
          <w:szCs w:val="16"/>
          <w:color w:val="auto"/>
        </w:rPr>
        <w:t>”). Upon receipt of the copy of the Termination Notice and evidence of its delivery to the Administrative Agent pursuant to clause (ii) above, GM hereby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agrees, upon the request of the Company, to cause GM LLC to acknowledge in writing that all commitments of GM LLC under the Loan Facility Agreement have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been terminated in their entirety and no amounts are due and payable to GM LLC pursuant thereto and that GM LLC consents to the release by the Administrative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Agent of any Liens in the Collateral held by the Administrative Agent for the benefit of GM LLC and/or any of its Affiliates that are Lenders (as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 Facility Agreement).</w:t>
      </w:r>
    </w:p>
    <w:p>
      <w:pPr>
        <w:spacing w:after="0" w:line="165" w:lineRule="exact"/>
        <w:rPr>
          <w:sz w:val="20"/>
          <w:szCs w:val="20"/>
          <w:color w:val="auto"/>
        </w:rPr>
      </w:pPr>
    </w:p>
    <w:p>
      <w:pPr>
        <w:ind w:right="20" w:firstLine="464"/>
        <w:spacing w:after="0" w:line="290" w:lineRule="auto"/>
        <w:tabs>
          <w:tab w:leader="none" w:pos="70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Company agrees, on behalf of itself and each of the other Loan Parties, that it shall not, and shall ensure that no other Loan Parties will submit any requests for loans under the Loan Facility Agreement. Notwithstanding the foregoing, in the event that any Loan Party submits any requests for loans under the Loan Facility Agreement on or after the date hereof, the Company agrees, on behalf of itself and each of the other Loan Parties, that GM LLC shall have no obligations under the Loan Facility Agreement to fund any such loans. In consideration of the willingness of GM to enter into this Agreement, the Company, on behalf of itself and the Loan Parties, hereby waives and releases GM LLC, GM and their respective Subsidiaries (and each of their respective officers, employees, representatives, agents counsel and directors) from any and all Claims pursuant to or arising out of the Loan Facility Agreement in connection with GM LLC not funding any loans requested thereunder on or after the date hereof.</w:t>
      </w:r>
    </w:p>
    <w:p>
      <w:pPr>
        <w:spacing w:after="0" w:line="118" w:lineRule="exact"/>
        <w:rPr>
          <w:sz w:val="20"/>
          <w:szCs w:val="20"/>
          <w:color w:val="auto"/>
        </w:rPr>
      </w:pPr>
    </w:p>
    <w:p>
      <w:pPr>
        <w:jc w:val="center"/>
        <w:ind w:left="440" w:right="260"/>
        <w:spacing w:after="0" w:line="440"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Restrictions on Transfer</w:t>
      </w:r>
      <w:r>
        <w:rPr>
          <w:rFonts w:ascii="Arial" w:cs="Arial" w:eastAsia="Arial" w:hAnsi="Arial"/>
          <w:sz w:val="18"/>
          <w:szCs w:val="18"/>
          <w:color w:val="auto"/>
        </w:rPr>
        <w:t>. From and after the date hereof until the Closing Date or, if earlier, the date of termination of this Agreement, GM 16</w:t>
      </w:r>
    </w:p>
    <w:p>
      <w:pPr>
        <w:sectPr>
          <w:pgSz w:w="11900" w:h="16838" w:orient="portrait"/>
          <w:cols w:equalWidth="0" w:num="1">
            <w:col w:w="11420"/>
          </w:cols>
          <w:pgMar w:left="240" w:top="280" w:right="239" w:bottom="1440" w:gutter="0" w:footer="0" w:header="0"/>
        </w:sectPr>
      </w:pPr>
    </w:p>
    <w:bookmarkStart w:id="120" w:name="page121"/>
    <w:bookmarkEnd w:id="12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sell or otherwise transfer directly or indirectly, or create any Lien upon (other than Liens created by or resulting from the actions of the Company or any Affiliate of the Company), the Class A Membership Interests or any right, title or interest therein, or enter into any written or oral agreement to do any of the foregoing, other than at the Closing in accordance with this Agreement.</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Execution of Agreement</w:t>
      </w:r>
      <w:r>
        <w:rPr>
          <w:rFonts w:ascii="Arial" w:cs="Arial" w:eastAsia="Arial" w:hAnsi="Arial"/>
          <w:sz w:val="18"/>
          <w:szCs w:val="18"/>
          <w:color w:val="auto"/>
        </w:rPr>
        <w:t>. Each of the parties hereby agrees that it will not execute this Agreement or any of the documents referred to in Section 2.02 in the United Kingdom and that the Closing shall not take place in the United Kingdom.</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AX</w:t>
      </w:r>
      <w:r>
        <w:rPr>
          <w:rFonts w:ascii="Arial" w:cs="Arial" w:eastAsia="Arial" w:hAnsi="Arial"/>
          <w:sz w:val="18"/>
          <w:szCs w:val="18"/>
          <w:color w:val="auto"/>
        </w:rPr>
        <w:t xml:space="preserve"> M</w:t>
      </w:r>
      <w:r>
        <w:rPr>
          <w:rFonts w:ascii="Arial" w:cs="Arial" w:eastAsia="Arial" w:hAnsi="Arial"/>
          <w:sz w:val="14"/>
          <w:szCs w:val="14"/>
          <w:color w:val="auto"/>
        </w:rPr>
        <w:t>ATTERS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capitalized terms not defined in this Agreement and used in this Article 6 shall have the meaning ascribed to such terms in the LLP Agreement. Notwithstanding anything in this Agreement to the contrary, the provisions of this Article 6 shall remain in full force and effect until the expiration of the statute of limitations for the tax year that includes the payment of the Redemption Price. The parties acknowledge that the provisions of this Article 6 shall not be subject to the waiver and release of claims under Section 5.04 of this Agreement.</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Interim Closing of the Books</w:t>
      </w:r>
      <w:r>
        <w:rPr>
          <w:rFonts w:ascii="Arial" w:cs="Arial" w:eastAsia="Arial" w:hAnsi="Arial"/>
          <w:sz w:val="18"/>
          <w:szCs w:val="18"/>
          <w:color w:val="auto"/>
        </w:rPr>
        <w:t>. For purposes of determining GM’s allocable share of Company Tax Book Profits, Tax Book Losses and corresponding items of taxable income, gain, loss and deduction under Article VI of the LLP Agreement for the Company’s tax year including the Closing Date, the Company shall use, and the Board of Managers will specify under Section 6.3 of the LLP Agreement, the interim closing of the Company’s books method described in Treasury Regulations § 1.706-1(c)(2) and Proposed Treasury Regulations § 1.706-4, and the Company shall utilize the calendar day convention described in Proposed Treasury Regulations § 1.706-4(e)(1).</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Allocations</w:t>
      </w:r>
      <w:r>
        <w:rPr>
          <w:rFonts w:ascii="Arial" w:cs="Arial" w:eastAsia="Arial" w:hAnsi="Arial"/>
          <w:sz w:val="16"/>
          <w:szCs w:val="16"/>
          <w:color w:val="auto"/>
        </w:rPr>
        <w:t>. The Company shall allocate Tax Book Profits and the corresponding items of taxable income and gain realized through the Closing Date to the Members of the Company through the Closing Date in accordance with Article VI of the LLP Agreement, which will result in (i) except with respect to any Tax Book Profits and corresponding items of taxable income and gain specially allocated to certain holders of Class B Membership Interests in accordance with Article VI of the LLP Agreement, such Tax Book Profits and corresponding items of taxable income and gain being allocated to the Members through the Closing Date in accordance with the Applicable Distribution Percentages pursuant to Article VI and Section 5.1(a) of the LLP Agreement and (ii) no allocations being made to GM under Sections 6.5 through 6.8 of the LLP Agreement for the portion of the Company’s tax year ending on the Closing Date.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21" w:name="page122"/>
    <w:bookmarkEnd w:id="121"/>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6.03. </w:t>
      </w:r>
      <w:r>
        <w:rPr>
          <w:rFonts w:ascii="Arial" w:cs="Arial" w:eastAsia="Arial" w:hAnsi="Arial"/>
          <w:sz w:val="18"/>
          <w:szCs w:val="18"/>
          <w:i w:val="1"/>
          <w:iCs w:val="1"/>
          <w:color w:val="auto"/>
        </w:rPr>
        <w:t>Tax Treatment</w:t>
      </w:r>
      <w:r>
        <w:rPr>
          <w:rFonts w:ascii="Arial" w:cs="Arial" w:eastAsia="Arial" w:hAnsi="Arial"/>
          <w:sz w:val="18"/>
          <w:szCs w:val="18"/>
          <w:color w:val="auto"/>
        </w:rPr>
        <w:t>. (a) The parties agree that all payments made to GM under this Agreement shall be treated as payments made in exchange for GM’s interest in partnership property within the meaning of Code Section 736(b).</w:t>
      </w:r>
    </w:p>
    <w:p>
      <w:pPr>
        <w:spacing w:after="0" w:line="132" w:lineRule="exact"/>
        <w:rPr>
          <w:sz w:val="20"/>
          <w:szCs w:val="20"/>
          <w:color w:val="auto"/>
        </w:rPr>
      </w:pPr>
    </w:p>
    <w:p>
      <w:pPr>
        <w:ind w:right="80" w:firstLine="464"/>
        <w:spacing w:after="0" w:line="332" w:lineRule="auto"/>
        <w:tabs>
          <w:tab w:leader="none" w:pos="70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 represents and warrants that, to its knowledge, none of the Company’s non-U.S. Subsidiaries was a passive foreign investment company within the meaning of Code Section 1297 at any time after the date the Company acquired such Subsidiary and before the Closing Date.</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Tax Returns</w:t>
      </w:r>
      <w:r>
        <w:rPr>
          <w:rFonts w:ascii="Arial" w:cs="Arial" w:eastAsia="Arial" w:hAnsi="Arial"/>
          <w:sz w:val="18"/>
          <w:szCs w:val="18"/>
          <w:color w:val="auto"/>
        </w:rPr>
        <w:t>. (a) The parties shall file all tax returns, including any Schedules K-1s, consistent with, and shall not take any positions for tax purposes inconsistent with, the provisions of this Article 6.</w:t>
      </w:r>
    </w:p>
    <w:p>
      <w:pPr>
        <w:spacing w:after="0" w:line="132" w:lineRule="exact"/>
        <w:rPr>
          <w:sz w:val="20"/>
          <w:szCs w:val="20"/>
          <w:color w:val="auto"/>
        </w:rPr>
      </w:pPr>
    </w:p>
    <w:p>
      <w:pPr>
        <w:ind w:firstLine="464"/>
        <w:spacing w:after="0" w:line="298" w:lineRule="auto"/>
        <w:tabs>
          <w:tab w:leader="none" w:pos="705"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Notwithstanding anything in this Agreement or the Instrument of Transfer to the contrary, including Section 5.04, the provisions of Section 4.3(d) of the LLP Agreement, including the consent requirement in clause (ii) of that section, shall remain in full force and effect (but only with respect to pre-Closing Date items included on the return described in that section) following the redemption as if, solely for this purpose, the redemption had not occurred, until the Company’s tax returns for all tax periods ending before or that include the Closing Date have been finally filed.</w:t>
      </w:r>
    </w:p>
    <w:p>
      <w:pPr>
        <w:spacing w:after="0" w:line="112" w:lineRule="exact"/>
        <w:rPr>
          <w:rFonts w:ascii="Arial" w:cs="Arial" w:eastAsia="Arial" w:hAnsi="Arial"/>
          <w:sz w:val="16"/>
          <w:szCs w:val="16"/>
          <w:color w:val="auto"/>
        </w:rPr>
      </w:pPr>
    </w:p>
    <w:p>
      <w:pPr>
        <w:ind w:right="20" w:firstLine="464"/>
        <w:spacing w:after="0" w:line="288" w:lineRule="auto"/>
        <w:tabs>
          <w:tab w:leader="none" w:pos="695"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For the avoidance of doubt, with respect to the 2010 taxable year or any taxable year that ends after the Closing Date, GM shall not act, or be requested to act, as the Company’s Tax Matters Member after the Closing Date, and shall not sign, or be requested or required to sign, the Company’s tax returns for the 2010 taxable year or any portion of the 2011 taxable year. The Company agrees to use good faith efforts to appoint another qualified Member of the Company to act as Tax Matters Member with respect to the Company’s 2009 taxable year. At the request of the Company, GM shall cooperate fully with the Company in effecting the certification pursuant to Treasury Regulations § 301.6231(a)(7)-1(d) of such other Member of the Company as Tax Matters Member;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(i) if GM is no longer a Member at the time such other Member is selected, certify to GM that the other Member was selected as the Tax Matters Member for such taxable year(s) in accordance with the LLP Agreement and (ii) indemnify GM (A) for any reasonable out-of-pocket costs, not to exceed $15,000, GM incurs in providing the certification described in Treasury Regulations § 301.6231(a)(7)-1(d) and (B) against any liability arising as a result of such other Member not having been selected in accordance with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22" w:name="page123"/>
    <w:bookmarkEnd w:id="12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LLP Agreement as provided in Treasury Regulations § 301.6231(a)(7)-1(d)(4), unless the failure to select such other Member in accordance with the LLP Agreement results solely from any action or omission of GM. To the extent GM performs any duties as Tax Matters Member, notwithstanding Section 5.04 of this Agreement, the provisions of Section 4.3(b) and Section 11.1 of the LLP Agreement shall continue to apply to GM with respect to it acting as Tax Matters Member as if GM continued as a Member of the Company. In addition, the Company agrees to assist and provide resources to GM in support of its role as Tax Matters Member to the extent reasonably requested by GM.</w:t>
      </w:r>
    </w:p>
    <w:p>
      <w:pPr>
        <w:spacing w:after="0" w:line="14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Cooperation</w:t>
      </w:r>
      <w:r>
        <w:rPr>
          <w:rFonts w:ascii="Arial" w:cs="Arial" w:eastAsia="Arial" w:hAnsi="Arial"/>
          <w:sz w:val="16"/>
          <w:szCs w:val="16"/>
          <w:color w:val="auto"/>
        </w:rPr>
        <w:t>. (a) The Company agrees to cooperate fully, as and to the extent reasonably requested by GM, in connection with the preparation and filing of GM’s tax returns as they relate to the Company and the conduct of any audit, appeals, litigation or other proceeding with respect to GM’s taxes as they relate to the Company. GM agrees to (i) provide a statement to the Company specifying GM’s tax basis in its Class A Membership Interests and</w:t>
      </w:r>
    </w:p>
    <w:p>
      <w:pPr>
        <w:spacing w:after="0" w:line="1" w:lineRule="exact"/>
        <w:rPr>
          <w:sz w:val="20"/>
          <w:szCs w:val="20"/>
          <w:color w:val="auto"/>
        </w:rPr>
      </w:pPr>
    </w:p>
    <w:p>
      <w:pPr>
        <w:ind w:right="160" w:firstLine="8"/>
        <w:spacing w:after="0" w:line="312" w:lineRule="auto"/>
        <w:tabs>
          <w:tab w:leader="none" w:pos="258" w:val="left"/>
        </w:tabs>
        <w:numPr>
          <w:ilvl w:val="0"/>
          <w:numId w:val="75"/>
        </w:numPr>
        <w:rPr>
          <w:rFonts w:ascii="Arial" w:cs="Arial" w:eastAsia="Arial" w:hAnsi="Arial"/>
          <w:sz w:val="15"/>
          <w:szCs w:val="15"/>
          <w:color w:val="auto"/>
        </w:rPr>
      </w:pPr>
      <w:r>
        <w:rPr>
          <w:rFonts w:ascii="Arial" w:cs="Arial" w:eastAsia="Arial" w:hAnsi="Arial"/>
          <w:sz w:val="15"/>
          <w:szCs w:val="15"/>
          <w:color w:val="auto"/>
        </w:rPr>
        <w:t>cooperate fully in providing any information reasonably requested by the Company to substantiate the calculation or determination of that tax basis. In each case, such cooperation shall include, but not be limited to, the retention and, upon the request and at the expense of the requesting party, the provision of records and information that are reasonably relevant to the filing of any such tax return or the conduct of any such audit, appeal, litigation or other proceeding, or the making of such adjustments, as the case may be, and making employees available on a mutually convenient basis within normal business hours to provide additional information and explanation of any material provided hereunder. In addition, the Company shall make available to GM all information reasonably requested by GM for the entire calendar month in which the Closing Date occurs in connection with GM’s reporting, tax and accounting requirements.</w:t>
      </w:r>
    </w:p>
    <w:p>
      <w:pPr>
        <w:spacing w:after="0" w:line="106" w:lineRule="exact"/>
        <w:rPr>
          <w:rFonts w:ascii="Arial" w:cs="Arial" w:eastAsia="Arial" w:hAnsi="Arial"/>
          <w:sz w:val="15"/>
          <w:szCs w:val="15"/>
          <w:color w:val="auto"/>
        </w:rPr>
      </w:pPr>
    </w:p>
    <w:p>
      <w:pPr>
        <w:jc w:val="both"/>
        <w:ind w:right="80" w:firstLine="464"/>
        <w:spacing w:after="0" w:line="256" w:lineRule="auto"/>
        <w:tabs>
          <w:tab w:leader="none" w:pos="705"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Company shall determine, in accordance with its past practice and to its knowledge, whether any of the Company’s non-U.S. Subsidiaries was a controlled foreign corporation within the meaning of Code Section 957 (i) during the 2010 taxable year or (ii) during the pre-Closing Date portion of the 2011 taxable year and shall inform GM of that determination by April 30, 2011 with respect to the 2010 determination and by March 15, 2012 with respect to the 2011 determination, in each case in connection with the filing of GM’s tax returns.</w:t>
      </w:r>
    </w:p>
    <w:p>
      <w:pPr>
        <w:spacing w:after="0" w:line="143" w:lineRule="exact"/>
        <w:rPr>
          <w:rFonts w:ascii="Arial" w:cs="Arial" w:eastAsia="Arial" w:hAnsi="Arial"/>
          <w:sz w:val="18"/>
          <w:szCs w:val="18"/>
          <w:color w:val="auto"/>
        </w:rPr>
      </w:pPr>
    </w:p>
    <w:p>
      <w:pPr>
        <w:ind w:right="40" w:firstLine="464"/>
        <w:spacing w:after="0" w:line="259" w:lineRule="auto"/>
        <w:tabs>
          <w:tab w:leader="none" w:pos="695" w:val="left"/>
        </w:tabs>
        <w:numPr>
          <w:ilvl w:val="1"/>
          <w:numId w:val="75"/>
        </w:numPr>
        <w:rPr>
          <w:rFonts w:ascii="Arial" w:cs="Arial" w:eastAsia="Arial" w:hAnsi="Arial"/>
          <w:sz w:val="18"/>
          <w:szCs w:val="18"/>
          <w:color w:val="auto"/>
        </w:rPr>
      </w:pPr>
      <w:r>
        <w:rPr>
          <w:rFonts w:ascii="Arial" w:cs="Arial" w:eastAsia="Arial" w:hAnsi="Arial"/>
          <w:sz w:val="18"/>
          <w:szCs w:val="18"/>
          <w:color w:val="auto"/>
        </w:rPr>
        <w:t>Without limiting any of the foregoing, the Company shall, at GM’s expense with respect to any incremental cost to the Company, prepare or cause to be prepared and shall deliver to GM within 90 days of the Closing Date a good faith draft estimate of GM’s Schedule K-1 for the taxable year including the Closing Date with respect to GM’s investment in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23" w:name="page124"/>
    <w:bookmarkEnd w:id="123"/>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6.06. </w:t>
      </w:r>
      <w:r>
        <w:rPr>
          <w:rFonts w:ascii="Arial" w:cs="Arial" w:eastAsia="Arial" w:hAnsi="Arial"/>
          <w:sz w:val="18"/>
          <w:szCs w:val="18"/>
          <w:i w:val="1"/>
          <w:iCs w:val="1"/>
          <w:color w:val="auto"/>
        </w:rPr>
        <w:t>Transfer Taxes</w:t>
      </w:r>
      <w:r>
        <w:rPr>
          <w:rFonts w:ascii="Arial" w:cs="Arial" w:eastAsia="Arial" w:hAnsi="Arial"/>
          <w:sz w:val="18"/>
          <w:szCs w:val="18"/>
          <w:color w:val="auto"/>
        </w:rPr>
        <w:t>. Any U.K. stamp taxes (including any penalties and interest) incurred in connection with this Agreement or the transactions contemplated by this Agreement shall be paid by the Company.</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ONDITIONS TO</w:t>
      </w:r>
      <w:r>
        <w:rPr>
          <w:rFonts w:ascii="Arial" w:cs="Arial" w:eastAsia="Arial" w:hAnsi="Arial"/>
          <w:sz w:val="18"/>
          <w:szCs w:val="18"/>
          <w:color w:val="auto"/>
        </w:rPr>
        <w:t xml:space="preserve"> C</w:t>
      </w:r>
      <w:r>
        <w:rPr>
          <w:rFonts w:ascii="Arial" w:cs="Arial" w:eastAsia="Arial" w:hAnsi="Arial"/>
          <w:sz w:val="14"/>
          <w:szCs w:val="14"/>
          <w:color w:val="auto"/>
        </w:rPr>
        <w:t>LOSING</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Conditions to Obligations of the Company and GM</w:t>
      </w:r>
      <w:r>
        <w:rPr>
          <w:rFonts w:ascii="Arial" w:cs="Arial" w:eastAsia="Arial" w:hAnsi="Arial"/>
          <w:sz w:val="18"/>
          <w:szCs w:val="18"/>
          <w:color w:val="auto"/>
        </w:rPr>
        <w:t>. The obligations of the Company and GM to consummate the Closing are subject to the satisfaction (or, to the extent permitted by Applicable Law, waiver by the parties) of the following conditions:</w:t>
      </w:r>
    </w:p>
    <w:p>
      <w:pPr>
        <w:spacing w:after="0" w:line="51" w:lineRule="exact"/>
        <w:rPr>
          <w:sz w:val="20"/>
          <w:szCs w:val="20"/>
          <w:color w:val="auto"/>
        </w:rPr>
      </w:pPr>
    </w:p>
    <w:p>
      <w:pPr>
        <w:ind w:left="460" w:right="40" w:firstLine="443"/>
        <w:spacing w:after="0" w:line="256" w:lineRule="auto"/>
        <w:tabs>
          <w:tab w:leader="none" w:pos="1137"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provision of Applicable Law shall prohibit consummation of the Closing if violation of or non-compliance with such provision of Applicable Law would or would reasonably be expected to have a material adverse effect upon the Company or any of its material Subsidiaries (in the case of the Company’s obligation to consummate the Closing) or upon GM or any of its material Subsidiaries (in the case of GM’s obligation to consummate the Closing);</w:t>
      </w:r>
    </w:p>
    <w:p>
      <w:pPr>
        <w:spacing w:after="0" w:line="62" w:lineRule="exact"/>
        <w:rPr>
          <w:rFonts w:ascii="Arial" w:cs="Arial" w:eastAsia="Arial" w:hAnsi="Arial"/>
          <w:sz w:val="18"/>
          <w:szCs w:val="18"/>
          <w:color w:val="auto"/>
        </w:rPr>
      </w:pPr>
    </w:p>
    <w:p>
      <w:pPr>
        <w:ind w:left="460" w:right="280" w:firstLine="443"/>
        <w:spacing w:after="0" w:line="357" w:lineRule="auto"/>
        <w:tabs>
          <w:tab w:leader="none" w:pos="1147"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There shall be no effective order, writ, judgment, injunction, decree, stipulation or determination issued by a Governmental Authority of competent jurisdiction to the effect that the transactions contemplated by this Agreement may not be consummated as provided by this Agreement; and</w:t>
      </w:r>
    </w:p>
    <w:p>
      <w:pPr>
        <w:ind w:left="460" w:right="200" w:firstLine="443"/>
        <w:spacing w:after="0" w:line="259" w:lineRule="auto"/>
        <w:tabs>
          <w:tab w:leader="none" w:pos="113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actions by or in respect of or filings with any Governmental Authority required to permit the consummation of the Closing shall have been taken, made or obtained (including the expiration or termination of any applicable waiting period under the Federal Economic Competition Law in Mexico).</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Conditions to Obligation of the Company</w:t>
      </w:r>
      <w:r>
        <w:rPr>
          <w:rFonts w:ascii="Arial" w:cs="Arial" w:eastAsia="Arial" w:hAnsi="Arial"/>
          <w:sz w:val="18"/>
          <w:szCs w:val="18"/>
          <w:color w:val="auto"/>
        </w:rPr>
        <w:t>. The obligation of the Company to consummate the Closing is subject to the satisfaction (or, to the extent permitted by Applicable Law, waiver by the Company) of the following further conditions:</w:t>
      </w:r>
    </w:p>
    <w:p>
      <w:pPr>
        <w:spacing w:after="0" w:line="51" w:lineRule="exact"/>
        <w:rPr>
          <w:sz w:val="20"/>
          <w:szCs w:val="20"/>
          <w:color w:val="auto"/>
        </w:rPr>
      </w:pPr>
    </w:p>
    <w:p>
      <w:pPr>
        <w:jc w:val="both"/>
        <w:ind w:left="460" w:firstLine="443"/>
        <w:spacing w:after="0" w:line="259" w:lineRule="auto"/>
        <w:tabs>
          <w:tab w:leader="none" w:pos="1137"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GM shall have performed in all material respects all of its obligations hereunder required to be performed by it on or prior to the Closing Date except where the failure to do so would not, individually or in the aggregate, have a Material Adverse Effect on GM, (ii) the representations and warranties of GM contained in Section 3.02, Section 3.03,</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124" w:name="page125"/>
    <w:bookmarkEnd w:id="12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3.05(i), Section 3.06 and Section 3.07 shall be true and correct in all respects at and as of the Closing Date as if made on and as of the Closing</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Date, (iii) the other representations and warranties of GM contained in this Agreement and in the certificate to be delivered by GM pursuant to this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7.02(a) (disregarding all materiality or Material Adverse Effect qualifications contained therein) shall be true in all respects at and as of the Closing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Date as if made on and as of the Closing Date, with, in the case of this clause (iii) only, only such exceptions as would not in the aggregate reasonably be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expected to have a Material Adverse Effect on GM and (iv) the Company shall have received a certificate from GM, signed by an executive officer of GM,</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foregoing effect.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Conditions to Obligation of GM</w:t>
      </w:r>
      <w:r>
        <w:rPr>
          <w:rFonts w:ascii="Arial" w:cs="Arial" w:eastAsia="Arial" w:hAnsi="Arial"/>
          <w:sz w:val="16"/>
          <w:szCs w:val="16"/>
          <w:color w:val="auto"/>
        </w:rPr>
        <w:t>. The obligation of GM to consummate the Closing is subject to the satisfaction (or, to the extent permitted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Applicable Law, waiver by GM) of the following further conditions:</w:t>
      </w:r>
    </w:p>
    <w:p>
      <w:pPr>
        <w:spacing w:after="0" w:line="84" w:lineRule="exact"/>
        <w:rPr>
          <w:sz w:val="20"/>
          <w:szCs w:val="20"/>
          <w:color w:val="auto"/>
        </w:rPr>
      </w:pPr>
    </w:p>
    <w:p>
      <w:pPr>
        <w:ind w:left="460" w:right="140" w:firstLine="443"/>
        <w:spacing w:after="0" w:line="289" w:lineRule="auto"/>
        <w:tabs>
          <w:tab w:leader="none" w:pos="1137" w:val="left"/>
        </w:tabs>
        <w:numPr>
          <w:ilvl w:val="0"/>
          <w:numId w:val="78"/>
        </w:numPr>
        <w:rPr>
          <w:rFonts w:ascii="Arial" w:cs="Arial" w:eastAsia="Arial" w:hAnsi="Arial"/>
          <w:sz w:val="16"/>
          <w:szCs w:val="16"/>
          <w:color w:val="auto"/>
        </w:rPr>
      </w:pPr>
      <w:r>
        <w:rPr>
          <w:rFonts w:ascii="Arial" w:cs="Arial" w:eastAsia="Arial" w:hAnsi="Arial"/>
          <w:sz w:val="16"/>
          <w:szCs w:val="16"/>
          <w:color w:val="auto"/>
        </w:rPr>
        <w:t>(i) The Company shall have performed in all material respects all of its obligations hereunder required to be performed by it at or prior to the Closing Date except where the failure to do so would not, individually or in the aggregate, have a Material Adverse Effect on the Company, (ii) the representations and warranties of the Company contained in Section 4.02, Section 4.04(i), Section 4.06 and Section 4.08 shall be true and correct in all respects at and as of the Closing Date as if made on and as of the Closing Date, (iii) the other representations and warranties of the Company contained in this Agreement and in the certificate to be delivered by the Company pursuant to this Section 7.03(a) (disregarding all materiality or Material Adverse Effect qualifications contained therein) shall be true in all respects at and as of the Closing Date as if made on and as of the Closing Date, with only such exceptions as would not in the aggregate reasonably be expected to have a Material Adverse Effect on the Company and (iv) GM shall have received a certificate from the Company signed by an executive officer of the Company to the foregoing effect.</w:t>
      </w:r>
    </w:p>
    <w:p>
      <w:pPr>
        <w:spacing w:after="0" w:line="37" w:lineRule="exact"/>
        <w:rPr>
          <w:rFonts w:ascii="Arial" w:cs="Arial" w:eastAsia="Arial" w:hAnsi="Arial"/>
          <w:sz w:val="16"/>
          <w:szCs w:val="16"/>
          <w:color w:val="auto"/>
        </w:rPr>
      </w:pPr>
    </w:p>
    <w:p>
      <w:pPr>
        <w:ind w:left="460" w:firstLine="443"/>
        <w:spacing w:after="0" w:line="306" w:lineRule="auto"/>
        <w:tabs>
          <w:tab w:leader="none" w:pos="1147" w:val="left"/>
        </w:tabs>
        <w:numPr>
          <w:ilvl w:val="0"/>
          <w:numId w:val="78"/>
        </w:numPr>
        <w:rPr>
          <w:rFonts w:ascii="Arial" w:cs="Arial" w:eastAsia="Arial" w:hAnsi="Arial"/>
          <w:sz w:val="16"/>
          <w:szCs w:val="16"/>
          <w:color w:val="auto"/>
        </w:rPr>
      </w:pPr>
      <w:r>
        <w:rPr>
          <w:rFonts w:ascii="Arial" w:cs="Arial" w:eastAsia="Arial" w:hAnsi="Arial"/>
          <w:sz w:val="16"/>
          <w:szCs w:val="16"/>
          <w:color w:val="auto"/>
        </w:rPr>
        <w:t>At or prior to the Closing, the Company shall have delivered to GM Payoff Letters executed by the Administrative Agent and each Loan Party (as defined in the Loan Facility Agreement) and evidence reasonably satisfactory to GM that all amounts payable under the Payoff Letters have been paid and that the Loan Facility Agreement and all commitments thereunder shall have been terminated in their entirety.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ERMINATION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Grounds for Termination</w:t>
      </w:r>
      <w:r>
        <w:rPr>
          <w:rFonts w:ascii="Arial" w:cs="Arial" w:eastAsia="Arial" w:hAnsi="Arial"/>
          <w:sz w:val="18"/>
          <w:szCs w:val="18"/>
          <w:color w:val="auto"/>
        </w:rPr>
        <w:t>. This Agreement may be terminated at any time prior to the Closing:</w:t>
      </w:r>
    </w:p>
    <w:p>
      <w:pPr>
        <w:spacing w:after="0" w:line="90" w:lineRule="exact"/>
        <w:rPr>
          <w:sz w:val="20"/>
          <w:szCs w:val="20"/>
          <w:color w:val="auto"/>
        </w:rPr>
      </w:pPr>
    </w:p>
    <w:p>
      <w:pPr>
        <w:ind w:left="1140" w:hanging="237"/>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mutual written agreement of GM and the Company;</w:t>
      </w:r>
    </w:p>
    <w:p>
      <w:pPr>
        <w:spacing w:after="0" w:line="90" w:lineRule="exact"/>
        <w:rPr>
          <w:rFonts w:ascii="Arial" w:cs="Arial" w:eastAsia="Arial" w:hAnsi="Arial"/>
          <w:sz w:val="18"/>
          <w:szCs w:val="18"/>
          <w:color w:val="auto"/>
        </w:rPr>
      </w:pPr>
    </w:p>
    <w:p>
      <w:pPr>
        <w:ind w:left="460" w:right="40" w:firstLine="443"/>
        <w:spacing w:after="0" w:line="298" w:lineRule="auto"/>
        <w:tabs>
          <w:tab w:leader="none" w:pos="1147"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by either GM or the Company if the Closing shall not have been consummated on or before March 31, 2011 for any reason other than a failure of the PBGC Transaction to close on such date; </w:t>
      </w:r>
      <w:r>
        <w:rPr>
          <w:rFonts w:ascii="Arial" w:cs="Arial" w:eastAsia="Arial" w:hAnsi="Arial"/>
          <w:sz w:val="16"/>
          <w:szCs w:val="16"/>
          <w:i w:val="1"/>
          <w:iCs w:val="1"/>
          <w:color w:val="auto"/>
        </w:rPr>
        <w:t>provided</w:t>
      </w:r>
      <w:r>
        <w:rPr>
          <w:rFonts w:ascii="Arial" w:cs="Arial" w:eastAsia="Arial" w:hAnsi="Arial"/>
          <w:sz w:val="16"/>
          <w:szCs w:val="16"/>
          <w:color w:val="auto"/>
        </w:rPr>
        <w:t>, that the right to terminate this Agreement pursuant to this Section 8.01(b) shall not be available to either GM or the Company, as the case may be, to the extent that such party’s failure to fulfill any of its obligations under this Agreement has been the cause of or resulted in the failure of the Closing to occur on or before such date; or</w:t>
      </w:r>
    </w:p>
    <w:p>
      <w:pPr>
        <w:spacing w:after="0" w:line="31" w:lineRule="exact"/>
        <w:rPr>
          <w:rFonts w:ascii="Arial" w:cs="Arial" w:eastAsia="Arial" w:hAnsi="Arial"/>
          <w:sz w:val="16"/>
          <w:szCs w:val="16"/>
          <w:color w:val="auto"/>
        </w:rPr>
      </w:pPr>
    </w:p>
    <w:p>
      <w:pPr>
        <w:ind w:left="460" w:right="260" w:firstLine="443"/>
        <w:spacing w:after="0" w:line="268" w:lineRule="auto"/>
        <w:tabs>
          <w:tab w:leader="none" w:pos="11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GM if the Closing shall not have been consummated on or before March 31, 2011 because of a failure of the PBGC Transaction to close on such date; or</w:t>
      </w:r>
    </w:p>
    <w:p>
      <w:pPr>
        <w:spacing w:after="0" w:line="50" w:lineRule="exact"/>
        <w:rPr>
          <w:rFonts w:ascii="Arial" w:cs="Arial" w:eastAsia="Arial" w:hAnsi="Arial"/>
          <w:sz w:val="18"/>
          <w:szCs w:val="18"/>
          <w:color w:val="auto"/>
        </w:rPr>
      </w:pPr>
    </w:p>
    <w:p>
      <w:pPr>
        <w:ind w:left="460" w:right="80" w:firstLine="443"/>
        <w:spacing w:after="0" w:line="294" w:lineRule="auto"/>
        <w:tabs>
          <w:tab w:leader="none" w:pos="1147" w:val="left"/>
        </w:tabs>
        <w:numPr>
          <w:ilvl w:val="0"/>
          <w:numId w:val="79"/>
        </w:numPr>
        <w:rPr>
          <w:rFonts w:ascii="Arial" w:cs="Arial" w:eastAsia="Arial" w:hAnsi="Arial"/>
          <w:sz w:val="16"/>
          <w:szCs w:val="16"/>
          <w:color w:val="auto"/>
        </w:rPr>
      </w:pPr>
      <w:r>
        <w:rPr>
          <w:rFonts w:ascii="Arial" w:cs="Arial" w:eastAsia="Arial" w:hAnsi="Arial"/>
          <w:sz w:val="16"/>
          <w:szCs w:val="16"/>
          <w:color w:val="auto"/>
        </w:rPr>
        <w:t>by either GM or the Company if there shall be any Applicable Law in effect that (i) makes consummation of the Closing illegal or otherwise prohibited such that the condition to Closing set forth in Section 7.01(a) would not be satisfied and such illegality or prohibition is not subject to waiver or otherwise rendered inapplicable by filing notice or applications with, or obtaining consent of, any applicable Governmental Authority, and any right to appeal or object to any action or inaction of any Governmental Authority with respect thereto shall have expired, or (ii) enjoins the Company or GM from consummating the Closing and such injunction shall have become final and nonappealable.</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party desiring to terminate this Agreement pursuant to Section 8.01(b) or Section 8.01(c) shall give notice of such termination to the other party and such termination will be effective upon notice.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Effect of Termination</w:t>
      </w:r>
      <w:r>
        <w:rPr>
          <w:rFonts w:ascii="Arial" w:cs="Arial" w:eastAsia="Arial" w:hAnsi="Arial"/>
          <w:sz w:val="16"/>
          <w:szCs w:val="16"/>
          <w:color w:val="auto"/>
        </w:rPr>
        <w:t xml:space="preserve">. If this Agreement is terminated as permitted by Section 8.01, such termination shall be without liability of any party (or any stockholder or Representative of such party) to the other party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termination shall result from (i) the willful failure of a party to perform a covenant of this Agreement, (ii) subject to the following clauses (iii) and (iv), the willful breach by any party hereto of any representation or warranty contained herein, (iii) any breach by the Company of its representation in Section 4.04(ii) which results in the failure of the condition 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26" w:name="page127"/>
    <w:bookmarkEnd w:id="12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Closing set forth in Section 7.01(a) (as applied to the Company) to be satisfied and where GM was willing, able and ready to consummate the Closing, or (iv) any breach by GM of its representation in Section 3.05(ii) which results in the failure of the condition to Closing set forth in Section 7.01(a) (as applied to GM) to be satisfied and where the Company was willing, able and ready to consummate the Closing, then the breaching party shall be fully liable for any and all liabilities and damages incurred or suffered by the other party as a result of such breaching party’s failure or breach. The provisions of this Section 8.02 and Section 5.07, Section 5.08, Article 6, and Article 9 shall survive any termination hereof pursuant to Section 8.01.</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Notices</w:t>
      </w:r>
      <w:r>
        <w:rPr>
          <w:rFonts w:ascii="Arial" w:cs="Arial" w:eastAsia="Arial" w:hAnsi="Arial"/>
          <w:sz w:val="18"/>
          <w:szCs w:val="18"/>
          <w:color w:val="auto"/>
        </w:rPr>
        <w:t>. All notices, requests and other communications to any party hereunder shall be in writing (including facsimile transmission) and shall be given,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Delphi Automotive</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5725 Delphi Drive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Troy, MI 48098</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Kevin P. Clark</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David Sherbin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No.: (248) 813-2673</w:t>
      </w:r>
    </w:p>
    <w:p>
      <w:pPr>
        <w:spacing w:after="0" w:line="9"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(248) 813-2491</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Davis Polk &amp; Wardwell LLP</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George R. Bason, Jr.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No.: (212) 701-5800</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GM, 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General Motors Holdings LLC</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NY 10153</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No.: (212) 418-3630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127" w:name="page128"/>
    <w:bookmarkEnd w:id="1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General Motors Holdings LLC</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Mail Code 482-C39-B40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 Box 300</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Detroit, MI 48265-3000</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No.: (313) 665-4976</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Weil, Gotshal &amp; Manges LLP</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100 Federal Street, 34th Floor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Boston, MA 02110-1802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Steven M. Peck, Esq.</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Telephone: (617) 772-8344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No.: (617) 772-8333</w:t>
      </w:r>
    </w:p>
    <w:p>
      <w:pPr>
        <w:spacing w:after="0" w:line="16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or such other address or facsimile number as such party may hereafter specify for the purpose by notice to the other party hereto. All such notices, requests and other communications shall be deemed received on the date of receipt by the recipient thereof if received prior to 5 p.m. in the place of receipt and such day is a Business Day in the place of receipt. Otherwise, any such notice, request or communication shall be deemed not to have been received until the next succeeding Business Day in the place of receipt.</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Amendments and Waivers</w:t>
      </w:r>
      <w:r>
        <w:rPr>
          <w:rFonts w:ascii="Arial" w:cs="Arial" w:eastAsia="Arial" w:hAnsi="Arial"/>
          <w:sz w:val="18"/>
          <w:szCs w:val="18"/>
          <w:color w:val="auto"/>
        </w:rPr>
        <w:t>. (a) 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140" w:lineRule="exact"/>
        <w:rPr>
          <w:sz w:val="20"/>
          <w:szCs w:val="20"/>
          <w:color w:val="auto"/>
        </w:rPr>
      </w:pPr>
    </w:p>
    <w:p>
      <w:pPr>
        <w:ind w:firstLine="464"/>
        <w:spacing w:after="0" w:line="259"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Expenses</w:t>
      </w:r>
      <w:r>
        <w:rPr>
          <w:rFonts w:ascii="Arial" w:cs="Arial" w:eastAsia="Arial" w:hAnsi="Arial"/>
          <w:sz w:val="18"/>
          <w:szCs w:val="18"/>
          <w:color w:val="auto"/>
        </w:rPr>
        <w:t>. Except as otherwise provided herein, all costs and expenses incurred in connection with this Agreement shall be paid by the party incurring such cost or expense.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128" w:name="page129"/>
    <w:bookmarkEnd w:id="128"/>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9.04.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party may assign, delegate or otherwise transfer any of its rights or obligations under this Agreement without the consent of each other party hereto.</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and enforced in accordance with the law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i w:val="1"/>
          <w:iCs w:val="1"/>
          <w:color w:val="auto"/>
        </w:rPr>
        <w:t>Jurisdiction</w:t>
      </w:r>
      <w:r>
        <w:rPr>
          <w:rFonts w:ascii="Arial" w:cs="Arial" w:eastAsia="Arial" w:hAnsi="Arial"/>
          <w:sz w:val="16"/>
          <w:szCs w:val="16"/>
          <w:color w:val="auto"/>
        </w:rPr>
        <w:t>. The parties hereto agree that any suit, action or proceeding seeking to enforce any provision of, or based on any matter arising out of or in connection with, this Agreement or the transactions contemplated hereby shall be brought in the Delaware Chancery Court or, if such court shall not have jurisdiction, any federal court or state court located in the State of Delaware, and each of the parties hereby irrevocably consents to the jurisdiction of such courts (and of the appropriate appellate courts therefrom) in any such suit, action or proceeding and irrevocably waives, to the fullest extent permitted by law, any claim that it is not personally subject to the jurisdiction of the above-named courts for any reason other than the failure to serve process in accordance with Applicable Law,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any objection that it may now or hereafter have to the laying of the venue of any such suit, action or proceeding in any such court, that any such suit, action or proceeding brought in any such court has been brought in an inconvenient forum or that this Agreement or the subject matter hereof may not be enforced in or by such courts. Process in any such suit, action or proceeding may be served on any party anywhere in the world, whether within or without the jurisdiction of any such court. Without limiting the foregoing, each party agrees that service of process on such party as provided in Section 9.01 shall be deemed effective service of process on such party.</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129" w:name="page130"/>
    <w:bookmarkEnd w:id="129"/>
    <w:p>
      <w:pPr>
        <w:ind w:right="4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9.08. </w:t>
      </w:r>
      <w:r>
        <w:rPr>
          <w:rFonts w:ascii="Arial" w:cs="Arial" w:eastAsia="Arial" w:hAnsi="Arial"/>
          <w:sz w:val="16"/>
          <w:szCs w:val="16"/>
          <w:i w:val="1"/>
          <w:iCs w:val="1"/>
          <w:color w:val="auto"/>
        </w:rPr>
        <w:t>Counterparts; Effectiveness; Third Party Beneficiaries</w:t>
      </w:r>
      <w:r>
        <w:rPr>
          <w:rFonts w:ascii="Arial" w:cs="Arial" w:eastAsia="Arial" w:hAnsi="Arial"/>
          <w:sz w:val="16"/>
          <w:szCs w:val="16"/>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Until and unless each party has received a counterpart hereof signed by the other party hereto, this Agreement shall have no effect and no party shall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hereto and their respective successors and assigns, except that GM LLC shall be a third party beneficiary with respect to Section 5.03, Section 5.04(b) and Section 5.09 herein and such sections of the Agreement will not be amended without the prior written approval of GM LLC.</w:t>
      </w:r>
    </w:p>
    <w:p>
      <w:pPr>
        <w:spacing w:after="0" w:line="118"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 xml:space="preserve">Section 9.09. </w:t>
      </w:r>
      <w:r>
        <w:rPr>
          <w:rFonts w:ascii="Arial" w:cs="Arial" w:eastAsia="Arial" w:hAnsi="Arial"/>
          <w:sz w:val="15"/>
          <w:szCs w:val="15"/>
          <w:i w:val="1"/>
          <w:iCs w:val="1"/>
          <w:color w:val="auto"/>
        </w:rPr>
        <w:t>Entire Agreement</w:t>
      </w:r>
      <w:r>
        <w:rPr>
          <w:rFonts w:ascii="Arial" w:cs="Arial" w:eastAsia="Arial" w:hAnsi="Arial"/>
          <w:sz w:val="15"/>
          <w:szCs w:val="15"/>
          <w:color w:val="auto"/>
        </w:rPr>
        <w:t>. This Agreement constitutes the entire agreement between the parties with respect to the subject matter of this Agreement and supersedes all prior agreements and understandings, both oral and written, between the parties with respect to the subject matter of this Agreement.</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Section 9.11</w:t>
      </w:r>
      <w:r>
        <w:rPr>
          <w:rFonts w:ascii="Arial" w:cs="Arial" w:eastAsia="Arial" w:hAnsi="Arial"/>
          <w:sz w:val="16"/>
          <w:szCs w:val="16"/>
          <w:i w:val="1"/>
          <w:iCs w:val="1"/>
          <w:color w:val="auto"/>
        </w:rPr>
        <w:t>. Survival of Representations, Warranties and Covenants</w:t>
      </w:r>
      <w:r>
        <w:rPr>
          <w:rFonts w:ascii="Arial" w:cs="Arial" w:eastAsia="Arial" w:hAnsi="Arial"/>
          <w:sz w:val="16"/>
          <w:szCs w:val="16"/>
          <w:color w:val="auto"/>
        </w:rPr>
        <w:t>. All representations, warranties and covenants made by the parties in this Agreement or in the certificates to be delivered by each of GM and the Company pursuant to Section 7.02(a) and Section 7.03(a) respectively or in any other writing delivered pursuant hereto shall survive the Closing until the expiration of the applicable statute of limitations.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9.12</w:t>
      </w:r>
      <w:r>
        <w:rPr>
          <w:rFonts w:ascii="Arial" w:cs="Arial" w:eastAsia="Arial" w:hAnsi="Arial"/>
          <w:sz w:val="18"/>
          <w:szCs w:val="18"/>
          <w:i w:val="1"/>
          <w:iCs w:val="1"/>
          <w:color w:val="auto"/>
        </w:rPr>
        <w:t>. Specific Performance.</w:t>
      </w:r>
      <w:r>
        <w:rPr>
          <w:rFonts w:ascii="Arial" w:cs="Arial" w:eastAsia="Arial" w:hAnsi="Arial"/>
          <w:sz w:val="18"/>
          <w:szCs w:val="18"/>
          <w:color w:val="auto"/>
        </w:rPr>
        <w:t xml:space="preserve"> The parties hereto agree that irreparable damage would occur if any provision of this Agreement were not performed in accordance with the terms hereof and that the parties shall 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130" w:name="page131"/>
    <w:bookmarkEnd w:id="130"/>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entitled to an injunction or injunctions to prevent breaches of this Agreement or to enforce specifically the performance of the terms and provisions hereof in any federal or state court located within the State of Delaware, in addition to any other remedy to which they are entitled at law or in equity.</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280" w:right="339" w:bottom="1440" w:gutter="0" w:footer="0" w:header="0"/>
        </w:sectPr>
      </w:pPr>
    </w:p>
    <w:bookmarkStart w:id="131" w:name="page132"/>
    <w:bookmarkEnd w:id="131"/>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DELPHI AUTOMOTIVE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M. Sherbin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David M. Sherbin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Title: Vice President, General Counsel, Secretary and Chief</w:t>
      </w:r>
    </w:p>
    <w:p>
      <w:pPr>
        <w:spacing w:after="0" w:line="4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Compliance Officer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Company signature page to Class A Redemption Agreement</w:t>
      </w:r>
    </w:p>
    <w:p>
      <w:pPr>
        <w:sectPr>
          <w:pgSz w:w="11900" w:h="16838" w:orient="portrait"/>
          <w:cols w:equalWidth="0" w:num="1">
            <w:col w:w="11420"/>
          </w:cols>
          <w:pgMar w:left="240" w:top="280" w:right="239" w:bottom="1440" w:gutter="0" w:footer="0" w:header="0"/>
        </w:sectPr>
      </w:pPr>
    </w:p>
    <w:bookmarkStart w:id="132" w:name="page133"/>
    <w:bookmarkEnd w:id="13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 HOLDINGS LLC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Daniel Ammann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Vice President and Treasurer</w:t>
      </w:r>
    </w:p>
    <w:p>
      <w:pPr>
        <w:spacing w:after="0" w:line="188"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GM signature page to Class A Redemption Agreement</w:t>
      </w:r>
    </w:p>
    <w:p>
      <w:pPr>
        <w:sectPr>
          <w:pgSz w:w="11900" w:h="16838" w:orient="portrait"/>
          <w:cols w:equalWidth="0" w:num="1">
            <w:col w:w="9019"/>
          </w:cols>
          <w:pgMar w:left="1440" w:top="280" w:right="1440" w:bottom="1440" w:gutter="0" w:footer="0" w:header="0"/>
        </w:sectPr>
      </w:pPr>
    </w:p>
    <w:bookmarkStart w:id="133" w:name="page134"/>
    <w:bookmarkEnd w:id="1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List of Required Consents</w:t>
      </w:r>
    </w:p>
    <w:p>
      <w:pPr>
        <w:sectPr>
          <w:pgSz w:w="11900" w:h="16838" w:orient="portrait"/>
          <w:cols w:equalWidth="0" w:num="1">
            <w:col w:w="9019"/>
          </w:cols>
          <w:pgMar w:left="1440" w:top="274" w:right="1440" w:bottom="1440" w:gutter="0" w:footer="0" w:header="0"/>
        </w:sectPr>
      </w:pPr>
    </w:p>
    <w:bookmarkStart w:id="134" w:name="page135"/>
    <w:bookmarkEnd w:id="1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Transfer Instrument</w:t>
      </w:r>
    </w:p>
    <w:p>
      <w:pPr>
        <w:sectPr>
          <w:pgSz w:w="11900" w:h="16838" w:orient="portrait"/>
          <w:cols w:equalWidth="0" w:num="1">
            <w:col w:w="9019"/>
          </w:cols>
          <w:pgMar w:left="1440" w:top="274" w:right="1440"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Termination Notice</w:t>
      </w:r>
    </w:p>
    <w:p>
      <w:pPr>
        <w:sectPr>
          <w:pgSz w:w="11900" w:h="16838" w:orient="portrait"/>
          <w:cols w:equalWidth="0" w:num="1">
            <w:col w:w="9019"/>
          </w:cols>
          <w:pgMar w:left="1440" w:top="274"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 to Redemption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List of Required Consents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not expressly defined in this Schedule shall have the meanings ascribed to them in the LLP Agreement.</w:t>
      </w:r>
    </w:p>
    <w:p>
      <w:pPr>
        <w:spacing w:after="0" w:line="90" w:lineRule="exact"/>
        <w:rPr>
          <w:sz w:val="20"/>
          <w:szCs w:val="20"/>
          <w:color w:val="auto"/>
        </w:rPr>
      </w:pPr>
    </w:p>
    <w:p>
      <w:pPr>
        <w:ind w:left="460" w:right="20" w:hanging="452"/>
        <w:spacing w:after="0" w:line="255"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Irrevocable consent of the Class B Designee Managers or, at their option pursuant to the final paragraph of Section 12.1 of the LLP Agreement, SPCP Group, LLC and SP Auto, Ltd. (acting jointly or through their designee) and DIP Holdco 5, Ltd, in their capacity as Class B Holders, for the consummation of the transactions contemplated by the Agreement and the incurrence of debt by the LLP or its Subsidiaries from one or more financial institutions for the funding of such transactions, pursuant to Sections 12.1 and 12.2 of the LLP Agreement, a copy of which has been provided to General Motors Holdings LLC.</w:t>
      </w:r>
    </w:p>
    <w:p>
      <w:pPr>
        <w:spacing w:after="0" w:line="61" w:lineRule="exact"/>
        <w:rPr>
          <w:rFonts w:ascii="Arial" w:cs="Arial" w:eastAsia="Arial" w:hAnsi="Arial"/>
          <w:sz w:val="18"/>
          <w:szCs w:val="18"/>
          <w:color w:val="auto"/>
        </w:rPr>
      </w:pPr>
    </w:p>
    <w:p>
      <w:pPr>
        <w:ind w:left="460" w:right="340" w:hanging="452"/>
        <w:spacing w:after="0" w:line="332"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Irrevocable consent of Pension Benefit Guaranty Corporation, in its capacity as Majority Class C Holder, for the consummation of the transactions contemplated by the Agreement, pursuant to Section 12.3 of the LLP Agreement, a copy of which has been provided to General Motors Holdings LLC.</w:t>
      </w:r>
    </w:p>
    <w:p>
      <w:pPr>
        <w:sectPr>
          <w:pgSz w:w="11900" w:h="16838" w:orient="portrait"/>
          <w:cols w:equalWidth="0" w:num="1">
            <w:col w:w="11420"/>
          </w:cols>
          <w:pgMar w:left="240" w:top="274"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 to Redemption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DELPHI AUTOMOTIVE LLP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Limited Liability Partnership Interest</w:t>
      </w:r>
    </w:p>
    <w:p>
      <w:pPr>
        <w:spacing w:after="0" w:line="1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THIS AGREEMENT FOR TRANSFER OF LIMITED LIABILITY PARTNERSHIP INTEREST, dated as of March 31, 2011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made with respect to </w:t>
      </w:r>
      <w:r>
        <w:rPr>
          <w:rFonts w:ascii="Arial" w:cs="Arial" w:eastAsia="Arial" w:hAnsi="Arial"/>
          <w:sz w:val="18"/>
          <w:szCs w:val="18"/>
          <w:b w:val="1"/>
          <w:bCs w:val="1"/>
          <w:color w:val="auto"/>
        </w:rPr>
        <w:t>Delphi Automotive LLP</w:t>
      </w:r>
      <w:r>
        <w:rPr>
          <w:rFonts w:ascii="Arial" w:cs="Arial" w:eastAsia="Arial" w:hAnsi="Arial"/>
          <w:sz w:val="18"/>
          <w:szCs w:val="18"/>
          <w:color w:val="auto"/>
        </w:rPr>
        <w:t>, a limited liability partnership incorporated under the laws of England and Wales (the “</w:t>
      </w:r>
      <w:r>
        <w:rPr>
          <w:rFonts w:ascii="Arial" w:cs="Arial" w:eastAsia="Arial" w:hAnsi="Arial"/>
          <w:sz w:val="18"/>
          <w:szCs w:val="18"/>
          <w:u w:val="single" w:color="auto"/>
          <w:color w:val="auto"/>
        </w:rPr>
        <w:t>LLP</w:t>
      </w:r>
      <w:r>
        <w:rPr>
          <w:rFonts w:ascii="Arial" w:cs="Arial" w:eastAsia="Arial" w:hAnsi="Arial"/>
          <w:sz w:val="18"/>
          <w:szCs w:val="18"/>
          <w:color w:val="auto"/>
        </w:rPr>
        <w:t xml:space="preserve">”), and is by and between </w:t>
      </w:r>
      <w:r>
        <w:rPr>
          <w:rFonts w:ascii="Arial" w:cs="Arial" w:eastAsia="Arial" w:hAnsi="Arial"/>
          <w:sz w:val="18"/>
          <w:szCs w:val="18"/>
          <w:b w:val="1"/>
          <w:bCs w:val="1"/>
          <w:color w:val="auto"/>
        </w:rPr>
        <w:t xml:space="preserve">General Motors Holdings LLC </w:t>
      </w:r>
      <w:r>
        <w:rPr>
          <w:rFonts w:ascii="Arial" w:cs="Arial" w:eastAsia="Arial" w:hAnsi="Arial"/>
          <w:sz w:val="18"/>
          <w:szCs w:val="18"/>
          <w:color w:val="auto"/>
        </w:rPr>
        <w:t>(the “</w:t>
      </w:r>
      <w:r>
        <w:rPr>
          <w:rFonts w:ascii="Arial" w:cs="Arial" w:eastAsia="Arial" w:hAnsi="Arial"/>
          <w:sz w:val="18"/>
          <w:szCs w:val="18"/>
          <w:u w:val="single" w:color="auto"/>
          <w:color w:val="auto"/>
        </w:rPr>
        <w:t>Assignor</w:t>
      </w:r>
      <w:r>
        <w:rPr>
          <w:rFonts w:ascii="Arial" w:cs="Arial" w:eastAsia="Arial" w:hAnsi="Arial"/>
          <w:sz w:val="18"/>
          <w:szCs w:val="18"/>
          <w:color w:val="auto"/>
        </w:rPr>
        <w:t>”) and the</w:t>
      </w:r>
      <w:r>
        <w:rPr>
          <w:rFonts w:ascii="Arial" w:cs="Arial" w:eastAsia="Arial" w:hAnsi="Arial"/>
          <w:sz w:val="18"/>
          <w:szCs w:val="18"/>
          <w:b w:val="1"/>
          <w:bCs w:val="1"/>
          <w:color w:val="auto"/>
        </w:rPr>
        <w:t xml:space="preserve"> LLP </w:t>
      </w:r>
      <w:r>
        <w:rPr>
          <w:rFonts w:ascii="Arial" w:cs="Arial" w:eastAsia="Arial" w:hAnsi="Arial"/>
          <w:sz w:val="18"/>
          <w:szCs w:val="18"/>
          <w:color w:val="auto"/>
        </w:rPr>
        <w:t>(the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have the respective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ascribed to them in the Second Amended and Restated Limited Liability Partnership Agreement of the LLP, dated as of June 30, 2010, as may be amended from time to time (the “</w:t>
      </w:r>
      <w:r>
        <w:rPr>
          <w:rFonts w:ascii="Arial" w:cs="Arial" w:eastAsia="Arial" w:hAnsi="Arial"/>
          <w:sz w:val="18"/>
          <w:szCs w:val="18"/>
          <w:u w:val="single" w:color="auto"/>
          <w:color w:val="auto"/>
        </w:rPr>
        <w:t>LLP Agreement</w:t>
      </w:r>
      <w:r>
        <w:rPr>
          <w:rFonts w:ascii="Arial" w:cs="Arial" w:eastAsia="Arial" w:hAnsi="Arial"/>
          <w:sz w:val="18"/>
          <w:szCs w:val="18"/>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WHEREAS, Assignor holds a limited liability partnership interest in the LLP as described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Interest</w:t>
      </w:r>
      <w:r>
        <w:rPr>
          <w:rFonts w:ascii="Arial" w:cs="Arial" w:eastAsia="Arial" w:hAnsi="Arial"/>
          <w:sz w:val="18"/>
          <w:szCs w:val="18"/>
          <w:color w:val="auto"/>
        </w:rPr>
        <w:t>”); and</w:t>
      </w:r>
    </w:p>
    <w:p>
      <w:pPr>
        <w:spacing w:after="0" w:line="171"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WHEREAS, on the terms and subject to the conditions of this Agreement, that certain Redemption Agreement between Assignor and Assignee, dated as of March 31, 2011 (the “</w:t>
      </w:r>
      <w:r>
        <w:rPr>
          <w:rFonts w:ascii="Arial" w:cs="Arial" w:eastAsia="Arial" w:hAnsi="Arial"/>
          <w:sz w:val="18"/>
          <w:szCs w:val="18"/>
          <w:u w:val="single" w:color="auto"/>
          <w:color w:val="auto"/>
        </w:rPr>
        <w:t>Redemption Agreement</w:t>
      </w:r>
      <w:r>
        <w:rPr>
          <w:rFonts w:ascii="Arial" w:cs="Arial" w:eastAsia="Arial" w:hAnsi="Arial"/>
          <w:sz w:val="18"/>
          <w:szCs w:val="18"/>
          <w:color w:val="auto"/>
        </w:rPr>
        <w:t xml:space="preserve">”) and the LLP Agreement, in order to effect the redemption as contemplated by the Redemption Agreement, Assignor desires to transfer to Assignee that portion of Assignor’s Interest as is set forth and described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Transferred Interest</w:t>
      </w:r>
      <w:r>
        <w:rPr>
          <w:rFonts w:ascii="Arial" w:cs="Arial" w:eastAsia="Arial" w:hAnsi="Arial"/>
          <w:sz w:val="18"/>
          <w:szCs w:val="18"/>
          <w:color w:val="auto"/>
        </w:rPr>
        <w:t>”), and Assignee desires to acquire and accept the Transferred Interest.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foregoing and of the mutual covenants and agreements set forth herein, the parties hereto agree as follows:</w:t>
      </w:r>
    </w:p>
    <w:p>
      <w:pPr>
        <w:spacing w:after="0" w:line="194" w:lineRule="exact"/>
        <w:rPr>
          <w:sz w:val="20"/>
          <w:szCs w:val="20"/>
          <w:color w:val="auto"/>
        </w:rPr>
      </w:pPr>
    </w:p>
    <w:p>
      <w:pPr>
        <w:ind w:firstLine="8"/>
        <w:spacing w:after="0" w:line="268" w:lineRule="auto"/>
        <w:tabs>
          <w:tab w:leader="none" w:pos="17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In order to effect the redemption as contemplated by the Redemption Agreement, Assignor hereby assigns and transfers to Assignee, and Assignee hereby accepts from Assignor, all of Assignor’s right, title and interest to the Transferred Interest.</w:t>
      </w:r>
    </w:p>
    <w:p>
      <w:pPr>
        <w:spacing w:after="0" w:line="131" w:lineRule="exact"/>
        <w:rPr>
          <w:rFonts w:ascii="Arial" w:cs="Arial" w:eastAsia="Arial" w:hAnsi="Arial"/>
          <w:sz w:val="18"/>
          <w:szCs w:val="18"/>
          <w:color w:val="auto"/>
        </w:rPr>
      </w:pPr>
    </w:p>
    <w:p>
      <w:pPr>
        <w:ind w:right="220" w:firstLine="8"/>
        <w:spacing w:after="0" w:line="268" w:lineRule="auto"/>
        <w:tabs>
          <w:tab w:leader="none" w:pos="17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Schedule of Members</w:t>
      </w:r>
      <w:r>
        <w:rPr>
          <w:rFonts w:ascii="Arial" w:cs="Arial" w:eastAsia="Arial" w:hAnsi="Arial"/>
          <w:sz w:val="18"/>
          <w:szCs w:val="18"/>
          <w:color w:val="auto"/>
        </w:rPr>
        <w:t>. Following the Closing (as defined in the Redemption Agreement), the Schedule of Members will be updated to reflect the Transfer of the Transferred Interest contemplated by this Agreement.</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or any term hereof may not be amended or waived except with the written consent of Assignor and Assignee.</w:t>
      </w:r>
    </w:p>
    <w:p>
      <w:pPr>
        <w:spacing w:after="0" w:line="171" w:lineRule="exact"/>
        <w:rPr>
          <w:rFonts w:ascii="Arial" w:cs="Arial" w:eastAsia="Arial" w:hAnsi="Arial"/>
          <w:sz w:val="18"/>
          <w:szCs w:val="18"/>
          <w:color w:val="auto"/>
        </w:rPr>
      </w:pPr>
    </w:p>
    <w:p>
      <w:pPr>
        <w:ind w:right="260" w:firstLine="8"/>
        <w:spacing w:after="0" w:line="256" w:lineRule="auto"/>
        <w:tabs>
          <w:tab w:leader="none" w:pos="17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Joint Ownership</w:t>
      </w:r>
      <w:r>
        <w:rPr>
          <w:rFonts w:ascii="Arial" w:cs="Arial" w:eastAsia="Arial" w:hAnsi="Arial"/>
          <w:sz w:val="18"/>
          <w:szCs w:val="18"/>
          <w:color w:val="auto"/>
        </w:rPr>
        <w:t>. If any of the Assignor or Assignee (each an “</w:t>
      </w:r>
      <w:r>
        <w:rPr>
          <w:rFonts w:ascii="Arial" w:cs="Arial" w:eastAsia="Arial" w:hAnsi="Arial"/>
          <w:sz w:val="18"/>
          <w:szCs w:val="18"/>
          <w:u w:val="single" w:color="auto"/>
          <w:color w:val="auto"/>
        </w:rPr>
        <w:t>Undersigned</w:t>
      </w:r>
      <w:r>
        <w:rPr>
          <w:rFonts w:ascii="Arial" w:cs="Arial" w:eastAsia="Arial" w:hAnsi="Arial"/>
          <w:sz w:val="18"/>
          <w:szCs w:val="18"/>
          <w:color w:val="auto"/>
        </w:rPr>
        <w:t>”) is a natural person (and not an entity) and if this Agreement is signed by or on behalf of a joint owner, then (i) all references herein to such Undersigned shall be deemed to mean such Undersigned and each joint owner, and (ii) all acknowledgements, understandings and agreements made by or on behalf of such Undersigned in this Agreement shall be deemed, mutatis mutandis, to have been made by such Undersigned and each joint owner jointly and severally.</w:t>
      </w:r>
    </w:p>
    <w:p>
      <w:pPr>
        <w:sectPr>
          <w:pgSz w:w="11900" w:h="16838" w:orient="portrait"/>
          <w:cols w:equalWidth="0" w:num="1">
            <w:col w:w="11420"/>
          </w:cols>
          <w:pgMar w:left="240" w:top="274" w:right="239" w:bottom="1440" w:gutter="0" w:footer="0" w:header="0"/>
        </w:sectPr>
      </w:pPr>
    </w:p>
    <w:bookmarkStart w:id="138" w:name="page139"/>
    <w:bookmarkEnd w:id="138"/>
    <w:p>
      <w:pPr>
        <w:ind w:left="-8" w:firstLine="8"/>
        <w:spacing w:after="0" w:line="306" w:lineRule="auto"/>
        <w:tabs>
          <w:tab w:leader="none" w:pos="168"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w:t>
      </w:r>
      <w:r>
        <w:rPr>
          <w:rFonts w:ascii="Arial" w:cs="Arial" w:eastAsia="Arial" w:hAnsi="Arial"/>
          <w:sz w:val="16"/>
          <w:szCs w:val="16"/>
          <w:color w:val="auto"/>
        </w:rPr>
        <w:t>. This Agreement: (i) shall be binding upon and will inure to the benefit of the parties hereto and their respective legal representatives, successors and assigns whether so expressed or not; and (ii) shall be governed, construed and enforced in accordance with the laws of the State of Delaware. This Agreement may be executed and delivered in counterparts (including by PDF or facsimile transmission), each of which will be deemed an original.</w:t>
      </w:r>
    </w:p>
    <w:p>
      <w:pPr>
        <w:spacing w:after="0" w:line="269"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[Signature Page to Follow]</w:t>
      </w:r>
    </w:p>
    <w:p>
      <w:pPr>
        <w:spacing w:after="0" w:line="15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32"/>
          </w:cols>
          <w:pgMar w:left="248" w:top="280" w:right="419" w:bottom="1440" w:gutter="0" w:footer="0" w:header="0"/>
        </w:sectPr>
      </w:pPr>
    </w:p>
    <w:bookmarkStart w:id="139" w:name="page140"/>
    <w:bookmarkEnd w:id="139"/>
    <w:p>
      <w:pPr>
        <w:ind w:left="4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DELPHI AUTOMOTIVE LLP</w:t>
      </w:r>
    </w:p>
    <w:p>
      <w:pPr>
        <w:spacing w:after="0" w:line="17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 Page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for Transfer of Limited Liability Partnership Interest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have executed this Agreement for Transfer of Limited Liability Partnership Interest as of the date first above written.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ASSIGNOR:</w:t>
            </w:r>
          </w:p>
        </w:tc>
        <w:tc>
          <w:tcPr>
            <w:tcW w:w="8160" w:type="dxa"/>
            <w:vAlign w:val="bottom"/>
            <w:gridSpan w:val="2"/>
          </w:tcPr>
          <w:p>
            <w:pPr>
              <w:ind w:left="2320"/>
              <w:spacing w:after="0"/>
              <w:rPr>
                <w:sz w:val="20"/>
                <w:szCs w:val="20"/>
                <w:color w:val="auto"/>
              </w:rPr>
            </w:pPr>
            <w:r>
              <w:rPr>
                <w:rFonts w:ascii="Arial" w:cs="Arial" w:eastAsia="Arial" w:hAnsi="Arial"/>
                <w:sz w:val="18"/>
                <w:szCs w:val="18"/>
                <w:color w:val="auto"/>
              </w:rPr>
              <w:t>GENERAL MOTORS HOLDINGS LLC</w:t>
            </w:r>
          </w:p>
        </w:tc>
      </w:tr>
      <w:tr>
        <w:trPr>
          <w:trHeight w:val="433"/>
        </w:trPr>
        <w:tc>
          <w:tcPr>
            <w:tcW w:w="3260" w:type="dxa"/>
            <w:vAlign w:val="bottom"/>
          </w:tcPr>
          <w:p>
            <w:pPr>
              <w:spacing w:after="0"/>
              <w:rPr>
                <w:sz w:val="24"/>
                <w:szCs w:val="24"/>
                <w:color w:val="auto"/>
              </w:rPr>
            </w:pPr>
          </w:p>
        </w:tc>
        <w:tc>
          <w:tcPr>
            <w:tcW w:w="2700" w:type="dxa"/>
            <w:vAlign w:val="bottom"/>
          </w:tcPr>
          <w:p>
            <w:pPr>
              <w:ind w:left="23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spacing w:after="0"/>
              <w:rPr>
                <w:sz w:val="24"/>
                <w:szCs w:val="24"/>
                <w:color w:val="auto"/>
              </w:rPr>
            </w:pPr>
          </w:p>
        </w:tc>
      </w:tr>
      <w:tr>
        <w:trPr>
          <w:trHeight w:val="216"/>
        </w:trPr>
        <w:tc>
          <w:tcPr>
            <w:tcW w:w="3260" w:type="dxa"/>
            <w:vAlign w:val="bottom"/>
          </w:tcPr>
          <w:p>
            <w:pPr>
              <w:spacing w:after="0"/>
              <w:rPr>
                <w:sz w:val="18"/>
                <w:szCs w:val="18"/>
                <w:color w:val="auto"/>
              </w:rPr>
            </w:pPr>
          </w:p>
        </w:tc>
        <w:tc>
          <w:tcPr>
            <w:tcW w:w="8160" w:type="dxa"/>
            <w:vAlign w:val="bottom"/>
            <w:gridSpan w:val="2"/>
          </w:tcPr>
          <w:p>
            <w:pPr>
              <w:ind w:left="2320"/>
              <w:spacing w:after="0"/>
              <w:rPr>
                <w:sz w:val="20"/>
                <w:szCs w:val="20"/>
                <w:color w:val="auto"/>
              </w:rPr>
            </w:pPr>
            <w:r>
              <w:rPr>
                <w:rFonts w:ascii="Arial" w:cs="Arial" w:eastAsia="Arial" w:hAnsi="Arial"/>
                <w:sz w:val="18"/>
                <w:szCs w:val="18"/>
                <w:color w:val="auto"/>
              </w:rPr>
              <w:t>Name:</w:t>
            </w:r>
          </w:p>
        </w:tc>
      </w:tr>
      <w:tr>
        <w:trPr>
          <w:trHeight w:val="222"/>
        </w:trPr>
        <w:tc>
          <w:tcPr>
            <w:tcW w:w="3260" w:type="dxa"/>
            <w:vAlign w:val="bottom"/>
          </w:tcPr>
          <w:p>
            <w:pPr>
              <w:spacing w:after="0"/>
              <w:rPr>
                <w:sz w:val="19"/>
                <w:szCs w:val="19"/>
                <w:color w:val="auto"/>
              </w:rPr>
            </w:pPr>
          </w:p>
        </w:tc>
        <w:tc>
          <w:tcPr>
            <w:tcW w:w="8160" w:type="dxa"/>
            <w:vAlign w:val="bottom"/>
            <w:gridSpan w:val="2"/>
          </w:tcPr>
          <w:p>
            <w:pPr>
              <w:ind w:left="2320"/>
              <w:spacing w:after="0"/>
              <w:rPr>
                <w:sz w:val="20"/>
                <w:szCs w:val="20"/>
                <w:color w:val="auto"/>
              </w:rPr>
            </w:pPr>
            <w:r>
              <w:rPr>
                <w:rFonts w:ascii="Arial" w:cs="Arial" w:eastAsia="Arial" w:hAnsi="Arial"/>
                <w:sz w:val="18"/>
                <w:szCs w:val="18"/>
                <w:color w:val="auto"/>
              </w:rPr>
              <w:t>Title:</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ASSIGNEE:</w:t>
            </w:r>
          </w:p>
        </w:tc>
        <w:tc>
          <w:tcPr>
            <w:tcW w:w="8160" w:type="dxa"/>
            <w:vAlign w:val="bottom"/>
            <w:gridSpan w:val="2"/>
          </w:tcPr>
          <w:p>
            <w:pPr>
              <w:ind w:left="2320"/>
              <w:spacing w:after="0"/>
              <w:rPr>
                <w:sz w:val="20"/>
                <w:szCs w:val="20"/>
                <w:color w:val="auto"/>
              </w:rPr>
            </w:pPr>
            <w:r>
              <w:rPr>
                <w:rFonts w:ascii="Arial" w:cs="Arial" w:eastAsia="Arial" w:hAnsi="Arial"/>
                <w:sz w:val="18"/>
                <w:szCs w:val="18"/>
                <w:color w:val="auto"/>
              </w:rPr>
              <w:t>DELPHI AUTOMOTIVE LLP</w:t>
            </w:r>
          </w:p>
        </w:tc>
      </w:tr>
      <w:tr>
        <w:trPr>
          <w:trHeight w:val="433"/>
        </w:trPr>
        <w:tc>
          <w:tcPr>
            <w:tcW w:w="3260" w:type="dxa"/>
            <w:vAlign w:val="bottom"/>
          </w:tcPr>
          <w:p>
            <w:pPr>
              <w:spacing w:after="0"/>
              <w:rPr>
                <w:sz w:val="24"/>
                <w:szCs w:val="24"/>
                <w:color w:val="auto"/>
              </w:rPr>
            </w:pPr>
          </w:p>
        </w:tc>
        <w:tc>
          <w:tcPr>
            <w:tcW w:w="2700" w:type="dxa"/>
            <w:vAlign w:val="bottom"/>
          </w:tcPr>
          <w:p>
            <w:pPr>
              <w:ind w:left="23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spacing w:after="0"/>
              <w:rPr>
                <w:sz w:val="24"/>
                <w:szCs w:val="24"/>
                <w:color w:val="auto"/>
              </w:rPr>
            </w:pPr>
          </w:p>
        </w:tc>
      </w:tr>
      <w:tr>
        <w:trPr>
          <w:trHeight w:val="216"/>
        </w:trPr>
        <w:tc>
          <w:tcPr>
            <w:tcW w:w="3260" w:type="dxa"/>
            <w:vAlign w:val="bottom"/>
          </w:tcPr>
          <w:p>
            <w:pPr>
              <w:spacing w:after="0"/>
              <w:rPr>
                <w:sz w:val="18"/>
                <w:szCs w:val="18"/>
                <w:color w:val="auto"/>
              </w:rPr>
            </w:pPr>
          </w:p>
        </w:tc>
        <w:tc>
          <w:tcPr>
            <w:tcW w:w="8160" w:type="dxa"/>
            <w:vAlign w:val="bottom"/>
            <w:gridSpan w:val="2"/>
          </w:tcPr>
          <w:p>
            <w:pPr>
              <w:ind w:left="2320"/>
              <w:spacing w:after="0"/>
              <w:rPr>
                <w:sz w:val="20"/>
                <w:szCs w:val="20"/>
                <w:color w:val="auto"/>
              </w:rPr>
            </w:pPr>
            <w:r>
              <w:rPr>
                <w:rFonts w:ascii="Arial" w:cs="Arial" w:eastAsia="Arial" w:hAnsi="Arial"/>
                <w:sz w:val="18"/>
                <w:szCs w:val="18"/>
                <w:color w:val="auto"/>
              </w:rPr>
              <w:t>Name:</w:t>
            </w:r>
          </w:p>
        </w:tc>
      </w:tr>
      <w:tr>
        <w:trPr>
          <w:trHeight w:val="222"/>
        </w:trPr>
        <w:tc>
          <w:tcPr>
            <w:tcW w:w="3260" w:type="dxa"/>
            <w:vAlign w:val="bottom"/>
          </w:tcPr>
          <w:p>
            <w:pPr>
              <w:spacing w:after="0"/>
              <w:rPr>
                <w:sz w:val="19"/>
                <w:szCs w:val="19"/>
                <w:color w:val="auto"/>
              </w:rPr>
            </w:pPr>
          </w:p>
        </w:tc>
        <w:tc>
          <w:tcPr>
            <w:tcW w:w="8160" w:type="dxa"/>
            <w:vAlign w:val="bottom"/>
            <w:gridSpan w:val="2"/>
          </w:tcPr>
          <w:p>
            <w:pPr>
              <w:ind w:left="2320"/>
              <w:spacing w:after="0"/>
              <w:rPr>
                <w:sz w:val="20"/>
                <w:szCs w:val="20"/>
                <w:color w:val="auto"/>
              </w:rPr>
            </w:pPr>
            <w:r>
              <w:rPr>
                <w:rFonts w:ascii="Arial" w:cs="Arial" w:eastAsia="Arial" w:hAnsi="Arial"/>
                <w:sz w:val="18"/>
                <w:szCs w:val="18"/>
                <w:color w:val="auto"/>
              </w:rPr>
              <w:t>Title:</w:t>
            </w:r>
          </w:p>
        </w:tc>
      </w:tr>
    </w:tbl>
    <w:p>
      <w:pPr>
        <w:sectPr>
          <w:pgSz w:w="11900" w:h="16838" w:orient="portrait"/>
          <w:cols w:equalWidth="0" w:num="1">
            <w:col w:w="11420"/>
          </w:cols>
          <w:pgMar w:left="240" w:top="274"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DELPHI AUTOMOTIVE LLP</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Transfer of Limited Liability Partnership Interest</w:t>
      </w:r>
    </w:p>
    <w:p>
      <w:pPr>
        <w:spacing w:after="0" w:line="212"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Interest (Include Total Number of Membership Interests Held as of Date Hereof)</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1,750,000 Class A Membership Interests</w:t>
      </w:r>
    </w:p>
    <w:p>
      <w:pPr>
        <w:spacing w:after="0" w:line="90" w:lineRule="exact"/>
        <w:rPr>
          <w:rFonts w:ascii="Arial" w:cs="Arial" w:eastAsia="Arial" w:hAnsi="Arial"/>
          <w:sz w:val="18"/>
          <w:szCs w:val="18"/>
          <w:color w:val="auto"/>
        </w:rPr>
      </w:pPr>
    </w:p>
    <w:p>
      <w:pPr>
        <w:ind w:left="460" w:right="3540" w:hanging="452"/>
        <w:spacing w:after="0" w:line="344" w:lineRule="auto"/>
        <w:tabs>
          <w:tab w:leader="none" w:pos="449"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 xml:space="preserve">Transferred Interest (Include Number of Membership Interests Being Transferred to Assignee Hereunder) </w:t>
      </w:r>
      <w:r>
        <w:rPr>
          <w:rFonts w:ascii="Arial" w:cs="Arial" w:eastAsia="Arial" w:hAnsi="Arial"/>
          <w:sz w:val="18"/>
          <w:szCs w:val="18"/>
          <w:color w:val="auto"/>
        </w:rPr>
        <w:t>1,750,000 Class A Membership Interests</w:t>
      </w: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Assignee Information</w:t>
      </w:r>
      <w:r>
        <w:rPr>
          <w:rFonts w:ascii="Arial" w:cs="Arial" w:eastAsia="Arial" w:hAnsi="Arial"/>
          <w:sz w:val="18"/>
          <w:szCs w:val="18"/>
          <w:color w:val="auto"/>
        </w:rPr>
        <w:t xml:space="preserv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 of Assignee: DELPHI AUTOMOTIVE LLP</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Name and Title of Authorized Signatories: Kevin P. Clark, Vice President and Chief Financial Officer, and David M. Sherbin, Vice President &amp; General Counsel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Federal Tax I.D. Number: 98-0643213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Tax Residence: 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Tax Year End Date: December 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Principal Business Address: Level 13 Broadgate Tower, 20 Primrose Street, London EC2A 2EW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+44 (0) 131 603 7023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+44 (0) 7776 237 214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Address: </w:t>
      </w:r>
      <w:r>
        <w:rPr>
          <w:rFonts w:ascii="Arial" w:cs="Arial" w:eastAsia="Arial" w:hAnsi="Arial"/>
          <w:sz w:val="18"/>
          <w:szCs w:val="18"/>
          <w:u w:val="single" w:color="auto"/>
          <w:color w:val="auto"/>
        </w:rPr>
        <w:t>Kathleen.McLeay@ncmfinance.com</w:t>
      </w:r>
    </w:p>
    <w:p>
      <w:pPr>
        <w:sectPr>
          <w:pgSz w:w="11900" w:h="16838" w:orient="portrait"/>
          <w:cols w:equalWidth="0" w:num="1">
            <w:col w:w="11420"/>
          </w:cols>
          <w:pgMar w:left="240" w:top="28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 to Redemption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Delphi Automotive LLP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Royal London House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22-25 Finsbury Square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London, England EC2A 1DX</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31, 2011</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The Bank of New York Mellon, as Administrative Agent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600 East Las Colinas Blvd., Suite 1300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Irving, Texas 75039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Melinda Valentine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Telecopy no: (972) 401-8555</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Emmet, Marvin &amp; Martin,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 Broadway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10271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Elizabeth M. Clark, Esq.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Telecopy no: (212) 238-3100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60" w:firstLine="913"/>
        <w:spacing w:after="0" w:line="256" w:lineRule="auto"/>
        <w:rPr>
          <w:sz w:val="20"/>
          <w:szCs w:val="20"/>
          <w:color w:val="auto"/>
        </w:rPr>
      </w:pPr>
      <w:r>
        <w:rPr>
          <w:rFonts w:ascii="Arial" w:cs="Arial" w:eastAsia="Arial" w:hAnsi="Arial"/>
          <w:sz w:val="18"/>
          <w:szCs w:val="18"/>
          <w:color w:val="auto"/>
        </w:rPr>
        <w:t>Reference is made to the Credit Agreement dated as of October 6, 2009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Delphi Automotive LLP (the “</w:t>
      </w:r>
      <w:r>
        <w:rPr>
          <w:rFonts w:ascii="Arial" w:cs="Arial" w:eastAsia="Arial" w:hAnsi="Arial"/>
          <w:sz w:val="18"/>
          <w:szCs w:val="18"/>
          <w:u w:val="single" w:color="auto"/>
          <w:color w:val="auto"/>
        </w:rPr>
        <w:t>Parent</w:t>
      </w:r>
      <w:r>
        <w:rPr>
          <w:rFonts w:ascii="Arial" w:cs="Arial" w:eastAsia="Arial" w:hAnsi="Arial"/>
          <w:sz w:val="18"/>
          <w:szCs w:val="18"/>
          <w:color w:val="auto"/>
        </w:rPr>
        <w:t>”), Delphi Holdings S.a r.l., Delphi Corporation (the “</w:t>
      </w:r>
      <w:r>
        <w:rPr>
          <w:rFonts w:ascii="Arial" w:cs="Arial" w:eastAsia="Arial" w:hAnsi="Arial"/>
          <w:sz w:val="18"/>
          <w:szCs w:val="18"/>
          <w:u w:val="single" w:color="auto"/>
          <w:color w:val="auto"/>
        </w:rPr>
        <w:t>US Borrower</w:t>
      </w:r>
      <w:r>
        <w:rPr>
          <w:rFonts w:ascii="Arial" w:cs="Arial" w:eastAsia="Arial" w:hAnsi="Arial"/>
          <w:sz w:val="18"/>
          <w:szCs w:val="18"/>
          <w:color w:val="auto"/>
        </w:rPr>
        <w:t>”), Delphi International Holdings S.a r.l. (the “</w:t>
      </w:r>
      <w:r>
        <w:rPr>
          <w:rFonts w:ascii="Arial" w:cs="Arial" w:eastAsia="Arial" w:hAnsi="Arial"/>
          <w:sz w:val="18"/>
          <w:szCs w:val="18"/>
          <w:u w:val="single" w:color="auto"/>
          <w:color w:val="auto"/>
        </w:rPr>
        <w:t>Euro Borrower</w:t>
      </w:r>
      <w:r>
        <w:rPr>
          <w:rFonts w:ascii="Arial" w:cs="Arial" w:eastAsia="Arial" w:hAnsi="Arial"/>
          <w:sz w:val="18"/>
          <w:szCs w:val="18"/>
          <w:color w:val="auto"/>
        </w:rPr>
        <w:t>”), Delphi International Holdings LLP and others, the Lenders party thereto and The Bank of New York Mellon, as Administrative Agent. Capitalized terms not defined herein shall have the meanings assigned to them in the Credit Agreement.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Parent and each of the US Borrower and the Euro Borrower hereby permanently reduce to $0 all Commitments under the Credit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Intentionally Left Blank]</w:t>
      </w:r>
    </w:p>
    <w:p>
      <w:pPr>
        <w:sectPr>
          <w:pgSz w:w="11900" w:h="16838" w:orient="portrait"/>
          <w:cols w:equalWidth="0" w:num="1">
            <w:col w:w="11420"/>
          </w:cols>
          <w:pgMar w:left="240" w:top="274" w:right="239" w:bottom="1440" w:gutter="0" w:footer="0" w:header="0"/>
        </w:sectPr>
      </w:pPr>
    </w:p>
    <w:bookmarkStart w:id="142" w:name="page143"/>
    <w:bookmarkEnd w:id="14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DELPHI AUTOMOTIVE LLP</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DELPHI CORPORATION</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DELPHI INTERNATIONAL HOLDINGS S.A R.L.</w:t>
      </w: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540"/>
          </w:cols>
          <w:pgMar w:left="1440" w:top="274" w:right="9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Daniel F. Akerson, certify that:</w:t>
      </w:r>
    </w:p>
    <w:p>
      <w:pPr>
        <w:spacing w:after="0" w:line="171" w:lineRule="exact"/>
        <w:rPr>
          <w:sz w:val="20"/>
          <w:szCs w:val="20"/>
          <w:color w:val="auto"/>
        </w:rPr>
      </w:pPr>
    </w:p>
    <w:p>
      <w:pPr>
        <w:ind w:left="420" w:hanging="184"/>
        <w:spacing w:after="0"/>
        <w:tabs>
          <w:tab w:leader="none" w:pos="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March 31, 2011 on Form 10-Q of General Motors Company;</w:t>
      </w:r>
    </w:p>
    <w:p>
      <w:pPr>
        <w:spacing w:after="0" w:line="171" w:lineRule="exact"/>
        <w:rPr>
          <w:rFonts w:ascii="Arial" w:cs="Arial" w:eastAsia="Arial" w:hAnsi="Arial"/>
          <w:sz w:val="18"/>
          <w:szCs w:val="18"/>
          <w:color w:val="auto"/>
        </w:rPr>
      </w:pPr>
    </w:p>
    <w:p>
      <w:pPr>
        <w:ind w:firstLine="236"/>
        <w:spacing w:after="0" w:line="332" w:lineRule="auto"/>
        <w:tabs>
          <w:tab w:leader="none" w:pos="404"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236"/>
        <w:spacing w:after="0" w:line="259" w:lineRule="auto"/>
        <w:tabs>
          <w:tab w:leader="none" w:pos="40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460" w:right="100" w:firstLine="224"/>
        <w:spacing w:after="0" w:line="259" w:lineRule="auto"/>
        <w:tabs>
          <w:tab w:leader="none" w:pos="859"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460" w:right="80" w:firstLine="224"/>
        <w:spacing w:after="0" w:line="259" w:lineRule="auto"/>
        <w:tabs>
          <w:tab w:leader="none" w:pos="869"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240" w:right="140" w:firstLine="443"/>
        <w:spacing w:after="0" w:line="332" w:lineRule="auto"/>
        <w:tabs>
          <w:tab w:leader="none" w:pos="867"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240" w:right="160" w:firstLine="443"/>
        <w:spacing w:after="0" w:line="259" w:lineRule="auto"/>
        <w:tabs>
          <w:tab w:leader="none" w:pos="877"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80" w:firstLine="236"/>
        <w:spacing w:after="0" w:line="332" w:lineRule="auto"/>
        <w:tabs>
          <w:tab w:leader="none" w:pos="401"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240" w:right="60" w:firstLine="443"/>
        <w:spacing w:after="0" w:line="268" w:lineRule="auto"/>
        <w:tabs>
          <w:tab w:leader="none" w:pos="85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240" w:right="100" w:firstLine="443"/>
        <w:spacing w:after="0" w:line="268" w:lineRule="auto"/>
        <w:tabs>
          <w:tab w:leader="none" w:pos="86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F. AKERSON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F. Akerson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6, 2011</w:t>
      </w:r>
    </w:p>
    <w:p>
      <w:pPr>
        <w:sectPr>
          <w:pgSz w:w="11900" w:h="16838" w:orient="portrait"/>
          <w:cols w:equalWidth="0" w:num="1">
            <w:col w:w="11420"/>
          </w:cols>
          <w:pgMar w:left="240" w:top="12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Daniel Ammann, certify that:</w:t>
      </w:r>
    </w:p>
    <w:p>
      <w:pPr>
        <w:spacing w:after="0" w:line="171" w:lineRule="exact"/>
        <w:rPr>
          <w:sz w:val="20"/>
          <w:szCs w:val="20"/>
          <w:color w:val="auto"/>
        </w:rPr>
      </w:pPr>
    </w:p>
    <w:p>
      <w:pPr>
        <w:ind w:left="420" w:hanging="184"/>
        <w:spacing w:after="0"/>
        <w:tabs>
          <w:tab w:leader="none" w:pos="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March 31, 2011 on Form 10-Q of General Motors Company;</w:t>
      </w:r>
    </w:p>
    <w:p>
      <w:pPr>
        <w:spacing w:after="0" w:line="171" w:lineRule="exact"/>
        <w:rPr>
          <w:rFonts w:ascii="Arial" w:cs="Arial" w:eastAsia="Arial" w:hAnsi="Arial"/>
          <w:sz w:val="18"/>
          <w:szCs w:val="18"/>
          <w:color w:val="auto"/>
        </w:rPr>
      </w:pPr>
    </w:p>
    <w:p>
      <w:pPr>
        <w:ind w:firstLine="236"/>
        <w:spacing w:after="0" w:line="332" w:lineRule="auto"/>
        <w:tabs>
          <w:tab w:leader="none" w:pos="404"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236"/>
        <w:spacing w:after="0" w:line="259" w:lineRule="auto"/>
        <w:tabs>
          <w:tab w:leader="none" w:pos="40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460" w:right="100" w:firstLine="224"/>
        <w:spacing w:after="0" w:line="259" w:lineRule="auto"/>
        <w:tabs>
          <w:tab w:leader="none" w:pos="859"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460" w:right="80" w:firstLine="224"/>
        <w:spacing w:after="0" w:line="259" w:lineRule="auto"/>
        <w:tabs>
          <w:tab w:leader="none" w:pos="869"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460" w:right="140" w:firstLine="224"/>
        <w:spacing w:after="0" w:line="332" w:lineRule="auto"/>
        <w:tabs>
          <w:tab w:leader="none" w:pos="859"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160" w:firstLine="224"/>
        <w:spacing w:after="0" w:line="259" w:lineRule="auto"/>
        <w:tabs>
          <w:tab w:leader="none" w:pos="869"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80" w:firstLine="236"/>
        <w:spacing w:after="0" w:line="332" w:lineRule="auto"/>
        <w:tabs>
          <w:tab w:leader="none" w:pos="401"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left="460" w:right="60" w:firstLine="224"/>
        <w:spacing w:after="0" w:line="268" w:lineRule="auto"/>
        <w:tabs>
          <w:tab w:leader="none" w:pos="85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100" w:firstLine="224"/>
        <w:spacing w:after="0" w:line="268" w:lineRule="auto"/>
        <w:tabs>
          <w:tab w:leader="none" w:pos="8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Ammann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6, 2011</w:t>
      </w:r>
    </w:p>
    <w:p>
      <w:pPr>
        <w:sectPr>
          <w:pgSz w:w="11900" w:h="16838" w:orient="portrait"/>
          <w:cols w:equalWidth="0" w:num="1">
            <w:col w:w="11420"/>
          </w:cols>
          <w:pgMar w:left="240" w:top="12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firstLine="228"/>
        <w:spacing w:after="0" w:line="306"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March 31, 2011 as filed with the Securities and Exchange Commission on the date hereof (the “Report”), I, Daniel F. Akerson, Chairman and Chief Executive Officer of the Company, certify, pursuant to 18 U.S.C. § 1350, as adopted pursuant to § 906 of the Sarbanes-Oxley Act of 2002, that to the best of my knowledge:</w:t>
      </w:r>
    </w:p>
    <w:p>
      <w:pPr>
        <w:spacing w:after="0" w:line="107" w:lineRule="exact"/>
        <w:rPr>
          <w:sz w:val="20"/>
          <w:szCs w:val="20"/>
          <w:color w:val="auto"/>
        </w:rPr>
      </w:pPr>
    </w:p>
    <w:p>
      <w:pPr>
        <w:ind w:left="860" w:hanging="176"/>
        <w:spacing w:after="0"/>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60" w:hanging="176"/>
        <w:spacing w:after="0"/>
        <w:tabs>
          <w:tab w:leader="none" w:pos="8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F. AKERSON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F. Akerson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6, 2011</w:t>
      </w:r>
    </w:p>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00" w:firstLine="228"/>
        <w:spacing w:after="0" w:line="306"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March 31, 2011 as filed with the Securities and Exchange Commission on the date hereof (the “Report”), I, Daniel Ammann, Senior Vice President and Chief Financial Officer of the Company, certify, pursuant to 18 U.S.C. § 1350, as adopted pursuant to § 906 of the Sarbanes-Oxley Act of 2002, that to the best of my knowledge:</w:t>
      </w:r>
    </w:p>
    <w:p>
      <w:pPr>
        <w:spacing w:after="0" w:line="107" w:lineRule="exact"/>
        <w:rPr>
          <w:sz w:val="20"/>
          <w:szCs w:val="20"/>
          <w:color w:val="auto"/>
        </w:rPr>
      </w:pPr>
    </w:p>
    <w:p>
      <w:pPr>
        <w:ind w:left="860" w:hanging="176"/>
        <w:spacing w:after="0"/>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60" w:hanging="176"/>
        <w:spacing w:after="0"/>
        <w:tabs>
          <w:tab w:leader="none" w:pos="8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Ammann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6,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lowerLetter"/>
      <w:start w:val="1"/>
    </w:lvl>
  </w:abstractNum>
  <w:abstractNum w:abstractNumId="3">
    <w:nsid w:val="4B588F54"/>
    <w:multiLevelType w:val="hybridMultilevel"/>
    <w:lvl w:ilvl="0">
      <w:lvlJc w:val="left"/>
      <w:lvlText w:val="(%1)"/>
      <w:numFmt w:val="lowerLetter"/>
      <w:start w:val="1"/>
    </w:lvl>
  </w:abstractNum>
  <w:abstractNum w:abstractNumId="4">
    <w:nsid w:val="542289EC"/>
    <w:multiLevelType w:val="hybridMultilevel"/>
    <w:lvl w:ilvl="0">
      <w:lvlJc w:val="left"/>
      <w:lvlText w:val="(%1)"/>
      <w:numFmt w:val="lowerLetter"/>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1)"/>
      <w:numFmt w:val="lowerLetter"/>
      <w:start w:val="1"/>
    </w:lvl>
  </w:abstractNum>
  <w:abstractNum w:abstractNumId="8">
    <w:nsid w:val="32FFF902"/>
    <w:multiLevelType w:val="hybridMultilevel"/>
    <w:lvl w:ilvl="0">
      <w:lvlJc w:val="left"/>
      <w:lvlText w:val="(%1)"/>
      <w:numFmt w:val="lowerLetter"/>
      <w:start w:val="1"/>
    </w:lvl>
  </w:abstractNum>
  <w:abstractNum w:abstractNumId="9">
    <w:nsid w:val="684A481A"/>
    <w:multiLevelType w:val="hybridMultilevel"/>
    <w:lvl w:ilvl="0">
      <w:lvlJc w:val="left"/>
      <w:lvlText w:val="(%1)"/>
      <w:numFmt w:val="lowerLetter"/>
      <w:start w:val="3"/>
    </w:lvl>
  </w:abstractNum>
  <w:abstractNum w:abstractNumId="10">
    <w:nsid w:val="579478FE"/>
    <w:multiLevelType w:val="hybridMultilevel"/>
    <w:lvl w:ilvl="0">
      <w:lvlJc w:val="left"/>
      <w:lvlText w:val="(%1)"/>
      <w:numFmt w:val="lowerLetter"/>
      <w:start w:val="1"/>
    </w:lvl>
  </w:abstractNum>
  <w:abstractNum w:abstractNumId="11">
    <w:nsid w:val="749ABB43"/>
    <w:multiLevelType w:val="hybridMultilevel"/>
    <w:lvl w:ilvl="0">
      <w:lvlJc w:val="left"/>
      <w:lvlText w:val="(%1)"/>
      <w:numFmt w:val="lowerLetter"/>
      <w:start w:val="1"/>
    </w:lvl>
  </w:abstractNum>
  <w:abstractNum w:abstractNumId="12">
    <w:nsid w:val="3DC240FB"/>
    <w:multiLevelType w:val="hybridMultilevel"/>
    <w:lvl w:ilvl="0">
      <w:lvlJc w:val="left"/>
      <w:lvlText w:val="(%1)"/>
      <w:numFmt w:val="lowerLetter"/>
      <w:start w:val="1"/>
    </w:lvl>
  </w:abstractNum>
  <w:abstractNum w:abstractNumId="13">
    <w:nsid w:val="1BA026FA"/>
    <w:multiLevelType w:val="hybridMultilevel"/>
    <w:lvl w:ilvl="0">
      <w:lvlJc w:val="left"/>
      <w:lvlText w:val="(%1)"/>
      <w:numFmt w:val="lowerLetter"/>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1)"/>
      <w:numFmt w:val="lowerLetter"/>
      <w:start w:val="1"/>
    </w:lvl>
  </w:abstractNum>
  <w:abstractNum w:abstractNumId="16">
    <w:nsid w:val="12E685FB"/>
    <w:multiLevelType w:val="hybridMultilevel"/>
    <w:lvl w:ilvl="0">
      <w:lvlJc w:val="left"/>
      <w:lvlText w:val="(%1)"/>
      <w:numFmt w:val="lowerLetter"/>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1)"/>
      <w:numFmt w:val="lowerLetter"/>
      <w:start w:val="1"/>
    </w:lvl>
  </w:abstractNum>
  <w:abstractNum w:abstractNumId="19">
    <w:nsid w:val="374A3FE6"/>
    <w:multiLevelType w:val="hybridMultilevel"/>
    <w:lvl w:ilvl="0">
      <w:lvlJc w:val="left"/>
      <w:lvlText w:val="(%1)"/>
      <w:numFmt w:val="lowerLetter"/>
      <w:start w:val="1"/>
    </w:lvl>
  </w:abstractNum>
  <w:abstractNum w:abstractNumId="20">
    <w:nsid w:val="4F4EF005"/>
    <w:multiLevelType w:val="hybridMultilevel"/>
    <w:lvl w:ilvl="0">
      <w:lvlJc w:val="left"/>
      <w:lvlText w:val="(%1)"/>
      <w:numFmt w:val="lowerLetter"/>
      <w:start w:val="1"/>
    </w:lvl>
  </w:abstractNum>
  <w:abstractNum w:abstractNumId="21">
    <w:nsid w:val="23F9C13C"/>
    <w:multiLevelType w:val="hybridMultilevel"/>
    <w:lvl w:ilvl="0">
      <w:lvlJc w:val="left"/>
      <w:lvlText w:val="(%1)"/>
      <w:numFmt w:val="lowerLetter"/>
      <w:start w:val="1"/>
    </w:lvl>
  </w:abstractNum>
  <w:abstractNum w:abstractNumId="22">
    <w:nsid w:val="649BB77C"/>
    <w:multiLevelType w:val="hybridMultilevel"/>
    <w:lvl w:ilvl="0">
      <w:lvlJc w:val="left"/>
      <w:lvlText w:val="(%1)"/>
      <w:numFmt w:val="lowerLetter"/>
      <w:start w:val="1"/>
    </w:lvl>
  </w:abstractNum>
  <w:abstractNum w:abstractNumId="23">
    <w:nsid w:val="275AC794"/>
    <w:multiLevelType w:val="hybridMultilevel"/>
    <w:lvl w:ilvl="0">
      <w:lvlJc w:val="left"/>
      <w:lvlText w:val="(%1)"/>
      <w:numFmt w:val="lowerLetter"/>
      <w:start w:val="1"/>
    </w:lvl>
  </w:abstractNum>
  <w:abstractNum w:abstractNumId="24">
    <w:nsid w:val="39386575"/>
    <w:multiLevelType w:val="hybridMultilevel"/>
    <w:lvl w:ilvl="0">
      <w:lvlJc w:val="left"/>
      <w:lvlText w:val="(%1)"/>
      <w:numFmt w:val="lowerLetter"/>
      <w:start w:val="1"/>
    </w:lvl>
  </w:abstractNum>
  <w:abstractNum w:abstractNumId="25">
    <w:nsid w:val="1CF10FD8"/>
    <w:multiLevelType w:val="hybridMultilevel"/>
    <w:lvl w:ilvl="0">
      <w:lvlJc w:val="left"/>
      <w:lvlText w:val="(%1)"/>
      <w:numFmt w:val="lowerLetter"/>
      <w:start w:val="1"/>
    </w:lvl>
  </w:abstractNum>
  <w:abstractNum w:abstractNumId="26">
    <w:nsid w:val="180115BE"/>
    <w:multiLevelType w:val="hybridMultilevel"/>
    <w:lvl w:ilvl="0">
      <w:lvlJc w:val="left"/>
      <w:lvlText w:val="(%1)"/>
      <w:numFmt w:val="lowerLetter"/>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1)"/>
      <w:numFmt w:val="lowerLetter"/>
      <w:start w:val="1"/>
    </w:lvl>
  </w:abstractNum>
  <w:abstractNum w:abstractNumId="29">
    <w:nsid w:val="354FE9F9"/>
    <w:multiLevelType w:val="hybridMultilevel"/>
    <w:lvl w:ilvl="0">
      <w:lvlJc w:val="left"/>
      <w:lvlText w:val="(%1)"/>
      <w:numFmt w:val="lowerLetter"/>
      <w:start w:val="1"/>
    </w:lvl>
  </w:abstractNum>
  <w:abstractNum w:abstractNumId="30">
    <w:nsid w:val="15B5AF5C"/>
    <w:multiLevelType w:val="hybridMultilevel"/>
    <w:lvl w:ilvl="0">
      <w:lvlJc w:val="left"/>
      <w:lvlText w:val="(%1)"/>
      <w:numFmt w:val="lowerLetter"/>
      <w:start w:val="1"/>
    </w:lvl>
  </w:abstractNum>
  <w:abstractNum w:abstractNumId="31">
    <w:nsid w:val="741226BB"/>
    <w:multiLevelType w:val="hybridMultilevel"/>
    <w:lvl w:ilvl="0">
      <w:lvlJc w:val="left"/>
      <w:lvlText w:val="(%1)"/>
      <w:numFmt w:val="lowerLetter"/>
      <w:start w:val="1"/>
    </w:lvl>
  </w:abstractNum>
  <w:abstractNum w:abstractNumId="32">
    <w:nsid w:val="D34B6A8"/>
    <w:multiLevelType w:val="hybridMultilevel"/>
    <w:lvl w:ilvl="0">
      <w:lvlJc w:val="left"/>
      <w:lvlText w:val="(%1)"/>
      <w:numFmt w:val="lowerLetter"/>
      <w:start w:val="1"/>
    </w:lvl>
  </w:abstractNum>
  <w:abstractNum w:abstractNumId="33">
    <w:nsid w:val="10233C99"/>
    <w:multiLevelType w:val="hybridMultilevel"/>
    <w:lvl w:ilvl="0">
      <w:lvlJc w:val="left"/>
      <w:lvlText w:val="(%1)"/>
      <w:numFmt w:val="lowerLetter"/>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1)"/>
      <w:numFmt w:val="lowerLetter"/>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1)"/>
      <w:numFmt w:val="lowerLetter"/>
      <w:start w:val="1"/>
    </w:lvl>
  </w:abstractNum>
  <w:abstractNum w:abstractNumId="40">
    <w:nsid w:val="5FF87E05"/>
    <w:multiLevelType w:val="hybridMultilevel"/>
    <w:lvl w:ilvl="0">
      <w:lvlJc w:val="left"/>
      <w:lvlText w:val="(%1)"/>
      <w:numFmt w:val="lowerLetter"/>
      <w:start w:val="1"/>
    </w:lvl>
  </w:abstractNum>
  <w:abstractNum w:abstractNumId="41">
    <w:nsid w:val="2F305DEF"/>
    <w:multiLevelType w:val="hybridMultilevel"/>
    <w:lvl w:ilvl="0">
      <w:lvlJc w:val="left"/>
      <w:lvlText w:val="(%1)"/>
      <w:numFmt w:val="lowerLetter"/>
      <w:start w:val="7"/>
    </w:lvl>
  </w:abstractNum>
  <w:abstractNum w:abstractNumId="42">
    <w:nsid w:val="25A70BF7"/>
    <w:multiLevelType w:val="hybridMultilevel"/>
    <w:lvl w:ilvl="0">
      <w:lvlJc w:val="left"/>
      <w:lvlText w:val="(%1)"/>
      <w:numFmt w:val="lowerLetter"/>
      <w:start w:val="1"/>
    </w:lvl>
  </w:abstractNum>
  <w:abstractNum w:abstractNumId="43">
    <w:nsid w:val="1DBABF00"/>
    <w:multiLevelType w:val="hybridMultilevel"/>
    <w:lvl w:ilvl="0">
      <w:lvlJc w:val="left"/>
      <w:lvlText w:val="(%1)"/>
      <w:numFmt w:val="decimal"/>
      <w:start w:val="4"/>
    </w:lvl>
  </w:abstractNum>
  <w:abstractNum w:abstractNumId="44">
    <w:nsid w:val="4AD084E9"/>
    <w:multiLevelType w:val="hybridMultilevel"/>
    <w:lvl w:ilvl="0">
      <w:lvlJc w:val="left"/>
      <w:lvlText w:val="(%1)"/>
      <w:numFmt w:val="lowerLetter"/>
      <w:start w:val="1"/>
    </w:lvl>
  </w:abstractNum>
  <w:abstractNum w:abstractNumId="45">
    <w:nsid w:val="1F48EAA1"/>
    <w:multiLevelType w:val="hybridMultilevel"/>
    <w:lvl w:ilvl="0">
      <w:lvlJc w:val="left"/>
      <w:lvlText w:val="(%1)"/>
      <w:numFmt w:val="lowerLetter"/>
      <w:start w:val="1"/>
    </w:lvl>
  </w:abstractNum>
  <w:abstractNum w:abstractNumId="46">
    <w:nsid w:val="1381823A"/>
    <w:multiLevelType w:val="hybridMultilevel"/>
    <w:lvl w:ilvl="0">
      <w:lvlJc w:val="left"/>
      <w:lvlText w:val="(%1)"/>
      <w:numFmt w:val="decimal"/>
      <w:start w:val="3"/>
    </w:lvl>
  </w:abstractNum>
  <w:abstractNum w:abstractNumId="47">
    <w:nsid w:val="5DB70AE5"/>
    <w:multiLevelType w:val="hybridMultilevel"/>
    <w:lvl w:ilvl="0">
      <w:lvlJc w:val="left"/>
      <w:lvlText w:val="(%1)"/>
      <w:numFmt w:val="lowerLetter"/>
      <w:start w:val="1"/>
    </w:lvl>
  </w:abstractNum>
  <w:abstractNum w:abstractNumId="48">
    <w:nsid w:val="100F8FCA"/>
    <w:multiLevelType w:val="hybridMultilevel"/>
    <w:lvl w:ilvl="0">
      <w:lvlJc w:val="left"/>
      <w:lvlText w:val="(%1)"/>
      <w:numFmt w:val="lowerLetter"/>
      <w:start w:val="1"/>
    </w:lvl>
  </w:abstractNum>
  <w:abstractNum w:abstractNumId="49">
    <w:nsid w:val="6590700B"/>
    <w:multiLevelType w:val="hybridMultilevel"/>
    <w:lvl w:ilvl="0">
      <w:lvlJc w:val="left"/>
      <w:lvlText w:val="(%1)"/>
      <w:numFmt w:val="lowerLetter"/>
      <w:start w:val="1"/>
    </w:lvl>
  </w:abstractNum>
  <w:abstractNum w:abstractNumId="50">
    <w:nsid w:val="15014ACB"/>
    <w:multiLevelType w:val="hybridMultilevel"/>
    <w:lvl w:ilvl="0">
      <w:lvlJc w:val="left"/>
      <w:lvlText w:val="(%1)"/>
      <w:numFmt w:val="lowerLetter"/>
      <w:start w:val="8"/>
    </w:lvl>
  </w:abstractNum>
  <w:abstractNum w:abstractNumId="51">
    <w:nsid w:val="5F5E7FD0"/>
    <w:multiLevelType w:val="hybridMultilevel"/>
    <w:lvl w:ilvl="0">
      <w:lvlJc w:val="left"/>
      <w:lvlText w:val="(%1)"/>
      <w:numFmt w:val="decimal"/>
      <w:start w:val="2"/>
    </w:lvl>
  </w:abstractNum>
  <w:abstractNum w:abstractNumId="52">
    <w:nsid w:val="98A3148"/>
    <w:multiLevelType w:val="hybridMultilevel"/>
    <w:lvl w:ilvl="0">
      <w:lvlJc w:val="left"/>
      <w:lvlText w:val="(%1)"/>
      <w:numFmt w:val="decimal"/>
      <w:start w:val="8"/>
    </w:lvl>
  </w:abstractNum>
  <w:abstractNum w:abstractNumId="53">
    <w:nsid w:val="799D0247"/>
    <w:multiLevelType w:val="hybridMultilevel"/>
    <w:lvl w:ilvl="0">
      <w:lvlJc w:val="left"/>
      <w:lvlText w:val="(%1)"/>
      <w:numFmt w:val="lowerLetter"/>
      <w:start w:val="1"/>
    </w:lvl>
  </w:abstractNum>
  <w:abstractNum w:abstractNumId="54">
    <w:nsid w:val="6B94764"/>
    <w:multiLevelType w:val="hybridMultilevel"/>
    <w:lvl w:ilvl="0">
      <w:lvlJc w:val="left"/>
      <w:lvlText w:val="(%1)"/>
      <w:numFmt w:val="decimal"/>
      <w:start w:val="2"/>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1)"/>
      <w:numFmt w:val="lowerLetter"/>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1)"/>
      <w:numFmt w:val="decimal"/>
      <w:start w:val="2"/>
    </w:lvl>
  </w:abstractNum>
  <w:abstractNum w:abstractNumId="63">
    <w:nsid w:val="613EFDC5"/>
    <w:multiLevelType w:val="hybridMultilevel"/>
    <w:lvl w:ilvl="0">
      <w:lvlJc w:val="left"/>
      <w:lvlText w:val="(%1)"/>
      <w:numFmt w:val="lowerLetter"/>
      <w:start w:val="1"/>
    </w:lvl>
  </w:abstractNum>
  <w:abstractNum w:abstractNumId="64">
    <w:nsid w:val="BF72B14"/>
    <w:multiLevelType w:val="hybridMultilevel"/>
    <w:lvl w:ilvl="0">
      <w:lvlJc w:val="left"/>
      <w:lvlText w:val="(%1)"/>
      <w:numFmt w:val="lowerLetter"/>
      <w:start w:val="1"/>
    </w:lvl>
  </w:abstractNum>
  <w:abstractNum w:abstractNumId="65">
    <w:nsid w:val="11447B73"/>
    <w:multiLevelType w:val="hybridMultilevel"/>
    <w:lvl w:ilvl="0">
      <w:lvlJc w:val="left"/>
      <w:lvlText w:val="(%1)"/>
      <w:numFmt w:val="lowerLetter"/>
      <w:start w:val="3"/>
    </w:lvl>
  </w:abstractNum>
  <w:abstractNum w:abstractNumId="66">
    <w:nsid w:val="42963E5A"/>
    <w:multiLevelType w:val="hybridMultilevel"/>
    <w:lvl w:ilvl="0">
      <w:lvlJc w:val="left"/>
      <w:lvlText w:val="(%1)"/>
      <w:numFmt w:val="lowerRoman"/>
      <w:start w:val="2"/>
    </w:lvl>
  </w:abstractNum>
  <w:abstractNum w:abstractNumId="67">
    <w:nsid w:val="A0382C5"/>
    <w:multiLevelType w:val="hybridMultilevel"/>
    <w:lvl w:ilvl="0">
      <w:lvlJc w:val="left"/>
      <w:lvlText w:val="(%1)"/>
      <w:numFmt w:val="lowerRoman"/>
      <w:start w:val="2"/>
    </w:lvl>
  </w:abstractNum>
  <w:abstractNum w:abstractNumId="68">
    <w:nsid w:val="8F2B15E"/>
    <w:multiLevelType w:val="hybridMultilevel"/>
    <w:lvl w:ilvl="0">
      <w:lvlJc w:val="left"/>
      <w:lvlText w:val="(%1)"/>
      <w:numFmt w:val="lowerRoman"/>
      <w:start w:val="2"/>
    </w:lvl>
  </w:abstractNum>
  <w:abstractNum w:abstractNumId="69">
    <w:nsid w:val="1A32234B"/>
    <w:multiLevelType w:val="hybridMultilevel"/>
    <w:lvl w:ilvl="0">
      <w:lvlJc w:val="left"/>
      <w:lvlText w:val="(%1)"/>
      <w:numFmt w:val="lowerLetter"/>
      <w:start w:val="2"/>
    </w:lvl>
  </w:abstractNum>
  <w:abstractNum w:abstractNumId="70">
    <w:nsid w:val="3B0FD379"/>
    <w:multiLevelType w:val="hybridMultilevel"/>
    <w:lvl w:ilvl="0">
      <w:lvlJc w:val="left"/>
      <w:lvlText w:val="(%1)"/>
      <w:numFmt w:val="lowerRoman"/>
      <w:start w:val="3"/>
    </w:lvl>
  </w:abstractNum>
  <w:abstractNum w:abstractNumId="71">
    <w:nsid w:val="68EB2F63"/>
    <w:multiLevelType w:val="hybridMultilevel"/>
    <w:lvl w:ilvl="0">
      <w:lvlJc w:val="left"/>
      <w:lvlText w:val="(%1)"/>
      <w:numFmt w:val="lowerLetter"/>
      <w:start w:val="2"/>
    </w:lvl>
  </w:abstractNum>
  <w:abstractNum w:abstractNumId="72">
    <w:nsid w:val="4962813B"/>
    <w:multiLevelType w:val="hybridMultilevel"/>
    <w:lvl w:ilvl="0">
      <w:lvlJc w:val="left"/>
      <w:lvlText w:val="(%1)"/>
      <w:numFmt w:val="lowerLetter"/>
      <w:start w:val="2"/>
    </w:lvl>
  </w:abstractNum>
  <w:abstractNum w:abstractNumId="73">
    <w:nsid w:val="60B6DF70"/>
    <w:multiLevelType w:val="hybridMultilevel"/>
    <w:lvl w:ilvl="0">
      <w:lvlJc w:val="left"/>
      <w:lvlText w:val="(%1)"/>
      <w:numFmt w:val="lowerLetter"/>
      <w:start w:val="2"/>
    </w:lvl>
  </w:abstractNum>
  <w:abstractNum w:abstractNumId="74">
    <w:nsid w:val="6A5EE64"/>
    <w:multiLevelType w:val="hybridMultilevel"/>
    <w:lvl w:ilvl="0">
      <w:lvlJc w:val="left"/>
      <w:lvlText w:val="(%1)"/>
      <w:numFmt w:val="lowerLetter"/>
      <w:start w:val="35"/>
    </w:lvl>
    <w:lvl w:ilvl="1">
      <w:lvlJc w:val="left"/>
      <w:lvlText w:val="(%2)"/>
      <w:numFmt w:val="lowerLetter"/>
      <w:start w:val="2"/>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1)"/>
      <w:numFmt w:val="lowerLetter"/>
      <w:start w:val="1"/>
    </w:lvl>
  </w:abstractNum>
  <w:abstractNum w:abstractNumId="77">
    <w:nsid w:val="1A27709E"/>
    <w:multiLevelType w:val="hybridMultilevel"/>
    <w:lvl w:ilvl="0">
      <w:lvlJc w:val="left"/>
      <w:lvlText w:val="(%1)"/>
      <w:numFmt w:val="lowerLetter"/>
      <w:start w:val="1"/>
    </w:lvl>
  </w:abstractNum>
  <w:abstractNum w:abstractNumId="78">
    <w:nsid w:val="71EA1109"/>
    <w:multiLevelType w:val="hybridMultilevel"/>
    <w:lvl w:ilvl="0">
      <w:lvlJc w:val="left"/>
      <w:lvlText w:val="(%1)"/>
      <w:numFmt w:val="lowerLetter"/>
      <w:start w:val="1"/>
    </w:lvl>
  </w:abstractNum>
  <w:abstractNum w:abstractNumId="79">
    <w:nsid w:val="100F59DC"/>
    <w:multiLevelType w:val="hybridMultilevel"/>
    <w:lvl w:ilvl="0">
      <w:lvlJc w:val="left"/>
      <w:lvlText w:val="(%1)"/>
      <w:numFmt w:val="lowerLetter"/>
      <w:start w:val="2"/>
    </w:lvl>
  </w:abstractNum>
  <w:abstractNum w:abstractNumId="80">
    <w:nsid w:val="7FB7E0AA"/>
    <w:multiLevelType w:val="hybridMultilevel"/>
    <w:lvl w:ilvl="0">
      <w:lvlJc w:val="left"/>
      <w:lvlText w:val="%1."/>
      <w:numFmt w:val="decimal"/>
      <w:start w:val="1"/>
    </w:lvl>
  </w:abstractNum>
  <w:abstractNum w:abstractNumId="81">
    <w:nsid w:val="6EB5BD4"/>
    <w:multiLevelType w:val="hybridMultilevel"/>
    <w:lvl w:ilvl="0">
      <w:lvlJc w:val="left"/>
      <w:lvlText w:val="%1."/>
      <w:numFmt w:val="decimal"/>
      <w:start w:val="1"/>
    </w:lvl>
  </w:abstractNum>
  <w:abstractNum w:abstractNumId="82">
    <w:nsid w:val="6F6DD9AC"/>
    <w:multiLevelType w:val="hybridMultilevel"/>
    <w:lvl w:ilvl="0">
      <w:lvlJc w:val="left"/>
      <w:lvlText w:val="%1."/>
      <w:numFmt w:val="decimal"/>
      <w:start w:val="5"/>
    </w:lvl>
  </w:abstractNum>
  <w:abstractNum w:abstractNumId="83">
    <w:nsid w:val="94211F2"/>
    <w:multiLevelType w:val="hybridMultilevel"/>
    <w:lvl w:ilvl="0">
      <w:lvlJc w:val="left"/>
      <w:lvlText w:val="%1."/>
      <w:numFmt w:val="upperLetter"/>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2019-12-11T07:29:21Z</dcterms:created>
  <dcterms:modified xsi:type="dcterms:W3CDTF">2019-12-11T07:29:21Z</dcterms:modified>
</cp:coreProperties>
</file>