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May 1, 2012</w:t>
      </w:r>
    </w:p>
    <w:p>
      <w:pPr>
        <w:sectPr>
          <w:pgSz w:w="11900" w:h="16838" w:orient="portrait"/>
          <w:cols w:equalWidth="0" w:num="1">
            <w:col w:w="10219"/>
          </w:cols>
          <w:pgMar w:left="240" w:top="101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May 1, 2012, General Motors Company (GM) issued a news release announcing April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May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680"/>
          </w:cols>
          <w:pgMar w:left="240" w:top="796" w:right="9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080" w:type="dxa"/>
            <w:vAlign w:val="bottom"/>
            <w:vMerge w:val="restart"/>
          </w:tcPr>
          <w:p>
            <w:pPr>
              <w:spacing w:after="0"/>
              <w:rPr>
                <w:sz w:val="20"/>
                <w:szCs w:val="20"/>
                <w:color w:val="auto"/>
              </w:rPr>
            </w:pPr>
            <w:r>
              <w:rPr>
                <w:rFonts w:ascii="Arial" w:cs="Arial" w:eastAsia="Arial" w:hAnsi="Arial"/>
                <w:sz w:val="18"/>
                <w:szCs w:val="18"/>
                <w:color w:val="auto"/>
              </w:rPr>
              <w:t>Date: May 3, 2012</w:t>
            </w:r>
          </w:p>
        </w:tc>
        <w:tc>
          <w:tcPr>
            <w:tcW w:w="2320" w:type="dxa"/>
            <w:vAlign w:val="bottom"/>
            <w:vMerge w:val="restart"/>
          </w:tcPr>
          <w:p>
            <w:pPr>
              <w:ind w:left="17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1791335</wp:posOffset>
            </wp:positionH>
            <wp:positionV relativeFrom="page">
              <wp:posOffset>436245</wp:posOffset>
            </wp:positionV>
            <wp:extent cx="56254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5465"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5080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May 1,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April Sales of 213,387 Vehicles, Increases 2012 Sales Outlook</w:t>
      </w:r>
    </w:p>
    <w:p>
      <w:pPr>
        <w:spacing w:after="0" w:line="23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April sales of 213,387 vehicles in the United States. Retail sales were</w:t>
      </w:r>
      <w:r>
        <w:rPr>
          <w:rFonts w:ascii="Arial" w:cs="Arial" w:eastAsia="Arial" w:hAnsi="Arial"/>
          <w:sz w:val="20"/>
          <w:szCs w:val="20"/>
          <w:b w:val="1"/>
          <w:bCs w:val="1"/>
          <w:color w:val="auto"/>
        </w:rPr>
        <w:t xml:space="preserve"> </w:t>
      </w:r>
      <w:r>
        <w:rPr>
          <w:rFonts w:ascii="Arial" w:cs="Arial" w:eastAsia="Arial" w:hAnsi="Arial"/>
          <w:sz w:val="20"/>
          <w:szCs w:val="20"/>
          <w:color w:val="auto"/>
        </w:rPr>
        <w:t>essentially equal to April 2011. GM's fleet sales declined 25 percent due to the timing of rental customer deliveries, as previously indicated.</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As a result, total sales were down 8 percent.</w:t>
      </w:r>
    </w:p>
    <w:p>
      <w:pPr>
        <w:spacing w:after="0" w:line="216"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Based on higher than expected first quarter industry sales and expectations that the U.S. economy will continue to grow, GM is increasing its full-year light vehicle sales forecast to 14.0 million - 14.5 million units from 13.5 million - 14.0 million units.</w:t>
      </w:r>
    </w:p>
    <w:p>
      <w:pPr>
        <w:spacing w:after="0" w:line="202" w:lineRule="exact"/>
        <w:rPr>
          <w:sz w:val="20"/>
          <w:szCs w:val="20"/>
          <w:color w:val="auto"/>
        </w:rPr>
      </w:pPr>
    </w:p>
    <w:p>
      <w:pPr>
        <w:jc w:val="both"/>
        <w:ind w:right="80"/>
        <w:spacing w:after="0" w:line="262" w:lineRule="auto"/>
        <w:rPr>
          <w:sz w:val="20"/>
          <w:szCs w:val="20"/>
          <w:color w:val="auto"/>
        </w:rPr>
      </w:pPr>
      <w:r>
        <w:rPr>
          <w:rFonts w:ascii="Arial" w:cs="Arial" w:eastAsia="Arial" w:hAnsi="Arial"/>
          <w:sz w:val="19"/>
          <w:szCs w:val="19"/>
          <w:color w:val="auto"/>
        </w:rPr>
        <w:t>“We expect gradual improvement in the economy going forward,” said Don Johnson, vice president, U.S. Sales Operations. “Over time, strength in the manufacturing sector and strong retail sales will lead to more job creation. That will help more consumers put the recession behind them, gain even more confidence and drive vehicle sales higher for both the industry and GM.”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GM's two newest vehicles, the Chevrolet Sonic and the Buick Verano, continue to perform well.</w:t>
      </w:r>
    </w:p>
    <w:p>
      <w:pPr>
        <w:ind w:right="360"/>
        <w:spacing w:after="0" w:line="242" w:lineRule="auto"/>
        <w:rPr>
          <w:sz w:val="20"/>
          <w:szCs w:val="20"/>
          <w:color w:val="auto"/>
        </w:rPr>
      </w:pPr>
      <w:r>
        <w:rPr>
          <w:rFonts w:ascii="Arial" w:cs="Arial" w:eastAsia="Arial" w:hAnsi="Arial"/>
          <w:sz w:val="20"/>
          <w:szCs w:val="20"/>
          <w:color w:val="auto"/>
        </w:rPr>
        <w:t>Chevrolet Sonic sales were 38 percent higher than the vehicle it replaced. Buick Verano sales reached 2,989 units and have increased each month since it went on sale in late November 2011. In addition, Chevrolet Volt sales of 1,462 units were strong nationally but limited by availability of vehicles in California, where GM is launching a model that qualifies for high-occupancy vehicle lane access.</w:t>
      </w:r>
    </w:p>
    <w:p>
      <w:pPr>
        <w:spacing w:after="0" w:line="207"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Other highlights include a 7 percent year-over-year increase for the Cadillac CTS sedan, a 20 percent increase for the GMC Sierra, a 9 percent increase for the GMC Terrain, a 5 percent sales increase for the Chevrolet Silverado and a 7 percent increase for the Chevrolet Equinox.</w:t>
      </w:r>
    </w:p>
    <w:p>
      <w:pPr>
        <w:spacing w:after="0" w:line="20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On a selling-day adjusted basis, GM total sales were up 3 percent and retail sales were up 12 percent. On the same basis, Chevrolet retail sales were up 13 percent, Buick retail sales were up 8 percent, GMC retail sales were up 17 percent and Cadillac retail sales were essentially equal to a year ago. There were three fewer selling days in April 2012 than a year ago.</w:t>
      </w:r>
    </w:p>
    <w:p>
      <w:pPr>
        <w:spacing w:after="0" w:line="338" w:lineRule="exact"/>
        <w:rPr>
          <w:sz w:val="20"/>
          <w:szCs w:val="20"/>
          <w:color w:val="auto"/>
        </w:rPr>
      </w:pPr>
    </w:p>
    <w:tbl>
      <w:tblPr>
        <w:tblLayout w:type="fixed"/>
        <w:tblInd w:w="90" w:type="dxa"/>
        <w:tblCellMar>
          <w:top w:w="0" w:type="dxa"/>
          <w:left w:w="0" w:type="dxa"/>
          <w:bottom w:w="0" w:type="dxa"/>
          <w:right w:w="0" w:type="dxa"/>
        </w:tblCellMar>
      </w:tblPr>
      <w:tr>
        <w:trPr>
          <w:trHeight w:val="180"/>
        </w:trPr>
        <w:tc>
          <w:tcPr>
            <w:tcW w:w="104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April Total</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April Retail</w:t>
            </w:r>
          </w:p>
        </w:tc>
        <w:tc>
          <w:tcPr>
            <w:tcW w:w="114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Retail Change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Retail Change vs.</w:t>
            </w:r>
          </w:p>
        </w:tc>
        <w:tc>
          <w:tcPr>
            <w:tcW w:w="11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CYTD Change</w:t>
            </w:r>
          </w:p>
        </w:tc>
        <w:tc>
          <w:tcPr>
            <w:tcW w:w="124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3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April 2011 (selling</w:t>
            </w:r>
          </w:p>
        </w:tc>
        <w:tc>
          <w:tcPr>
            <w:tcW w:w="1120" w:type="dxa"/>
            <w:vAlign w:val="bottom"/>
            <w:tcBorders>
              <w:right w:val="single" w:sz="8" w:color="auto"/>
            </w:tcBorders>
          </w:tcPr>
          <w:p>
            <w:pPr>
              <w:ind w:left="360"/>
              <w:spacing w:after="0" w:line="158" w:lineRule="exact"/>
              <w:rPr>
                <w:sz w:val="20"/>
                <w:szCs w:val="20"/>
                <w:color w:val="auto"/>
              </w:rPr>
            </w:pPr>
            <w:r>
              <w:rPr>
                <w:rFonts w:ascii="Arial" w:cs="Arial" w:eastAsia="Arial" w:hAnsi="Arial"/>
                <w:sz w:val="14"/>
                <w:szCs w:val="14"/>
                <w:b w:val="1"/>
                <w:bCs w:val="1"/>
                <w:color w:val="auto"/>
              </w:rPr>
              <w:t>CYTD</w:t>
            </w:r>
          </w:p>
        </w:tc>
        <w:tc>
          <w:tcPr>
            <w:tcW w:w="112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w w:val="97"/>
              </w:rPr>
              <w:t>CYTD Retail Sales</w:t>
            </w:r>
          </w:p>
        </w:tc>
        <w:tc>
          <w:tcPr>
            <w:tcW w:w="11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Retail Change</w:t>
            </w:r>
          </w:p>
        </w:tc>
        <w:tc>
          <w:tcPr>
            <w:tcW w:w="0" w:type="dxa"/>
            <w:vAlign w:val="bottom"/>
          </w:tcPr>
          <w:p>
            <w:pPr>
              <w:spacing w:after="0"/>
              <w:rPr>
                <w:sz w:val="1"/>
                <w:szCs w:val="1"/>
                <w:color w:val="auto"/>
              </w:rPr>
            </w:pPr>
          </w:p>
        </w:tc>
      </w:tr>
      <w:tr>
        <w:trPr>
          <w:trHeight w:val="162"/>
        </w:trPr>
        <w:tc>
          <w:tcPr>
            <w:tcW w:w="10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Highlights</w:t>
            </w:r>
          </w:p>
        </w:tc>
        <w:tc>
          <w:tcPr>
            <w:tcW w:w="102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Sales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2011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4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vs. April 2011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days adjusted)</w:t>
            </w:r>
          </w:p>
        </w:tc>
        <w:tc>
          <w:tcPr>
            <w:tcW w:w="11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Sales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vs. 2011</w:t>
            </w:r>
          </w:p>
        </w:tc>
        <w:tc>
          <w:tcPr>
            <w:tcW w:w="12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vs. 2011</w:t>
            </w:r>
          </w:p>
        </w:tc>
        <w:tc>
          <w:tcPr>
            <w:tcW w:w="0" w:type="dxa"/>
            <w:vAlign w:val="bottom"/>
          </w:tcPr>
          <w:p>
            <w:pPr>
              <w:spacing w:after="0"/>
              <w:rPr>
                <w:sz w:val="1"/>
                <w:szCs w:val="1"/>
                <w:color w:val="auto"/>
              </w:rPr>
            </w:pPr>
          </w:p>
        </w:tc>
      </w:tr>
      <w:tr>
        <w:trPr>
          <w:trHeight w:val="48"/>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Chevrolet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155,487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105,702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0.2%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603,621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406,919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GMC</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32,603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27,524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17.4%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124,487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107,052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(0.2%)</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Buick</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15,446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(16.1%)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13,529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52,782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48,905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(4.9%)</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Cadillac</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9,851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(25.0%)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9,525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(11.4%)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(0.3%)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40,817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(23.9%)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39,377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(13.7%)</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 GM</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213,387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156,280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(0.2%)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821,707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(0.4%)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602,253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(1.1%)</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9" w:right="239" w:bottom="1440" w:gutter="0" w:footer="0" w:header="0"/>
        </w:sectPr>
      </w:pPr>
    </w:p>
    <w:bookmarkStart w:id="5" w:name="page6"/>
    <w:bookmarkEnd w:id="5"/>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80"/>
        </w:trPr>
        <w:tc>
          <w:tcPr>
            <w:tcW w:w="20" w:type="dxa"/>
            <w:vAlign w:val="bottom"/>
            <w:tcBorders>
              <w:top w:val="single" w:sz="8" w:color="auto"/>
            </w:tcBorders>
            <w:shd w:val="clear" w:color="auto" w:fill="000000"/>
          </w:tcPr>
          <w:p>
            <w:pPr>
              <w:spacing w:after="0"/>
              <w:rPr>
                <w:sz w:val="15"/>
                <w:szCs w:val="15"/>
                <w:color w:val="auto"/>
              </w:rPr>
            </w:pPr>
          </w:p>
        </w:tc>
        <w:tc>
          <w:tcPr>
            <w:tcW w:w="170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Inventory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w:t>
            </w:r>
          </w:p>
        </w:tc>
        <w:tc>
          <w:tcPr>
            <w:tcW w:w="17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Days Supply (selling days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Units @</w:t>
            </w:r>
          </w:p>
        </w:tc>
        <w:tc>
          <w:tcPr>
            <w:tcW w:w="320" w:type="dxa"/>
            <w:vAlign w:val="bottom"/>
            <w:tcBorders>
              <w:top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Days Supply (selling days</w:t>
            </w:r>
          </w:p>
        </w:tc>
        <w:tc>
          <w:tcPr>
            <w:tcW w:w="0" w:type="dxa"/>
            <w:vAlign w:val="bottom"/>
          </w:tcPr>
          <w:p>
            <w:pPr>
              <w:spacing w:after="0"/>
              <w:rPr>
                <w:sz w:val="1"/>
                <w:szCs w:val="1"/>
                <w:color w:val="auto"/>
              </w:rPr>
            </w:pPr>
          </w:p>
        </w:tc>
      </w:tr>
      <w:tr>
        <w:trPr>
          <w:trHeight w:val="105"/>
        </w:trPr>
        <w:tc>
          <w:tcPr>
            <w:tcW w:w="20" w:type="dxa"/>
            <w:vAlign w:val="bottom"/>
            <w:shd w:val="clear" w:color="auto" w:fill="000000"/>
          </w:tcPr>
          <w:p>
            <w:pPr>
              <w:spacing w:after="0"/>
              <w:rPr>
                <w:sz w:val="9"/>
                <w:szCs w:val="9"/>
                <w:color w:val="auto"/>
              </w:rPr>
            </w:pPr>
          </w:p>
        </w:tc>
        <w:tc>
          <w:tcPr>
            <w:tcW w:w="1700" w:type="dxa"/>
            <w:vAlign w:val="bottom"/>
            <w:tcBorders>
              <w:right w:val="single" w:sz="8" w:color="auto"/>
            </w:tcBorders>
            <w:gridSpan w:val="2"/>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March 31, 2012</w:t>
            </w:r>
          </w:p>
        </w:tc>
        <w:tc>
          <w:tcPr>
            <w:tcW w:w="520" w:type="dxa"/>
            <w:vAlign w:val="bottom"/>
          </w:tcPr>
          <w:p>
            <w:pPr>
              <w:spacing w:after="0"/>
              <w:rPr>
                <w:sz w:val="9"/>
                <w:szCs w:val="9"/>
                <w:color w:val="auto"/>
              </w:rPr>
            </w:pPr>
          </w:p>
        </w:tc>
        <w:tc>
          <w:tcPr>
            <w:tcW w:w="1180" w:type="dxa"/>
            <w:vAlign w:val="bottom"/>
            <w:tcBorders>
              <w:right w:val="single" w:sz="8" w:color="auto"/>
            </w:tcBorders>
            <w:vMerge w:val="restart"/>
          </w:tcPr>
          <w:p>
            <w:pPr>
              <w:jc w:val="center"/>
              <w:ind w:right="488"/>
              <w:spacing w:after="0"/>
              <w:rPr>
                <w:sz w:val="20"/>
                <w:szCs w:val="20"/>
                <w:color w:val="auto"/>
              </w:rPr>
            </w:pPr>
            <w:r>
              <w:rPr>
                <w:rFonts w:ascii="Arial" w:cs="Arial" w:eastAsia="Arial" w:hAnsi="Arial"/>
                <w:sz w:val="14"/>
                <w:szCs w:val="14"/>
                <w:b w:val="1"/>
                <w:bCs w:val="1"/>
                <w:color w:val="auto"/>
                <w:w w:val="93"/>
              </w:rPr>
              <w:t>adjusted)</w:t>
            </w:r>
          </w:p>
        </w:tc>
        <w:tc>
          <w:tcPr>
            <w:tcW w:w="300" w:type="dxa"/>
            <w:vAlign w:val="bottom"/>
          </w:tcPr>
          <w:p>
            <w:pPr>
              <w:spacing w:after="0"/>
              <w:rPr>
                <w:sz w:val="9"/>
                <w:szCs w:val="9"/>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April 30, 2012</w:t>
            </w:r>
          </w:p>
        </w:tc>
        <w:tc>
          <w:tcPr>
            <w:tcW w:w="32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shd w:val="clear" w:color="auto" w:fill="000000"/>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9"/>
              </w:rPr>
              <w:t>All Vehicles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713,008</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ind w:right="728"/>
              <w:spacing w:after="0"/>
              <w:rPr>
                <w:sz w:val="20"/>
                <w:szCs w:val="20"/>
                <w:color w:val="auto"/>
              </w:rPr>
            </w:pPr>
            <w:r>
              <w:rPr>
                <w:rFonts w:ascii="Arial" w:cs="Arial" w:eastAsia="Arial" w:hAnsi="Arial"/>
                <w:sz w:val="14"/>
                <w:szCs w:val="14"/>
                <w:color w:val="auto"/>
              </w:rPr>
              <w:t>86</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701,389</w:t>
            </w:r>
          </w:p>
        </w:tc>
        <w:tc>
          <w:tcPr>
            <w:tcW w:w="3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70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5"/>
              </w:rPr>
              <w:t>Full-size Pickups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231,594</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ind w:right="688"/>
              <w:spacing w:after="0"/>
              <w:rPr>
                <w:sz w:val="20"/>
                <w:szCs w:val="20"/>
                <w:color w:val="auto"/>
              </w:rPr>
            </w:pPr>
            <w:r>
              <w:rPr>
                <w:rFonts w:ascii="Arial" w:cs="Arial" w:eastAsia="Arial" w:hAnsi="Arial"/>
                <w:sz w:val="14"/>
                <w:szCs w:val="14"/>
                <w:color w:val="auto"/>
              </w:rPr>
              <w:t>124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226,585</w:t>
            </w:r>
          </w:p>
        </w:tc>
        <w:tc>
          <w:tcPr>
            <w:tcW w:w="3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6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Industry Sales</w:t>
            </w: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April SAAR (est.)</w:t>
            </w:r>
          </w:p>
        </w:tc>
        <w:tc>
          <w:tcPr>
            <w:tcW w:w="5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b w:val="1"/>
                <w:bCs w:val="1"/>
                <w:color w:val="auto"/>
                <w:w w:val="96"/>
              </w:rPr>
              <w:t>Q1 2012 SAAR</w:t>
            </w:r>
          </w:p>
        </w:tc>
        <w:tc>
          <w:tcPr>
            <w:tcW w:w="44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right w:val="single" w:sz="8" w:color="auto"/>
            </w:tcBorders>
            <w:gridSpan w:val="2"/>
          </w:tcPr>
          <w:p>
            <w:pPr>
              <w:jc w:val="center"/>
              <w:ind w:right="568"/>
              <w:spacing w:after="0"/>
              <w:rPr>
                <w:sz w:val="20"/>
                <w:szCs w:val="20"/>
                <w:color w:val="auto"/>
              </w:rPr>
            </w:pPr>
            <w:r>
              <w:rPr>
                <w:rFonts w:ascii="Arial" w:cs="Arial" w:eastAsia="Arial" w:hAnsi="Arial"/>
                <w:sz w:val="14"/>
                <w:szCs w:val="14"/>
                <w:b w:val="1"/>
                <w:bCs w:val="1"/>
                <w:color w:val="auto"/>
                <w:w w:val="94"/>
              </w:rPr>
              <w:t>Full Year 2012 (est.)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Light Vehicles</w:t>
            </w:r>
          </w:p>
        </w:tc>
        <w:tc>
          <w:tcPr>
            <w:tcW w:w="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gridSpan w:val="2"/>
          </w:tcPr>
          <w:p>
            <w:pPr>
              <w:jc w:val="center"/>
              <w:ind w:right="48"/>
              <w:spacing w:after="0"/>
              <w:rPr>
                <w:sz w:val="20"/>
                <w:szCs w:val="20"/>
                <w:color w:val="auto"/>
              </w:rPr>
            </w:pPr>
            <w:r>
              <w:rPr>
                <w:rFonts w:ascii="Arial" w:cs="Arial" w:eastAsia="Arial" w:hAnsi="Arial"/>
                <w:sz w:val="14"/>
                <w:szCs w:val="14"/>
                <w:color w:val="auto"/>
                <w:w w:val="98"/>
              </w:rPr>
              <w:t>14.2 million - 14.5 million</w:t>
            </w:r>
          </w:p>
        </w:tc>
        <w:tc>
          <w:tcPr>
            <w:tcW w:w="148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color w:val="auto"/>
                <w:w w:val="98"/>
              </w:rPr>
              <w:t>14.6 million</w:t>
            </w:r>
          </w:p>
        </w:tc>
        <w:tc>
          <w:tcPr>
            <w:tcW w:w="440" w:type="dxa"/>
            <w:vAlign w:val="bottom"/>
            <w:tcBorders>
              <w:bottom w:val="single" w:sz="8" w:color="auto"/>
              <w:right w:val="single" w:sz="8" w:color="auto"/>
            </w:tcBorders>
          </w:tcPr>
          <w:p>
            <w:pPr>
              <w:spacing w:after="0"/>
              <w:rPr>
                <w:sz w:val="17"/>
                <w:szCs w:val="17"/>
                <w:color w:val="auto"/>
              </w:rPr>
            </w:pPr>
          </w:p>
        </w:tc>
        <w:tc>
          <w:tcPr>
            <w:tcW w:w="26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8"/>
              </w:rPr>
              <w:t>14.0 million - 14.5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930"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9"/>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April</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January - April</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5,000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5,230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15,950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19,675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4,545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5,649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18,023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18,588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3,009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10,681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(91.7)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2,852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4,525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9,952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14,208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(30.0)</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2,989</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7,969</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15,446</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18,413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(16.1)</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52,782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63,152</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(16.4)</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4,202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4,220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16,276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18,519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1,906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6,363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908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970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3,914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4,964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543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628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2,420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2,608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141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135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604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3,998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4,380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17,290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18,339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887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2,240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(95.2)</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9,851</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13,127</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(25.0)</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40,817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53,639</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(23.9)</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1,676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1,339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7,170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5,805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4,645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12,859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9,627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10,852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31,551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30,824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3,493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10,713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679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3,499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2,789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13,555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10,160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1,396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1,454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4,328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4,293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18,205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25,160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75,288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75,365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18,282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17,067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69,859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60,297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6,599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5,885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22,266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21,030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6,222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27,435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14,965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21,071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65,342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70,612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21,906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24,701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80,456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73,446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30,749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29,342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126,387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121,797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6,387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28,250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3,463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3,613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13,355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11,298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5,845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5,458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19,678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22,651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7,752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9,666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29,443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36,034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(18.3)</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1,462</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196.6</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1,703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215.7</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155,487</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169,794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(8.4)</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603,621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586,299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3.0</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6,087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6,912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23,236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26,600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787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619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3,851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2,843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35.5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2,342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2,784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7,380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5,475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34.8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12,598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10,523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47,270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44,468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7,839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7,205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30,035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27,065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1,762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1,937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9,501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(17.1)</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1,188</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1,224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4,836</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6,040</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(19.9)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32,603</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31,204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4.5</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124,487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121,993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w:t>
            </w:r>
          </w:p>
        </w:tc>
      </w:tr>
      <w:tr>
        <w:trPr>
          <w:trHeight w:val="291"/>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213,387</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232,538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(8.2)</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821,707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825,083</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(0.4)</w:t>
            </w:r>
          </w:p>
        </w:tc>
      </w:tr>
    </w:tbl>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24 selling days for the April period this year and 27 for last year.</w:t>
      </w:r>
    </w:p>
    <w:p>
      <w:pPr>
        <w:sectPr>
          <w:pgSz w:w="11900" w:h="16838" w:orient="portrait"/>
          <w:cols w:equalWidth="0" w:num="1">
            <w:col w:w="9440"/>
          </w:cols>
          <w:pgMar w:left="1240" w:top="930" w:right="1219" w:bottom="447"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2019-12-09T19:20:32Z</dcterms:created>
  <dcterms:modified xsi:type="dcterms:W3CDTF">2019-12-09T19:20:32Z</dcterms:modified>
</cp:coreProperties>
</file>