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199390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316" w:lineRule="exact"/>
        <w:rPr>
          <w:sz w:val="24"/>
          <w:szCs w:val="24"/>
          <w:color w:val="auto"/>
        </w:rPr>
      </w:pPr>
    </w:p>
    <w:p>
      <w:pPr>
        <w:jc w:val="center"/>
        <w:ind w:right="-1145"/>
        <w:spacing w:after="0"/>
        <w:rPr>
          <w:sz w:val="20"/>
          <w:szCs w:val="20"/>
          <w:color w:val="auto"/>
        </w:rPr>
      </w:pPr>
      <w:r>
        <w:rPr>
          <w:rFonts w:ascii="Arial" w:cs="Arial" w:eastAsia="Arial" w:hAnsi="Arial"/>
          <w:sz w:val="28"/>
          <w:szCs w:val="28"/>
          <w:b w:val="1"/>
          <w:bCs w:val="1"/>
          <w:color w:val="auto"/>
        </w:rPr>
        <w:t>UNITED STATES</w:t>
      </w:r>
    </w:p>
    <w:p>
      <w:pPr>
        <w:spacing w:after="0" w:line="24" w:lineRule="exact"/>
        <w:rPr>
          <w:sz w:val="24"/>
          <w:szCs w:val="24"/>
          <w:color w:val="auto"/>
        </w:rPr>
      </w:pPr>
    </w:p>
    <w:p>
      <w:pPr>
        <w:jc w:val="center"/>
        <w:ind w:right="-114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145"/>
        <w:spacing w:after="0"/>
        <w:rPr>
          <w:sz w:val="20"/>
          <w:szCs w:val="20"/>
          <w:color w:val="auto"/>
        </w:rPr>
      </w:pPr>
      <w:r>
        <w:rPr>
          <w:rFonts w:ascii="Arial" w:cs="Arial" w:eastAsia="Arial" w:hAnsi="Arial"/>
          <w:sz w:val="19"/>
          <w:szCs w:val="19"/>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94615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75" w:lineRule="exact"/>
        <w:rPr>
          <w:sz w:val="24"/>
          <w:szCs w:val="24"/>
          <w:color w:val="auto"/>
        </w:rPr>
      </w:pPr>
    </w:p>
    <w:p>
      <w:pPr>
        <w:jc w:val="center"/>
        <w:ind w:right="-114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109855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11" w:lineRule="exact"/>
        <w:rPr>
          <w:sz w:val="24"/>
          <w:szCs w:val="24"/>
          <w:color w:val="auto"/>
        </w:rPr>
      </w:pPr>
    </w:p>
    <w:p>
      <w:pPr>
        <w:jc w:val="center"/>
        <w:ind w:right="-1145"/>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1145"/>
        <w:spacing w:after="0"/>
        <w:rPr>
          <w:sz w:val="20"/>
          <w:szCs w:val="20"/>
          <w:color w:val="auto"/>
        </w:rPr>
      </w:pPr>
      <w:r>
        <w:rPr>
          <w:rFonts w:ascii="Arial" w:cs="Arial" w:eastAsia="Arial" w:hAnsi="Arial"/>
          <w:sz w:val="19"/>
          <w:szCs w:val="19"/>
          <w:b w:val="1"/>
          <w:bCs w:val="1"/>
          <w:color w:val="auto"/>
        </w:rPr>
        <w:t>PURSUANT TO SECTION 13 OR 15(d) OF</w:t>
      </w:r>
    </w:p>
    <w:p>
      <w:pPr>
        <w:spacing w:after="0" w:line="15" w:lineRule="exact"/>
        <w:rPr>
          <w:sz w:val="24"/>
          <w:szCs w:val="24"/>
          <w:color w:val="auto"/>
        </w:rPr>
      </w:pPr>
    </w:p>
    <w:p>
      <w:pPr>
        <w:jc w:val="center"/>
        <w:ind w:right="-1145"/>
        <w:spacing w:after="0"/>
        <w:rPr>
          <w:sz w:val="20"/>
          <w:szCs w:val="20"/>
          <w:color w:val="auto"/>
        </w:rPr>
      </w:pPr>
      <w:r>
        <w:rPr>
          <w:rFonts w:ascii="Arial" w:cs="Arial" w:eastAsia="Arial" w:hAnsi="Arial"/>
          <w:sz w:val="19"/>
          <w:szCs w:val="19"/>
          <w:b w:val="1"/>
          <w:bCs w:val="1"/>
          <w:color w:val="auto"/>
        </w:rPr>
        <w:t>THE SECURITIES EXCHANGE ACT OF 1934</w:t>
      </w:r>
    </w:p>
    <w:p>
      <w:pPr>
        <w:spacing w:after="0" w:line="112" w:lineRule="exact"/>
        <w:rPr>
          <w:sz w:val="24"/>
          <w:szCs w:val="24"/>
          <w:color w:val="auto"/>
        </w:rPr>
      </w:pPr>
    </w:p>
    <w:p>
      <w:pPr>
        <w:jc w:val="center"/>
        <w:ind w:right="-1145"/>
        <w:spacing w:after="0"/>
        <w:rPr>
          <w:sz w:val="20"/>
          <w:szCs w:val="20"/>
          <w:color w:val="auto"/>
        </w:rPr>
      </w:pPr>
      <w:r>
        <w:rPr>
          <w:rFonts w:ascii="Arial" w:cs="Arial" w:eastAsia="Arial" w:hAnsi="Arial"/>
          <w:sz w:val="19"/>
          <w:szCs w:val="19"/>
          <w:b w:val="1"/>
          <w:bCs w:val="1"/>
          <w:color w:val="auto"/>
        </w:rPr>
        <w:t>Date of Report (Date of earliest event reported) August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100965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3" w:lineRule="exact"/>
        <w:rPr>
          <w:sz w:val="24"/>
          <w:szCs w:val="24"/>
          <w:color w:val="auto"/>
        </w:rPr>
      </w:pPr>
    </w:p>
    <w:p>
      <w:pPr>
        <w:jc w:val="center"/>
        <w:ind w:right="-1145"/>
        <w:spacing w:after="0"/>
        <w:rPr>
          <w:sz w:val="20"/>
          <w:szCs w:val="20"/>
          <w:color w:val="auto"/>
        </w:rPr>
      </w:pPr>
      <w:r>
        <w:rPr>
          <w:rFonts w:ascii="Arial" w:cs="Arial" w:eastAsia="Arial" w:hAnsi="Arial"/>
          <w:sz w:val="38"/>
          <w:szCs w:val="38"/>
          <w:b w:val="1"/>
          <w:bCs w:val="1"/>
          <w:color w:val="auto"/>
        </w:rPr>
        <w:t>GENERAL MOTORS COMPANY</w:t>
      </w:r>
    </w:p>
    <w:p>
      <w:pPr>
        <w:spacing w:after="0" w:line="41" w:lineRule="exact"/>
        <w:rPr>
          <w:sz w:val="24"/>
          <w:szCs w:val="24"/>
          <w:color w:val="auto"/>
        </w:rPr>
      </w:pPr>
    </w:p>
    <w:p>
      <w:pPr>
        <w:ind w:left="396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104140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0306"/>
          </w:cols>
          <w:pgMar w:left="234" w:top="218" w:right="1359" w:bottom="1440" w:gutter="0" w:footer="0" w:header="0"/>
        </w:sectPr>
      </w:pPr>
    </w:p>
    <w:p>
      <w:pPr>
        <w:spacing w:after="0" w:line="258" w:lineRule="exact"/>
        <w:rPr>
          <w:sz w:val="24"/>
          <w:szCs w:val="24"/>
          <w:color w:val="auto"/>
        </w:rPr>
      </w:pPr>
    </w:p>
    <w:p>
      <w:pPr>
        <w:ind w:left="1606"/>
        <w:spacing w:after="0"/>
        <w:rPr>
          <w:sz w:val="20"/>
          <w:szCs w:val="20"/>
          <w:color w:val="auto"/>
        </w:rPr>
      </w:pPr>
      <w:r>
        <w:rPr>
          <w:rFonts w:ascii="Arial" w:cs="Arial" w:eastAsia="Arial" w:hAnsi="Arial"/>
          <w:sz w:val="14"/>
          <w:szCs w:val="14"/>
          <w:b w:val="1"/>
          <w:bCs w:val="1"/>
          <w:color w:val="auto"/>
        </w:rPr>
        <w:t>001-34960</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48" w:lineRule="exact"/>
        <w:rPr>
          <w:sz w:val="24"/>
          <w:szCs w:val="24"/>
          <w:color w:val="auto"/>
        </w:rPr>
      </w:pPr>
    </w:p>
    <w:p>
      <w:pPr>
        <w:sectPr>
          <w:pgSz w:w="11900" w:h="16838" w:orient="portrait"/>
          <w:cols w:equalWidth="0" w:num="3">
            <w:col w:w="4686" w:space="720"/>
            <w:col w:w="3120" w:space="720"/>
            <w:col w:w="1060"/>
          </w:cols>
          <w:pgMar w:left="234" w:top="218" w:right="1359" w:bottom="1440" w:gutter="0" w:footer="0" w:header="0"/>
          <w:type w:val="continuous"/>
        </w:sectPr>
      </w:pPr>
    </w:p>
    <w:p>
      <w:pPr>
        <w:ind w:left="1626"/>
        <w:spacing w:after="0"/>
        <w:rPr>
          <w:sz w:val="20"/>
          <w:szCs w:val="20"/>
          <w:color w:val="auto"/>
        </w:rPr>
      </w:pPr>
      <w:r>
        <w:rPr>
          <w:rFonts w:ascii="Arial" w:cs="Arial" w:eastAsia="Arial" w:hAnsi="Arial"/>
          <w:sz w:val="9"/>
          <w:szCs w:val="9"/>
          <w:b w:val="1"/>
          <w:bCs w:val="1"/>
          <w:color w:val="auto"/>
        </w:rPr>
        <w:t>(Commission</w:t>
      </w:r>
    </w:p>
    <w:p>
      <w:pPr>
        <w:spacing w:after="0" w:line="28" w:lineRule="exact"/>
        <w:rPr>
          <w:sz w:val="24"/>
          <w:szCs w:val="24"/>
          <w:color w:val="auto"/>
        </w:rPr>
      </w:pPr>
    </w:p>
    <w:p>
      <w:pPr>
        <w:ind w:left="1606"/>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192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01" w:lineRule="exact"/>
        <w:rPr>
          <w:sz w:val="24"/>
          <w:szCs w:val="24"/>
          <w:color w:val="auto"/>
        </w:rPr>
      </w:pPr>
    </w:p>
    <w:p>
      <w:pPr>
        <w:sectPr>
          <w:pgSz w:w="11900" w:h="16838" w:orient="portrait"/>
          <w:cols w:equalWidth="0" w:num="3">
            <w:col w:w="4446" w:space="720"/>
            <w:col w:w="3260" w:space="720"/>
            <w:col w:w="1160"/>
          </w:cols>
          <w:pgMar w:left="234" w:top="218" w:right="1359" w:bottom="1440" w:gutter="0" w:footer="0" w:header="0"/>
          <w:type w:val="continuous"/>
        </w:sectPr>
      </w:pPr>
    </w:p>
    <w:p>
      <w:pPr>
        <w:ind w:left="1466"/>
        <w:spacing w:after="0"/>
        <w:rPr>
          <w:sz w:val="20"/>
          <w:szCs w:val="20"/>
          <w:color w:val="auto"/>
        </w:rPr>
      </w:pPr>
      <w:r>
        <w:rPr>
          <w:rFonts w:ascii="Arial" w:cs="Arial" w:eastAsia="Arial" w:hAnsi="Arial"/>
          <w:sz w:val="13"/>
          <w:szCs w:val="13"/>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48265-3000</w:t>
      </w:r>
    </w:p>
    <w:p>
      <w:pPr>
        <w:spacing w:after="0" w:line="49" w:lineRule="exact"/>
        <w:rPr>
          <w:sz w:val="24"/>
          <w:szCs w:val="24"/>
          <w:color w:val="auto"/>
        </w:rPr>
      </w:pPr>
    </w:p>
    <w:p>
      <w:pPr>
        <w:sectPr>
          <w:pgSz w:w="11900" w:h="16838" w:orient="portrait"/>
          <w:cols w:equalWidth="0" w:num="2">
            <w:col w:w="7546" w:space="720"/>
            <w:col w:w="2040"/>
          </w:cols>
          <w:pgMar w:left="234" w:top="218" w:right="1359" w:bottom="1440" w:gutter="0" w:footer="0" w:header="0"/>
          <w:type w:val="continuous"/>
        </w:sectPr>
      </w:pPr>
    </w:p>
    <w:p>
      <w:pPr>
        <w:ind w:left="186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7646" w:space="720"/>
            <w:col w:w="1940"/>
          </w:cols>
          <w:pgMar w:left="234" w:top="218" w:right="1359" w:bottom="1440" w:gutter="0" w:footer="0" w:header="0"/>
          <w:type w:val="continuous"/>
        </w:sectPr>
      </w:pPr>
    </w:p>
    <w:p>
      <w:pPr>
        <w:jc w:val="center"/>
        <w:ind w:right="-1125"/>
        <w:spacing w:after="0"/>
        <w:rPr>
          <w:sz w:val="20"/>
          <w:szCs w:val="20"/>
          <w:color w:val="auto"/>
        </w:rPr>
      </w:pPr>
      <w:r>
        <w:rPr>
          <w:rFonts w:ascii="Arial" w:cs="Arial" w:eastAsia="Arial" w:hAnsi="Arial"/>
          <w:sz w:val="15"/>
          <w:szCs w:val="15"/>
          <w:b w:val="1"/>
          <w:bCs w:val="1"/>
          <w:color w:val="auto"/>
        </w:rPr>
        <w:t>(313) 556-5000</w:t>
      </w:r>
    </w:p>
    <w:p>
      <w:pPr>
        <w:spacing w:after="0" w:line="26" w:lineRule="exact"/>
        <w:rPr>
          <w:sz w:val="24"/>
          <w:szCs w:val="24"/>
          <w:color w:val="auto"/>
        </w:rPr>
      </w:pPr>
    </w:p>
    <w:p>
      <w:pPr>
        <w:jc w:val="center"/>
        <w:ind w:right="-1125"/>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22" w:lineRule="exact"/>
        <w:rPr>
          <w:sz w:val="24"/>
          <w:szCs w:val="24"/>
          <w:color w:val="auto"/>
        </w:rPr>
      </w:pPr>
    </w:p>
    <w:p>
      <w:pPr>
        <w:jc w:val="center"/>
        <w:ind w:right="-1125"/>
        <w:spacing w:after="0"/>
        <w:rPr>
          <w:sz w:val="20"/>
          <w:szCs w:val="20"/>
          <w:color w:val="auto"/>
        </w:rPr>
      </w:pPr>
      <w:r>
        <w:rPr>
          <w:rFonts w:ascii="Arial" w:cs="Arial" w:eastAsia="Arial" w:hAnsi="Arial"/>
          <w:sz w:val="15"/>
          <w:szCs w:val="15"/>
          <w:b w:val="1"/>
          <w:bCs w:val="1"/>
          <w:color w:val="auto"/>
        </w:rPr>
        <w:t>Not Applicable</w:t>
      </w:r>
    </w:p>
    <w:p>
      <w:pPr>
        <w:spacing w:after="0" w:line="26" w:lineRule="exact"/>
        <w:rPr>
          <w:sz w:val="24"/>
          <w:szCs w:val="24"/>
          <w:color w:val="auto"/>
        </w:rPr>
      </w:pPr>
    </w:p>
    <w:p>
      <w:pPr>
        <w:ind w:left="416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84455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9"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06"/>
          </w:cols>
          <w:pgMar w:left="234" w:top="218" w:right="13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490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157" w:lineRule="exact"/>
        <w:rPr>
          <w:sz w:val="20"/>
          <w:szCs w:val="20"/>
          <w:color w:val="auto"/>
        </w:rPr>
      </w:pPr>
    </w:p>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ITEM 2.02 RESULTS OF OPERATIONS AND FINANCIAL CONDITION</w:t>
        </w:r>
      </w:hyperlink>
    </w:p>
    <w:p>
      <w:pPr>
        <w:spacing w:after="0" w:line="26" w:lineRule="exact"/>
        <w:rPr>
          <w:sz w:val="20"/>
          <w:szCs w:val="20"/>
          <w:color w:val="auto"/>
        </w:rPr>
      </w:pPr>
    </w:p>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ITEM 9.01 FINANCIAL STATEMENTS AND EXHIBITS</w:t>
        </w:r>
      </w:hyperlink>
    </w:p>
    <w:p>
      <w:pPr>
        <w:spacing w:after="0" w:line="16"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SIGNATURES</w:t>
        </w:r>
      </w:hyperlink>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INDEX TO EXHIBITS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News Release Dated August 4, 2011 and Financial Statements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Charts Furnished to Securities Analysts</w:t>
      </w:r>
    </w:p>
    <w:p>
      <w:pPr>
        <w:sectPr>
          <w:pgSz w:w="11900" w:h="16838" w:orient="portrait"/>
          <w:cols w:equalWidth="0" w:num="1">
            <w:col w:w="10219"/>
          </w:cols>
          <w:pgMar w:left="240" w:top="417"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90"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On August 4, 2011 a news release was issued on the subject of second quarter 2011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Charts furnished to securities analysts in connection with GM’s second quarter 2011 earnings release are attached as Exhibit 99.2.</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100" w:type="dxa"/>
            <w:vAlign w:val="bottom"/>
            <w:gridSpan w:val="4"/>
          </w:tcPr>
          <w:p>
            <w:pPr>
              <w:spacing w:after="0"/>
              <w:rPr>
                <w:sz w:val="20"/>
                <w:szCs w:val="20"/>
                <w:color w:val="auto"/>
              </w:rPr>
            </w:pPr>
            <w:r>
              <w:rPr>
                <w:rFonts w:ascii="Arial" w:cs="Arial" w:eastAsia="Arial" w:hAnsi="Arial"/>
                <w:sz w:val="15"/>
                <w:szCs w:val="15"/>
                <w:b w:val="1"/>
                <w:bCs w:val="1"/>
                <w:color w:val="auto"/>
              </w:rPr>
              <w:t>EXHIBITS</w:t>
            </w:r>
          </w:p>
        </w:tc>
      </w:tr>
      <w:tr>
        <w:trPr>
          <w:trHeight w:val="321"/>
        </w:trPr>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0"/>
              </w:rPr>
              <w:t>Exhibits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3"/>
              </w:rPr>
              <w:t>Description</w:t>
            </w:r>
          </w:p>
        </w:tc>
        <w:tc>
          <w:tcPr>
            <w:tcW w:w="33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3"/>
              </w:rPr>
              <w:t>Method of Filing</w:t>
            </w:r>
          </w:p>
        </w:tc>
        <w:tc>
          <w:tcPr>
            <w:tcW w:w="380" w:type="dxa"/>
            <w:vAlign w:val="bottom"/>
          </w:tcPr>
          <w:p>
            <w:pPr>
              <w:spacing w:after="0"/>
              <w:rPr>
                <w:sz w:val="24"/>
                <w:szCs w:val="24"/>
                <w:color w:val="auto"/>
              </w:rPr>
            </w:pPr>
          </w:p>
        </w:tc>
      </w:tr>
      <w:tr>
        <w:trPr>
          <w:trHeight w:val="267"/>
        </w:trPr>
        <w:tc>
          <w:tcPr>
            <w:tcW w:w="1060" w:type="dxa"/>
            <w:vAlign w:val="bottom"/>
            <w:gridSpan w:val="3"/>
          </w:tcPr>
          <w:p>
            <w:pPr>
              <w:spacing w:after="0"/>
              <w:rPr>
                <w:sz w:val="20"/>
                <w:szCs w:val="20"/>
                <w:color w:val="auto"/>
              </w:rPr>
            </w:pPr>
            <w:r>
              <w:rPr>
                <w:rFonts w:ascii="Arial" w:cs="Arial" w:eastAsia="Arial" w:hAnsi="Arial"/>
                <w:sz w:val="15"/>
                <w:szCs w:val="15"/>
                <w:color w:val="auto"/>
              </w:rPr>
              <w:t>Exhibit 99.1</w:t>
            </w:r>
          </w:p>
        </w:tc>
        <w:tc>
          <w:tcPr>
            <w:tcW w:w="4280" w:type="dxa"/>
            <w:vAlign w:val="bottom"/>
            <w:gridSpan w:val="3"/>
          </w:tcPr>
          <w:p>
            <w:pPr>
              <w:ind w:left="320"/>
              <w:spacing w:after="0"/>
              <w:rPr>
                <w:sz w:val="20"/>
                <w:szCs w:val="20"/>
                <w:color w:val="auto"/>
              </w:rPr>
            </w:pPr>
            <w:r>
              <w:rPr>
                <w:rFonts w:ascii="Arial" w:cs="Arial" w:eastAsia="Arial" w:hAnsi="Arial"/>
                <w:sz w:val="15"/>
                <w:szCs w:val="15"/>
                <w:color w:val="auto"/>
              </w:rPr>
              <w:t>News Release Dated</w:t>
            </w:r>
          </w:p>
        </w:tc>
        <w:tc>
          <w:tcPr>
            <w:tcW w:w="7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w w:val="93"/>
              </w:rPr>
              <w:t>Attached as Exhibit</w:t>
            </w:r>
          </w:p>
        </w:tc>
      </w:tr>
      <w:tr>
        <w:trPr>
          <w:trHeight w:val="188"/>
        </w:trPr>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320"/>
              <w:spacing w:after="0"/>
              <w:rPr>
                <w:sz w:val="20"/>
                <w:szCs w:val="20"/>
                <w:color w:val="auto"/>
              </w:rPr>
            </w:pPr>
            <w:r>
              <w:rPr>
                <w:rFonts w:ascii="Arial" w:cs="Arial" w:eastAsia="Arial" w:hAnsi="Arial"/>
                <w:sz w:val="15"/>
                <w:szCs w:val="15"/>
                <w:color w:val="auto"/>
              </w:rPr>
              <w:t>August 4, 2011 and</w:t>
            </w:r>
          </w:p>
        </w:tc>
        <w:tc>
          <w:tcPr>
            <w:tcW w:w="7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320"/>
              <w:spacing w:after="0"/>
              <w:rPr>
                <w:sz w:val="20"/>
                <w:szCs w:val="20"/>
                <w:color w:val="auto"/>
              </w:rPr>
            </w:pPr>
            <w:r>
              <w:rPr>
                <w:rFonts w:ascii="Arial" w:cs="Arial" w:eastAsia="Arial" w:hAnsi="Arial"/>
                <w:sz w:val="15"/>
                <w:szCs w:val="15"/>
                <w:color w:val="auto"/>
              </w:rPr>
              <w:t>Financial Statements</w:t>
            </w:r>
          </w:p>
        </w:tc>
        <w:tc>
          <w:tcPr>
            <w:tcW w:w="7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88"/>
        </w:trPr>
        <w:tc>
          <w:tcPr>
            <w:tcW w:w="1060" w:type="dxa"/>
            <w:vAlign w:val="bottom"/>
            <w:gridSpan w:val="3"/>
          </w:tcPr>
          <w:p>
            <w:pPr>
              <w:spacing w:after="0"/>
              <w:rPr>
                <w:sz w:val="20"/>
                <w:szCs w:val="20"/>
                <w:color w:val="auto"/>
              </w:rPr>
            </w:pPr>
            <w:r>
              <w:rPr>
                <w:rFonts w:ascii="Arial" w:cs="Arial" w:eastAsia="Arial" w:hAnsi="Arial"/>
                <w:sz w:val="15"/>
                <w:szCs w:val="15"/>
                <w:color w:val="auto"/>
              </w:rPr>
              <w:t>Exhibit 99.2</w:t>
            </w:r>
          </w:p>
        </w:tc>
        <w:tc>
          <w:tcPr>
            <w:tcW w:w="4280" w:type="dxa"/>
            <w:vAlign w:val="bottom"/>
            <w:gridSpan w:val="3"/>
          </w:tcPr>
          <w:p>
            <w:pPr>
              <w:ind w:left="320"/>
              <w:spacing w:after="0"/>
              <w:rPr>
                <w:sz w:val="20"/>
                <w:szCs w:val="20"/>
                <w:color w:val="auto"/>
              </w:rPr>
            </w:pPr>
            <w:r>
              <w:rPr>
                <w:rFonts w:ascii="Arial" w:cs="Arial" w:eastAsia="Arial" w:hAnsi="Arial"/>
                <w:sz w:val="15"/>
                <w:szCs w:val="15"/>
                <w:color w:val="auto"/>
              </w:rPr>
              <w:t>Charts Furnished to</w:t>
            </w: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w w:val="93"/>
              </w:rPr>
              <w:t>Attached as Exhibit</w:t>
            </w:r>
          </w:p>
        </w:tc>
      </w:tr>
      <w:tr>
        <w:trPr>
          <w:trHeight w:val="194"/>
        </w:trPr>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320"/>
              <w:spacing w:after="0"/>
              <w:rPr>
                <w:sz w:val="20"/>
                <w:szCs w:val="20"/>
                <w:color w:val="auto"/>
              </w:rPr>
            </w:pPr>
            <w:r>
              <w:rPr>
                <w:rFonts w:ascii="Arial" w:cs="Arial" w:eastAsia="Arial" w:hAnsi="Arial"/>
                <w:sz w:val="15"/>
                <w:szCs w:val="15"/>
                <w:color w:val="auto"/>
              </w:rPr>
              <w:t>Securities Analysts</w:t>
            </w:r>
          </w:p>
        </w:tc>
        <w:tc>
          <w:tcPr>
            <w:tcW w:w="7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r>
    </w:tbl>
    <w:p>
      <w:pPr>
        <w:sectPr>
          <w:pgSz w:w="11900" w:h="16838" w:orient="portrait"/>
          <w:cols w:equalWidth="0" w:num="1">
            <w:col w:w="11440"/>
          </w:cols>
          <w:pgMar w:left="240" w:top="417" w:right="2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SIGNATURE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5940"/>
        <w:spacing w:after="0"/>
        <w:rPr>
          <w:sz w:val="20"/>
          <w:szCs w:val="20"/>
          <w:color w:val="auto"/>
        </w:rPr>
      </w:pPr>
      <w:r>
        <w:rPr>
          <w:rFonts w:ascii="Arial" w:cs="Arial" w:eastAsia="Arial" w:hAnsi="Arial"/>
          <w:sz w:val="15"/>
          <w:szCs w:val="15"/>
          <w:u w:val="single" w:color="auto"/>
          <w:color w:val="auto"/>
        </w:rPr>
        <w:t>GENERAL MOTORS COMPANY</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(Registrant)</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 August 4, 2011</w:t>
      </w:r>
      <w:r>
        <w:rPr>
          <w:sz w:val="20"/>
          <w:szCs w:val="20"/>
          <w:color w:val="auto"/>
        </w:rPr>
        <w:tab/>
      </w:r>
      <w:r>
        <w:rPr>
          <w:rFonts w:ascii="Arial" w:cs="Arial" w:eastAsia="Arial" w:hAnsi="Arial"/>
          <w:sz w:val="14"/>
          <w:szCs w:val="14"/>
          <w:u w:val="single" w:color="auto"/>
          <w:color w:val="auto"/>
        </w:rPr>
        <w:t xml:space="preserve">By:  </w:t>
      </w:r>
      <w:r>
        <w:rPr>
          <w:rFonts w:ascii="Arial" w:cs="Arial" w:eastAsia="Arial" w:hAnsi="Arial"/>
          <w:sz w:val="14"/>
          <w:szCs w:val="14"/>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14605</wp:posOffset>
            </wp:positionV>
            <wp:extent cx="34867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6785" cy="7620"/>
                    </a:xfrm>
                    <a:prstGeom prst="rect">
                      <a:avLst/>
                    </a:prstGeom>
                    <a:noFill/>
                  </pic:spPr>
                </pic:pic>
              </a:graphicData>
            </a:graphic>
          </wp:anchor>
        </w:drawing>
      </w:r>
    </w:p>
    <w:p>
      <w:pPr>
        <w:spacing w:after="0" w:line="25"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(Nick S. Cyprus</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Vice President, Controller and Chief Accounting</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Officer)</w:t>
      </w:r>
    </w:p>
    <w:p>
      <w:pPr>
        <w:sectPr>
          <w:pgSz w:w="11900" w:h="16838" w:orient="portrait"/>
          <w:cols w:equalWidth="0" w:num="1">
            <w:col w:w="11160"/>
          </w:cols>
          <w:pgMar w:left="240" w:top="417"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5300980" cy="671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00980" cy="67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For Release: Aug. 4, 2011, 7:30 a.m. EDT</w:t>
      </w:r>
    </w:p>
    <w:p>
      <w:pPr>
        <w:spacing w:after="0" w:line="294"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GM Net Income Increases 89 percent to $2.5 Billion</w:t>
      </w:r>
    </w:p>
    <w:p>
      <w:pPr>
        <w:spacing w:after="0" w:line="161" w:lineRule="exact"/>
        <w:rPr>
          <w:sz w:val="20"/>
          <w:szCs w:val="20"/>
          <w:color w:val="auto"/>
        </w:rPr>
      </w:pPr>
    </w:p>
    <w:p>
      <w:pPr>
        <w:ind w:left="4080"/>
        <w:spacing w:after="0"/>
        <w:rPr>
          <w:sz w:val="20"/>
          <w:szCs w:val="20"/>
          <w:color w:val="auto"/>
        </w:rPr>
      </w:pPr>
      <w:r>
        <w:rPr>
          <w:rFonts w:ascii="Arial" w:cs="Arial" w:eastAsia="Arial" w:hAnsi="Arial"/>
          <w:sz w:val="15"/>
          <w:szCs w:val="15"/>
          <w:b w:val="1"/>
          <w:bCs w:val="1"/>
          <w:i w:val="1"/>
          <w:iCs w:val="1"/>
          <w:color w:val="auto"/>
        </w:rPr>
        <w:t>Net income of $1.54 per share; EBIT of $3.0 billion</w:t>
      </w:r>
    </w:p>
    <w:p>
      <w:pPr>
        <w:spacing w:after="0" w:line="157"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DETROIT – General Motors Co. (NYSE: GM) today announced second quarter net income attributable to common stockholders of $2.5 billion, or $1.54 per fully-diluted share, marking the company’s sixth consecutive profitable quarter. In the second quarter of 2010, GM’s net income attributable to common stockholders was $1.3 billion, or 85 cents per fully-diluted share.</w:t>
      </w:r>
    </w:p>
    <w:p>
      <w:pPr>
        <w:spacing w:after="0" w:line="110"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Revenue increased $6.2 billion to $39.4 billion, compared with the second quarter of 2010. Earnings before interest and tax (EBIT) adjusted was $3.0 billion compared with $2.0 billion in the second quarter of 2010. There were no special items in either period.</w:t>
      </w:r>
    </w:p>
    <w:p>
      <w:pPr>
        <w:spacing w:after="0" w:line="99"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“GM’s investments in fuel economy, design and quality are paying off around the world as our global market share growth and financial results bear out,” said Dan Akerson, chairman and CEO. “Our progress has been steady and we’re preparing to launch more new products this year, including the Chevrolet Sonic in North America, the Opel/Vauxhall Zafira in Europe and the Baojun 630 in China to keep the momentum going.”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GM Results Overview </w:t>
      </w:r>
      <w:r>
        <w:rPr>
          <w:rFonts w:ascii="Arial" w:cs="Arial" w:eastAsia="Arial" w:hAnsi="Arial"/>
          <w:sz w:val="15"/>
          <w:szCs w:val="15"/>
          <w:color w:val="auto"/>
        </w:rPr>
        <w:t>(in billions except for per share amounts)</w:t>
      </w:r>
    </w:p>
    <w:p>
      <w:pPr>
        <w:spacing w:after="0" w:line="192" w:lineRule="exact"/>
        <w:rPr>
          <w:sz w:val="20"/>
          <w:szCs w:val="20"/>
          <w:color w:val="auto"/>
        </w:rPr>
      </w:pPr>
    </w:p>
    <w:tbl>
      <w:tblPr>
        <w:tblLayout w:type="fixed"/>
        <w:tblInd w:w="1820" w:type="dxa"/>
        <w:tblCellMar>
          <w:top w:w="0" w:type="dxa"/>
          <w:left w:w="0" w:type="dxa"/>
          <w:bottom w:w="0" w:type="dxa"/>
          <w:right w:w="0" w:type="dxa"/>
        </w:tblCellMar>
      </w:tblPr>
      <w:tr>
        <w:trPr>
          <w:trHeight w:val="140"/>
        </w:trPr>
        <w:tc>
          <w:tcPr>
            <w:tcW w:w="4740" w:type="dxa"/>
            <w:vAlign w:val="bottom"/>
          </w:tcPr>
          <w:p>
            <w:pPr>
              <w:spacing w:after="0"/>
              <w:rPr>
                <w:sz w:val="12"/>
                <w:szCs w:val="12"/>
                <w:color w:val="auto"/>
              </w:rPr>
            </w:pPr>
          </w:p>
        </w:tc>
        <w:tc>
          <w:tcPr>
            <w:tcW w:w="2280" w:type="dxa"/>
            <w:vAlign w:val="bottom"/>
            <w:gridSpan w:val="2"/>
          </w:tcPr>
          <w:p>
            <w:pPr>
              <w:jc w:val="right"/>
              <w:ind w:right="184"/>
              <w:spacing w:after="0"/>
              <w:rPr>
                <w:sz w:val="20"/>
                <w:szCs w:val="20"/>
                <w:color w:val="auto"/>
              </w:rPr>
            </w:pPr>
            <w:r>
              <w:rPr>
                <w:rFonts w:ascii="Arial" w:cs="Arial" w:eastAsia="Arial" w:hAnsi="Arial"/>
                <w:sz w:val="12"/>
                <w:szCs w:val="12"/>
                <w:b w:val="1"/>
                <w:bCs w:val="1"/>
                <w:color w:val="auto"/>
              </w:rPr>
              <w:t>Q2 2010</w:t>
            </w:r>
          </w:p>
        </w:tc>
        <w:tc>
          <w:tcPr>
            <w:tcW w:w="760" w:type="dxa"/>
            <w:vAlign w:val="bottom"/>
            <w:gridSpan w:val="2"/>
          </w:tcPr>
          <w:p>
            <w:pPr>
              <w:jc w:val="right"/>
              <w:ind w:right="4"/>
              <w:spacing w:after="0"/>
              <w:rPr>
                <w:sz w:val="20"/>
                <w:szCs w:val="20"/>
                <w:color w:val="auto"/>
              </w:rPr>
            </w:pPr>
            <w:r>
              <w:rPr>
                <w:rFonts w:ascii="Arial" w:cs="Arial" w:eastAsia="Arial" w:hAnsi="Arial"/>
                <w:sz w:val="12"/>
                <w:szCs w:val="12"/>
                <w:b w:val="1"/>
                <w:bCs w:val="1"/>
                <w:color w:val="auto"/>
              </w:rPr>
              <w:t>Q2 2011</w:t>
            </w:r>
          </w:p>
        </w:tc>
      </w:tr>
      <w:tr>
        <w:trPr>
          <w:trHeight w:val="188"/>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33.2</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39.4</w:t>
            </w:r>
          </w:p>
        </w:tc>
      </w:tr>
      <w:tr>
        <w:trPr>
          <w:trHeight w:val="281"/>
        </w:trPr>
        <w:tc>
          <w:tcPr>
            <w:tcW w:w="4740" w:type="dxa"/>
            <w:vAlign w:val="bottom"/>
          </w:tcPr>
          <w:p>
            <w:pPr>
              <w:spacing w:after="0"/>
              <w:rPr>
                <w:sz w:val="20"/>
                <w:szCs w:val="20"/>
                <w:color w:val="auto"/>
              </w:rPr>
            </w:pPr>
            <w:r>
              <w:rPr>
                <w:rFonts w:ascii="Arial" w:cs="Arial" w:eastAsia="Arial" w:hAnsi="Arial"/>
                <w:sz w:val="15"/>
                <w:szCs w:val="15"/>
                <w:color w:val="auto"/>
              </w:rPr>
              <w:t>Net income attributable to common stockholders</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84"/>
              <w:spacing w:after="0"/>
              <w:rPr>
                <w:sz w:val="20"/>
                <w:szCs w:val="20"/>
                <w:color w:val="auto"/>
              </w:rPr>
            </w:pPr>
            <w:r>
              <w:rPr>
                <w:rFonts w:ascii="Arial" w:cs="Arial" w:eastAsia="Arial" w:hAnsi="Arial"/>
                <w:sz w:val="15"/>
                <w:szCs w:val="15"/>
                <w:color w:val="auto"/>
              </w:rPr>
              <w:t>1.3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2.5</w:t>
            </w: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(EPS) diluted</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0.85</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1.54</w:t>
            </w:r>
          </w:p>
        </w:tc>
      </w:tr>
      <w:tr>
        <w:trPr>
          <w:trHeight w:val="281"/>
        </w:trPr>
        <w:tc>
          <w:tcPr>
            <w:tcW w:w="4740" w:type="dxa"/>
            <w:vAlign w:val="bottom"/>
          </w:tcPr>
          <w:p>
            <w:pPr>
              <w:spacing w:after="0"/>
              <w:rPr>
                <w:sz w:val="20"/>
                <w:szCs w:val="20"/>
                <w:color w:val="auto"/>
              </w:rPr>
            </w:pPr>
            <w:r>
              <w:rPr>
                <w:rFonts w:ascii="Arial" w:cs="Arial" w:eastAsia="Arial" w:hAnsi="Arial"/>
                <w:sz w:val="15"/>
                <w:szCs w:val="15"/>
                <w:color w:val="auto"/>
              </w:rPr>
              <w:t>EBIT-adjusted</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84"/>
              <w:spacing w:after="0"/>
              <w:rPr>
                <w:sz w:val="20"/>
                <w:szCs w:val="20"/>
                <w:color w:val="auto"/>
              </w:rPr>
            </w:pPr>
            <w:r>
              <w:rPr>
                <w:rFonts w:ascii="Arial" w:cs="Arial" w:eastAsia="Arial" w:hAnsi="Arial"/>
                <w:sz w:val="15"/>
                <w:szCs w:val="15"/>
                <w:color w:val="auto"/>
              </w:rPr>
              <w:t>2.0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3.0</w:t>
            </w: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Special items</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w:t>
            </w:r>
          </w:p>
        </w:tc>
      </w:tr>
      <w:tr>
        <w:trPr>
          <w:trHeight w:val="281"/>
        </w:trPr>
        <w:tc>
          <w:tcPr>
            <w:tcW w:w="4740" w:type="dxa"/>
            <w:vAlign w:val="bottom"/>
          </w:tcPr>
          <w:p>
            <w:pPr>
              <w:spacing w:after="0"/>
              <w:rPr>
                <w:sz w:val="20"/>
                <w:szCs w:val="20"/>
                <w:color w:val="auto"/>
              </w:rPr>
            </w:pPr>
            <w:r>
              <w:rPr>
                <w:rFonts w:ascii="Arial" w:cs="Arial" w:eastAsia="Arial" w:hAnsi="Arial"/>
                <w:sz w:val="15"/>
                <w:szCs w:val="15"/>
                <w:color w:val="auto"/>
              </w:rPr>
              <w:t>Automotive net cash flow from operating activities</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84"/>
              <w:spacing w:after="0"/>
              <w:rPr>
                <w:sz w:val="20"/>
                <w:szCs w:val="20"/>
                <w:color w:val="auto"/>
              </w:rPr>
            </w:pPr>
            <w:r>
              <w:rPr>
                <w:rFonts w:ascii="Arial" w:cs="Arial" w:eastAsia="Arial" w:hAnsi="Arial"/>
                <w:sz w:val="15"/>
                <w:szCs w:val="15"/>
                <w:color w:val="auto"/>
              </w:rPr>
              <w:t>3.8</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5.0</w:t>
            </w: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Automotive free cash flow</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2.8</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w:t>
            </w:r>
          </w:p>
        </w:tc>
      </w:tr>
    </w:tbl>
    <w:p>
      <w:pPr>
        <w:spacing w:after="0" w:line="169" w:lineRule="exact"/>
        <w:rPr>
          <w:sz w:val="20"/>
          <w:szCs w:val="20"/>
          <w:color w:val="auto"/>
        </w:rPr>
      </w:pPr>
    </w:p>
    <w:p>
      <w:pPr>
        <w:ind w:left="880" w:hanging="322"/>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GM North America (GMNA) reported EBIT-adjusted of $2.2 billion, an improvement of $0.6 billion compared with the second quarter of 2010.</w:t>
      </w:r>
    </w:p>
    <w:p>
      <w:pPr>
        <w:spacing w:after="0" w:line="86" w:lineRule="exact"/>
        <w:rPr>
          <w:rFonts w:ascii="Arial" w:cs="Arial" w:eastAsia="Arial" w:hAnsi="Arial"/>
          <w:sz w:val="15"/>
          <w:szCs w:val="15"/>
          <w:color w:val="auto"/>
        </w:rPr>
      </w:pPr>
    </w:p>
    <w:p>
      <w:pPr>
        <w:ind w:left="880" w:right="80" w:hanging="322"/>
        <w:spacing w:after="0" w:line="291" w:lineRule="auto"/>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GM Europe (GME) reported EBIT-adjusted of $0.1 billion, an improvement of $0.3 billion compared with the second quarter of 2010. In the second quarter of 2011, GME incurred restructuring costs of approximately $100 million which was approximately $200 million less than in the second quarter of 2010.</w:t>
      </w:r>
    </w:p>
    <w:p>
      <w:pPr>
        <w:spacing w:after="0" w:line="28" w:lineRule="exact"/>
        <w:rPr>
          <w:rFonts w:ascii="Arial" w:cs="Arial" w:eastAsia="Arial" w:hAnsi="Arial"/>
          <w:sz w:val="15"/>
          <w:szCs w:val="15"/>
          <w:color w:val="auto"/>
        </w:rPr>
      </w:pPr>
    </w:p>
    <w:p>
      <w:pPr>
        <w:ind w:left="880" w:hanging="322"/>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GM International Operations (GMIO) reported EBIT-adjusted of $0.6 billion, up $0.1 billion from the second quarter of 2010.</w:t>
      </w:r>
    </w:p>
    <w:p>
      <w:pPr>
        <w:spacing w:after="0" w:line="86" w:lineRule="exact"/>
        <w:rPr>
          <w:rFonts w:ascii="Arial" w:cs="Arial" w:eastAsia="Arial" w:hAnsi="Arial"/>
          <w:sz w:val="15"/>
          <w:szCs w:val="15"/>
          <w:color w:val="auto"/>
        </w:rPr>
      </w:pPr>
    </w:p>
    <w:p>
      <w:pPr>
        <w:ind w:left="880" w:hanging="322"/>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GM South America (GMSA) reported EBIT-adjusted of $0.1 billion, down $0.1 billion from the second quarter of 2010.</w:t>
      </w:r>
    </w:p>
    <w:p>
      <w:pPr>
        <w:sectPr>
          <w:pgSz w:w="11900" w:h="16838" w:orient="portrait"/>
          <w:cols w:equalWidth="0" w:num="1">
            <w:col w:w="11440"/>
          </w:cols>
          <w:pgMar w:left="240" w:top="128"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For the quarter, automotive cash flow from operating activities was $5.0 billion and automotive free cash flow was $3.8 billion.</w:t>
      </w:r>
    </w:p>
    <w:p>
      <w:pPr>
        <w:spacing w:after="0" w:line="157"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GM ended the quarter with very strong total automotive liquidity of $39.7 billion. Automotive cash and marketable securities, including Canadian Health Care Trust restricted cash, was $33.8 billion compared with $30.6 billion at the end of the first quarter of 2011.</w:t>
      </w:r>
    </w:p>
    <w:p>
      <w:pPr>
        <w:spacing w:after="0" w:line="99" w:lineRule="exact"/>
        <w:rPr>
          <w:sz w:val="20"/>
          <w:szCs w:val="20"/>
          <w:color w:val="auto"/>
        </w:rPr>
      </w:pPr>
    </w:p>
    <w:p>
      <w:pPr>
        <w:ind w:right="440"/>
        <w:spacing w:after="0" w:line="291" w:lineRule="auto"/>
        <w:rPr>
          <w:sz w:val="20"/>
          <w:szCs w:val="20"/>
          <w:color w:val="auto"/>
        </w:rPr>
      </w:pPr>
      <w:r>
        <w:rPr>
          <w:rFonts w:ascii="Arial" w:cs="Arial" w:eastAsia="Arial" w:hAnsi="Arial"/>
          <w:sz w:val="15"/>
          <w:szCs w:val="15"/>
          <w:color w:val="auto"/>
        </w:rPr>
        <w:t>Based on current industry outlook, the company expects that EBIT-adjusted in the second half of 2011 will be modestly lower than in the first half and that its full-year 2011 EBIT-adjusted will show solid improvement over 2010.</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“Our earnings and cash flow are solid and we’re going to keep working on the fundamentals of strong brands, great products and operating leverage to create profitable growth around the world,” said Dan Ammann, senior vice president and CFO.</w:t>
      </w:r>
    </w:p>
    <w:p>
      <w:pPr>
        <w:spacing w:after="0" w:line="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b w:val="1"/>
          <w:bCs w:val="1"/>
          <w:color w:val="auto"/>
        </w:rPr>
        <w:t xml:space="preserve">About General Motors </w:t>
      </w:r>
      <w:r>
        <w:rPr>
          <w:rFonts w:ascii="Arial" w:cs="Arial" w:eastAsia="Arial" w:hAnsi="Arial"/>
          <w:sz w:val="15"/>
          <w:szCs w:val="15"/>
          <w:color w:val="auto"/>
        </w:rPr>
        <w:t>– General Motors (NYSE: GM, TSX: GMM), one of the world’s largest automakers, traces its roots back to 1908. With its global headquarters in Detroit, GM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employs 208,000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5"/>
          <w:szCs w:val="15"/>
          <w:u w:val="single" w:color="auto"/>
          <w:color w:val="auto"/>
        </w:rPr>
        <w:t>www.gm.com</w:t>
      </w:r>
      <w:r>
        <w:rPr>
          <w:rFonts w:ascii="Arial" w:cs="Arial" w:eastAsia="Arial" w:hAnsi="Arial"/>
          <w:sz w:val="15"/>
          <w:szCs w:val="15"/>
          <w:color w:val="auto"/>
        </w:rPr>
        <w:t>.</w:t>
      </w:r>
    </w:p>
    <w:p>
      <w:pPr>
        <w:sectPr>
          <w:pgSz w:w="11900" w:h="16838" w:orient="portrait"/>
          <w:cols w:equalWidth="0" w:num="1">
            <w:col w:w="11400"/>
          </w:cols>
          <w:pgMar w:left="240" w:top="262" w:right="2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Reneé Rashid-Merem</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Office 313-665-3128</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Cell 313-701-8560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renee.rashid-merem@gm.com</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Randy Arickx</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Office 313-667-0006</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Cell 313-268-7070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randy.c.arickx@gm.com</w:t>
      </w:r>
    </w:p>
    <w:p>
      <w:pPr>
        <w:spacing w:after="0" w:line="200" w:lineRule="exact"/>
        <w:rPr>
          <w:sz w:val="20"/>
          <w:szCs w:val="20"/>
          <w:color w:val="auto"/>
        </w:rPr>
      </w:pPr>
    </w:p>
    <w:p>
      <w:pPr>
        <w:sectPr>
          <w:pgSz w:w="11900" w:h="16838" w:orient="portrait"/>
          <w:cols w:equalWidth="0" w:num="2">
            <w:col w:w="4060" w:space="720"/>
            <w:col w:w="6620"/>
          </w:cols>
          <w:pgMar w:left="240" w:top="262"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00"/>
          </w:cols>
          <w:pgMar w:left="240" w:top="262" w:right="259" w:bottom="1440" w:gutter="0" w:footer="0" w:header="0"/>
          <w:type w:val="continuous"/>
        </w:sectPr>
      </w:pPr>
    </w:p>
    <w:bookmarkStart w:id="6" w:name="page7"/>
    <w:bookmarkEnd w:id="6"/>
    <w:p>
      <w:pPr>
        <w:ind w:left="542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Exhibit 1</w:t>
      </w:r>
    </w:p>
    <w:p>
      <w:pPr>
        <w:spacing w:after="0" w:line="157" w:lineRule="exact"/>
        <w:rPr>
          <w:sz w:val="20"/>
          <w:szCs w:val="20"/>
          <w:color w:val="auto"/>
        </w:rPr>
      </w:pPr>
    </w:p>
    <w:p>
      <w:pPr>
        <w:ind w:left="4306"/>
        <w:spacing w:after="0"/>
        <w:rPr>
          <w:sz w:val="20"/>
          <w:szCs w:val="20"/>
          <w:color w:val="auto"/>
        </w:rPr>
      </w:pPr>
      <w:r>
        <w:rPr>
          <w:rFonts w:ascii="Arial" w:cs="Arial" w:eastAsia="Arial" w:hAnsi="Arial"/>
          <w:sz w:val="15"/>
          <w:szCs w:val="15"/>
          <w:b w:val="1"/>
          <w:bCs w:val="1"/>
          <w:color w:val="auto"/>
        </w:rPr>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51" w:lineRule="exact"/>
        <w:rPr>
          <w:sz w:val="20"/>
          <w:szCs w:val="20"/>
          <w:color w:val="auto"/>
        </w:rPr>
      </w:pPr>
    </w:p>
    <w:p>
      <w:pPr>
        <w:jc w:val="both"/>
        <w:ind w:left="6" w:right="20" w:firstLine="457"/>
        <w:spacing w:after="0" w:line="276" w:lineRule="auto"/>
        <w:rPr>
          <w:sz w:val="20"/>
          <w:szCs w:val="20"/>
          <w:color w:val="auto"/>
        </w:rPr>
      </w:pPr>
      <w:r>
        <w:rPr>
          <w:rFonts w:ascii="Arial" w:cs="Arial" w:eastAsia="Arial" w:hAnsi="Arial"/>
          <w:sz w:val="15"/>
          <w:szCs w:val="15"/>
          <w:color w:val="auto"/>
        </w:rPr>
        <w:t>The accompanying tables and charts for securities analysts include earnings before interest and taxes (EBIT), EBIT adjusted and Automotive free cash flow which are not prepared in accordance with Accounting Principles Generally Accepted in the United States of America (U.S. GAAP) and have not been audited or reviewed by GM’s independent auditors. EBIT, EBIT adjusted and Automotive free cash flow are considered non-GAAP financial measures.</w:t>
      </w:r>
    </w:p>
    <w:p>
      <w:pPr>
        <w:spacing w:after="0" w:line="110" w:lineRule="exact"/>
        <w:rPr>
          <w:sz w:val="20"/>
          <w:szCs w:val="20"/>
          <w:color w:val="auto"/>
        </w:rPr>
      </w:pPr>
    </w:p>
    <w:p>
      <w:pPr>
        <w:ind w:left="6" w:right="160" w:firstLine="457"/>
        <w:spacing w:after="0" w:line="325"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84" w:lineRule="exact"/>
        <w:rPr>
          <w:sz w:val="20"/>
          <w:szCs w:val="20"/>
          <w:color w:val="auto"/>
        </w:rPr>
      </w:pPr>
    </w:p>
    <w:p>
      <w:pPr>
        <w:ind w:left="6" w:right="140" w:firstLine="457"/>
        <w:spacing w:after="0" w:line="269" w:lineRule="auto"/>
        <w:rPr>
          <w:sz w:val="20"/>
          <w:szCs w:val="20"/>
          <w:color w:val="auto"/>
        </w:rPr>
      </w:pPr>
      <w:r>
        <w:rPr>
          <w:rFonts w:ascii="Arial" w:cs="Arial" w:eastAsia="Arial" w:hAnsi="Arial"/>
          <w:sz w:val="15"/>
          <w:szCs w:val="15"/>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common stockholders. Due to these limitations, these non-GAAP financial measures are used as a supplement to U.S. GAAP measures.</w:t>
      </w:r>
    </w:p>
    <w:p>
      <w:pPr>
        <w:spacing w:after="0" w:line="1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following table summarizes the reconciliation of EBIT to its most comparable U.S. GAAP measure (dollars in millions):</w:t>
      </w:r>
    </w:p>
    <w:p>
      <w:pPr>
        <w:spacing w:after="0" w:line="17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w w:val="96"/>
              </w:rPr>
              <w:t>Three Months Ended</w:t>
            </w:r>
          </w:p>
        </w:tc>
        <w:tc>
          <w:tcPr>
            <w:tcW w:w="128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w w:val="99"/>
              </w:rPr>
              <w:t>Six Months Ended</w:t>
            </w: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58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June 30,</w:t>
            </w:r>
          </w:p>
        </w:tc>
        <w:tc>
          <w:tcPr>
            <w:tcW w:w="128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June 30,</w:t>
            </w:r>
          </w:p>
        </w:tc>
      </w:tr>
      <w:tr>
        <w:trPr>
          <w:trHeight w:val="121"/>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460" w:type="dxa"/>
            <w:vAlign w:val="bottom"/>
            <w:tcBorders>
              <w:top w:val="single" w:sz="8" w:color="auto"/>
            </w:tcBorders>
          </w:tcPr>
          <w:p>
            <w:pPr>
              <w:jc w:val="right"/>
              <w:ind w:right="47"/>
              <w:spacing w:after="0" w:line="121" w:lineRule="exact"/>
              <w:rPr>
                <w:sz w:val="20"/>
                <w:szCs w:val="20"/>
                <w:color w:val="auto"/>
              </w:rPr>
            </w:pPr>
            <w:r>
              <w:rPr>
                <w:rFonts w:ascii="Arial" w:cs="Arial" w:eastAsia="Arial" w:hAnsi="Arial"/>
                <w:sz w:val="12"/>
                <w:szCs w:val="12"/>
                <w:b w:val="1"/>
                <w:bCs w:val="1"/>
                <w:color w:val="auto"/>
              </w:rPr>
              <w:t>2011</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44"/>
              <w:spacing w:after="0" w:line="121" w:lineRule="exact"/>
              <w:rPr>
                <w:sz w:val="20"/>
                <w:szCs w:val="20"/>
                <w:color w:val="auto"/>
              </w:rPr>
            </w:pPr>
            <w:r>
              <w:rPr>
                <w:rFonts w:ascii="Arial" w:cs="Arial" w:eastAsia="Arial" w:hAnsi="Arial"/>
                <w:sz w:val="12"/>
                <w:szCs w:val="12"/>
                <w:b w:val="1"/>
                <w:bCs w:val="1"/>
                <w:color w:val="auto"/>
              </w:rPr>
              <w:t>2010</w:t>
            </w:r>
          </w:p>
        </w:tc>
        <w:tc>
          <w:tcPr>
            <w:tcW w:w="320" w:type="dxa"/>
            <w:vAlign w:val="bottom"/>
          </w:tcPr>
          <w:p>
            <w:pPr>
              <w:spacing w:after="0"/>
              <w:rPr>
                <w:sz w:val="10"/>
                <w:szCs w:val="10"/>
                <w:color w:val="auto"/>
              </w:rPr>
            </w:pPr>
          </w:p>
        </w:tc>
        <w:tc>
          <w:tcPr>
            <w:tcW w:w="420" w:type="dxa"/>
            <w:vAlign w:val="bottom"/>
            <w:tcBorders>
              <w:top w:val="single" w:sz="8" w:color="auto"/>
            </w:tcBorders>
          </w:tcPr>
          <w:p>
            <w:pPr>
              <w:jc w:val="right"/>
              <w:ind w:right="27"/>
              <w:spacing w:after="0" w:line="121" w:lineRule="exact"/>
              <w:rPr>
                <w:sz w:val="20"/>
                <w:szCs w:val="20"/>
                <w:color w:val="auto"/>
              </w:rPr>
            </w:pPr>
            <w:r>
              <w:rPr>
                <w:rFonts w:ascii="Arial" w:cs="Arial" w:eastAsia="Arial" w:hAnsi="Arial"/>
                <w:sz w:val="12"/>
                <w:szCs w:val="12"/>
                <w:b w:val="1"/>
                <w:bCs w:val="1"/>
                <w:color w:val="auto"/>
              </w:rPr>
              <w:t>2011</w:t>
            </w: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24"/>
              <w:spacing w:after="0" w:line="121" w:lineRule="exact"/>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8560" w:type="dxa"/>
            <w:vAlign w:val="bottom"/>
            <w:tcBorders>
              <w:top w:val="single" w:sz="8" w:color="CCEEFF"/>
            </w:tcBorders>
            <w:gridSpan w:val="2"/>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Operating segments</w:t>
            </w: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tcPr>
          <w:p>
            <w:pPr>
              <w:ind w:left="360"/>
              <w:spacing w:after="0"/>
              <w:rPr>
                <w:sz w:val="20"/>
                <w:szCs w:val="20"/>
                <w:color w:val="auto"/>
              </w:rPr>
            </w:pPr>
            <w:r>
              <w:rPr>
                <w:rFonts w:ascii="Arial" w:cs="Arial" w:eastAsia="Arial" w:hAnsi="Arial"/>
                <w:sz w:val="15"/>
                <w:szCs w:val="15"/>
                <w:color w:val="auto"/>
              </w:rPr>
              <w:t>GMNA(a)</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$ 2,249</w:t>
            </w:r>
          </w:p>
        </w:tc>
        <w:tc>
          <w:tcPr>
            <w:tcW w:w="18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rPr>
              <w:t>$ 1,592</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$5,147</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$2,810</w:t>
            </w:r>
          </w:p>
        </w:tc>
        <w:tc>
          <w:tcPr>
            <w:tcW w:w="1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GME(a)(b)</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(160)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(288)</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(637)</w:t>
            </w:r>
          </w:p>
        </w:tc>
      </w:tr>
      <w:tr>
        <w:trPr>
          <w:trHeight w:val="188"/>
        </w:trPr>
        <w:tc>
          <w:tcPr>
            <w:tcW w:w="20" w:type="dxa"/>
            <w:vAlign w:val="bottom"/>
          </w:tcPr>
          <w:p>
            <w:pPr>
              <w:spacing w:after="0"/>
              <w:rPr>
                <w:sz w:val="16"/>
                <w:szCs w:val="16"/>
                <w:color w:val="auto"/>
              </w:rPr>
            </w:pPr>
          </w:p>
        </w:tc>
        <w:tc>
          <w:tcPr>
            <w:tcW w:w="8560" w:type="dxa"/>
            <w:vAlign w:val="bottom"/>
            <w:gridSpan w:val="2"/>
          </w:tcPr>
          <w:p>
            <w:pPr>
              <w:ind w:left="360"/>
              <w:spacing w:after="0"/>
              <w:rPr>
                <w:sz w:val="20"/>
                <w:szCs w:val="20"/>
                <w:color w:val="auto"/>
              </w:rPr>
            </w:pPr>
            <w:r>
              <w:rPr>
                <w:rFonts w:ascii="Arial" w:cs="Arial" w:eastAsia="Arial" w:hAnsi="Arial"/>
                <w:sz w:val="15"/>
                <w:szCs w:val="15"/>
                <w:color w:val="auto"/>
              </w:rPr>
              <w:t>GMIO(a)(b)</w:t>
            </w:r>
          </w:p>
        </w:tc>
        <w:tc>
          <w:tcPr>
            <w:tcW w:w="460" w:type="dxa"/>
            <w:vAlign w:val="bottom"/>
          </w:tcPr>
          <w:p>
            <w:pPr>
              <w:jc w:val="right"/>
              <w:spacing w:after="0"/>
              <w:rPr>
                <w:sz w:val="20"/>
                <w:szCs w:val="20"/>
                <w:color w:val="auto"/>
              </w:rPr>
            </w:pPr>
            <w:r>
              <w:rPr>
                <w:rFonts w:ascii="Arial" w:cs="Arial" w:eastAsia="Arial" w:hAnsi="Arial"/>
                <w:sz w:val="15"/>
                <w:szCs w:val="15"/>
                <w:color w:val="auto"/>
              </w:rPr>
              <w:t>573</w:t>
            </w:r>
          </w:p>
        </w:tc>
        <w:tc>
          <w:tcPr>
            <w:tcW w:w="18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rPr>
              <w:t>504</w:t>
            </w:r>
          </w:p>
        </w:tc>
        <w:tc>
          <w:tcPr>
            <w:tcW w:w="420" w:type="dxa"/>
            <w:vAlign w:val="bottom"/>
          </w:tcPr>
          <w:p>
            <w:pPr>
              <w:jc w:val="right"/>
              <w:spacing w:after="0"/>
              <w:rPr>
                <w:sz w:val="20"/>
                <w:szCs w:val="20"/>
                <w:color w:val="auto"/>
              </w:rPr>
            </w:pPr>
            <w:r>
              <w:rPr>
                <w:rFonts w:ascii="Arial" w:cs="Arial" w:eastAsia="Arial" w:hAnsi="Arial"/>
                <w:sz w:val="15"/>
                <w:szCs w:val="15"/>
                <w:color w:val="auto"/>
              </w:rPr>
              <w:t>1,053</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1,412</w:t>
            </w:r>
          </w:p>
        </w:tc>
        <w:tc>
          <w:tcPr>
            <w:tcW w:w="1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GMSA(a)(b)</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195</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460</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560" w:type="dxa"/>
            <w:vAlign w:val="bottom"/>
            <w:gridSpan w:val="2"/>
          </w:tcPr>
          <w:p>
            <w:pPr>
              <w:ind w:left="360"/>
              <w:spacing w:after="0"/>
              <w:rPr>
                <w:sz w:val="20"/>
                <w:szCs w:val="20"/>
                <w:color w:val="auto"/>
              </w:rPr>
            </w:pPr>
            <w:r>
              <w:rPr>
                <w:rFonts w:ascii="Arial" w:cs="Arial" w:eastAsia="Arial" w:hAnsi="Arial"/>
                <w:sz w:val="15"/>
                <w:szCs w:val="15"/>
                <w:color w:val="auto"/>
              </w:rPr>
              <w:t>GM Financial(c)</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operating segments</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3,125</w:t>
            </w:r>
          </w:p>
        </w:tc>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2,131</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6,333</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4,045</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560" w:type="dxa"/>
            <w:vAlign w:val="bottom"/>
            <w:gridSpan w:val="2"/>
          </w:tcPr>
          <w:p>
            <w:pPr>
              <w:ind w:left="360"/>
              <w:spacing w:after="0"/>
              <w:rPr>
                <w:sz w:val="20"/>
                <w:szCs w:val="20"/>
                <w:color w:val="auto"/>
              </w:rPr>
            </w:pPr>
            <w:r>
              <w:rPr>
                <w:rFonts w:ascii="Arial" w:cs="Arial" w:eastAsia="Arial" w:hAnsi="Arial"/>
                <w:sz w:val="15"/>
                <w:szCs w:val="15"/>
                <w:color w:val="auto"/>
              </w:rPr>
              <w:t>Corporate and eliminations</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(163)</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color w:val="auto"/>
              </w:rPr>
              <w:t>(98)</w:t>
            </w:r>
          </w:p>
        </w:tc>
        <w:tc>
          <w:tcPr>
            <w:tcW w:w="420" w:type="dxa"/>
            <w:vAlign w:val="bottom"/>
          </w:tcPr>
          <w:p>
            <w:pPr>
              <w:jc w:val="right"/>
              <w:spacing w:after="0"/>
              <w:rPr>
                <w:sz w:val="20"/>
                <w:szCs w:val="20"/>
                <w:color w:val="auto"/>
              </w:rPr>
            </w:pPr>
            <w:r>
              <w:rPr>
                <w:rFonts w:ascii="Arial" w:cs="Arial" w:eastAsia="Arial" w:hAnsi="Arial"/>
                <w:sz w:val="15"/>
                <w:szCs w:val="15"/>
                <w:color w:val="auto"/>
              </w:rPr>
              <w:t>154</w:t>
            </w:r>
          </w:p>
        </w:tc>
        <w:tc>
          <w:tcPr>
            <w:tcW w:w="20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(188)</w:t>
            </w:r>
          </w:p>
        </w:tc>
      </w:tr>
      <w:tr>
        <w:trPr>
          <w:trHeight w:val="188"/>
        </w:trPr>
        <w:tc>
          <w:tcPr>
            <w:tcW w:w="20" w:type="dxa"/>
            <w:vAlign w:val="bottom"/>
          </w:tcPr>
          <w:p>
            <w:pPr>
              <w:spacing w:after="0"/>
              <w:rPr>
                <w:sz w:val="16"/>
                <w:szCs w:val="16"/>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EBIT(c)</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2,962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2,033</w:t>
            </w:r>
          </w:p>
        </w:tc>
        <w:tc>
          <w:tcPr>
            <w:tcW w:w="3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6,487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3,857</w:t>
            </w:r>
          </w:p>
        </w:tc>
        <w:tc>
          <w:tcPr>
            <w:tcW w:w="10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tcPr>
          <w:p>
            <w:pPr>
              <w:ind w:left="360"/>
              <w:spacing w:after="0"/>
              <w:rPr>
                <w:sz w:val="20"/>
                <w:szCs w:val="20"/>
                <w:color w:val="auto"/>
              </w:rPr>
            </w:pPr>
            <w:r>
              <w:rPr>
                <w:rFonts w:ascii="Arial" w:cs="Arial" w:eastAsia="Arial" w:hAnsi="Arial"/>
                <w:sz w:val="15"/>
                <w:szCs w:val="15"/>
                <w:color w:val="auto"/>
              </w:rPr>
              <w:t>Interest income</w:t>
            </w:r>
          </w:p>
        </w:tc>
        <w:tc>
          <w:tcPr>
            <w:tcW w:w="460" w:type="dxa"/>
            <w:vAlign w:val="bottom"/>
          </w:tcPr>
          <w:p>
            <w:pPr>
              <w:jc w:val="right"/>
              <w:spacing w:after="0"/>
              <w:rPr>
                <w:sz w:val="20"/>
                <w:szCs w:val="20"/>
                <w:color w:val="auto"/>
              </w:rPr>
            </w:pPr>
            <w:r>
              <w:rPr>
                <w:rFonts w:ascii="Arial" w:cs="Arial" w:eastAsia="Arial" w:hAnsi="Arial"/>
                <w:sz w:val="15"/>
                <w:szCs w:val="15"/>
                <w:color w:val="auto"/>
              </w:rPr>
              <w:t>124</w:t>
            </w:r>
          </w:p>
        </w:tc>
        <w:tc>
          <w:tcPr>
            <w:tcW w:w="18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rPr>
              <w:t>114</w:t>
            </w:r>
          </w:p>
        </w:tc>
        <w:tc>
          <w:tcPr>
            <w:tcW w:w="420" w:type="dxa"/>
            <w:vAlign w:val="bottom"/>
          </w:tcPr>
          <w:p>
            <w:pPr>
              <w:jc w:val="right"/>
              <w:spacing w:after="0"/>
              <w:rPr>
                <w:sz w:val="20"/>
                <w:szCs w:val="20"/>
                <w:color w:val="auto"/>
              </w:rPr>
            </w:pPr>
            <w:r>
              <w:rPr>
                <w:rFonts w:ascii="Arial" w:cs="Arial" w:eastAsia="Arial" w:hAnsi="Arial"/>
                <w:sz w:val="15"/>
                <w:szCs w:val="15"/>
                <w:color w:val="auto"/>
              </w:rPr>
              <w:t>251</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Automotive interest expense</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250</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587</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560" w:type="dxa"/>
            <w:vAlign w:val="bottom"/>
            <w:gridSpan w:val="2"/>
          </w:tcPr>
          <w:p>
            <w:pPr>
              <w:ind w:left="360"/>
              <w:spacing w:after="0"/>
              <w:rPr>
                <w:sz w:val="20"/>
                <w:szCs w:val="20"/>
                <w:color w:val="auto"/>
              </w:rPr>
            </w:pPr>
            <w:r>
              <w:rPr>
                <w:rFonts w:ascii="Arial" w:cs="Arial" w:eastAsia="Arial" w:hAnsi="Arial"/>
                <w:sz w:val="15"/>
                <w:szCs w:val="15"/>
                <w:color w:val="auto"/>
              </w:rPr>
              <w:t>Income tax expense (benefit)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(61)</w:t>
            </w: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rPr>
              <w:t>361</w:t>
            </w:r>
          </w:p>
        </w:tc>
        <w:tc>
          <w:tcPr>
            <w:tcW w:w="420" w:type="dxa"/>
            <w:vAlign w:val="bottom"/>
          </w:tcPr>
          <w:p>
            <w:pPr>
              <w:jc w:val="right"/>
              <w:spacing w:after="0"/>
              <w:rPr>
                <w:sz w:val="20"/>
                <w:szCs w:val="20"/>
                <w:color w:val="auto"/>
              </w:rPr>
            </w:pPr>
            <w:r>
              <w:rPr>
                <w:rFonts w:ascii="Arial" w:cs="Arial" w:eastAsia="Arial" w:hAnsi="Arial"/>
                <w:sz w:val="15"/>
                <w:szCs w:val="15"/>
                <w:color w:val="auto"/>
              </w:rPr>
              <w:t>76</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870</w:t>
            </w:r>
          </w:p>
        </w:tc>
        <w:tc>
          <w:tcPr>
            <w:tcW w:w="1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income attributable to stockholders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2,992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1,536</w:t>
            </w:r>
          </w:p>
        </w:tc>
        <w:tc>
          <w:tcPr>
            <w:tcW w:w="320" w:type="dxa"/>
            <w:vAlign w:val="bottom"/>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6,358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2,604</w:t>
            </w:r>
          </w:p>
        </w:tc>
        <w:tc>
          <w:tcPr>
            <w:tcW w:w="100" w:type="dxa"/>
            <w:vAlign w:val="bottom"/>
            <w:shd w:val="clear" w:color="auto" w:fill="CCEEFF"/>
          </w:tcPr>
          <w:p>
            <w:pPr>
              <w:spacing w:after="0"/>
              <w:rPr>
                <w:sz w:val="16"/>
                <w:szCs w:val="16"/>
                <w:color w:val="auto"/>
              </w:rPr>
            </w:pPr>
          </w:p>
        </w:tc>
      </w:tr>
      <w:tr>
        <w:trPr>
          <w:trHeight w:val="191"/>
        </w:trPr>
        <w:tc>
          <w:tcPr>
            <w:tcW w:w="8580" w:type="dxa"/>
            <w:vAlign w:val="bottom"/>
            <w:gridSpan w:val="3"/>
          </w:tcPr>
          <w:p>
            <w:pPr>
              <w:spacing w:after="0"/>
              <w:rPr>
                <w:sz w:val="20"/>
                <w:szCs w:val="20"/>
                <w:color w:val="auto"/>
              </w:rPr>
            </w:pPr>
            <w:r>
              <w:rPr>
                <w:rFonts w:ascii="Arial" w:cs="Arial" w:eastAsia="Arial" w:hAnsi="Arial"/>
                <w:sz w:val="15"/>
                <w:szCs w:val="15"/>
                <w:color w:val="auto"/>
              </w:rPr>
              <w:t>Less: cumulative dividends on preferred stock</w:t>
            </w:r>
          </w:p>
        </w:tc>
        <w:tc>
          <w:tcPr>
            <w:tcW w:w="460" w:type="dxa"/>
            <w:vAlign w:val="bottom"/>
          </w:tcPr>
          <w:p>
            <w:pPr>
              <w:jc w:val="right"/>
              <w:spacing w:after="0"/>
              <w:rPr>
                <w:sz w:val="20"/>
                <w:szCs w:val="20"/>
                <w:color w:val="auto"/>
              </w:rPr>
            </w:pPr>
            <w:r>
              <w:rPr>
                <w:rFonts w:ascii="Arial" w:cs="Arial" w:eastAsia="Arial" w:hAnsi="Arial"/>
                <w:sz w:val="15"/>
                <w:szCs w:val="15"/>
                <w:color w:val="auto"/>
              </w:rPr>
              <w:t>214</w:t>
            </w:r>
          </w:p>
        </w:tc>
        <w:tc>
          <w:tcPr>
            <w:tcW w:w="18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rPr>
              <w:t>202</w:t>
            </w:r>
          </w:p>
        </w:tc>
        <w:tc>
          <w:tcPr>
            <w:tcW w:w="420" w:type="dxa"/>
            <w:vAlign w:val="bottom"/>
          </w:tcPr>
          <w:p>
            <w:pPr>
              <w:jc w:val="right"/>
              <w:spacing w:after="0"/>
              <w:rPr>
                <w:sz w:val="20"/>
                <w:szCs w:val="20"/>
                <w:color w:val="auto"/>
              </w:rPr>
            </w:pPr>
            <w:r>
              <w:rPr>
                <w:rFonts w:ascii="Arial" w:cs="Arial" w:eastAsia="Arial" w:hAnsi="Arial"/>
                <w:sz w:val="15"/>
                <w:szCs w:val="15"/>
                <w:color w:val="auto"/>
              </w:rPr>
              <w:t>429</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405</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undistributed earnings allocated to Series B Preferred Stock participating security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91"/>
        </w:trPr>
        <w:tc>
          <w:tcPr>
            <w:tcW w:w="8580" w:type="dxa"/>
            <w:vAlign w:val="bottom"/>
            <w:gridSpan w:val="3"/>
          </w:tcPr>
          <w:p>
            <w:pPr>
              <w:spacing w:after="0"/>
              <w:rPr>
                <w:sz w:val="20"/>
                <w:szCs w:val="20"/>
                <w:color w:val="auto"/>
              </w:rPr>
            </w:pPr>
            <w:r>
              <w:rPr>
                <w:rFonts w:ascii="Arial" w:cs="Arial" w:eastAsia="Arial" w:hAnsi="Arial"/>
                <w:sz w:val="15"/>
                <w:szCs w:val="15"/>
                <w:b w:val="1"/>
                <w:bCs w:val="1"/>
                <w:color w:val="auto"/>
              </w:rPr>
              <w:t>Net income attributable to common stockholders</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w w:val="87"/>
              </w:rPr>
              <w:t>$ 2,524</w:t>
            </w:r>
          </w:p>
        </w:tc>
        <w:tc>
          <w:tcPr>
            <w:tcW w:w="18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rPr>
              <w:t>$ 1,334</w:t>
            </w:r>
          </w:p>
        </w:tc>
        <w:tc>
          <w:tcPr>
            <w:tcW w:w="42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5,387</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2,199</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6" w:lineRule="exact"/>
        <w:rPr>
          <w:sz w:val="20"/>
          <w:szCs w:val="20"/>
          <w:color w:val="auto"/>
        </w:rPr>
      </w:pPr>
    </w:p>
    <w:p>
      <w:pPr>
        <w:ind w:left="446" w:right="260" w:hanging="446"/>
        <w:spacing w:after="0" w:line="265"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Interest and income taxes are recorded centrally in Corporate; therefore, there are no reconciling items for GM’s automotive operating segments between EBIT and Net income attributable to stockholders.</w:t>
      </w:r>
    </w:p>
    <w:p>
      <w:pPr>
        <w:spacing w:after="0" w:line="1" w:lineRule="exact"/>
        <w:rPr>
          <w:rFonts w:ascii="Arial" w:cs="Arial" w:eastAsia="Arial" w:hAnsi="Arial"/>
          <w:sz w:val="15"/>
          <w:szCs w:val="15"/>
          <w:color w:val="auto"/>
        </w:rPr>
      </w:pPr>
    </w:p>
    <w:p>
      <w:pPr>
        <w:ind w:left="446" w:right="20" w:hanging="446"/>
        <w:spacing w:after="0" w:line="261"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year ended December 31, 2010 GM changed its managerial and financial reporting structure so that certain entities geographically located within Russia and Uzbekistan were transferred from GM’s GME segment to GM’s GMIO segment and certain entities geographically located in Brazil, Argentina, Colombia, Ecuador, Venezuela, Bolivia, Chile, Paraguay, Peru and Uruguay were transferred from GM’s GMIO segment to GM’s newly created GMSA segment. GM has retrospectively revised the segment presentation for all periods presented.</w:t>
      </w:r>
    </w:p>
    <w:p>
      <w:pPr>
        <w:spacing w:after="0" w:line="2"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GM Financial amounts represent income before income taxes. GM Financial was not a subsidiary for the three and six months ended June 30, 2010.</w:t>
      </w:r>
    </w:p>
    <w:p>
      <w:pPr>
        <w:spacing w:after="0" w:line="13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6"/>
          </w:cols>
          <w:pgMar w:left="234" w:top="258" w:right="21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ind w:right="-439"/>
        <w:spacing w:after="0"/>
        <w:rPr>
          <w:sz w:val="20"/>
          <w:szCs w:val="20"/>
          <w:color w:val="auto"/>
        </w:rPr>
      </w:pPr>
      <w:r>
        <w:rPr>
          <w:rFonts w:ascii="Arial" w:cs="Arial" w:eastAsia="Arial" w:hAnsi="Arial"/>
          <w:sz w:val="15"/>
          <w:szCs w:val="15"/>
          <w:i w:val="1"/>
          <w:iCs w:val="1"/>
          <w:color w:val="auto"/>
        </w:rPr>
        <w:t>(Unaudited)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reconciliation of EBIT adjusted to EBIT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0"/>
              </w:rPr>
              <w:t>Three Months Ended</w:t>
            </w:r>
          </w:p>
        </w:tc>
        <w:tc>
          <w:tcPr>
            <w:tcW w:w="180" w:type="dxa"/>
            <w:vAlign w:val="bottom"/>
          </w:tcPr>
          <w:p>
            <w:pPr>
              <w:spacing w:after="0"/>
              <w:rPr>
                <w:sz w:val="12"/>
                <w:szCs w:val="12"/>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r>
      <w:tr>
        <w:trPr>
          <w:trHeight w:val="140"/>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1"/>
              </w:rPr>
              <w:t>June 30,</w:t>
            </w:r>
          </w:p>
        </w:tc>
        <w:tc>
          <w:tcPr>
            <w:tcW w:w="180" w:type="dxa"/>
            <w:vAlign w:val="bottom"/>
          </w:tcPr>
          <w:p>
            <w:pPr>
              <w:spacing w:after="0"/>
              <w:rPr>
                <w:sz w:val="12"/>
                <w:szCs w:val="12"/>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7"/>
              </w:rPr>
              <w:t>June 30,</w:t>
            </w:r>
          </w:p>
        </w:tc>
      </w:tr>
      <w:tr>
        <w:trPr>
          <w:trHeight w:val="121"/>
        </w:trPr>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2"/>
              </w:rPr>
              <w:t>2011</w:t>
            </w: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2"/>
              </w:rPr>
              <w:t>2010</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jc w:val="right"/>
              <w:ind w:right="34"/>
              <w:spacing w:after="0" w:line="121" w:lineRule="exact"/>
              <w:rPr>
                <w:sz w:val="20"/>
                <w:szCs w:val="20"/>
                <w:color w:val="auto"/>
              </w:rPr>
            </w:pPr>
            <w:r>
              <w:rPr>
                <w:rFonts w:ascii="Arial" w:cs="Arial" w:eastAsia="Arial" w:hAnsi="Arial"/>
                <w:sz w:val="12"/>
                <w:szCs w:val="12"/>
                <w:b w:val="1"/>
                <w:bCs w:val="1"/>
                <w:color w:val="auto"/>
              </w:rPr>
              <w:t>2011</w:t>
            </w:r>
          </w:p>
        </w:tc>
        <w:tc>
          <w:tcPr>
            <w:tcW w:w="820" w:type="dxa"/>
            <w:vAlign w:val="bottom"/>
            <w:tcBorders>
              <w:top w:val="single" w:sz="8" w:color="auto"/>
            </w:tcBorders>
            <w:gridSpan w:val="2"/>
          </w:tcPr>
          <w:p>
            <w:pPr>
              <w:jc w:val="right"/>
              <w:ind w:right="24"/>
              <w:spacing w:after="0" w:line="121"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0"/>
                <w:szCs w:val="10"/>
                <w:color w:val="auto"/>
              </w:rPr>
            </w:pPr>
          </w:p>
        </w:tc>
      </w:tr>
      <w:tr>
        <w:trPr>
          <w:trHeight w:val="180"/>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EBIT adjusted (a)</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$ 2,962</w:t>
            </w:r>
          </w:p>
        </w:tc>
        <w:tc>
          <w:tcPr>
            <w:tcW w:w="3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9"/>
              </w:rPr>
              <w:t>$ 2,033</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$5,004</w:t>
            </w:r>
          </w:p>
        </w:tc>
        <w:tc>
          <w:tcPr>
            <w:tcW w:w="3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$3,734</w:t>
            </w: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5"/>
                <w:szCs w:val="15"/>
                <w:color w:val="auto"/>
              </w:rPr>
              <w:t>Special items</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1,483</w:t>
            </w:r>
          </w:p>
        </w:tc>
        <w:tc>
          <w:tcPr>
            <w:tcW w:w="3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 xml:space="preserve">EBIT </w:t>
            </w:r>
            <w:r>
              <w:rPr>
                <w:rFonts w:ascii="Arial" w:cs="Arial" w:eastAsia="Arial" w:hAnsi="Arial"/>
                <w:sz w:val="15"/>
                <w:szCs w:val="15"/>
                <w:color w:val="auto"/>
              </w:rPr>
              <w:t>(a)</w:t>
            </w:r>
          </w:p>
        </w:tc>
        <w:tc>
          <w:tcPr>
            <w:tcW w:w="820" w:type="dxa"/>
            <w:vAlign w:val="bottom"/>
            <w:gridSpan w:val="2"/>
            <w:shd w:val="clear" w:color="auto" w:fill="CCEEFF"/>
          </w:tcPr>
          <w:p>
            <w:pPr>
              <w:jc w:val="center"/>
              <w:ind w:right="360"/>
              <w:spacing w:after="0"/>
              <w:rPr>
                <w:sz w:val="20"/>
                <w:szCs w:val="20"/>
                <w:color w:val="auto"/>
              </w:rPr>
            </w:pPr>
            <w:r>
              <w:rPr>
                <w:rFonts w:ascii="Arial" w:cs="Arial" w:eastAsia="Arial" w:hAnsi="Arial"/>
                <w:sz w:val="15"/>
                <w:szCs w:val="15"/>
                <w:b w:val="1"/>
                <w:bCs w:val="1"/>
                <w:color w:val="auto"/>
                <w:w w:val="91"/>
              </w:rPr>
              <w:t>$ 2,962</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b w:val="1"/>
                <w:bCs w:val="1"/>
                <w:color w:val="auto"/>
                <w:w w:val="99"/>
              </w:rPr>
              <w:t>$ 2,033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6,487</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3,857</w:t>
            </w:r>
          </w:p>
        </w:tc>
      </w:tr>
      <w:tr>
        <w:trPr>
          <w:trHeight w:val="20"/>
        </w:trPr>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6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02"/>
        </w:trPr>
        <w:tc>
          <w:tcPr>
            <w:tcW w:w="300" w:type="dxa"/>
            <w:vAlign w:val="bottom"/>
          </w:tcPr>
          <w:p>
            <w:pPr>
              <w:spacing w:after="0"/>
              <w:rPr>
                <w:sz w:val="20"/>
                <w:szCs w:val="20"/>
                <w:color w:val="auto"/>
              </w:rPr>
            </w:pPr>
            <w:r>
              <w:rPr>
                <w:rFonts w:ascii="Arial" w:cs="Arial" w:eastAsia="Arial" w:hAnsi="Arial"/>
                <w:sz w:val="15"/>
                <w:szCs w:val="15"/>
                <w:color w:val="auto"/>
              </w:rPr>
              <w:t>(a)</w:t>
            </w:r>
          </w:p>
        </w:tc>
        <w:tc>
          <w:tcPr>
            <w:tcW w:w="7660" w:type="dxa"/>
            <w:vAlign w:val="bottom"/>
            <w:gridSpan w:val="3"/>
          </w:tcPr>
          <w:p>
            <w:pPr>
              <w:ind w:left="140"/>
              <w:spacing w:after="0"/>
              <w:rPr>
                <w:sz w:val="20"/>
                <w:szCs w:val="20"/>
                <w:color w:val="auto"/>
              </w:rPr>
            </w:pPr>
            <w:r>
              <w:rPr>
                <w:rFonts w:ascii="Arial" w:cs="Arial" w:eastAsia="Arial" w:hAnsi="Arial"/>
                <w:sz w:val="15"/>
                <w:szCs w:val="15"/>
                <w:color w:val="auto"/>
              </w:rPr>
              <w:t>GM Financial amounts included in EBIT and EBIT adjusted represent income before income taxes.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Special Items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six months ended June 30, 2011 special items included:</w:t>
      </w:r>
    </w:p>
    <w:p>
      <w:pPr>
        <w:spacing w:after="0" w:line="86" w:lineRule="exact"/>
        <w:rPr>
          <w:sz w:val="20"/>
          <w:szCs w:val="20"/>
          <w:color w:val="auto"/>
        </w:rPr>
      </w:pPr>
    </w:p>
    <w:p>
      <w:pPr>
        <w:ind w:left="1460" w:hanging="443"/>
        <w:spacing w:after="0"/>
        <w:tabs>
          <w:tab w:leader="none" w:pos="1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Gain of $1.6 billion in GMNA related to the sale of GM’s Class A Membership Interests in Delphi Automotive LLP;</w:t>
      </w:r>
    </w:p>
    <w:p>
      <w:pPr>
        <w:spacing w:after="0" w:line="86" w:lineRule="exact"/>
        <w:rPr>
          <w:rFonts w:ascii="Arial" w:cs="Arial" w:eastAsia="Arial" w:hAnsi="Arial"/>
          <w:sz w:val="15"/>
          <w:szCs w:val="15"/>
          <w:color w:val="auto"/>
        </w:rPr>
      </w:pPr>
    </w:p>
    <w:p>
      <w:pPr>
        <w:ind w:left="1460" w:hanging="443"/>
        <w:spacing w:after="0"/>
        <w:tabs>
          <w:tab w:leader="none" w:pos="1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Gain of $339 million in Corporate related to the sale of 100% of the Ally Financial Preferred Stock;</w:t>
      </w:r>
    </w:p>
    <w:p>
      <w:pPr>
        <w:spacing w:after="0" w:line="86" w:lineRule="exact"/>
        <w:rPr>
          <w:rFonts w:ascii="Arial" w:cs="Arial" w:eastAsia="Arial" w:hAnsi="Arial"/>
          <w:sz w:val="15"/>
          <w:szCs w:val="15"/>
          <w:color w:val="auto"/>
        </w:rPr>
      </w:pPr>
    </w:p>
    <w:p>
      <w:pPr>
        <w:ind w:left="1460" w:hanging="443"/>
        <w:spacing w:after="0"/>
        <w:tabs>
          <w:tab w:leader="none" w:pos="1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Impairment charge of $395 million in GME related to goodwill; and</w:t>
      </w:r>
    </w:p>
    <w:p>
      <w:pPr>
        <w:spacing w:after="0" w:line="86" w:lineRule="exact"/>
        <w:rPr>
          <w:rFonts w:ascii="Arial" w:cs="Arial" w:eastAsia="Arial" w:hAnsi="Arial"/>
          <w:sz w:val="15"/>
          <w:szCs w:val="15"/>
          <w:color w:val="auto"/>
        </w:rPr>
      </w:pPr>
    </w:p>
    <w:p>
      <w:pPr>
        <w:ind w:left="1460" w:hanging="443"/>
        <w:spacing w:after="0"/>
        <w:tabs>
          <w:tab w:leader="none" w:pos="1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Charge of $106 million in GMIO related to GM’s India joint venture.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six months ended June 30, 2010 special items included a gain of $123 million in GME related to the sale of Saab Automobile AB to Spyker Cars NV.</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reconciliation of Automotive free cash flow to Automotive Net cash provided by operating activities (dollars in millions):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w w:val="99"/>
              </w:rPr>
              <w:t>Three Months Ended</w:t>
            </w:r>
          </w:p>
        </w:tc>
        <w:tc>
          <w:tcPr>
            <w:tcW w:w="180" w:type="dxa"/>
            <w:vAlign w:val="bottom"/>
          </w:tcPr>
          <w:p>
            <w:pPr>
              <w:spacing w:after="0"/>
              <w:rPr>
                <w:sz w:val="12"/>
                <w:szCs w:val="12"/>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500" w:type="dxa"/>
            <w:vAlign w:val="bottom"/>
            <w:gridSpan w:val="4"/>
          </w:tcPr>
          <w:p>
            <w:pPr>
              <w:ind w:left="440"/>
              <w:spacing w:after="0"/>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2"/>
                <w:szCs w:val="12"/>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Borders>
              <w:top w:val="single" w:sz="8" w:color="auto"/>
            </w:tcBorders>
          </w:tcPr>
          <w:p>
            <w:pPr>
              <w:jc w:val="right"/>
              <w:ind w:right="57"/>
              <w:spacing w:after="0" w:line="121" w:lineRule="exact"/>
              <w:rPr>
                <w:sz w:val="20"/>
                <w:szCs w:val="20"/>
                <w:color w:val="auto"/>
              </w:rPr>
            </w:pPr>
            <w:r>
              <w:rPr>
                <w:rFonts w:ascii="Arial" w:cs="Arial" w:eastAsia="Arial" w:hAnsi="Arial"/>
                <w:sz w:val="12"/>
                <w:szCs w:val="12"/>
                <w:b w:val="1"/>
                <w:bCs w:val="1"/>
                <w:color w:val="auto"/>
              </w:rPr>
              <w:t>2011</w:t>
            </w: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68"/>
              <w:spacing w:after="0" w:line="121" w:lineRule="exact"/>
              <w:rPr>
                <w:sz w:val="20"/>
                <w:szCs w:val="20"/>
                <w:color w:val="auto"/>
              </w:rPr>
            </w:pPr>
            <w:r>
              <w:rPr>
                <w:rFonts w:ascii="Arial" w:cs="Arial" w:eastAsia="Arial" w:hAnsi="Arial"/>
                <w:sz w:val="12"/>
                <w:szCs w:val="12"/>
                <w:b w:val="1"/>
                <w:bCs w:val="1"/>
                <w:color w:val="auto"/>
              </w:rPr>
              <w:t>2010</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jc w:val="right"/>
              <w:ind w:right="37"/>
              <w:spacing w:after="0" w:line="121" w:lineRule="exact"/>
              <w:rPr>
                <w:sz w:val="20"/>
                <w:szCs w:val="20"/>
                <w:color w:val="auto"/>
              </w:rPr>
            </w:pPr>
            <w:r>
              <w:rPr>
                <w:rFonts w:ascii="Arial" w:cs="Arial" w:eastAsia="Arial" w:hAnsi="Arial"/>
                <w:sz w:val="12"/>
                <w:szCs w:val="12"/>
                <w:b w:val="1"/>
                <w:bCs w:val="1"/>
                <w:color w:val="auto"/>
              </w:rPr>
              <w:t>2011</w:t>
            </w:r>
          </w:p>
        </w:tc>
        <w:tc>
          <w:tcPr>
            <w:tcW w:w="820" w:type="dxa"/>
            <w:vAlign w:val="bottom"/>
            <w:tcBorders>
              <w:top w:val="single" w:sz="8" w:color="auto"/>
            </w:tcBorders>
            <w:gridSpan w:val="2"/>
          </w:tcPr>
          <w:p>
            <w:pPr>
              <w:jc w:val="right"/>
              <w:ind w:right="24"/>
              <w:spacing w:after="0" w:line="121"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4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Automotive</w:t>
            </w:r>
          </w:p>
        </w:tc>
        <w:tc>
          <w:tcPr>
            <w:tcW w:w="35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Arial" w:cs="Arial" w:eastAsia="Arial" w:hAnsi="Arial"/>
                <w:sz w:val="15"/>
                <w:szCs w:val="15"/>
                <w:color w:val="auto"/>
              </w:rPr>
              <w:t>Free cash flow</w:t>
            </w:r>
          </w:p>
        </w:tc>
        <w:tc>
          <w:tcPr>
            <w:tcW w:w="4380" w:type="dxa"/>
            <w:vAlign w:val="bottom"/>
            <w:gridSpan w:val="3"/>
          </w:tcPr>
          <w:p>
            <w:pPr>
              <w:jc w:val="right"/>
              <w:ind w:right="360"/>
              <w:spacing w:after="0"/>
              <w:rPr>
                <w:sz w:val="20"/>
                <w:szCs w:val="20"/>
                <w:color w:val="auto"/>
              </w:rPr>
            </w:pPr>
            <w:r>
              <w:rPr>
                <w:rFonts w:ascii="Arial" w:cs="Arial" w:eastAsia="Arial" w:hAnsi="Arial"/>
                <w:sz w:val="15"/>
                <w:szCs w:val="15"/>
                <w:color w:val="auto"/>
              </w:rPr>
              <w:t>$ 3,789</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$ 2,834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$1,871</w:t>
            </w:r>
          </w:p>
        </w:tc>
        <w:tc>
          <w:tcPr>
            <w:tcW w:w="900" w:type="dxa"/>
            <w:vAlign w:val="bottom"/>
            <w:gridSpan w:val="3"/>
          </w:tcPr>
          <w:p>
            <w:pPr>
              <w:jc w:val="right"/>
              <w:ind w:right="80"/>
              <w:spacing w:after="0"/>
              <w:rPr>
                <w:sz w:val="20"/>
                <w:szCs w:val="20"/>
                <w:color w:val="auto"/>
              </w:rPr>
            </w:pPr>
            <w:r>
              <w:rPr>
                <w:rFonts w:ascii="Arial" w:cs="Arial" w:eastAsia="Arial" w:hAnsi="Arial"/>
                <w:sz w:val="15"/>
                <w:szCs w:val="15"/>
                <w:color w:val="auto"/>
              </w:rPr>
              <w:t>$3,844</w:t>
            </w:r>
          </w:p>
        </w:tc>
        <w:tc>
          <w:tcPr>
            <w:tcW w:w="0" w:type="dxa"/>
            <w:vAlign w:val="bottom"/>
          </w:tcPr>
          <w:p>
            <w:pPr>
              <w:spacing w:after="0"/>
              <w:rPr>
                <w:sz w:val="1"/>
                <w:szCs w:val="1"/>
                <w:color w:val="auto"/>
              </w:rPr>
            </w:pPr>
          </w:p>
        </w:tc>
      </w:tr>
      <w:tr>
        <w:trPr>
          <w:trHeight w:val="188"/>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Capital expenditures</w:t>
            </w:r>
          </w:p>
        </w:tc>
        <w:tc>
          <w:tcPr>
            <w:tcW w:w="35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w:t>
            </w:r>
          </w:p>
        </w:tc>
        <w:tc>
          <w:tcPr>
            <w:tcW w:w="3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2,494</w:t>
            </w:r>
          </w:p>
        </w:tc>
        <w:tc>
          <w:tcPr>
            <w:tcW w:w="3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43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$ 4,961</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5"/>
              </w:rPr>
              <w:t>$ 3,845</w:t>
            </w:r>
          </w:p>
        </w:tc>
        <w:tc>
          <w:tcPr>
            <w:tcW w:w="620" w:type="dxa"/>
            <w:vAlign w:val="bottom"/>
            <w:gridSpan w:val="2"/>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4,365</w:t>
            </w:r>
          </w:p>
        </w:tc>
        <w:tc>
          <w:tcPr>
            <w:tcW w:w="900" w:type="dxa"/>
            <w:vAlign w:val="bottom"/>
            <w:gridSpan w:val="3"/>
          </w:tcPr>
          <w:p>
            <w:pPr>
              <w:jc w:val="right"/>
              <w:ind w:right="8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5,695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560" w:type="dxa"/>
            <w:vAlign w:val="bottom"/>
            <w:vMerge w:val="restart"/>
          </w:tcPr>
          <w:p>
            <w:pPr>
              <w:jc w:val="right"/>
              <w:ind w:right="2124"/>
              <w:spacing w:after="0"/>
              <w:rPr>
                <w:sz w:val="20"/>
                <w:szCs w:val="20"/>
                <w:color w:val="auto"/>
              </w:rPr>
            </w:pPr>
            <w:r>
              <w:rPr>
                <w:rFonts w:ascii="Arial" w:cs="Arial" w:eastAsia="Arial" w:hAnsi="Arial"/>
                <w:sz w:val="15"/>
                <w:szCs w:val="15"/>
                <w:color w:val="auto"/>
              </w:rPr>
              <w:t>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258" w:right="679" w:bottom="1440" w:gutter="0" w:footer="0" w:header="0"/>
        </w:sectPr>
      </w:pPr>
    </w:p>
    <w:bookmarkStart w:id="8" w:name="page9"/>
    <w:bookmarkEnd w:id="8"/>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3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following tables summarize selected data by segment (dollars in millions):</w:t>
      </w:r>
    </w:p>
    <w:p>
      <w:pPr>
        <w:spacing w:after="0" w:line="17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GM</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GMNA</w:t>
            </w:r>
          </w:p>
        </w:tc>
        <w:tc>
          <w:tcPr>
            <w:tcW w:w="80" w:type="dxa"/>
            <w:vAlign w:val="bottom"/>
          </w:tcPr>
          <w:p>
            <w:pPr>
              <w:spacing w:after="0"/>
              <w:rPr>
                <w:sz w:val="12"/>
                <w:szCs w:val="12"/>
                <w:color w:val="auto"/>
              </w:rPr>
            </w:pPr>
          </w:p>
        </w:tc>
        <w:tc>
          <w:tcPr>
            <w:tcW w:w="440" w:type="dxa"/>
            <w:vAlign w:val="bottom"/>
          </w:tcPr>
          <w:p>
            <w:pPr>
              <w:jc w:val="right"/>
              <w:ind w:right="48"/>
              <w:spacing w:after="0"/>
              <w:rPr>
                <w:sz w:val="20"/>
                <w:szCs w:val="20"/>
                <w:color w:val="auto"/>
              </w:rPr>
            </w:pPr>
            <w:r>
              <w:rPr>
                <w:rFonts w:ascii="Arial" w:cs="Arial" w:eastAsia="Arial" w:hAnsi="Arial"/>
                <w:sz w:val="12"/>
                <w:szCs w:val="12"/>
                <w:b w:val="1"/>
                <w:bCs w:val="1"/>
                <w:color w:val="auto"/>
              </w:rPr>
              <w:t>GME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GMIO</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GMSA</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Corporate</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Automotive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Financial</w:t>
            </w:r>
          </w:p>
        </w:tc>
        <w:tc>
          <w:tcPr>
            <w:tcW w:w="1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89"/>
              </w:rPr>
              <w:t>Eliminations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Three Months Ended June 30, 2011</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Total net sales and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23,128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7,459</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6,616</w:t>
            </w:r>
          </w:p>
        </w:tc>
        <w:tc>
          <w:tcPr>
            <w:tcW w:w="30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5"/>
                <w:szCs w:val="15"/>
                <w:color w:val="auto"/>
              </w:rPr>
              <w:t>$4,363</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center"/>
              <w:ind w:right="160"/>
              <w:spacing w:after="0"/>
              <w:rPr>
                <w:sz w:val="20"/>
                <w:szCs w:val="20"/>
                <w:color w:val="auto"/>
              </w:rPr>
            </w:pPr>
            <w:r>
              <w:rPr>
                <w:rFonts w:ascii="Arial" w:cs="Arial" w:eastAsia="Arial" w:hAnsi="Arial"/>
                <w:sz w:val="15"/>
                <w:szCs w:val="15"/>
                <w:color w:val="auto"/>
                <w:w w:val="92"/>
              </w:rPr>
              <w:t>(2,537)</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39,043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330</w:t>
            </w:r>
          </w:p>
        </w:tc>
        <w:tc>
          <w:tcPr>
            <w:tcW w:w="4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39,373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w w:val="99"/>
              </w:rPr>
              <w:t>Depreciation, amortization and impairment of long-</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lived assets and finite-lived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115</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13</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1,615</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80" w:type="dxa"/>
            <w:vAlign w:val="bottom"/>
            <w:gridSpan w:val="2"/>
          </w:tcPr>
          <w:p>
            <w:pPr>
              <w:spacing w:after="0"/>
              <w:rPr>
                <w:sz w:val="20"/>
                <w:szCs w:val="20"/>
                <w:color w:val="auto"/>
              </w:rPr>
            </w:pPr>
            <w:r>
              <w:rPr>
                <w:rFonts w:ascii="Arial" w:cs="Arial" w:eastAsia="Arial" w:hAnsi="Arial"/>
                <w:sz w:val="15"/>
                <w:szCs w:val="15"/>
                <w:color w:val="auto"/>
              </w:rPr>
              <w:t>Equity income, net of tax and gain on disposal of</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379</w:t>
            </w:r>
          </w:p>
        </w:tc>
        <w:tc>
          <w:tcPr>
            <w:tcW w:w="3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center"/>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382</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24"/>
                <w:szCs w:val="24"/>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GM</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GMNA</w:t>
            </w:r>
          </w:p>
        </w:tc>
        <w:tc>
          <w:tcPr>
            <w:tcW w:w="80" w:type="dxa"/>
            <w:vAlign w:val="bottom"/>
          </w:tcPr>
          <w:p>
            <w:pPr>
              <w:spacing w:after="0"/>
              <w:rPr>
                <w:sz w:val="12"/>
                <w:szCs w:val="12"/>
                <w:color w:val="auto"/>
              </w:rPr>
            </w:pPr>
          </w:p>
        </w:tc>
        <w:tc>
          <w:tcPr>
            <w:tcW w:w="440" w:type="dxa"/>
            <w:vAlign w:val="bottom"/>
          </w:tcPr>
          <w:p>
            <w:pPr>
              <w:jc w:val="right"/>
              <w:ind w:right="48"/>
              <w:spacing w:after="0"/>
              <w:rPr>
                <w:sz w:val="20"/>
                <w:szCs w:val="20"/>
                <w:color w:val="auto"/>
              </w:rPr>
            </w:pPr>
            <w:r>
              <w:rPr>
                <w:rFonts w:ascii="Arial" w:cs="Arial" w:eastAsia="Arial" w:hAnsi="Arial"/>
                <w:sz w:val="12"/>
                <w:szCs w:val="12"/>
                <w:b w:val="1"/>
                <w:bCs w:val="1"/>
                <w:color w:val="auto"/>
              </w:rPr>
              <w:t>GME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GMIO</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GMSA</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Corporate</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Automotive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Financial</w:t>
            </w:r>
          </w:p>
        </w:tc>
        <w:tc>
          <w:tcPr>
            <w:tcW w:w="1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89"/>
              </w:rPr>
              <w:t>Eliminations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Six Months Ended June 30, 2011</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Total net sales and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45,238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14,329</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12,043</w:t>
            </w:r>
          </w:p>
        </w:tc>
        <w:tc>
          <w:tcPr>
            <w:tcW w:w="30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5"/>
                <w:szCs w:val="15"/>
                <w:color w:val="auto"/>
              </w:rPr>
              <w:t>$8,259</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center"/>
              <w:ind w:right="160"/>
              <w:spacing w:after="0"/>
              <w:rPr>
                <w:sz w:val="20"/>
                <w:szCs w:val="20"/>
                <w:color w:val="auto"/>
              </w:rPr>
            </w:pPr>
            <w:r>
              <w:rPr>
                <w:rFonts w:ascii="Arial" w:cs="Arial" w:eastAsia="Arial" w:hAnsi="Arial"/>
                <w:sz w:val="15"/>
                <w:szCs w:val="15"/>
                <w:color w:val="auto"/>
                <w:w w:val="92"/>
              </w:rPr>
              <w:t>(4,957)</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74,942</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625</w:t>
            </w:r>
          </w:p>
        </w:tc>
        <w:tc>
          <w:tcPr>
            <w:tcW w:w="4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75,567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w w:val="99"/>
              </w:rPr>
              <w:t>Depreciation, amortization and impairment of long-</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lived assets and finite-lived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231</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26</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3,177</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80" w:type="dxa"/>
            <w:vAlign w:val="bottom"/>
            <w:gridSpan w:val="2"/>
          </w:tcPr>
          <w:p>
            <w:pPr>
              <w:spacing w:after="0"/>
              <w:rPr>
                <w:sz w:val="20"/>
                <w:szCs w:val="20"/>
                <w:color w:val="auto"/>
              </w:rPr>
            </w:pPr>
            <w:r>
              <w:rPr>
                <w:rFonts w:ascii="Arial" w:cs="Arial" w:eastAsia="Arial" w:hAnsi="Arial"/>
                <w:sz w:val="15"/>
                <w:szCs w:val="15"/>
                <w:color w:val="auto"/>
              </w:rPr>
              <w:t>Equity income, net of tax and gain on disposal of</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5"/>
                <w:szCs w:val="15"/>
                <w:color w:val="auto"/>
              </w:rPr>
              <w:t>investments(a)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1,732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794</w:t>
            </w:r>
          </w:p>
        </w:tc>
        <w:tc>
          <w:tcPr>
            <w:tcW w:w="3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center"/>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2,526</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2,526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39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3" w:lineRule="exact"/>
        <w:rPr>
          <w:sz w:val="20"/>
          <w:szCs w:val="20"/>
          <w:color w:val="auto"/>
        </w:rPr>
      </w:pPr>
    </w:p>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a gain of $1.6 billion in GMNA recorded on the sale of GM’s Class A Membership Interests in Delphi Automotive LLP.</w:t>
      </w:r>
    </w:p>
    <w:p>
      <w:pPr>
        <w:spacing w:after="0" w:line="17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GMNA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GME</w:t>
            </w:r>
          </w:p>
        </w:tc>
        <w:tc>
          <w:tcPr>
            <w:tcW w:w="8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GMIO</w:t>
            </w:r>
          </w:p>
        </w:tc>
        <w:tc>
          <w:tcPr>
            <w:tcW w:w="6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GMSA</w:t>
            </w:r>
          </w:p>
        </w:tc>
        <w:tc>
          <w:tcPr>
            <w:tcW w:w="14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Eliminations</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Automotive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Three Months Ended June 30, 2010</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Total net sales and revenue</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20,266</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6,044</w:t>
            </w:r>
          </w:p>
        </w:tc>
        <w:tc>
          <w:tcPr>
            <w:tcW w:w="3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5,331</w:t>
            </w:r>
          </w:p>
        </w:tc>
        <w:tc>
          <w:tcPr>
            <w:tcW w:w="300" w:type="dxa"/>
            <w:vAlign w:val="bottom"/>
          </w:tcPr>
          <w:p>
            <w:pPr>
              <w:spacing w:after="0"/>
              <w:rPr>
                <w:sz w:val="16"/>
                <w:szCs w:val="16"/>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5"/>
                <w:szCs w:val="15"/>
                <w:color w:val="auto"/>
                <w:w w:val="91"/>
              </w:rPr>
              <w:t>$3,608</w:t>
            </w:r>
          </w:p>
        </w:tc>
        <w:tc>
          <w:tcPr>
            <w:tcW w:w="3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32</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(2,107)</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33,174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33,174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w w:val="97"/>
              </w:rPr>
              <w:t>Depreciation, amortization and impairment of long-lived assets and finite-</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lived intangible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4740" w:type="dxa"/>
            <w:vAlign w:val="bottom"/>
            <w:gridSpan w:val="2"/>
          </w:tcPr>
          <w:p>
            <w:pPr>
              <w:spacing w:after="0"/>
              <w:rPr>
                <w:sz w:val="20"/>
                <w:szCs w:val="20"/>
                <w:color w:val="auto"/>
              </w:rPr>
            </w:pPr>
            <w:r>
              <w:rPr>
                <w:rFonts w:ascii="Arial" w:cs="Arial" w:eastAsia="Arial" w:hAnsi="Arial"/>
                <w:sz w:val="15"/>
                <w:szCs w:val="15"/>
                <w:color w:val="auto"/>
              </w:rPr>
              <w:t>Equity income (loss), net of tax and gain on disposal of investments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41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4</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368</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(3)</w:t>
            </w:r>
          </w:p>
        </w:tc>
        <w:tc>
          <w:tcPr>
            <w:tcW w:w="3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411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GMNA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GME</w:t>
            </w:r>
          </w:p>
        </w:tc>
        <w:tc>
          <w:tcPr>
            <w:tcW w:w="8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GMIO</w:t>
            </w:r>
          </w:p>
        </w:tc>
        <w:tc>
          <w:tcPr>
            <w:tcW w:w="6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GMSA</w:t>
            </w:r>
          </w:p>
        </w:tc>
        <w:tc>
          <w:tcPr>
            <w:tcW w:w="14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Eliminations</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Automotive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Six Months Ended June 30, 2010</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Total net sales and revenue</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39,552</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11,505</w:t>
            </w:r>
          </w:p>
        </w:tc>
        <w:tc>
          <w:tcPr>
            <w:tcW w:w="3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10,316</w:t>
            </w:r>
          </w:p>
        </w:tc>
        <w:tc>
          <w:tcPr>
            <w:tcW w:w="300" w:type="dxa"/>
            <w:vAlign w:val="bottom"/>
          </w:tcPr>
          <w:p>
            <w:pPr>
              <w:spacing w:after="0"/>
              <w:rPr>
                <w:sz w:val="16"/>
                <w:szCs w:val="16"/>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5"/>
                <w:szCs w:val="15"/>
                <w:color w:val="auto"/>
                <w:w w:val="91"/>
              </w:rPr>
              <w:t>$6,932</w:t>
            </w:r>
          </w:p>
        </w:tc>
        <w:tc>
          <w:tcPr>
            <w:tcW w:w="3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77</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(3,732)</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64,650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64,650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w w:val="97"/>
              </w:rPr>
              <w:t>Depreciation, amortization and impairment of long-lived assets and finite-</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lived intangible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3,453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4740" w:type="dxa"/>
            <w:vAlign w:val="bottom"/>
            <w:gridSpan w:val="2"/>
          </w:tcPr>
          <w:p>
            <w:pPr>
              <w:spacing w:after="0"/>
              <w:rPr>
                <w:sz w:val="20"/>
                <w:szCs w:val="20"/>
                <w:color w:val="auto"/>
              </w:rPr>
            </w:pPr>
            <w:r>
              <w:rPr>
                <w:rFonts w:ascii="Arial" w:cs="Arial" w:eastAsia="Arial" w:hAnsi="Arial"/>
                <w:sz w:val="15"/>
                <w:szCs w:val="15"/>
                <w:color w:val="auto"/>
              </w:rPr>
              <w:t>Equity income (loss), net of tax and gain on disposal of investments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75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11</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730</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(3)</w:t>
            </w:r>
          </w:p>
        </w:tc>
        <w:tc>
          <w:tcPr>
            <w:tcW w:w="3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814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814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6"/>
          </w:cols>
          <w:pgMar w:left="234" w:top="258"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summarize worldwide employment and payroll: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84"/>
              </w:rPr>
              <w:t>June 30, 2011</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w w:val="94"/>
              </w:rPr>
              <w:t>December 31, 2010</w:t>
            </w:r>
          </w:p>
        </w:tc>
      </w:tr>
      <w:tr>
        <w:trPr>
          <w:trHeight w:val="168"/>
        </w:trPr>
        <w:tc>
          <w:tcPr>
            <w:tcW w:w="20" w:type="dxa"/>
            <w:vAlign w:val="bottom"/>
          </w:tcPr>
          <w:p>
            <w:pPr>
              <w:spacing w:after="0"/>
              <w:rPr>
                <w:sz w:val="14"/>
                <w:szCs w:val="14"/>
                <w:color w:val="auto"/>
              </w:rPr>
            </w:pPr>
          </w:p>
        </w:tc>
        <w:tc>
          <w:tcPr>
            <w:tcW w:w="410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Worldwide Employment (in thousands)</w:t>
            </w:r>
          </w:p>
        </w:tc>
        <w:tc>
          <w:tcPr>
            <w:tcW w:w="40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GMNA</w:t>
            </w:r>
          </w:p>
        </w:tc>
        <w:tc>
          <w:tcPr>
            <w:tcW w:w="4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98</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GME</w:t>
            </w:r>
          </w:p>
        </w:tc>
        <w:tc>
          <w:tcPr>
            <w:tcW w:w="4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GMIO</w:t>
            </w:r>
          </w:p>
        </w:tc>
        <w:tc>
          <w:tcPr>
            <w:tcW w:w="4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GMSA</w:t>
            </w:r>
          </w:p>
        </w:tc>
        <w:tc>
          <w:tcPr>
            <w:tcW w:w="4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GM Financial</w:t>
            </w:r>
          </w:p>
        </w:tc>
        <w:tc>
          <w:tcPr>
            <w:tcW w:w="4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Worldwide</w:t>
            </w:r>
          </w:p>
        </w:tc>
        <w:tc>
          <w:tcPr>
            <w:tcW w:w="4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208</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202</w:t>
            </w:r>
          </w:p>
        </w:tc>
        <w:tc>
          <w:tcPr>
            <w:tcW w:w="80" w:type="dxa"/>
            <w:vAlign w:val="bottom"/>
            <w:shd w:val="clear" w:color="auto" w:fill="CCEEFF"/>
          </w:tcPr>
          <w:p>
            <w:pPr>
              <w:spacing w:after="0"/>
              <w:rPr>
                <w:sz w:val="16"/>
                <w:szCs w:val="16"/>
                <w:color w:val="auto"/>
              </w:rPr>
            </w:pPr>
          </w:p>
        </w:tc>
      </w:tr>
      <w:tr>
        <w:trPr>
          <w:trHeight w:val="20"/>
        </w:trPr>
        <w:tc>
          <w:tcPr>
            <w:tcW w:w="41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4120" w:type="dxa"/>
            <w:vAlign w:val="bottom"/>
            <w:gridSpan w:val="2"/>
          </w:tcPr>
          <w:p>
            <w:pPr>
              <w:spacing w:after="0"/>
              <w:rPr>
                <w:sz w:val="20"/>
                <w:szCs w:val="20"/>
                <w:color w:val="auto"/>
              </w:rPr>
            </w:pPr>
            <w:r>
              <w:rPr>
                <w:rFonts w:ascii="Arial" w:cs="Arial" w:eastAsia="Arial" w:hAnsi="Arial"/>
                <w:sz w:val="15"/>
                <w:szCs w:val="15"/>
                <w:color w:val="auto"/>
              </w:rPr>
              <w:t>U.S. – Salaried</w:t>
            </w:r>
          </w:p>
        </w:tc>
        <w:tc>
          <w:tcPr>
            <w:tcW w:w="4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29</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U.S. – Hourly</w:t>
            </w:r>
          </w:p>
        </w:tc>
        <w:tc>
          <w:tcPr>
            <w:tcW w:w="4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6"/>
                <w:szCs w:val="16"/>
                <w:color w:val="auto"/>
              </w:rPr>
            </w:pPr>
          </w:p>
        </w:tc>
      </w:tr>
      <w:tr>
        <w:trPr>
          <w:trHeight w:val="29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0" w:type="dxa"/>
            <w:vAlign w:val="bottom"/>
            <w:gridSpan w:val="5"/>
          </w:tcPr>
          <w:p>
            <w:pPr>
              <w:jc w:val="right"/>
              <w:ind w:right="160"/>
              <w:spacing w:after="0"/>
              <w:rPr>
                <w:sz w:val="20"/>
                <w:szCs w:val="20"/>
                <w:color w:val="auto"/>
              </w:rPr>
            </w:pPr>
            <w:r>
              <w:rPr>
                <w:rFonts w:ascii="Arial" w:cs="Arial" w:eastAsia="Arial" w:hAnsi="Arial"/>
                <w:sz w:val="12"/>
                <w:szCs w:val="12"/>
                <w:b w:val="1"/>
                <w:bCs w:val="1"/>
                <w:color w:val="auto"/>
              </w:rPr>
              <w:t>Three Months Ended</w:t>
            </w:r>
          </w:p>
        </w:tc>
        <w:tc>
          <w:tcPr>
            <w:tcW w:w="500" w:type="dxa"/>
            <w:vAlign w:val="bottom"/>
          </w:tcPr>
          <w:p>
            <w:pPr>
              <w:spacing w:after="0"/>
              <w:rPr>
                <w:sz w:val="24"/>
                <w:szCs w:val="24"/>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8"/>
              </w:rPr>
              <w:t>Six Months Ended</w:t>
            </w: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June 30,</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2"/>
                <w:szCs w:val="12"/>
                <w:b w:val="1"/>
                <w:bCs w:val="1"/>
                <w:color w:val="auto"/>
                <w:w w:val="91"/>
              </w:rPr>
              <w:t>June 30,</w:t>
            </w:r>
          </w:p>
        </w:tc>
      </w:tr>
      <w:tr>
        <w:trPr>
          <w:trHeight w:val="121"/>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420" w:type="dxa"/>
            <w:vAlign w:val="bottom"/>
            <w:tcBorders>
              <w:top w:val="single" w:sz="8" w:color="auto"/>
            </w:tcBorders>
          </w:tcPr>
          <w:p>
            <w:pPr>
              <w:jc w:val="right"/>
              <w:ind w:right="35"/>
              <w:spacing w:after="0" w:line="121" w:lineRule="exact"/>
              <w:rPr>
                <w:sz w:val="20"/>
                <w:szCs w:val="20"/>
                <w:color w:val="auto"/>
              </w:rPr>
            </w:pPr>
            <w:r>
              <w:rPr>
                <w:rFonts w:ascii="Arial" w:cs="Arial" w:eastAsia="Arial" w:hAnsi="Arial"/>
                <w:sz w:val="12"/>
                <w:szCs w:val="12"/>
                <w:b w:val="1"/>
                <w:bCs w:val="1"/>
                <w:color w:val="auto"/>
              </w:rPr>
              <w:t>2011</w:t>
            </w:r>
          </w:p>
        </w:tc>
        <w:tc>
          <w:tcPr>
            <w:tcW w:w="980" w:type="dxa"/>
            <w:vAlign w:val="bottom"/>
            <w:tcBorders>
              <w:top w:val="single" w:sz="8" w:color="auto"/>
            </w:tcBorders>
            <w:gridSpan w:val="4"/>
          </w:tcPr>
          <w:p>
            <w:pPr>
              <w:jc w:val="right"/>
              <w:ind w:right="100"/>
              <w:spacing w:after="0" w:line="121" w:lineRule="exact"/>
              <w:rPr>
                <w:sz w:val="20"/>
                <w:szCs w:val="20"/>
                <w:color w:val="auto"/>
              </w:rPr>
            </w:pPr>
            <w:r>
              <w:rPr>
                <w:rFonts w:ascii="Arial" w:cs="Arial" w:eastAsia="Arial" w:hAnsi="Arial"/>
                <w:sz w:val="12"/>
                <w:szCs w:val="12"/>
                <w:b w:val="1"/>
                <w:bCs w:val="1"/>
                <w:color w:val="auto"/>
              </w:rPr>
              <w:t>2010</w:t>
            </w:r>
          </w:p>
        </w:tc>
        <w:tc>
          <w:tcPr>
            <w:tcW w:w="500" w:type="dxa"/>
            <w:vAlign w:val="bottom"/>
          </w:tcPr>
          <w:p>
            <w:pPr>
              <w:spacing w:after="0"/>
              <w:rPr>
                <w:sz w:val="10"/>
                <w:szCs w:val="10"/>
                <w:color w:val="auto"/>
              </w:rPr>
            </w:pPr>
          </w:p>
        </w:tc>
        <w:tc>
          <w:tcPr>
            <w:tcW w:w="3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2011</w:t>
            </w: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4"/>
              <w:spacing w:after="0" w:line="121"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Worldwide Payroll (in billions)</w:t>
            </w:r>
          </w:p>
        </w:tc>
        <w:tc>
          <w:tcPr>
            <w:tcW w:w="40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3.6</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3.2</w:t>
            </w:r>
          </w:p>
        </w:tc>
        <w:tc>
          <w:tcPr>
            <w:tcW w:w="5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$ 6.9</w:t>
            </w:r>
          </w:p>
        </w:tc>
        <w:tc>
          <w:tcPr>
            <w:tcW w:w="5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6.3</w:t>
            </w:r>
          </w:p>
        </w:tc>
        <w:tc>
          <w:tcPr>
            <w:tcW w:w="80" w:type="dxa"/>
            <w:vAlign w:val="bottom"/>
            <w:tcBorders>
              <w:top w:val="single" w:sz="8" w:color="CCEEFF"/>
            </w:tcBorders>
            <w:shd w:val="clear" w:color="auto" w:fill="CCEEFF"/>
          </w:tcPr>
          <w:p>
            <w:pPr>
              <w:spacing w:after="0"/>
              <w:rPr>
                <w:sz w:val="15"/>
                <w:szCs w:val="15"/>
                <w:color w:val="auto"/>
              </w:rPr>
            </w:pPr>
          </w:p>
        </w:tc>
      </w:tr>
      <w:tr>
        <w:trPr>
          <w:trHeight w:val="31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60" w:type="dxa"/>
            <w:vAlign w:val="bottom"/>
          </w:tcPr>
          <w:p>
            <w:pPr>
              <w:jc w:val="right"/>
              <w:ind w:right="2344"/>
              <w:spacing w:after="0"/>
              <w:rPr>
                <w:sz w:val="20"/>
                <w:szCs w:val="20"/>
                <w:color w:val="auto"/>
              </w:rPr>
            </w:pPr>
            <w:r>
              <w:rPr>
                <w:rFonts w:ascii="Arial" w:cs="Arial" w:eastAsia="Arial" w:hAnsi="Arial"/>
                <w:sz w:val="15"/>
                <w:szCs w:val="15"/>
                <w:color w:val="auto"/>
              </w:rPr>
              <w:t>6</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40"/>
          </w:cols>
          <w:pgMar w:left="240" w:top="258" w:right="219" w:bottom="1440" w:gutter="0" w:footer="0" w:header="0"/>
        </w:sectPr>
      </w:pPr>
    </w:p>
    <w:bookmarkStart w:id="10" w:name="page11"/>
    <w:bookmarkEnd w:id="10"/>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0"/>
              </w:rPr>
              <w:t>Three Months Ended</w:t>
            </w:r>
          </w:p>
        </w:tc>
        <w:tc>
          <w:tcPr>
            <w:tcW w:w="10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8"/>
              </w:rPr>
              <w:t>Six Months Ended</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1"/>
              </w:rPr>
              <w:t>June 30,</w:t>
            </w:r>
          </w:p>
        </w:tc>
        <w:tc>
          <w:tcPr>
            <w:tcW w:w="10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21"/>
        </w:trPr>
        <w:tc>
          <w:tcPr>
            <w:tcW w:w="1140" w:type="dxa"/>
            <w:vAlign w:val="bottom"/>
            <w:tcBorders>
              <w:bottom w:val="single" w:sz="8" w:color="CCEEFF"/>
            </w:tcBorders>
          </w:tcPr>
          <w:p>
            <w:pPr>
              <w:spacing w:after="0"/>
              <w:rPr>
                <w:sz w:val="10"/>
                <w:szCs w:val="10"/>
                <w:color w:val="auto"/>
              </w:rPr>
            </w:pPr>
          </w:p>
        </w:tc>
        <w:tc>
          <w:tcPr>
            <w:tcW w:w="792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28"/>
              <w:spacing w:after="0" w:line="121" w:lineRule="exact"/>
              <w:rPr>
                <w:sz w:val="20"/>
                <w:szCs w:val="20"/>
                <w:color w:val="auto"/>
              </w:rPr>
            </w:pPr>
            <w:r>
              <w:rPr>
                <w:rFonts w:ascii="Arial" w:cs="Arial" w:eastAsia="Arial" w:hAnsi="Arial"/>
                <w:sz w:val="12"/>
                <w:szCs w:val="12"/>
                <w:b w:val="1"/>
                <w:bCs w:val="1"/>
                <w:color w:val="auto"/>
              </w:rPr>
              <w:t>2011</w:t>
            </w:r>
          </w:p>
        </w:tc>
        <w:tc>
          <w:tcPr>
            <w:tcW w:w="20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2010</w:t>
            </w:r>
          </w:p>
        </w:tc>
        <w:tc>
          <w:tcPr>
            <w:tcW w:w="18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8"/>
              <w:spacing w:after="0" w:line="121" w:lineRule="exact"/>
              <w:rPr>
                <w:sz w:val="20"/>
                <w:szCs w:val="20"/>
                <w:color w:val="auto"/>
              </w:rPr>
            </w:pPr>
            <w:r>
              <w:rPr>
                <w:rFonts w:ascii="Arial" w:cs="Arial" w:eastAsia="Arial" w:hAnsi="Arial"/>
                <w:sz w:val="12"/>
                <w:szCs w:val="12"/>
                <w:b w:val="1"/>
                <w:bCs w:val="1"/>
                <w:color w:val="auto"/>
              </w:rPr>
              <w:t>2011</w:t>
            </w:r>
          </w:p>
        </w:tc>
        <w:tc>
          <w:tcPr>
            <w:tcW w:w="200" w:type="dxa"/>
            <w:vAlign w:val="bottom"/>
            <w:tcBorders>
              <w:top w:val="single" w:sz="8" w:color="auto"/>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25"/>
              <w:spacing w:after="0" w:line="121" w:lineRule="exact"/>
              <w:rPr>
                <w:sz w:val="20"/>
                <w:szCs w:val="20"/>
                <w:color w:val="auto"/>
              </w:rPr>
            </w:pPr>
            <w:r>
              <w:rPr>
                <w:rFonts w:ascii="Arial" w:cs="Arial" w:eastAsia="Arial" w:hAnsi="Arial"/>
                <w:sz w:val="12"/>
                <w:szCs w:val="12"/>
                <w:b w:val="1"/>
                <w:bCs w:val="1"/>
                <w:color w:val="auto"/>
              </w:rPr>
              <w:t>2010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06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Production Volume (units in thousands)(a)</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60" w:type="dxa"/>
            <w:vAlign w:val="bottom"/>
            <w:gridSpan w:val="2"/>
          </w:tcPr>
          <w:p>
            <w:pPr>
              <w:spacing w:after="0"/>
              <w:rPr>
                <w:sz w:val="20"/>
                <w:szCs w:val="20"/>
                <w:color w:val="auto"/>
              </w:rPr>
            </w:pPr>
            <w:r>
              <w:rPr>
                <w:rFonts w:ascii="Arial" w:cs="Arial" w:eastAsia="Arial" w:hAnsi="Arial"/>
                <w:sz w:val="15"/>
                <w:szCs w:val="15"/>
                <w:color w:val="auto"/>
              </w:rPr>
              <w:t>GMNA – Cars</w:t>
            </w:r>
          </w:p>
        </w:tc>
        <w:tc>
          <w:tcPr>
            <w:tcW w:w="440" w:type="dxa"/>
            <w:vAlign w:val="bottom"/>
          </w:tcPr>
          <w:p>
            <w:pPr>
              <w:jc w:val="right"/>
              <w:spacing w:after="0"/>
              <w:rPr>
                <w:sz w:val="20"/>
                <w:szCs w:val="20"/>
                <w:color w:val="auto"/>
              </w:rPr>
            </w:pPr>
            <w:r>
              <w:rPr>
                <w:rFonts w:ascii="Arial" w:cs="Arial" w:eastAsia="Arial" w:hAnsi="Arial"/>
                <w:sz w:val="15"/>
                <w:szCs w:val="15"/>
                <w:color w:val="auto"/>
              </w:rPr>
              <w:t>308</w:t>
            </w:r>
          </w:p>
        </w:tc>
        <w:tc>
          <w:tcPr>
            <w:tcW w:w="2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279</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593</w:t>
            </w:r>
          </w:p>
        </w:tc>
        <w:tc>
          <w:tcPr>
            <w:tcW w:w="400" w:type="dxa"/>
            <w:vAlign w:val="bottom"/>
          </w:tcPr>
          <w:p>
            <w:pPr>
              <w:jc w:val="right"/>
              <w:spacing w:after="0"/>
              <w:rPr>
                <w:sz w:val="20"/>
                <w:szCs w:val="20"/>
                <w:color w:val="auto"/>
              </w:rPr>
            </w:pPr>
            <w:r>
              <w:rPr>
                <w:rFonts w:ascii="Arial" w:cs="Arial" w:eastAsia="Arial" w:hAnsi="Arial"/>
                <w:sz w:val="15"/>
                <w:szCs w:val="15"/>
                <w:color w:val="auto"/>
              </w:rPr>
              <w:t>523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GMNA – Trucks</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1,017</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5"/>
                <w:szCs w:val="15"/>
                <w:color w:val="auto"/>
              </w:rPr>
              <w:t>Total GMNA</w:t>
            </w: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60" w:type="dxa"/>
            <w:vAlign w:val="bottom"/>
            <w:gridSpan w:val="2"/>
            <w:vMerge w:val="continue"/>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824</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731</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1,610</w:t>
            </w:r>
          </w:p>
        </w:tc>
        <w:tc>
          <w:tcPr>
            <w:tcW w:w="400" w:type="dxa"/>
            <w:vAlign w:val="bottom"/>
          </w:tcPr>
          <w:p>
            <w:pPr>
              <w:jc w:val="right"/>
              <w:spacing w:after="0"/>
              <w:rPr>
                <w:sz w:val="20"/>
                <w:szCs w:val="20"/>
                <w:color w:val="auto"/>
              </w:rPr>
            </w:pPr>
            <w:r>
              <w:rPr>
                <w:rFonts w:ascii="Arial" w:cs="Arial" w:eastAsia="Arial" w:hAnsi="Arial"/>
                <w:sz w:val="15"/>
                <w:szCs w:val="15"/>
                <w:color w:val="auto"/>
              </w:rPr>
              <w:t>1,399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GME</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331</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670</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60" w:type="dxa"/>
            <w:vAlign w:val="bottom"/>
            <w:gridSpan w:val="2"/>
          </w:tcPr>
          <w:p>
            <w:pPr>
              <w:spacing w:after="0"/>
              <w:rPr>
                <w:sz w:val="20"/>
                <w:szCs w:val="20"/>
                <w:color w:val="auto"/>
              </w:rPr>
            </w:pPr>
            <w:r>
              <w:rPr>
                <w:rFonts w:ascii="Arial" w:cs="Arial" w:eastAsia="Arial" w:hAnsi="Arial"/>
                <w:sz w:val="15"/>
                <w:szCs w:val="15"/>
                <w:color w:val="auto"/>
              </w:rPr>
              <w:t>GMIO - Consolidated Entities</w:t>
            </w:r>
          </w:p>
        </w:tc>
        <w:tc>
          <w:tcPr>
            <w:tcW w:w="440" w:type="dxa"/>
            <w:vAlign w:val="bottom"/>
          </w:tcPr>
          <w:p>
            <w:pPr>
              <w:jc w:val="right"/>
              <w:spacing w:after="0"/>
              <w:rPr>
                <w:sz w:val="20"/>
                <w:szCs w:val="20"/>
                <w:color w:val="auto"/>
              </w:rPr>
            </w:pPr>
            <w:r>
              <w:rPr>
                <w:rFonts w:ascii="Arial" w:cs="Arial" w:eastAsia="Arial" w:hAnsi="Arial"/>
                <w:sz w:val="15"/>
                <w:szCs w:val="15"/>
                <w:color w:val="auto"/>
              </w:rPr>
              <w:t>310</w:t>
            </w:r>
          </w:p>
        </w:tc>
        <w:tc>
          <w:tcPr>
            <w:tcW w:w="2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268</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567</w:t>
            </w:r>
          </w:p>
        </w:tc>
        <w:tc>
          <w:tcPr>
            <w:tcW w:w="400" w:type="dxa"/>
            <w:vAlign w:val="bottom"/>
          </w:tcPr>
          <w:p>
            <w:pPr>
              <w:jc w:val="right"/>
              <w:spacing w:after="0"/>
              <w:rPr>
                <w:sz w:val="20"/>
                <w:szCs w:val="20"/>
                <w:color w:val="auto"/>
              </w:rPr>
            </w:pPr>
            <w:r>
              <w:rPr>
                <w:rFonts w:ascii="Arial" w:cs="Arial" w:eastAsia="Arial" w:hAnsi="Arial"/>
                <w:sz w:val="15"/>
                <w:szCs w:val="15"/>
                <w:color w:val="auto"/>
              </w:rPr>
              <w:t>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GMIO - Joint Ventures(b)</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1,402</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5"/>
                <w:szCs w:val="15"/>
                <w:color w:val="auto"/>
              </w:rPr>
              <w:t>Total GMIO</w:t>
            </w: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60" w:type="dxa"/>
            <w:vAlign w:val="bottom"/>
            <w:gridSpan w:val="2"/>
            <w:vMerge w:val="continue"/>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1,003</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965</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1,969</w:t>
            </w:r>
          </w:p>
        </w:tc>
        <w:tc>
          <w:tcPr>
            <w:tcW w:w="400" w:type="dxa"/>
            <w:vAlign w:val="bottom"/>
          </w:tcPr>
          <w:p>
            <w:pPr>
              <w:jc w:val="right"/>
              <w:spacing w:after="0"/>
              <w:rPr>
                <w:sz w:val="20"/>
                <w:szCs w:val="20"/>
                <w:color w:val="auto"/>
              </w:rPr>
            </w:pPr>
            <w:r>
              <w:rPr>
                <w:rFonts w:ascii="Arial" w:cs="Arial" w:eastAsia="Arial" w:hAnsi="Arial"/>
                <w:sz w:val="15"/>
                <w:szCs w:val="15"/>
                <w:color w:val="auto"/>
              </w:rPr>
              <w:t>1,867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GMSA</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478</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Worldwide</w:t>
            </w: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60" w:type="dxa"/>
            <w:vAlign w:val="bottom"/>
            <w:gridSpan w:val="2"/>
            <w:vMerge w:val="continue"/>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2,400</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2,257</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4,727</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4,342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140" w:type="dxa"/>
            <w:vAlign w:val="bottom"/>
            <w:tcBorders>
              <w:bottom w:val="single" w:sz="8" w:color="auto"/>
            </w:tcBorders>
          </w:tcPr>
          <w:p>
            <w:pPr>
              <w:spacing w:after="0"/>
              <w:rPr>
                <w:sz w:val="7"/>
                <w:szCs w:val="7"/>
                <w:color w:val="auto"/>
              </w:rPr>
            </w:pPr>
          </w:p>
        </w:tc>
        <w:tc>
          <w:tcPr>
            <w:tcW w:w="7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46" w:hanging="446"/>
        <w:spacing w:after="0"/>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Production volume includes vehicles produced by certain joint ventures.</w:t>
      </w:r>
    </w:p>
    <w:p>
      <w:pPr>
        <w:spacing w:after="0" w:line="21" w:lineRule="exact"/>
        <w:rPr>
          <w:rFonts w:ascii="Arial" w:cs="Arial" w:eastAsia="Arial" w:hAnsi="Arial"/>
          <w:sz w:val="15"/>
          <w:szCs w:val="15"/>
          <w:color w:val="auto"/>
        </w:rPr>
      </w:pPr>
    </w:p>
    <w:p>
      <w:pPr>
        <w:ind w:left="446" w:right="320" w:hanging="446"/>
        <w:spacing w:after="0" w:line="283" w:lineRule="auto"/>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joint venture agreements with SGMW and FAW-GM allow for significant rights as a member as well as the contractual right to report SGMW and FAW-GM joint venture production in China.</w:t>
      </w:r>
    </w:p>
    <w:p>
      <w:pPr>
        <w:spacing w:after="0" w:line="93"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6"/>
          </w:cols>
          <w:pgMar w:left="234" w:top="258" w:right="219" w:bottom="1440" w:gutter="0" w:footer="0" w:header="0"/>
        </w:sectPr>
      </w:pPr>
    </w:p>
    <w:bookmarkStart w:id="11" w:name="page12"/>
    <w:bookmarkEnd w:id="11"/>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54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96"/>
              </w:rPr>
              <w:t>Three Months Ended</w:t>
            </w:r>
          </w:p>
        </w:tc>
        <w:tc>
          <w:tcPr>
            <w:tcW w:w="13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8"/>
              </w:rPr>
              <w:t>Six Months Ended</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540" w:type="dxa"/>
            <w:vAlign w:val="bottom"/>
            <w:gridSpan w:val="4"/>
          </w:tcPr>
          <w:p>
            <w:pPr>
              <w:jc w:val="right"/>
              <w:ind w:right="700"/>
              <w:spacing w:after="0"/>
              <w:rPr>
                <w:sz w:val="20"/>
                <w:szCs w:val="20"/>
                <w:color w:val="auto"/>
              </w:rPr>
            </w:pPr>
            <w:r>
              <w:rPr>
                <w:rFonts w:ascii="Arial" w:cs="Arial" w:eastAsia="Arial" w:hAnsi="Arial"/>
                <w:sz w:val="12"/>
                <w:szCs w:val="12"/>
                <w:b w:val="1"/>
                <w:bCs w:val="1"/>
                <w:color w:val="auto"/>
              </w:rPr>
              <w:t>June 30,</w:t>
            </w:r>
          </w:p>
        </w:tc>
        <w:tc>
          <w:tcPr>
            <w:tcW w:w="13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21"/>
        </w:trPr>
        <w:tc>
          <w:tcPr>
            <w:tcW w:w="1140" w:type="dxa"/>
            <w:vAlign w:val="bottom"/>
            <w:tcBorders>
              <w:bottom w:val="single" w:sz="8" w:color="CCEEFF"/>
            </w:tcBorders>
          </w:tcPr>
          <w:p>
            <w:pPr>
              <w:spacing w:after="0"/>
              <w:rPr>
                <w:sz w:val="10"/>
                <w:szCs w:val="10"/>
                <w:color w:val="auto"/>
              </w:rPr>
            </w:pPr>
          </w:p>
        </w:tc>
        <w:tc>
          <w:tcPr>
            <w:tcW w:w="744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2011</w:t>
            </w:r>
          </w:p>
        </w:tc>
        <w:tc>
          <w:tcPr>
            <w:tcW w:w="32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6"/>
              </w:rPr>
              <w:t>2010(a)</w:t>
            </w:r>
          </w:p>
        </w:tc>
        <w:tc>
          <w:tcPr>
            <w:tcW w:w="3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
              <w:spacing w:after="0" w:line="121" w:lineRule="exact"/>
              <w:rPr>
                <w:sz w:val="20"/>
                <w:szCs w:val="20"/>
                <w:color w:val="auto"/>
              </w:rPr>
            </w:pPr>
            <w:r>
              <w:rPr>
                <w:rFonts w:ascii="Arial" w:cs="Arial" w:eastAsia="Arial" w:hAnsi="Arial"/>
                <w:sz w:val="12"/>
                <w:szCs w:val="12"/>
                <w:b w:val="1"/>
                <w:bCs w:val="1"/>
                <w:color w:val="auto"/>
              </w:rPr>
              <w:t>2011</w:t>
            </w:r>
          </w:p>
        </w:tc>
        <w:tc>
          <w:tcPr>
            <w:tcW w:w="32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88"/>
              </w:rPr>
              <w:t>2010(a)(b)</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58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Vehicle Sales (units in thousands)(c)(d)(e)</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380"/>
              <w:spacing w:after="0"/>
              <w:rPr>
                <w:sz w:val="20"/>
                <w:szCs w:val="20"/>
                <w:color w:val="auto"/>
              </w:rPr>
            </w:pPr>
            <w:r>
              <w:rPr>
                <w:rFonts w:ascii="Arial" w:cs="Arial" w:eastAsia="Arial" w:hAnsi="Arial"/>
                <w:sz w:val="15"/>
                <w:szCs w:val="15"/>
                <w:color w:val="auto"/>
              </w:rPr>
              <w:t>United States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Chevrolet – Cars</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192</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Chevrolet – Trucks</w:t>
            </w:r>
          </w:p>
        </w:tc>
        <w:tc>
          <w:tcPr>
            <w:tcW w:w="460" w:type="dxa"/>
            <w:vAlign w:val="bottom"/>
          </w:tcPr>
          <w:p>
            <w:pPr>
              <w:jc w:val="right"/>
              <w:spacing w:after="0"/>
              <w:rPr>
                <w:sz w:val="20"/>
                <w:szCs w:val="20"/>
                <w:color w:val="auto"/>
              </w:rPr>
            </w:pPr>
            <w:r>
              <w:rPr>
                <w:rFonts w:ascii="Arial" w:cs="Arial" w:eastAsia="Arial" w:hAnsi="Arial"/>
                <w:sz w:val="15"/>
                <w:szCs w:val="15"/>
                <w:color w:val="auto"/>
              </w:rPr>
              <w:t>239</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252</w:t>
            </w:r>
          </w:p>
        </w:tc>
        <w:tc>
          <w:tcPr>
            <w:tcW w:w="400" w:type="dxa"/>
            <w:vAlign w:val="bottom"/>
          </w:tcPr>
          <w:p>
            <w:pPr>
              <w:jc w:val="right"/>
              <w:spacing w:after="0"/>
              <w:rPr>
                <w:sz w:val="20"/>
                <w:szCs w:val="20"/>
                <w:color w:val="auto"/>
              </w:rPr>
            </w:pPr>
            <w:r>
              <w:rPr>
                <w:rFonts w:ascii="Arial" w:cs="Arial" w:eastAsia="Arial" w:hAnsi="Arial"/>
                <w:sz w:val="15"/>
                <w:szCs w:val="15"/>
                <w:color w:val="auto"/>
              </w:rPr>
              <w:t>475</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Cadillac</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35</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Buick</w:t>
            </w:r>
          </w:p>
        </w:tc>
        <w:tc>
          <w:tcPr>
            <w:tcW w:w="460" w:type="dxa"/>
            <w:vAlign w:val="bottom"/>
          </w:tcPr>
          <w:p>
            <w:pPr>
              <w:jc w:val="right"/>
              <w:spacing w:after="0"/>
              <w:rPr>
                <w:sz w:val="20"/>
                <w:szCs w:val="20"/>
                <w:color w:val="auto"/>
              </w:rPr>
            </w:pPr>
            <w:r>
              <w:rPr>
                <w:rFonts w:ascii="Arial" w:cs="Arial" w:eastAsia="Arial" w:hAnsi="Arial"/>
                <w:sz w:val="15"/>
                <w:szCs w:val="15"/>
                <w:color w:val="auto"/>
              </w:rPr>
              <w:t>49</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38</w:t>
            </w:r>
          </w:p>
        </w:tc>
        <w:tc>
          <w:tcPr>
            <w:tcW w:w="400" w:type="dxa"/>
            <w:vAlign w:val="bottom"/>
          </w:tcPr>
          <w:p>
            <w:pPr>
              <w:jc w:val="right"/>
              <w:spacing w:after="0"/>
              <w:rPr>
                <w:sz w:val="20"/>
                <w:szCs w:val="20"/>
                <w:color w:val="auto"/>
              </w:rPr>
            </w:pPr>
            <w:r>
              <w:rPr>
                <w:rFonts w:ascii="Arial" w:cs="Arial" w:eastAsia="Arial" w:hAnsi="Arial"/>
                <w:sz w:val="15"/>
                <w:szCs w:val="15"/>
                <w:color w:val="auto"/>
              </w:rPr>
              <w:t>94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GMC</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83</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Other</w:t>
            </w:r>
          </w:p>
        </w:tc>
        <w:tc>
          <w:tcPr>
            <w:tcW w:w="4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color w:val="auto"/>
              </w:rPr>
              <w:t>3</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b w:val="1"/>
                <w:bCs w:val="1"/>
                <w:color w:val="auto"/>
              </w:rPr>
              <w:t>Total United States</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669</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603</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1,081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Canada, Mexico and Other</w:t>
            </w:r>
          </w:p>
        </w:tc>
        <w:tc>
          <w:tcPr>
            <w:tcW w:w="460" w:type="dxa"/>
            <w:vAlign w:val="bottom"/>
          </w:tcPr>
          <w:p>
            <w:pPr>
              <w:jc w:val="right"/>
              <w:spacing w:after="0"/>
              <w:rPr>
                <w:sz w:val="20"/>
                <w:szCs w:val="20"/>
                <w:color w:val="auto"/>
              </w:rPr>
            </w:pPr>
            <w:r>
              <w:rPr>
                <w:rFonts w:ascii="Arial" w:cs="Arial" w:eastAsia="Arial" w:hAnsi="Arial"/>
                <w:sz w:val="15"/>
                <w:szCs w:val="15"/>
                <w:color w:val="auto"/>
              </w:rPr>
              <w:t>115</w:t>
            </w: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color w:val="auto"/>
              </w:rPr>
              <w:t>113</w:t>
            </w:r>
          </w:p>
        </w:tc>
        <w:tc>
          <w:tcPr>
            <w:tcW w:w="400" w:type="dxa"/>
            <w:vAlign w:val="bottom"/>
          </w:tcPr>
          <w:p>
            <w:pPr>
              <w:jc w:val="right"/>
              <w:spacing w:after="0"/>
              <w:rPr>
                <w:sz w:val="20"/>
                <w:szCs w:val="20"/>
                <w:color w:val="auto"/>
              </w:rPr>
            </w:pPr>
            <w:r>
              <w:rPr>
                <w:rFonts w:ascii="Arial" w:cs="Arial" w:eastAsia="Arial" w:hAnsi="Arial"/>
                <w:sz w:val="15"/>
                <w:szCs w:val="15"/>
                <w:color w:val="auto"/>
              </w:rPr>
              <w:t>206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b w:val="1"/>
                <w:bCs w:val="1"/>
                <w:color w:val="auto"/>
              </w:rPr>
              <w:t>Total GMNA</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784</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716</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1,280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5"/>
                <w:szCs w:val="15"/>
                <w:color w:val="auto"/>
              </w:rPr>
              <w:t>GME</w:t>
            </w:r>
          </w:p>
        </w:tc>
        <w:tc>
          <w:tcPr>
            <w:tcW w:w="4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Opel/Vauxhall</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314</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Chevrolet</w:t>
            </w:r>
          </w:p>
        </w:tc>
        <w:tc>
          <w:tcPr>
            <w:tcW w:w="460" w:type="dxa"/>
            <w:vAlign w:val="bottom"/>
          </w:tcPr>
          <w:p>
            <w:pPr>
              <w:jc w:val="right"/>
              <w:spacing w:after="0"/>
              <w:rPr>
                <w:sz w:val="20"/>
                <w:szCs w:val="20"/>
                <w:color w:val="auto"/>
              </w:rPr>
            </w:pPr>
            <w:r>
              <w:rPr>
                <w:rFonts w:ascii="Arial" w:cs="Arial" w:eastAsia="Arial" w:hAnsi="Arial"/>
                <w:sz w:val="15"/>
                <w:szCs w:val="15"/>
                <w:color w:val="auto"/>
              </w:rPr>
              <w:t>143</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128</w:t>
            </w:r>
          </w:p>
        </w:tc>
        <w:tc>
          <w:tcPr>
            <w:tcW w:w="400" w:type="dxa"/>
            <w:vAlign w:val="bottom"/>
          </w:tcPr>
          <w:p>
            <w:pPr>
              <w:jc w:val="right"/>
              <w:spacing w:after="0"/>
              <w:rPr>
                <w:sz w:val="20"/>
                <w:szCs w:val="20"/>
                <w:color w:val="auto"/>
              </w:rPr>
            </w:pPr>
            <w:r>
              <w:rPr>
                <w:rFonts w:ascii="Arial" w:cs="Arial" w:eastAsia="Arial" w:hAnsi="Arial"/>
                <w:sz w:val="15"/>
                <w:szCs w:val="15"/>
                <w:color w:val="auto"/>
              </w:rPr>
              <w:t>252</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740"/>
              <w:spacing w:after="0"/>
              <w:rPr>
                <w:sz w:val="20"/>
                <w:szCs w:val="20"/>
                <w:color w:val="auto"/>
              </w:rPr>
            </w:pPr>
            <w:r>
              <w:rPr>
                <w:rFonts w:ascii="Arial" w:cs="Arial" w:eastAsia="Arial" w:hAnsi="Arial"/>
                <w:sz w:val="15"/>
                <w:szCs w:val="15"/>
                <w:b w:val="1"/>
                <w:bCs w:val="1"/>
                <w:color w:val="auto"/>
              </w:rPr>
              <w:t>Total GME</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580" w:type="dxa"/>
            <w:vAlign w:val="bottom"/>
            <w:gridSpan w:val="2"/>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483</w:t>
            </w: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443</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912</w:t>
            </w: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847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GMIO</w:t>
            </w: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Chevrolet</w:t>
            </w:r>
          </w:p>
        </w:tc>
        <w:tc>
          <w:tcPr>
            <w:tcW w:w="460" w:type="dxa"/>
            <w:vAlign w:val="bottom"/>
          </w:tcPr>
          <w:p>
            <w:pPr>
              <w:jc w:val="right"/>
              <w:spacing w:after="0"/>
              <w:rPr>
                <w:sz w:val="20"/>
                <w:szCs w:val="20"/>
                <w:color w:val="auto"/>
              </w:rPr>
            </w:pPr>
            <w:r>
              <w:rPr>
                <w:rFonts w:ascii="Arial" w:cs="Arial" w:eastAsia="Arial" w:hAnsi="Arial"/>
                <w:sz w:val="15"/>
                <w:szCs w:val="15"/>
                <w:color w:val="auto"/>
              </w:rPr>
              <w:t>268</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219</w:t>
            </w:r>
          </w:p>
        </w:tc>
        <w:tc>
          <w:tcPr>
            <w:tcW w:w="400" w:type="dxa"/>
            <w:vAlign w:val="bottom"/>
          </w:tcPr>
          <w:p>
            <w:pPr>
              <w:jc w:val="right"/>
              <w:spacing w:after="0"/>
              <w:rPr>
                <w:sz w:val="20"/>
                <w:szCs w:val="20"/>
                <w:color w:val="auto"/>
              </w:rPr>
            </w:pPr>
            <w:r>
              <w:rPr>
                <w:rFonts w:ascii="Arial" w:cs="Arial" w:eastAsia="Arial" w:hAnsi="Arial"/>
                <w:sz w:val="15"/>
                <w:szCs w:val="15"/>
                <w:color w:val="auto"/>
              </w:rPr>
              <w:t>527</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Wuling</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303</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Buick</w:t>
            </w:r>
          </w:p>
        </w:tc>
        <w:tc>
          <w:tcPr>
            <w:tcW w:w="460" w:type="dxa"/>
            <w:vAlign w:val="bottom"/>
          </w:tcPr>
          <w:p>
            <w:pPr>
              <w:jc w:val="right"/>
              <w:spacing w:after="0"/>
              <w:rPr>
                <w:sz w:val="20"/>
                <w:szCs w:val="20"/>
                <w:color w:val="auto"/>
              </w:rPr>
            </w:pPr>
            <w:r>
              <w:rPr>
                <w:rFonts w:ascii="Arial" w:cs="Arial" w:eastAsia="Arial" w:hAnsi="Arial"/>
                <w:sz w:val="15"/>
                <w:szCs w:val="15"/>
                <w:color w:val="auto"/>
              </w:rPr>
              <w:t>159</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132</w:t>
            </w:r>
          </w:p>
        </w:tc>
        <w:tc>
          <w:tcPr>
            <w:tcW w:w="400" w:type="dxa"/>
            <w:vAlign w:val="bottom"/>
          </w:tcPr>
          <w:p>
            <w:pPr>
              <w:jc w:val="right"/>
              <w:spacing w:after="0"/>
              <w:rPr>
                <w:sz w:val="20"/>
                <w:szCs w:val="20"/>
                <w:color w:val="auto"/>
              </w:rPr>
            </w:pPr>
            <w:r>
              <w:rPr>
                <w:rFonts w:ascii="Arial" w:cs="Arial" w:eastAsia="Arial" w:hAnsi="Arial"/>
                <w:sz w:val="15"/>
                <w:szCs w:val="15"/>
                <w:color w:val="auto"/>
              </w:rPr>
              <w:t>325</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GM Daewoo</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32</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Holden</w:t>
            </w:r>
          </w:p>
        </w:tc>
        <w:tc>
          <w:tcPr>
            <w:tcW w:w="460" w:type="dxa"/>
            <w:vAlign w:val="bottom"/>
          </w:tcPr>
          <w:p>
            <w:pPr>
              <w:jc w:val="right"/>
              <w:spacing w:after="0"/>
              <w:rPr>
                <w:sz w:val="20"/>
                <w:szCs w:val="20"/>
                <w:color w:val="auto"/>
              </w:rPr>
            </w:pPr>
            <w:r>
              <w:rPr>
                <w:rFonts w:ascii="Arial" w:cs="Arial" w:eastAsia="Arial" w:hAnsi="Arial"/>
                <w:sz w:val="15"/>
                <w:szCs w:val="15"/>
                <w:color w:val="auto"/>
              </w:rPr>
              <w:t>35</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37</w:t>
            </w: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FAW-GM</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22</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GMC</w:t>
            </w:r>
          </w:p>
        </w:tc>
        <w:tc>
          <w:tcPr>
            <w:tcW w:w="460" w:type="dxa"/>
            <w:vAlign w:val="bottom"/>
          </w:tcPr>
          <w:p>
            <w:pPr>
              <w:jc w:val="right"/>
              <w:spacing w:after="0"/>
              <w:rPr>
                <w:sz w:val="20"/>
                <w:szCs w:val="20"/>
                <w:color w:val="auto"/>
              </w:rPr>
            </w:pPr>
            <w:r>
              <w:rPr>
                <w:rFonts w:ascii="Arial" w:cs="Arial" w:eastAsia="Arial" w:hAnsi="Arial"/>
                <w:sz w:val="15"/>
                <w:szCs w:val="15"/>
                <w:color w:val="auto"/>
              </w:rPr>
              <w:t>12</w:t>
            </w:r>
          </w:p>
        </w:tc>
        <w:tc>
          <w:tcPr>
            <w:tcW w:w="1080" w:type="dxa"/>
            <w:vAlign w:val="bottom"/>
            <w:gridSpan w:val="3"/>
          </w:tcPr>
          <w:p>
            <w:pPr>
              <w:jc w:val="right"/>
              <w:ind w:right="300"/>
              <w:spacing w:after="0"/>
              <w:rPr>
                <w:sz w:val="20"/>
                <w:szCs w:val="20"/>
                <w:color w:val="auto"/>
              </w:rPr>
            </w:pPr>
            <w:r>
              <w:rPr>
                <w:rFonts w:ascii="Arial" w:cs="Arial" w:eastAsia="Arial" w:hAnsi="Arial"/>
                <w:sz w:val="15"/>
                <w:szCs w:val="15"/>
                <w:color w:val="auto"/>
              </w:rPr>
              <w:t>9</w:t>
            </w:r>
          </w:p>
        </w:tc>
        <w:tc>
          <w:tcPr>
            <w:tcW w:w="400" w:type="dxa"/>
            <w:vAlign w:val="bottom"/>
          </w:tcPr>
          <w:p>
            <w:pPr>
              <w:jc w:val="right"/>
              <w:spacing w:after="0"/>
              <w:rPr>
                <w:sz w:val="20"/>
                <w:szCs w:val="20"/>
                <w:color w:val="auto"/>
              </w:rPr>
            </w:pPr>
            <w:r>
              <w:rPr>
                <w:rFonts w:ascii="Arial" w:cs="Arial" w:eastAsia="Arial" w:hAnsi="Arial"/>
                <w:sz w:val="15"/>
                <w:szCs w:val="15"/>
                <w:color w:val="auto"/>
              </w:rPr>
              <w:t>19</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Cadillac</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5</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Other</w:t>
            </w:r>
          </w:p>
        </w:tc>
        <w:tc>
          <w:tcPr>
            <w:tcW w:w="460" w:type="dxa"/>
            <w:vAlign w:val="bottom"/>
          </w:tcPr>
          <w:p>
            <w:pPr>
              <w:jc w:val="right"/>
              <w:spacing w:after="0"/>
              <w:rPr>
                <w:sz w:val="20"/>
                <w:szCs w:val="20"/>
                <w:color w:val="auto"/>
              </w:rPr>
            </w:pPr>
            <w:r>
              <w:rPr>
                <w:rFonts w:ascii="Arial" w:cs="Arial" w:eastAsia="Arial" w:hAnsi="Arial"/>
                <w:sz w:val="15"/>
                <w:szCs w:val="15"/>
                <w:color w:val="auto"/>
              </w:rPr>
              <w:t>15</w:t>
            </w: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color w:val="auto"/>
              </w:rPr>
              <w:t>11</w:t>
            </w:r>
          </w:p>
        </w:tc>
        <w:tc>
          <w:tcPr>
            <w:tcW w:w="400" w:type="dxa"/>
            <w:vAlign w:val="bottom"/>
          </w:tcPr>
          <w:p>
            <w:pPr>
              <w:jc w:val="right"/>
              <w:spacing w:after="0"/>
              <w:rPr>
                <w:sz w:val="20"/>
                <w:szCs w:val="20"/>
                <w:color w:val="auto"/>
              </w:rPr>
            </w:pPr>
            <w:r>
              <w:rPr>
                <w:rFonts w:ascii="Arial" w:cs="Arial" w:eastAsia="Arial" w:hAnsi="Arial"/>
                <w:sz w:val="15"/>
                <w:szCs w:val="15"/>
                <w:color w:val="auto"/>
              </w:rPr>
              <w:t>29</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b w:val="1"/>
                <w:bCs w:val="1"/>
                <w:color w:val="auto"/>
              </w:rPr>
              <w:t>Total GMIO(f)(g)</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780</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771</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1,567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5"/>
                <w:szCs w:val="15"/>
                <w:color w:val="auto"/>
              </w:rPr>
              <w:t>GMSA</w:t>
            </w:r>
          </w:p>
        </w:tc>
        <w:tc>
          <w:tcPr>
            <w:tcW w:w="4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Chevrolet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229</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740"/>
              <w:spacing w:after="0"/>
              <w:rPr>
                <w:sz w:val="20"/>
                <w:szCs w:val="20"/>
                <w:color w:val="auto"/>
              </w:rPr>
            </w:pPr>
            <w:r>
              <w:rPr>
                <w:rFonts w:ascii="Arial" w:cs="Arial" w:eastAsia="Arial" w:hAnsi="Arial"/>
                <w:sz w:val="15"/>
                <w:szCs w:val="15"/>
                <w:color w:val="auto"/>
              </w:rPr>
              <w:t>Other</w:t>
            </w:r>
          </w:p>
        </w:tc>
        <w:tc>
          <w:tcPr>
            <w:tcW w:w="460" w:type="dxa"/>
            <w:vAlign w:val="bottom"/>
          </w:tcPr>
          <w:p>
            <w:pPr>
              <w:jc w:val="right"/>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color w:val="auto"/>
              </w:rPr>
              <w:t>3</w:t>
            </w:r>
          </w:p>
        </w:tc>
        <w:tc>
          <w:tcPr>
            <w:tcW w:w="400" w:type="dxa"/>
            <w:vAlign w:val="bottom"/>
          </w:tcPr>
          <w:p>
            <w:pPr>
              <w:jc w:val="right"/>
              <w:spacing w:after="0"/>
              <w:rPr>
                <w:sz w:val="20"/>
                <w:szCs w:val="20"/>
                <w:color w:val="auto"/>
              </w:rPr>
            </w:pPr>
            <w:r>
              <w:rPr>
                <w:rFonts w:ascii="Arial" w:cs="Arial" w:eastAsia="Arial" w:hAnsi="Arial"/>
                <w:sz w:val="15"/>
                <w:szCs w:val="15"/>
                <w:color w:val="auto"/>
              </w:rPr>
              <w:t>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580" w:type="dxa"/>
            <w:vAlign w:val="bottom"/>
            <w:gridSpan w:val="2"/>
            <w:shd w:val="clear" w:color="auto" w:fill="CCEEFF"/>
          </w:tcPr>
          <w:p>
            <w:pPr>
              <w:ind w:left="740"/>
              <w:spacing w:after="0"/>
              <w:rPr>
                <w:sz w:val="20"/>
                <w:szCs w:val="20"/>
                <w:color w:val="auto"/>
              </w:rPr>
            </w:pPr>
            <w:r>
              <w:rPr>
                <w:rFonts w:ascii="Arial" w:cs="Arial" w:eastAsia="Arial" w:hAnsi="Arial"/>
                <w:sz w:val="15"/>
                <w:szCs w:val="15"/>
                <w:b w:val="1"/>
                <w:bCs w:val="1"/>
                <w:color w:val="auto"/>
              </w:rPr>
              <w:t>Total GMSA</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273</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231</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472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Total Worldwide</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80" w:type="dxa"/>
            <w:vAlign w:val="bottom"/>
            <w:gridSpan w:val="2"/>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2,320</w:t>
            </w: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2,162</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4,536</w:t>
            </w: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4,166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140" w:type="dxa"/>
            <w:vAlign w:val="bottom"/>
            <w:tcBorders>
              <w:bottom w:val="single" w:sz="8" w:color="auto"/>
            </w:tcBorders>
          </w:tcPr>
          <w:p>
            <w:pPr>
              <w:spacing w:after="0"/>
              <w:rPr>
                <w:sz w:val="7"/>
                <w:szCs w:val="7"/>
                <w:color w:val="auto"/>
              </w:rPr>
            </w:pPr>
          </w:p>
        </w:tc>
        <w:tc>
          <w:tcPr>
            <w:tcW w:w="7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HUMMER, Saturn and Pontiac vehicle sales data.</w:t>
      </w:r>
    </w:p>
    <w:p>
      <w:pPr>
        <w:spacing w:after="0" w:line="21"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Saab Automobile AB (Saab) vehicle sales data through February 2010.</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Vehicle sales data may include rounding differences.</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Certain fleet sales that are accounted for as operating leases are included in vehicle sales at the time of delivery to the daily rental car companies.</w:t>
      </w:r>
    </w:p>
    <w:p>
      <w:pPr>
        <w:spacing w:after="0" w:line="15" w:lineRule="exact"/>
        <w:rPr>
          <w:rFonts w:ascii="Arial" w:cs="Arial" w:eastAsia="Arial" w:hAnsi="Arial"/>
          <w:sz w:val="15"/>
          <w:szCs w:val="15"/>
          <w:color w:val="auto"/>
        </w:rPr>
      </w:pPr>
    </w:p>
    <w:p>
      <w:pPr>
        <w:ind w:left="446" w:right="340" w:hanging="446"/>
        <w:spacing w:after="0" w:line="261"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ultimate customer. GME, GMIO and GMSA vehicle sales primarily represent estimated sales to the ultimate customer. In countries where end customer data is not readily available other data sources, such as wholesale volumes, are used to estimate vehicle sales.</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the following joint venture vehicle sales (units in thousands):</w:t>
      </w:r>
    </w:p>
    <w:p>
      <w:pPr>
        <w:spacing w:after="0" w:line="68" w:lineRule="exact"/>
        <w:rPr>
          <w:sz w:val="20"/>
          <w:szCs w:val="20"/>
          <w:color w:val="auto"/>
        </w:rPr>
      </w:pPr>
    </w:p>
    <w:tbl>
      <w:tblPr>
        <w:tblLayout w:type="fixed"/>
        <w:tblInd w:w="466" w:type="dxa"/>
        <w:tblCellMar>
          <w:top w:w="0" w:type="dxa"/>
          <w:left w:w="0" w:type="dxa"/>
          <w:bottom w:w="0" w:type="dxa"/>
          <w:right w:w="0" w:type="dxa"/>
        </w:tblCellMar>
      </w:tblPr>
      <w:tr>
        <w:trPr>
          <w:trHeight w:val="138"/>
        </w:trPr>
        <w:tc>
          <w:tcPr>
            <w:tcW w:w="7340" w:type="dxa"/>
            <w:vAlign w:val="bottom"/>
          </w:tcPr>
          <w:p>
            <w:pPr>
              <w:spacing w:after="0"/>
              <w:rPr>
                <w:sz w:val="12"/>
                <w:szCs w:val="12"/>
                <w:color w:val="auto"/>
              </w:rPr>
            </w:pPr>
          </w:p>
        </w:tc>
        <w:tc>
          <w:tcPr>
            <w:tcW w:w="1840" w:type="dxa"/>
            <w:vAlign w:val="bottom"/>
            <w:gridSpan w:val="5"/>
          </w:tcPr>
          <w:p>
            <w:pPr>
              <w:jc w:val="center"/>
              <w:ind w:right="460"/>
              <w:spacing w:after="0"/>
              <w:rPr>
                <w:sz w:val="20"/>
                <w:szCs w:val="20"/>
                <w:color w:val="auto"/>
              </w:rPr>
            </w:pPr>
            <w:r>
              <w:rPr>
                <w:rFonts w:ascii="Arial" w:cs="Arial" w:eastAsia="Arial" w:hAnsi="Arial"/>
                <w:sz w:val="12"/>
                <w:szCs w:val="12"/>
                <w:b w:val="1"/>
                <w:bCs w:val="1"/>
                <w:color w:val="auto"/>
                <w:w w:val="89"/>
              </w:rPr>
              <w:t>Three Months Ended</w:t>
            </w:r>
          </w:p>
        </w:tc>
        <w:tc>
          <w:tcPr>
            <w:tcW w:w="13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r>
      <w:tr>
        <w:trPr>
          <w:trHeight w:val="140"/>
        </w:trPr>
        <w:tc>
          <w:tcPr>
            <w:tcW w:w="7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2"/>
                <w:szCs w:val="12"/>
                <w:b w:val="1"/>
                <w:bCs w:val="1"/>
                <w:color w:val="auto"/>
                <w:w w:val="95"/>
              </w:rPr>
              <w:t>June 30,</w:t>
            </w:r>
          </w:p>
        </w:tc>
        <w:tc>
          <w:tcPr>
            <w:tcW w:w="380" w:type="dxa"/>
            <w:vAlign w:val="bottom"/>
          </w:tcPr>
          <w:p>
            <w:pPr>
              <w:spacing w:after="0"/>
              <w:rPr>
                <w:sz w:val="12"/>
                <w:szCs w:val="12"/>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5"/>
              </w:rPr>
              <w:t>June 30,</w:t>
            </w:r>
          </w:p>
        </w:tc>
      </w:tr>
      <w:tr>
        <w:trPr>
          <w:trHeight w:val="121"/>
        </w:trPr>
        <w:tc>
          <w:tcPr>
            <w:tcW w:w="7340" w:type="dxa"/>
            <w:vAlign w:val="bottom"/>
          </w:tcPr>
          <w:p>
            <w:pPr>
              <w:spacing w:after="0"/>
              <w:rPr>
                <w:sz w:val="10"/>
                <w:szCs w:val="10"/>
                <w:color w:val="auto"/>
              </w:rPr>
            </w:pPr>
          </w:p>
        </w:tc>
        <w:tc>
          <w:tcPr>
            <w:tcW w:w="420" w:type="dxa"/>
            <w:vAlign w:val="bottom"/>
            <w:tcBorders>
              <w:top w:val="single" w:sz="8" w:color="auto"/>
            </w:tcBorders>
          </w:tcPr>
          <w:p>
            <w:pPr>
              <w:jc w:val="right"/>
              <w:ind w:right="31"/>
              <w:spacing w:after="0" w:line="121" w:lineRule="exact"/>
              <w:rPr>
                <w:sz w:val="20"/>
                <w:szCs w:val="20"/>
                <w:color w:val="auto"/>
              </w:rPr>
            </w:pPr>
            <w:r>
              <w:rPr>
                <w:rFonts w:ascii="Arial" w:cs="Arial" w:eastAsia="Arial" w:hAnsi="Arial"/>
                <w:sz w:val="12"/>
                <w:szCs w:val="12"/>
                <w:b w:val="1"/>
                <w:bCs w:val="1"/>
                <w:color w:val="auto"/>
              </w:rPr>
              <w:t>2011</w:t>
            </w: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100"/>
              <w:spacing w:after="0" w:line="121" w:lineRule="exact"/>
              <w:rPr>
                <w:sz w:val="20"/>
                <w:szCs w:val="20"/>
                <w:color w:val="auto"/>
              </w:rPr>
            </w:pPr>
            <w:r>
              <w:rPr>
                <w:rFonts w:ascii="Arial" w:cs="Arial" w:eastAsia="Arial" w:hAnsi="Arial"/>
                <w:sz w:val="12"/>
                <w:szCs w:val="12"/>
                <w:b w:val="1"/>
                <w:bCs w:val="1"/>
                <w:color w:val="auto"/>
              </w:rPr>
              <w:t>2010</w:t>
            </w:r>
          </w:p>
        </w:tc>
        <w:tc>
          <w:tcPr>
            <w:tcW w:w="460" w:type="dxa"/>
            <w:vAlign w:val="bottom"/>
          </w:tcPr>
          <w:p>
            <w:pPr>
              <w:spacing w:after="0"/>
              <w:rPr>
                <w:sz w:val="10"/>
                <w:szCs w:val="10"/>
                <w:color w:val="auto"/>
              </w:rPr>
            </w:pPr>
          </w:p>
        </w:tc>
        <w:tc>
          <w:tcPr>
            <w:tcW w:w="380" w:type="dxa"/>
            <w:vAlign w:val="bottom"/>
            <w:tcBorders>
              <w:top w:val="single" w:sz="8" w:color="auto"/>
            </w:tcBorders>
          </w:tcPr>
          <w:p>
            <w:pPr>
              <w:jc w:val="right"/>
              <w:ind w:right="11"/>
              <w:spacing w:after="0" w:line="121" w:lineRule="exact"/>
              <w:rPr>
                <w:sz w:val="20"/>
                <w:szCs w:val="20"/>
                <w:color w:val="auto"/>
              </w:rPr>
            </w:pPr>
            <w:r>
              <w:rPr>
                <w:rFonts w:ascii="Arial" w:cs="Arial" w:eastAsia="Arial" w:hAnsi="Arial"/>
                <w:sz w:val="12"/>
                <w:szCs w:val="12"/>
                <w:b w:val="1"/>
                <w:bCs w:val="1"/>
                <w:color w:val="auto"/>
              </w:rPr>
              <w:t>2011</w:t>
            </w:r>
          </w:p>
        </w:tc>
        <w:tc>
          <w:tcPr>
            <w:tcW w:w="880" w:type="dxa"/>
            <w:vAlign w:val="bottom"/>
            <w:tcBorders>
              <w:top w:val="single" w:sz="8" w:color="auto"/>
            </w:tcBorders>
            <w:gridSpan w:val="2"/>
          </w:tcPr>
          <w:p>
            <w:pPr>
              <w:jc w:val="right"/>
              <w:ind w:right="80"/>
              <w:spacing w:after="0" w:line="121"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0"/>
                <w:szCs w:val="10"/>
                <w:color w:val="auto"/>
              </w:rPr>
            </w:pPr>
          </w:p>
        </w:tc>
      </w:tr>
      <w:tr>
        <w:trPr>
          <w:trHeight w:val="168"/>
        </w:trPr>
        <w:tc>
          <w:tcPr>
            <w:tcW w:w="734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Joint venture sales in China</w:t>
            </w: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8"/>
        </w:trPr>
        <w:tc>
          <w:tcPr>
            <w:tcW w:w="7340" w:type="dxa"/>
            <w:vAlign w:val="bottom"/>
          </w:tcPr>
          <w:p>
            <w:pPr>
              <w:ind w:left="360"/>
              <w:spacing w:after="0"/>
              <w:rPr>
                <w:sz w:val="20"/>
                <w:szCs w:val="20"/>
                <w:color w:val="auto"/>
              </w:rPr>
            </w:pPr>
            <w:r>
              <w:rPr>
                <w:rFonts w:ascii="Arial" w:cs="Arial" w:eastAsia="Arial" w:hAnsi="Arial"/>
                <w:sz w:val="15"/>
                <w:szCs w:val="15"/>
                <w:color w:val="auto"/>
              </w:rPr>
              <w:t>SGM</w:t>
            </w: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290</w:t>
            </w:r>
          </w:p>
        </w:tc>
        <w:tc>
          <w:tcPr>
            <w:tcW w:w="1400" w:type="dxa"/>
            <w:vAlign w:val="bottom"/>
            <w:gridSpan w:val="3"/>
          </w:tcPr>
          <w:p>
            <w:pPr>
              <w:jc w:val="right"/>
              <w:ind w:right="460"/>
              <w:spacing w:after="0"/>
              <w:rPr>
                <w:sz w:val="20"/>
                <w:szCs w:val="20"/>
                <w:color w:val="auto"/>
              </w:rPr>
            </w:pPr>
            <w:r>
              <w:rPr>
                <w:rFonts w:ascii="Arial" w:cs="Arial" w:eastAsia="Arial" w:hAnsi="Arial"/>
                <w:sz w:val="15"/>
                <w:szCs w:val="15"/>
                <w:color w:val="auto"/>
              </w:rPr>
              <w:t>245</w:t>
            </w:r>
          </w:p>
        </w:tc>
        <w:tc>
          <w:tcPr>
            <w:tcW w:w="380" w:type="dxa"/>
            <w:vAlign w:val="bottom"/>
          </w:tcPr>
          <w:p>
            <w:pPr>
              <w:jc w:val="right"/>
              <w:spacing w:after="0"/>
              <w:rPr>
                <w:sz w:val="20"/>
                <w:szCs w:val="20"/>
                <w:color w:val="auto"/>
              </w:rPr>
            </w:pPr>
            <w:r>
              <w:rPr>
                <w:rFonts w:ascii="Arial" w:cs="Arial" w:eastAsia="Arial" w:hAnsi="Arial"/>
                <w:sz w:val="15"/>
                <w:szCs w:val="15"/>
                <w:color w:val="auto"/>
              </w:rPr>
              <w:t>600</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480</w:t>
            </w:r>
          </w:p>
        </w:tc>
      </w:tr>
      <w:tr>
        <w:trPr>
          <w:trHeight w:val="188"/>
        </w:trPr>
        <w:tc>
          <w:tcPr>
            <w:tcW w:w="73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SGMW and FAW-GM</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296</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340</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727</w:t>
            </w:r>
          </w:p>
        </w:tc>
      </w:tr>
      <w:tr>
        <w:trPr>
          <w:trHeight w:val="188"/>
        </w:trPr>
        <w:tc>
          <w:tcPr>
            <w:tcW w:w="7340" w:type="dxa"/>
            <w:vAlign w:val="bottom"/>
          </w:tcPr>
          <w:p>
            <w:pPr>
              <w:spacing w:after="0"/>
              <w:rPr>
                <w:sz w:val="20"/>
                <w:szCs w:val="20"/>
                <w:color w:val="auto"/>
              </w:rPr>
            </w:pPr>
            <w:r>
              <w:rPr>
                <w:rFonts w:ascii="Arial" w:cs="Arial" w:eastAsia="Arial" w:hAnsi="Arial"/>
                <w:sz w:val="15"/>
                <w:szCs w:val="15"/>
                <w:color w:val="auto"/>
              </w:rPr>
              <w:t>Joint venture sales in India</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73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HKJV</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28</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51</w:t>
            </w:r>
          </w:p>
        </w:tc>
      </w:tr>
    </w:tbl>
    <w:p>
      <w:pPr>
        <w:spacing w:after="0" w:line="63" w:lineRule="exact"/>
        <w:rPr>
          <w:sz w:val="20"/>
          <w:szCs w:val="20"/>
          <w:color w:val="auto"/>
        </w:rPr>
      </w:pPr>
    </w:p>
    <w:p>
      <w:pPr>
        <w:ind w:left="446" w:right="320" w:hanging="446"/>
        <w:spacing w:after="0" w:line="291"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joint venture agreements with SGMW and FAW-GM allow for significant rights as a member as well as the contractual right to report SGMW and FAW-GM joint venture vehicle sales in China as part of GM’s global market share.</w:t>
      </w:r>
    </w:p>
    <w:p>
      <w:pPr>
        <w:spacing w:after="0" w:line="8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6"/>
          </w:cols>
          <w:pgMar w:left="234" w:top="258" w:right="219" w:bottom="1440" w:gutter="0" w:footer="0" w:header="0"/>
        </w:sectPr>
      </w:pPr>
    </w:p>
    <w:bookmarkStart w:id="12" w:name="page13"/>
    <w:bookmarkEnd w:id="12"/>
    <w:p>
      <w:pPr>
        <w:jc w:val="center"/>
        <w:ind w:right="-30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305"/>
        <w:spacing w:after="0"/>
        <w:rPr>
          <w:sz w:val="20"/>
          <w:szCs w:val="20"/>
          <w:color w:val="auto"/>
        </w:rPr>
      </w:pPr>
      <w:r>
        <w:rPr>
          <w:rFonts w:ascii="Arial" w:cs="Arial" w:eastAsia="Arial" w:hAnsi="Arial"/>
          <w:sz w:val="15"/>
          <w:szCs w:val="15"/>
          <w:b w:val="1"/>
          <w:bCs w:val="1"/>
          <w:color w:val="auto"/>
        </w:rPr>
        <w:t>Supplemental Material</w:t>
      </w:r>
    </w:p>
    <w:p>
      <w:pPr>
        <w:spacing w:after="0" w:line="16" w:lineRule="exact"/>
        <w:rPr>
          <w:sz w:val="20"/>
          <w:szCs w:val="20"/>
          <w:color w:val="auto"/>
        </w:rPr>
      </w:pPr>
    </w:p>
    <w:p>
      <w:pPr>
        <w:jc w:val="center"/>
        <w:ind w:right="-305"/>
        <w:spacing w:after="0"/>
        <w:rPr>
          <w:sz w:val="20"/>
          <w:szCs w:val="20"/>
          <w:color w:val="auto"/>
        </w:rPr>
      </w:pPr>
      <w:r>
        <w:rPr>
          <w:rFonts w:ascii="Arial" w:cs="Arial" w:eastAsia="Arial" w:hAnsi="Arial"/>
          <w:sz w:val="15"/>
          <w:szCs w:val="15"/>
          <w:i w:val="1"/>
          <w:iCs w:val="1"/>
          <w:color w:val="auto"/>
        </w:rPr>
        <w:t>(Unaudited)</w:t>
      </w:r>
    </w:p>
    <w:p>
      <w:pPr>
        <w:spacing w:after="0" w:line="126" w:lineRule="exact"/>
        <w:rPr>
          <w:sz w:val="20"/>
          <w:szCs w:val="20"/>
          <w:color w:val="auto"/>
        </w:rPr>
      </w:pPr>
    </w:p>
    <w:tbl>
      <w:tblPr>
        <w:tblLayout w:type="fixed"/>
        <w:tblInd w:w="466" w:type="dxa"/>
        <w:tblCellMar>
          <w:top w:w="0" w:type="dxa"/>
          <w:left w:w="0" w:type="dxa"/>
          <w:bottom w:w="0" w:type="dxa"/>
          <w:right w:w="0" w:type="dxa"/>
        </w:tblCellMar>
      </w:tblPr>
      <w:tr>
        <w:trPr>
          <w:trHeight w:val="138"/>
        </w:trPr>
        <w:tc>
          <w:tcPr>
            <w:tcW w:w="6740" w:type="dxa"/>
            <w:vAlign w:val="bottom"/>
          </w:tcPr>
          <w:p>
            <w:pPr>
              <w:spacing w:after="0"/>
              <w:rPr>
                <w:sz w:val="12"/>
                <w:szCs w:val="12"/>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2"/>
                <w:szCs w:val="12"/>
                <w:b w:val="1"/>
                <w:bCs w:val="1"/>
                <w:color w:val="auto"/>
              </w:rPr>
              <w:t>Three Months Ended</w:t>
            </w:r>
          </w:p>
        </w:tc>
        <w:tc>
          <w:tcPr>
            <w:tcW w:w="168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Six Months Ended</w:t>
            </w:r>
          </w:p>
        </w:tc>
      </w:tr>
      <w:tr>
        <w:trPr>
          <w:trHeight w:val="140"/>
        </w:trPr>
        <w:tc>
          <w:tcPr>
            <w:tcW w:w="6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41"/>
              <w:spacing w:after="0"/>
              <w:rPr>
                <w:sz w:val="20"/>
                <w:szCs w:val="20"/>
                <w:color w:val="auto"/>
              </w:rPr>
            </w:pPr>
            <w:r>
              <w:rPr>
                <w:rFonts w:ascii="Arial" w:cs="Arial" w:eastAsia="Arial" w:hAnsi="Arial"/>
                <w:sz w:val="12"/>
                <w:szCs w:val="12"/>
                <w:b w:val="1"/>
                <w:bCs w:val="1"/>
                <w:color w:val="auto"/>
              </w:rPr>
              <w:t>June 30,</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2"/>
                <w:szCs w:val="12"/>
                <w:b w:val="1"/>
                <w:bCs w:val="1"/>
                <w:color w:val="auto"/>
                <w:w w:val="91"/>
              </w:rPr>
              <w:t>June 30,</w:t>
            </w:r>
          </w:p>
        </w:tc>
      </w:tr>
      <w:tr>
        <w:trPr>
          <w:trHeight w:val="121"/>
        </w:trPr>
        <w:tc>
          <w:tcPr>
            <w:tcW w:w="674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26"/>
              <w:spacing w:after="0" w:line="121" w:lineRule="exact"/>
              <w:rPr>
                <w:sz w:val="20"/>
                <w:szCs w:val="20"/>
                <w:color w:val="auto"/>
              </w:rPr>
            </w:pPr>
            <w:r>
              <w:rPr>
                <w:rFonts w:ascii="Arial" w:cs="Arial" w:eastAsia="Arial" w:hAnsi="Arial"/>
                <w:sz w:val="12"/>
                <w:szCs w:val="12"/>
                <w:b w:val="1"/>
                <w:bCs w:val="1"/>
                <w:color w:val="auto"/>
              </w:rPr>
              <w:t>2011</w:t>
            </w:r>
          </w:p>
        </w:tc>
        <w:tc>
          <w:tcPr>
            <w:tcW w:w="64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1"/>
              </w:rPr>
              <w:t>2010(a)</w:t>
            </w:r>
          </w:p>
        </w:tc>
        <w:tc>
          <w:tcPr>
            <w:tcW w:w="62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2011</w:t>
            </w:r>
          </w:p>
        </w:tc>
        <w:tc>
          <w:tcPr>
            <w:tcW w:w="18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88"/>
              </w:rPr>
              <w:t>2010(a)(b)</w:t>
            </w:r>
          </w:p>
        </w:tc>
        <w:tc>
          <w:tcPr>
            <w:tcW w:w="200" w:type="dxa"/>
            <w:vAlign w:val="bottom"/>
            <w:tcBorders>
              <w:bottom w:val="single" w:sz="8" w:color="CCEEFF"/>
            </w:tcBorders>
          </w:tcPr>
          <w:p>
            <w:pPr>
              <w:spacing w:after="0"/>
              <w:rPr>
                <w:sz w:val="10"/>
                <w:szCs w:val="10"/>
                <w:color w:val="auto"/>
              </w:rPr>
            </w:pPr>
          </w:p>
        </w:tc>
      </w:tr>
      <w:tr>
        <w:trPr>
          <w:trHeight w:val="168"/>
        </w:trPr>
        <w:tc>
          <w:tcPr>
            <w:tcW w:w="674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Market Share(c)(d)(e)</w:t>
            </w: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88"/>
        </w:trPr>
        <w:tc>
          <w:tcPr>
            <w:tcW w:w="6740" w:type="dxa"/>
            <w:vAlign w:val="bottom"/>
          </w:tcPr>
          <w:p>
            <w:pPr>
              <w:ind w:left="360"/>
              <w:spacing w:after="0"/>
              <w:rPr>
                <w:sz w:val="20"/>
                <w:szCs w:val="20"/>
                <w:color w:val="auto"/>
              </w:rPr>
            </w:pPr>
            <w:r>
              <w:rPr>
                <w:rFonts w:ascii="Arial" w:cs="Arial" w:eastAsia="Arial" w:hAnsi="Arial"/>
                <w:sz w:val="15"/>
                <w:szCs w:val="15"/>
                <w:color w:val="auto"/>
              </w:rPr>
              <w:t>United States – Cars</w:t>
            </w:r>
          </w:p>
        </w:tc>
        <w:tc>
          <w:tcPr>
            <w:tcW w:w="1060" w:type="dxa"/>
            <w:vAlign w:val="bottom"/>
            <w:gridSpan w:val="2"/>
          </w:tcPr>
          <w:p>
            <w:pPr>
              <w:jc w:val="right"/>
              <w:ind w:right="461"/>
              <w:spacing w:after="0"/>
              <w:rPr>
                <w:sz w:val="20"/>
                <w:szCs w:val="20"/>
                <w:color w:val="auto"/>
              </w:rPr>
            </w:pPr>
            <w:r>
              <w:rPr>
                <w:rFonts w:ascii="Arial" w:cs="Arial" w:eastAsia="Arial" w:hAnsi="Arial"/>
                <w:sz w:val="15"/>
                <w:szCs w:val="15"/>
                <w:color w:val="auto"/>
              </w:rPr>
              <w:t>18.4%</w:t>
            </w: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15.2%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17.0%</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15.0%</w:t>
            </w:r>
          </w:p>
        </w:tc>
      </w:tr>
      <w:tr>
        <w:trPr>
          <w:trHeight w:val="188"/>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United States – Trucks</w:t>
            </w:r>
          </w:p>
        </w:tc>
        <w:tc>
          <w:tcPr>
            <w:tcW w:w="1060" w:type="dxa"/>
            <w:vAlign w:val="bottom"/>
            <w:gridSpan w:val="2"/>
            <w:shd w:val="clear" w:color="auto" w:fill="CCEEFF"/>
          </w:tcPr>
          <w:p>
            <w:pPr>
              <w:jc w:val="right"/>
              <w:ind w:right="461"/>
              <w:spacing w:after="0"/>
              <w:rPr>
                <w:sz w:val="20"/>
                <w:szCs w:val="20"/>
                <w:color w:val="auto"/>
              </w:rPr>
            </w:pPr>
            <w:r>
              <w:rPr>
                <w:rFonts w:ascii="Arial" w:cs="Arial" w:eastAsia="Arial" w:hAnsi="Arial"/>
                <w:sz w:val="15"/>
                <w:szCs w:val="15"/>
                <w:color w:val="auto"/>
              </w:rPr>
              <w:t>21.6%</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23.4%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22.0%</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22.8%</w:t>
            </w:r>
          </w:p>
        </w:tc>
      </w:tr>
      <w:tr>
        <w:trPr>
          <w:trHeight w:val="188"/>
        </w:trPr>
        <w:tc>
          <w:tcPr>
            <w:tcW w:w="6740" w:type="dxa"/>
            <w:vAlign w:val="bottom"/>
          </w:tcPr>
          <w:p>
            <w:pPr>
              <w:ind w:left="360"/>
              <w:spacing w:after="0"/>
              <w:rPr>
                <w:sz w:val="20"/>
                <w:szCs w:val="20"/>
                <w:color w:val="auto"/>
              </w:rPr>
            </w:pPr>
            <w:r>
              <w:rPr>
                <w:rFonts w:ascii="Arial" w:cs="Arial" w:eastAsia="Arial" w:hAnsi="Arial"/>
                <w:sz w:val="15"/>
                <w:szCs w:val="15"/>
                <w:color w:val="auto"/>
              </w:rPr>
              <w:t>Total United States</w:t>
            </w:r>
          </w:p>
        </w:tc>
        <w:tc>
          <w:tcPr>
            <w:tcW w:w="1060" w:type="dxa"/>
            <w:vAlign w:val="bottom"/>
            <w:gridSpan w:val="2"/>
          </w:tcPr>
          <w:p>
            <w:pPr>
              <w:jc w:val="right"/>
              <w:ind w:right="461"/>
              <w:spacing w:after="0"/>
              <w:rPr>
                <w:sz w:val="20"/>
                <w:szCs w:val="20"/>
                <w:color w:val="auto"/>
              </w:rPr>
            </w:pPr>
            <w:r>
              <w:rPr>
                <w:rFonts w:ascii="Arial" w:cs="Arial" w:eastAsia="Arial" w:hAnsi="Arial"/>
                <w:sz w:val="15"/>
                <w:szCs w:val="15"/>
                <w:color w:val="auto"/>
              </w:rPr>
              <w:t>20.0%</w:t>
            </w: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19.4%</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19.6%</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18.9%</w:t>
            </w:r>
          </w:p>
        </w:tc>
      </w:tr>
      <w:tr>
        <w:trPr>
          <w:trHeight w:val="188"/>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GMNA</w:t>
            </w:r>
          </w:p>
        </w:tc>
        <w:tc>
          <w:tcPr>
            <w:tcW w:w="1060" w:type="dxa"/>
            <w:vAlign w:val="bottom"/>
            <w:gridSpan w:val="2"/>
            <w:shd w:val="clear" w:color="auto" w:fill="CCEEFF"/>
          </w:tcPr>
          <w:p>
            <w:pPr>
              <w:jc w:val="right"/>
              <w:ind w:right="461"/>
              <w:spacing w:after="0"/>
              <w:rPr>
                <w:sz w:val="20"/>
                <w:szCs w:val="20"/>
                <w:color w:val="auto"/>
              </w:rPr>
            </w:pPr>
            <w:r>
              <w:rPr>
                <w:rFonts w:ascii="Arial" w:cs="Arial" w:eastAsia="Arial" w:hAnsi="Arial"/>
                <w:sz w:val="15"/>
                <w:szCs w:val="15"/>
                <w:color w:val="auto"/>
              </w:rPr>
              <w:t>19.1%</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18.7%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18.7%</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18.3%</w:t>
            </w:r>
          </w:p>
        </w:tc>
      </w:tr>
      <w:tr>
        <w:trPr>
          <w:trHeight w:val="188"/>
        </w:trPr>
        <w:tc>
          <w:tcPr>
            <w:tcW w:w="6740" w:type="dxa"/>
            <w:vAlign w:val="bottom"/>
          </w:tcPr>
          <w:p>
            <w:pPr>
              <w:ind w:left="360"/>
              <w:spacing w:after="0"/>
              <w:rPr>
                <w:sz w:val="20"/>
                <w:szCs w:val="20"/>
                <w:color w:val="auto"/>
              </w:rPr>
            </w:pPr>
            <w:r>
              <w:rPr>
                <w:rFonts w:ascii="Arial" w:cs="Arial" w:eastAsia="Arial" w:hAnsi="Arial"/>
                <w:sz w:val="15"/>
                <w:szCs w:val="15"/>
                <w:color w:val="auto"/>
              </w:rPr>
              <w:t>Total GME</w:t>
            </w:r>
          </w:p>
        </w:tc>
        <w:tc>
          <w:tcPr>
            <w:tcW w:w="1060" w:type="dxa"/>
            <w:vAlign w:val="bottom"/>
            <w:gridSpan w:val="2"/>
          </w:tcPr>
          <w:p>
            <w:pPr>
              <w:jc w:val="right"/>
              <w:ind w:right="461"/>
              <w:spacing w:after="0"/>
              <w:rPr>
                <w:sz w:val="20"/>
                <w:szCs w:val="20"/>
                <w:color w:val="auto"/>
              </w:rPr>
            </w:pPr>
            <w:r>
              <w:rPr>
                <w:rFonts w:ascii="Arial" w:cs="Arial" w:eastAsia="Arial" w:hAnsi="Arial"/>
                <w:sz w:val="15"/>
                <w:szCs w:val="15"/>
                <w:color w:val="auto"/>
              </w:rPr>
              <w:t>9.1%</w:t>
            </w: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8.8%</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8.8%</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8.7%</w:t>
            </w:r>
          </w:p>
        </w:tc>
      </w:tr>
      <w:tr>
        <w:trPr>
          <w:trHeight w:val="188"/>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GMIO(f)(g)</w:t>
            </w:r>
          </w:p>
        </w:tc>
        <w:tc>
          <w:tcPr>
            <w:tcW w:w="1060" w:type="dxa"/>
            <w:vAlign w:val="bottom"/>
            <w:gridSpan w:val="2"/>
            <w:shd w:val="clear" w:color="auto" w:fill="CCEEFF"/>
          </w:tcPr>
          <w:p>
            <w:pPr>
              <w:jc w:val="right"/>
              <w:ind w:right="461"/>
              <w:spacing w:after="0"/>
              <w:rPr>
                <w:sz w:val="20"/>
                <w:szCs w:val="20"/>
                <w:color w:val="auto"/>
              </w:rPr>
            </w:pPr>
            <w:r>
              <w:rPr>
                <w:rFonts w:ascii="Arial" w:cs="Arial" w:eastAsia="Arial" w:hAnsi="Arial"/>
                <w:sz w:val="15"/>
                <w:szCs w:val="15"/>
                <w:color w:val="auto"/>
              </w:rPr>
              <w:t>9.6%</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8.9%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8.9%</w:t>
            </w:r>
          </w:p>
        </w:tc>
      </w:tr>
      <w:tr>
        <w:trPr>
          <w:trHeight w:val="188"/>
        </w:trPr>
        <w:tc>
          <w:tcPr>
            <w:tcW w:w="6740" w:type="dxa"/>
            <w:vAlign w:val="bottom"/>
          </w:tcPr>
          <w:p>
            <w:pPr>
              <w:ind w:left="360"/>
              <w:spacing w:after="0"/>
              <w:rPr>
                <w:sz w:val="20"/>
                <w:szCs w:val="20"/>
                <w:color w:val="auto"/>
              </w:rPr>
            </w:pPr>
            <w:r>
              <w:rPr>
                <w:rFonts w:ascii="Arial" w:cs="Arial" w:eastAsia="Arial" w:hAnsi="Arial"/>
                <w:sz w:val="15"/>
                <w:szCs w:val="15"/>
                <w:color w:val="auto"/>
              </w:rPr>
              <w:t>Total GMSA</w:t>
            </w:r>
          </w:p>
        </w:tc>
        <w:tc>
          <w:tcPr>
            <w:tcW w:w="1060" w:type="dxa"/>
            <w:vAlign w:val="bottom"/>
            <w:gridSpan w:val="2"/>
          </w:tcPr>
          <w:p>
            <w:pPr>
              <w:jc w:val="right"/>
              <w:ind w:right="461"/>
              <w:spacing w:after="0"/>
              <w:rPr>
                <w:sz w:val="20"/>
                <w:szCs w:val="20"/>
                <w:color w:val="auto"/>
              </w:rPr>
            </w:pPr>
            <w:r>
              <w:rPr>
                <w:rFonts w:ascii="Arial" w:cs="Arial" w:eastAsia="Arial" w:hAnsi="Arial"/>
                <w:sz w:val="15"/>
                <w:szCs w:val="15"/>
                <w:color w:val="auto"/>
              </w:rPr>
              <w:t>19.2%</w:t>
            </w: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19.5%</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19.0%</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20.1%</w:t>
            </w:r>
          </w:p>
        </w:tc>
      </w:tr>
      <w:tr>
        <w:trPr>
          <w:trHeight w:val="188"/>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Worldwide</w:t>
            </w:r>
          </w:p>
        </w:tc>
        <w:tc>
          <w:tcPr>
            <w:tcW w:w="1060" w:type="dxa"/>
            <w:vAlign w:val="bottom"/>
            <w:gridSpan w:val="2"/>
            <w:shd w:val="clear" w:color="auto" w:fill="CCEEFF"/>
          </w:tcPr>
          <w:p>
            <w:pPr>
              <w:jc w:val="right"/>
              <w:ind w:right="441"/>
              <w:spacing w:after="0"/>
              <w:rPr>
                <w:sz w:val="20"/>
                <w:szCs w:val="20"/>
                <w:color w:val="auto"/>
              </w:rPr>
            </w:pPr>
            <w:r>
              <w:rPr>
                <w:rFonts w:ascii="Arial" w:cs="Arial" w:eastAsia="Arial" w:hAnsi="Arial"/>
                <w:sz w:val="15"/>
                <w:szCs w:val="15"/>
                <w:b w:val="1"/>
                <w:bCs w:val="1"/>
                <w:color w:val="auto"/>
              </w:rPr>
              <w:t>12.2%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b w:val="1"/>
                <w:bCs w:val="1"/>
                <w:color w:val="auto"/>
              </w:rPr>
              <w:t>11.6%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11.8%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11.3%</w:t>
            </w:r>
          </w:p>
        </w:tc>
      </w:tr>
      <w:tr>
        <w:trPr>
          <w:trHeight w:val="282"/>
        </w:trPr>
        <w:tc>
          <w:tcPr>
            <w:tcW w:w="6740" w:type="dxa"/>
            <w:vAlign w:val="bottom"/>
          </w:tcPr>
          <w:p>
            <w:pPr>
              <w:spacing w:after="0"/>
              <w:rPr>
                <w:sz w:val="20"/>
                <w:szCs w:val="20"/>
                <w:color w:val="auto"/>
              </w:rPr>
            </w:pPr>
            <w:r>
              <w:rPr>
                <w:rFonts w:ascii="Arial" w:cs="Arial" w:eastAsia="Arial" w:hAnsi="Arial"/>
                <w:sz w:val="15"/>
                <w:szCs w:val="15"/>
                <w:b w:val="1"/>
                <w:bCs w:val="1"/>
                <w:color w:val="auto"/>
              </w:rPr>
              <w:t>U.S. Retail/Fleet Mix</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Fleet Sales – Cars</w:t>
            </w:r>
          </w:p>
        </w:tc>
        <w:tc>
          <w:tcPr>
            <w:tcW w:w="1060" w:type="dxa"/>
            <w:vAlign w:val="bottom"/>
            <w:gridSpan w:val="2"/>
            <w:shd w:val="clear" w:color="auto" w:fill="CCEEFF"/>
          </w:tcPr>
          <w:p>
            <w:pPr>
              <w:jc w:val="right"/>
              <w:ind w:right="461"/>
              <w:spacing w:after="0"/>
              <w:rPr>
                <w:sz w:val="20"/>
                <w:szCs w:val="20"/>
                <w:color w:val="auto"/>
              </w:rPr>
            </w:pPr>
            <w:r>
              <w:rPr>
                <w:rFonts w:ascii="Arial" w:cs="Arial" w:eastAsia="Arial" w:hAnsi="Arial"/>
                <w:sz w:val="15"/>
                <w:szCs w:val="15"/>
                <w:color w:val="auto"/>
              </w:rPr>
              <w:t>38.6%</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42.4%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40.6%</w:t>
            </w:r>
          </w:p>
        </w:tc>
      </w:tr>
      <w:tr>
        <w:trPr>
          <w:trHeight w:val="188"/>
        </w:trPr>
        <w:tc>
          <w:tcPr>
            <w:tcW w:w="6740" w:type="dxa"/>
            <w:vAlign w:val="bottom"/>
          </w:tcPr>
          <w:p>
            <w:pPr>
              <w:ind w:left="360"/>
              <w:spacing w:after="0"/>
              <w:rPr>
                <w:sz w:val="20"/>
                <w:szCs w:val="20"/>
                <w:color w:val="auto"/>
              </w:rPr>
            </w:pPr>
            <w:r>
              <w:rPr>
                <w:rFonts w:ascii="Arial" w:cs="Arial" w:eastAsia="Arial" w:hAnsi="Arial"/>
                <w:sz w:val="15"/>
                <w:szCs w:val="15"/>
                <w:color w:val="auto"/>
              </w:rPr>
              <w:t>% Fleet Sales – Trucks</w:t>
            </w:r>
          </w:p>
        </w:tc>
        <w:tc>
          <w:tcPr>
            <w:tcW w:w="1060" w:type="dxa"/>
            <w:vAlign w:val="bottom"/>
            <w:gridSpan w:val="2"/>
          </w:tcPr>
          <w:p>
            <w:pPr>
              <w:jc w:val="right"/>
              <w:ind w:right="461"/>
              <w:spacing w:after="0"/>
              <w:rPr>
                <w:sz w:val="20"/>
                <w:szCs w:val="20"/>
                <w:color w:val="auto"/>
              </w:rPr>
            </w:pPr>
            <w:r>
              <w:rPr>
                <w:rFonts w:ascii="Arial" w:cs="Arial" w:eastAsia="Arial" w:hAnsi="Arial"/>
                <w:sz w:val="15"/>
                <w:szCs w:val="15"/>
                <w:color w:val="auto"/>
              </w:rPr>
              <w:t>29.2%</w:t>
            </w: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28.2%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25.2%</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25.9%</w:t>
            </w:r>
          </w:p>
        </w:tc>
      </w:tr>
      <w:tr>
        <w:trPr>
          <w:trHeight w:val="188"/>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Vehicles</w:t>
            </w:r>
          </w:p>
        </w:tc>
        <w:tc>
          <w:tcPr>
            <w:tcW w:w="1060" w:type="dxa"/>
            <w:vAlign w:val="bottom"/>
            <w:gridSpan w:val="2"/>
            <w:shd w:val="clear" w:color="auto" w:fill="CCEEFF"/>
          </w:tcPr>
          <w:p>
            <w:pPr>
              <w:jc w:val="right"/>
              <w:ind w:right="441"/>
              <w:spacing w:after="0"/>
              <w:rPr>
                <w:sz w:val="20"/>
                <w:szCs w:val="20"/>
                <w:color w:val="auto"/>
              </w:rPr>
            </w:pPr>
            <w:r>
              <w:rPr>
                <w:rFonts w:ascii="Arial" w:cs="Arial" w:eastAsia="Arial" w:hAnsi="Arial"/>
                <w:sz w:val="15"/>
                <w:szCs w:val="15"/>
                <w:b w:val="1"/>
                <w:bCs w:val="1"/>
                <w:color w:val="auto"/>
              </w:rPr>
              <w:t>34.8%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b w:val="1"/>
                <w:bCs w:val="1"/>
                <w:color w:val="auto"/>
              </w:rPr>
              <w:t>35.5%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30.3%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33.9%</w:t>
            </w:r>
          </w:p>
        </w:tc>
      </w:tr>
      <w:tr>
        <w:trPr>
          <w:trHeight w:val="281"/>
        </w:trPr>
        <w:tc>
          <w:tcPr>
            <w:tcW w:w="6740" w:type="dxa"/>
            <w:vAlign w:val="bottom"/>
          </w:tcPr>
          <w:p>
            <w:pPr>
              <w:spacing w:after="0"/>
              <w:rPr>
                <w:sz w:val="20"/>
                <w:szCs w:val="20"/>
                <w:color w:val="auto"/>
              </w:rPr>
            </w:pPr>
            <w:r>
              <w:rPr>
                <w:rFonts w:ascii="Arial" w:cs="Arial" w:eastAsia="Arial" w:hAnsi="Arial"/>
                <w:sz w:val="15"/>
                <w:szCs w:val="15"/>
                <w:color w:val="auto"/>
              </w:rPr>
              <w:t>GMNA Capacity Utilization(h)</w:t>
            </w:r>
          </w:p>
        </w:tc>
        <w:tc>
          <w:tcPr>
            <w:tcW w:w="1060" w:type="dxa"/>
            <w:vAlign w:val="bottom"/>
            <w:gridSpan w:val="2"/>
          </w:tcPr>
          <w:p>
            <w:pPr>
              <w:jc w:val="right"/>
              <w:ind w:right="461"/>
              <w:spacing w:after="0"/>
              <w:rPr>
                <w:sz w:val="20"/>
                <w:szCs w:val="20"/>
                <w:color w:val="auto"/>
              </w:rPr>
            </w:pPr>
            <w:r>
              <w:rPr>
                <w:rFonts w:ascii="Arial" w:cs="Arial" w:eastAsia="Arial" w:hAnsi="Arial"/>
                <w:sz w:val="15"/>
                <w:szCs w:val="15"/>
                <w:color w:val="auto"/>
              </w:rPr>
              <w:t>103.0%</w:t>
            </w: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93.2%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98.7%</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39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3" w:lineRule="exact"/>
        <w:rPr>
          <w:sz w:val="20"/>
          <w:szCs w:val="20"/>
          <w:color w:val="auto"/>
        </w:rPr>
      </w:pPr>
    </w:p>
    <w:p>
      <w:pPr>
        <w:ind w:left="446" w:hanging="446"/>
        <w:spacing w:after="0"/>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HUMMER, Saturn and Pontiac vehicle sales data.</w:t>
      </w:r>
    </w:p>
    <w:p>
      <w:pPr>
        <w:spacing w:after="0" w:line="21" w:lineRule="exact"/>
        <w:rPr>
          <w:rFonts w:ascii="Arial" w:cs="Arial" w:eastAsia="Arial" w:hAnsi="Arial"/>
          <w:sz w:val="15"/>
          <w:szCs w:val="15"/>
          <w:color w:val="auto"/>
        </w:rPr>
      </w:pPr>
    </w:p>
    <w:p>
      <w:pPr>
        <w:ind w:left="446" w:hanging="446"/>
        <w:spacing w:after="0"/>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GM Saab vehicle sales data through February 2010.</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Market share information is based on vehicle sales volume.</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Certain fleet sales that are accounted for as operating leases are included in vehicle sales at the time of delivery to the daily rental car companies.</w:t>
      </w:r>
    </w:p>
    <w:p>
      <w:pPr>
        <w:spacing w:after="0" w:line="15" w:lineRule="exact"/>
        <w:rPr>
          <w:rFonts w:ascii="Arial" w:cs="Arial" w:eastAsia="Arial" w:hAnsi="Arial"/>
          <w:sz w:val="15"/>
          <w:szCs w:val="15"/>
          <w:color w:val="auto"/>
        </w:rPr>
      </w:pPr>
    </w:p>
    <w:p>
      <w:pPr>
        <w:ind w:left="446" w:right="20" w:hanging="446"/>
        <w:spacing w:after="0" w:line="261" w:lineRule="auto"/>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ultimate customer. GME, GMIO and GMSA vehicle sales primarily represent estimated sales to the ultimate customer. In countries where end customer data is not readily available other data sources, such as wholesale volumes, are used to estimate vehicle sales.</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the following joint venture vehicle sales (units in thousands):</w:t>
      </w:r>
    </w:p>
    <w:p>
      <w:pPr>
        <w:spacing w:after="0" w:line="68" w:lineRule="exact"/>
        <w:rPr>
          <w:sz w:val="20"/>
          <w:szCs w:val="20"/>
          <w:color w:val="auto"/>
        </w:rPr>
      </w:pPr>
    </w:p>
    <w:tbl>
      <w:tblPr>
        <w:tblLayout w:type="fixed"/>
        <w:tblInd w:w="466" w:type="dxa"/>
        <w:tblCellMar>
          <w:top w:w="0" w:type="dxa"/>
          <w:left w:w="0" w:type="dxa"/>
          <w:bottom w:w="0" w:type="dxa"/>
          <w:right w:w="0" w:type="dxa"/>
        </w:tblCellMar>
      </w:tblPr>
      <w:tr>
        <w:trPr>
          <w:trHeight w:val="138"/>
        </w:trPr>
        <w:tc>
          <w:tcPr>
            <w:tcW w:w="7340" w:type="dxa"/>
            <w:vAlign w:val="bottom"/>
          </w:tcPr>
          <w:p>
            <w:pPr>
              <w:spacing w:after="0"/>
              <w:rPr>
                <w:sz w:val="12"/>
                <w:szCs w:val="12"/>
                <w:color w:val="auto"/>
              </w:rPr>
            </w:pPr>
          </w:p>
        </w:tc>
        <w:tc>
          <w:tcPr>
            <w:tcW w:w="1840" w:type="dxa"/>
            <w:vAlign w:val="bottom"/>
            <w:gridSpan w:val="5"/>
          </w:tcPr>
          <w:p>
            <w:pPr>
              <w:jc w:val="center"/>
              <w:ind w:right="460"/>
              <w:spacing w:after="0"/>
              <w:rPr>
                <w:sz w:val="20"/>
                <w:szCs w:val="20"/>
                <w:color w:val="auto"/>
              </w:rPr>
            </w:pPr>
            <w:r>
              <w:rPr>
                <w:rFonts w:ascii="Arial" w:cs="Arial" w:eastAsia="Arial" w:hAnsi="Arial"/>
                <w:sz w:val="12"/>
                <w:szCs w:val="12"/>
                <w:b w:val="1"/>
                <w:bCs w:val="1"/>
                <w:color w:val="auto"/>
                <w:w w:val="89"/>
              </w:rPr>
              <w:t>Three Months Ended</w:t>
            </w:r>
          </w:p>
        </w:tc>
        <w:tc>
          <w:tcPr>
            <w:tcW w:w="13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r>
      <w:tr>
        <w:trPr>
          <w:trHeight w:val="140"/>
        </w:trPr>
        <w:tc>
          <w:tcPr>
            <w:tcW w:w="7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2"/>
                <w:szCs w:val="12"/>
                <w:b w:val="1"/>
                <w:bCs w:val="1"/>
                <w:color w:val="auto"/>
                <w:w w:val="95"/>
              </w:rPr>
              <w:t>June 30,</w:t>
            </w:r>
          </w:p>
        </w:tc>
        <w:tc>
          <w:tcPr>
            <w:tcW w:w="380" w:type="dxa"/>
            <w:vAlign w:val="bottom"/>
          </w:tcPr>
          <w:p>
            <w:pPr>
              <w:spacing w:after="0"/>
              <w:rPr>
                <w:sz w:val="12"/>
                <w:szCs w:val="12"/>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5"/>
              </w:rPr>
              <w:t>June 30,</w:t>
            </w:r>
          </w:p>
        </w:tc>
      </w:tr>
      <w:tr>
        <w:trPr>
          <w:trHeight w:val="121"/>
        </w:trPr>
        <w:tc>
          <w:tcPr>
            <w:tcW w:w="7340" w:type="dxa"/>
            <w:vAlign w:val="bottom"/>
          </w:tcPr>
          <w:p>
            <w:pPr>
              <w:spacing w:after="0"/>
              <w:rPr>
                <w:sz w:val="10"/>
                <w:szCs w:val="10"/>
                <w:color w:val="auto"/>
              </w:rPr>
            </w:pPr>
          </w:p>
        </w:tc>
        <w:tc>
          <w:tcPr>
            <w:tcW w:w="420" w:type="dxa"/>
            <w:vAlign w:val="bottom"/>
            <w:tcBorders>
              <w:top w:val="single" w:sz="8" w:color="auto"/>
            </w:tcBorders>
          </w:tcPr>
          <w:p>
            <w:pPr>
              <w:jc w:val="right"/>
              <w:ind w:right="31"/>
              <w:spacing w:after="0" w:line="121" w:lineRule="exact"/>
              <w:rPr>
                <w:sz w:val="20"/>
                <w:szCs w:val="20"/>
                <w:color w:val="auto"/>
              </w:rPr>
            </w:pPr>
            <w:r>
              <w:rPr>
                <w:rFonts w:ascii="Arial" w:cs="Arial" w:eastAsia="Arial" w:hAnsi="Arial"/>
                <w:sz w:val="12"/>
                <w:szCs w:val="12"/>
                <w:b w:val="1"/>
                <w:bCs w:val="1"/>
                <w:color w:val="auto"/>
              </w:rPr>
              <w:t>2011</w:t>
            </w: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100"/>
              <w:spacing w:after="0" w:line="121" w:lineRule="exact"/>
              <w:rPr>
                <w:sz w:val="20"/>
                <w:szCs w:val="20"/>
                <w:color w:val="auto"/>
              </w:rPr>
            </w:pPr>
            <w:r>
              <w:rPr>
                <w:rFonts w:ascii="Arial" w:cs="Arial" w:eastAsia="Arial" w:hAnsi="Arial"/>
                <w:sz w:val="12"/>
                <w:szCs w:val="12"/>
                <w:b w:val="1"/>
                <w:bCs w:val="1"/>
                <w:color w:val="auto"/>
              </w:rPr>
              <w:t>2010</w:t>
            </w:r>
          </w:p>
        </w:tc>
        <w:tc>
          <w:tcPr>
            <w:tcW w:w="460" w:type="dxa"/>
            <w:vAlign w:val="bottom"/>
          </w:tcPr>
          <w:p>
            <w:pPr>
              <w:spacing w:after="0"/>
              <w:rPr>
                <w:sz w:val="10"/>
                <w:szCs w:val="10"/>
                <w:color w:val="auto"/>
              </w:rPr>
            </w:pPr>
          </w:p>
        </w:tc>
        <w:tc>
          <w:tcPr>
            <w:tcW w:w="380" w:type="dxa"/>
            <w:vAlign w:val="bottom"/>
            <w:tcBorders>
              <w:top w:val="single" w:sz="8" w:color="auto"/>
            </w:tcBorders>
          </w:tcPr>
          <w:p>
            <w:pPr>
              <w:jc w:val="right"/>
              <w:ind w:right="11"/>
              <w:spacing w:after="0" w:line="121" w:lineRule="exact"/>
              <w:rPr>
                <w:sz w:val="20"/>
                <w:szCs w:val="20"/>
                <w:color w:val="auto"/>
              </w:rPr>
            </w:pPr>
            <w:r>
              <w:rPr>
                <w:rFonts w:ascii="Arial" w:cs="Arial" w:eastAsia="Arial" w:hAnsi="Arial"/>
                <w:sz w:val="12"/>
                <w:szCs w:val="12"/>
                <w:b w:val="1"/>
                <w:bCs w:val="1"/>
                <w:color w:val="auto"/>
              </w:rPr>
              <w:t>2011</w:t>
            </w:r>
          </w:p>
        </w:tc>
        <w:tc>
          <w:tcPr>
            <w:tcW w:w="880" w:type="dxa"/>
            <w:vAlign w:val="bottom"/>
            <w:tcBorders>
              <w:top w:val="single" w:sz="8" w:color="auto"/>
            </w:tcBorders>
            <w:gridSpan w:val="2"/>
          </w:tcPr>
          <w:p>
            <w:pPr>
              <w:jc w:val="right"/>
              <w:ind w:right="80"/>
              <w:spacing w:after="0" w:line="121"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0"/>
                <w:szCs w:val="10"/>
                <w:color w:val="auto"/>
              </w:rPr>
            </w:pPr>
          </w:p>
        </w:tc>
      </w:tr>
      <w:tr>
        <w:trPr>
          <w:trHeight w:val="168"/>
        </w:trPr>
        <w:tc>
          <w:tcPr>
            <w:tcW w:w="734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Joint venture sales in China</w:t>
            </w: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8"/>
        </w:trPr>
        <w:tc>
          <w:tcPr>
            <w:tcW w:w="7340" w:type="dxa"/>
            <w:vAlign w:val="bottom"/>
          </w:tcPr>
          <w:p>
            <w:pPr>
              <w:ind w:left="360"/>
              <w:spacing w:after="0"/>
              <w:rPr>
                <w:sz w:val="20"/>
                <w:szCs w:val="20"/>
                <w:color w:val="auto"/>
              </w:rPr>
            </w:pPr>
            <w:r>
              <w:rPr>
                <w:rFonts w:ascii="Arial" w:cs="Arial" w:eastAsia="Arial" w:hAnsi="Arial"/>
                <w:sz w:val="15"/>
                <w:szCs w:val="15"/>
                <w:color w:val="auto"/>
              </w:rPr>
              <w:t>SGM</w:t>
            </w: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290</w:t>
            </w:r>
          </w:p>
        </w:tc>
        <w:tc>
          <w:tcPr>
            <w:tcW w:w="1400" w:type="dxa"/>
            <w:vAlign w:val="bottom"/>
            <w:gridSpan w:val="3"/>
          </w:tcPr>
          <w:p>
            <w:pPr>
              <w:jc w:val="right"/>
              <w:ind w:right="460"/>
              <w:spacing w:after="0"/>
              <w:rPr>
                <w:sz w:val="20"/>
                <w:szCs w:val="20"/>
                <w:color w:val="auto"/>
              </w:rPr>
            </w:pPr>
            <w:r>
              <w:rPr>
                <w:rFonts w:ascii="Arial" w:cs="Arial" w:eastAsia="Arial" w:hAnsi="Arial"/>
                <w:sz w:val="15"/>
                <w:szCs w:val="15"/>
                <w:color w:val="auto"/>
              </w:rPr>
              <w:t>245</w:t>
            </w:r>
          </w:p>
        </w:tc>
        <w:tc>
          <w:tcPr>
            <w:tcW w:w="380" w:type="dxa"/>
            <w:vAlign w:val="bottom"/>
          </w:tcPr>
          <w:p>
            <w:pPr>
              <w:jc w:val="right"/>
              <w:spacing w:after="0"/>
              <w:rPr>
                <w:sz w:val="20"/>
                <w:szCs w:val="20"/>
                <w:color w:val="auto"/>
              </w:rPr>
            </w:pPr>
            <w:r>
              <w:rPr>
                <w:rFonts w:ascii="Arial" w:cs="Arial" w:eastAsia="Arial" w:hAnsi="Arial"/>
                <w:sz w:val="15"/>
                <w:szCs w:val="15"/>
                <w:color w:val="auto"/>
              </w:rPr>
              <w:t>600</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480</w:t>
            </w:r>
          </w:p>
        </w:tc>
      </w:tr>
      <w:tr>
        <w:trPr>
          <w:trHeight w:val="188"/>
        </w:trPr>
        <w:tc>
          <w:tcPr>
            <w:tcW w:w="73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SGMW and FAW-GM</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296</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340</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727</w:t>
            </w:r>
          </w:p>
        </w:tc>
      </w:tr>
      <w:tr>
        <w:trPr>
          <w:trHeight w:val="188"/>
        </w:trPr>
        <w:tc>
          <w:tcPr>
            <w:tcW w:w="7340" w:type="dxa"/>
            <w:vAlign w:val="bottom"/>
          </w:tcPr>
          <w:p>
            <w:pPr>
              <w:spacing w:after="0"/>
              <w:rPr>
                <w:sz w:val="20"/>
                <w:szCs w:val="20"/>
                <w:color w:val="auto"/>
              </w:rPr>
            </w:pPr>
            <w:r>
              <w:rPr>
                <w:rFonts w:ascii="Arial" w:cs="Arial" w:eastAsia="Arial" w:hAnsi="Arial"/>
                <w:sz w:val="15"/>
                <w:szCs w:val="15"/>
                <w:color w:val="auto"/>
              </w:rPr>
              <w:t>Joint venture sales in India</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73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HKJV</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28</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51</w:t>
            </w:r>
          </w:p>
        </w:tc>
      </w:tr>
    </w:tbl>
    <w:p>
      <w:pPr>
        <w:spacing w:after="0" w:line="63" w:lineRule="exact"/>
        <w:rPr>
          <w:sz w:val="20"/>
          <w:szCs w:val="20"/>
          <w:color w:val="auto"/>
        </w:rPr>
      </w:pPr>
    </w:p>
    <w:p>
      <w:pPr>
        <w:ind w:left="446" w:hanging="446"/>
        <w:spacing w:after="0" w:line="265" w:lineRule="auto"/>
        <w:tabs>
          <w:tab w:leader="none" w:pos="4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joint venture agreements with SGMW and FAW-GM allow for significant rights as a member as well as the contractual right to report SGMW and FAW-GM joint venture vehicle sales in China as part of GM’s global market share.</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Two shift rated, annualized.</w:t>
      </w:r>
    </w:p>
    <w:p>
      <w:pPr>
        <w:spacing w:after="0" w:line="139" w:lineRule="exact"/>
        <w:rPr>
          <w:sz w:val="20"/>
          <w:szCs w:val="20"/>
          <w:color w:val="auto"/>
        </w:rPr>
      </w:pPr>
    </w:p>
    <w:p>
      <w:pPr>
        <w:jc w:val="center"/>
        <w:ind w:right="-305"/>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126"/>
          </w:cols>
          <w:pgMar w:left="234" w:top="258" w:right="5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Income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millions)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w w:val="92"/>
              </w:rPr>
              <w:t>Three Months Ended</w:t>
            </w:r>
          </w:p>
        </w:tc>
        <w:tc>
          <w:tcPr>
            <w:tcW w:w="80" w:type="dxa"/>
            <w:vAlign w:val="bottom"/>
          </w:tcPr>
          <w:p>
            <w:pPr>
              <w:spacing w:after="0"/>
              <w:rPr>
                <w:sz w:val="12"/>
                <w:szCs w:val="12"/>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8"/>
              </w:rPr>
              <w:t>Six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June 30,</w:t>
            </w:r>
          </w:p>
        </w:tc>
        <w:tc>
          <w:tcPr>
            <w:tcW w:w="4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720" w:type="dxa"/>
            <w:vAlign w:val="bottom"/>
            <w:tcBorders>
              <w:bottom w:val="single" w:sz="8" w:color="CCEEFF"/>
            </w:tcBorders>
          </w:tcPr>
          <w:p>
            <w:pPr>
              <w:spacing w:after="0"/>
              <w:rPr>
                <w:sz w:val="10"/>
                <w:szCs w:val="10"/>
                <w:color w:val="auto"/>
              </w:rPr>
            </w:pPr>
          </w:p>
        </w:tc>
        <w:tc>
          <w:tcPr>
            <w:tcW w:w="36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66"/>
              <w:spacing w:after="0" w:line="121" w:lineRule="exact"/>
              <w:rPr>
                <w:sz w:val="20"/>
                <w:szCs w:val="20"/>
                <w:color w:val="auto"/>
              </w:rPr>
            </w:pPr>
            <w:r>
              <w:rPr>
                <w:rFonts w:ascii="Arial" w:cs="Arial" w:eastAsia="Arial" w:hAnsi="Arial"/>
                <w:sz w:val="12"/>
                <w:szCs w:val="12"/>
                <w:b w:val="1"/>
                <w:bCs w:val="1"/>
                <w:color w:val="auto"/>
              </w:rPr>
              <w:t>2011</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64"/>
              <w:spacing w:after="0" w:line="121" w:lineRule="exact"/>
              <w:rPr>
                <w:sz w:val="20"/>
                <w:szCs w:val="20"/>
                <w:color w:val="auto"/>
              </w:rPr>
            </w:pPr>
            <w:r>
              <w:rPr>
                <w:rFonts w:ascii="Arial" w:cs="Arial" w:eastAsia="Arial" w:hAnsi="Arial"/>
                <w:sz w:val="12"/>
                <w:szCs w:val="12"/>
                <w:b w:val="1"/>
                <w:bCs w:val="1"/>
                <w:color w:val="auto"/>
              </w:rPr>
              <w:t>2010</w:t>
            </w:r>
          </w:p>
        </w:tc>
        <w:tc>
          <w:tcPr>
            <w:tcW w:w="3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6"/>
              <w:spacing w:after="0" w:line="121" w:lineRule="exact"/>
              <w:rPr>
                <w:sz w:val="20"/>
                <w:szCs w:val="20"/>
                <w:color w:val="auto"/>
              </w:rPr>
            </w:pPr>
            <w:r>
              <w:rPr>
                <w:rFonts w:ascii="Arial" w:cs="Arial" w:eastAsia="Arial" w:hAnsi="Arial"/>
                <w:sz w:val="12"/>
                <w:szCs w:val="12"/>
                <w:b w:val="1"/>
                <w:bCs w:val="1"/>
                <w:color w:val="auto"/>
                <w:w w:val="97"/>
              </w:rPr>
              <w:t>2011</w:t>
            </w:r>
          </w:p>
        </w:tc>
        <w:tc>
          <w:tcPr>
            <w:tcW w:w="3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4"/>
              <w:spacing w:after="0" w:line="121" w:lineRule="exact"/>
              <w:rPr>
                <w:sz w:val="20"/>
                <w:szCs w:val="20"/>
                <w:color w:val="auto"/>
              </w:rPr>
            </w:pPr>
            <w:r>
              <w:rPr>
                <w:rFonts w:ascii="Arial" w:cs="Arial" w:eastAsia="Arial" w:hAnsi="Arial"/>
                <w:sz w:val="12"/>
                <w:szCs w:val="12"/>
                <w:b w:val="1"/>
                <w:bCs w:val="1"/>
                <w:color w:val="auto"/>
                <w:w w:val="97"/>
              </w:rPr>
              <w:t>2010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Net sales and revenue</w:t>
            </w:r>
          </w:p>
        </w:tc>
        <w:tc>
          <w:tcPr>
            <w:tcW w:w="3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tcPr>
          <w:p>
            <w:pPr>
              <w:ind w:left="360"/>
              <w:spacing w:after="0"/>
              <w:rPr>
                <w:sz w:val="20"/>
                <w:szCs w:val="20"/>
                <w:color w:val="auto"/>
              </w:rPr>
            </w:pPr>
            <w:r>
              <w:rPr>
                <w:rFonts w:ascii="Arial" w:cs="Arial" w:eastAsia="Arial" w:hAnsi="Arial"/>
                <w:sz w:val="15"/>
                <w:szCs w:val="15"/>
                <w:color w:val="auto"/>
              </w:rPr>
              <w:t>Automotive sales and revenue</w:t>
            </w:r>
          </w:p>
        </w:tc>
        <w:tc>
          <w:tcPr>
            <w:tcW w:w="3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39,043</w:t>
            </w:r>
          </w:p>
        </w:tc>
        <w:tc>
          <w:tcPr>
            <w:tcW w:w="1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33,174</w:t>
            </w:r>
          </w:p>
        </w:tc>
        <w:tc>
          <w:tcPr>
            <w:tcW w:w="3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74,942</w:t>
            </w:r>
          </w:p>
        </w:tc>
        <w:tc>
          <w:tcPr>
            <w:tcW w:w="3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64,650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GM Financial revenue</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360"/>
              <w:spacing w:after="0"/>
              <w:rPr>
                <w:sz w:val="20"/>
                <w:szCs w:val="20"/>
                <w:color w:val="auto"/>
              </w:rPr>
            </w:pPr>
            <w:r>
              <w:rPr>
                <w:rFonts w:ascii="Arial" w:cs="Arial" w:eastAsia="Arial" w:hAnsi="Arial"/>
                <w:sz w:val="15"/>
                <w:szCs w:val="15"/>
                <w:color w:val="auto"/>
              </w:rPr>
              <w:t>Total net sales and revenue</w:t>
            </w:r>
          </w:p>
        </w:tc>
        <w:tc>
          <w:tcPr>
            <w:tcW w:w="36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39,373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33,174</w:t>
            </w: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75,567</w:t>
            </w: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64,650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Costs and expenses</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tcPr>
          <w:p>
            <w:pPr>
              <w:ind w:left="360"/>
              <w:spacing w:after="0"/>
              <w:rPr>
                <w:sz w:val="20"/>
                <w:szCs w:val="20"/>
                <w:color w:val="auto"/>
              </w:rPr>
            </w:pPr>
            <w:r>
              <w:rPr>
                <w:rFonts w:ascii="Arial" w:cs="Arial" w:eastAsia="Arial" w:hAnsi="Arial"/>
                <w:sz w:val="15"/>
                <w:szCs w:val="15"/>
                <w:color w:val="auto"/>
              </w:rPr>
              <w:t>Automotive cost of sales</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33,793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28,609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65,478</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56,163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GM Financial operating and other expenses</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tcPr>
          <w:p>
            <w:pPr>
              <w:ind w:left="360"/>
              <w:spacing w:after="0"/>
              <w:rPr>
                <w:sz w:val="20"/>
                <w:szCs w:val="20"/>
                <w:color w:val="auto"/>
              </w:rPr>
            </w:pPr>
            <w:r>
              <w:rPr>
                <w:rFonts w:ascii="Arial" w:cs="Arial" w:eastAsia="Arial" w:hAnsi="Arial"/>
                <w:sz w:val="15"/>
                <w:szCs w:val="15"/>
                <w:color w:val="auto"/>
              </w:rPr>
              <w:t>Automotive selling, general and administrative expense</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2,924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2,623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5,918</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5,307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automotive expenses, net</w:t>
            </w:r>
          </w:p>
        </w:tc>
        <w:tc>
          <w:tcPr>
            <w:tcW w:w="36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3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3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Pr>
          <w:p>
            <w:pPr>
              <w:ind w:left="360"/>
              <w:spacing w:after="0"/>
              <w:rPr>
                <w:sz w:val="20"/>
                <w:szCs w:val="20"/>
                <w:color w:val="auto"/>
              </w:rPr>
            </w:pPr>
            <w:r>
              <w:rPr>
                <w:rFonts w:ascii="Arial" w:cs="Arial" w:eastAsia="Arial" w:hAnsi="Arial"/>
                <w:sz w:val="15"/>
                <w:szCs w:val="15"/>
                <w:color w:val="auto"/>
              </w:rPr>
              <w:t>Total costs and expenses</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36,922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31,271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71,772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61,555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 impairment charges</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Pr>
          <w:p>
            <w:pPr>
              <w:ind w:left="720"/>
              <w:spacing w:after="0"/>
              <w:rPr>
                <w:sz w:val="20"/>
                <w:szCs w:val="20"/>
                <w:color w:val="auto"/>
              </w:rPr>
            </w:pPr>
            <w:r>
              <w:rPr>
                <w:rFonts w:ascii="Arial" w:cs="Arial" w:eastAsia="Arial" w:hAnsi="Arial"/>
                <w:sz w:val="15"/>
                <w:szCs w:val="15"/>
                <w:color w:val="auto"/>
              </w:rPr>
              <w:t>Operating income</w:t>
            </w:r>
          </w:p>
        </w:tc>
        <w:tc>
          <w:tcPr>
            <w:tcW w:w="3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1,903</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3,400</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Automotive interest expense</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Interest income and other non-operating income (expense), net</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(91)</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912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Loss on extinguishment of debt</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Arial" w:cs="Arial" w:eastAsia="Arial" w:hAnsi="Arial"/>
                <w:sz w:val="15"/>
                <w:szCs w:val="15"/>
                <w:color w:val="auto"/>
              </w:rPr>
              <w:t>Income before income taxes and equity income</w:t>
            </w:r>
          </w:p>
        </w:tc>
        <w:tc>
          <w:tcPr>
            <w:tcW w:w="3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2,594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1,562</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3,998</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Equity income, net of tax and gain on disposal of investments</w:t>
            </w:r>
          </w:p>
        </w:tc>
        <w:tc>
          <w:tcPr>
            <w:tcW w:w="3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2,526</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1,612</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6,448</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 attributable to stockholders</w:t>
            </w:r>
          </w:p>
        </w:tc>
        <w:tc>
          <w:tcPr>
            <w:tcW w:w="36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1,536</w:t>
            </w:r>
          </w:p>
        </w:tc>
        <w:tc>
          <w:tcPr>
            <w:tcW w:w="3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6,358</w:t>
            </w:r>
          </w:p>
        </w:tc>
        <w:tc>
          <w:tcPr>
            <w:tcW w:w="3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income attributable to common stockholders</w:t>
            </w:r>
          </w:p>
        </w:tc>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740" w:type="dxa"/>
            <w:vAlign w:val="bottom"/>
            <w:gridSpan w:val="2"/>
            <w:vMerge w:val="continue"/>
          </w:tcPr>
          <w:p>
            <w:pPr>
              <w:spacing w:after="0"/>
              <w:rPr>
                <w:sz w:val="23"/>
                <w:szCs w:val="23"/>
                <w:color w:val="auto"/>
              </w:rPr>
            </w:pPr>
          </w:p>
        </w:tc>
        <w:tc>
          <w:tcPr>
            <w:tcW w:w="3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2,524</w:t>
            </w:r>
          </w:p>
        </w:tc>
        <w:tc>
          <w:tcPr>
            <w:tcW w:w="1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1,334</w:t>
            </w:r>
          </w:p>
        </w:tc>
        <w:tc>
          <w:tcPr>
            <w:tcW w:w="3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5,387</w:t>
            </w:r>
          </w:p>
        </w:tc>
        <w:tc>
          <w:tcPr>
            <w:tcW w:w="3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2,199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20" w:type="dxa"/>
            <w:vAlign w:val="bottom"/>
            <w:vMerge w:val="restart"/>
          </w:tcPr>
          <w:p>
            <w:pPr>
              <w:jc w:val="right"/>
              <w:ind w:right="2484"/>
              <w:spacing w:after="0"/>
              <w:rPr>
                <w:sz w:val="20"/>
                <w:szCs w:val="20"/>
                <w:color w:val="auto"/>
              </w:rPr>
            </w:pPr>
            <w:r>
              <w:rPr>
                <w:rFonts w:ascii="Arial" w:cs="Arial" w:eastAsia="Arial" w:hAnsi="Arial"/>
                <w:sz w:val="15"/>
                <w:szCs w:val="15"/>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8" w:right="219" w:bottom="1440" w:gutter="0" w:footer="0" w:header="0"/>
        </w:sectPr>
      </w:pPr>
    </w:p>
    <w:bookmarkStart w:id="14" w:name="page15"/>
    <w:bookmarkEnd w:id="14"/>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Basic and Diluted Earnings per Share</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51" w:lineRule="exact"/>
        <w:rPr>
          <w:sz w:val="20"/>
          <w:szCs w:val="20"/>
          <w:color w:val="auto"/>
        </w:rPr>
      </w:pPr>
    </w:p>
    <w:p>
      <w:pPr>
        <w:ind w:left="6" w:right="100" w:firstLine="457"/>
        <w:spacing w:after="0" w:line="291" w:lineRule="auto"/>
        <w:rPr>
          <w:sz w:val="20"/>
          <w:szCs w:val="20"/>
          <w:color w:val="auto"/>
        </w:rPr>
      </w:pPr>
      <w:r>
        <w:rPr>
          <w:rFonts w:ascii="Arial" w:cs="Arial" w:eastAsia="Arial" w:hAnsi="Arial"/>
          <w:sz w:val="15"/>
          <w:szCs w:val="15"/>
          <w:color w:val="auto"/>
        </w:rPr>
        <w:t>In the three and six months ended June 30, 2011 GM was required to use the two-class method for calculating earnings per share as the applicable market value of GM’s common stock was outside the range of $33.00 to $39.60 per common share in the period ended June 30, 2011.</w:t>
      </w:r>
    </w:p>
    <w:p>
      <w:pPr>
        <w:spacing w:after="0" w:line="9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following table summarizes basic and diluted earnings per share for three and six months ended June 30, 2011 (in millions, except per share amounts):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Basic</w:t>
            </w:r>
          </w:p>
        </w:tc>
        <w:tc>
          <w:tcPr>
            <w:tcW w:w="56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Diluted</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88"/>
              </w:rPr>
              <w:t>Three Months</w:t>
            </w:r>
          </w:p>
        </w:tc>
        <w:tc>
          <w:tcPr>
            <w:tcW w:w="580" w:type="dxa"/>
            <w:vAlign w:val="bottom"/>
          </w:tcPr>
          <w:p>
            <w:pPr>
              <w:spacing w:after="0"/>
              <w:rPr>
                <w:sz w:val="9"/>
                <w:szCs w:val="9"/>
                <w:color w:val="auto"/>
              </w:rPr>
            </w:pPr>
          </w:p>
        </w:tc>
        <w:tc>
          <w:tcPr>
            <w:tcW w:w="6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3"/>
              </w:rPr>
              <w:t>Six Months</w:t>
            </w:r>
          </w:p>
        </w:tc>
        <w:tc>
          <w:tcPr>
            <w:tcW w:w="580" w:type="dxa"/>
            <w:vAlign w:val="bottom"/>
          </w:tcPr>
          <w:p>
            <w:pPr>
              <w:spacing w:after="0"/>
              <w:rPr>
                <w:sz w:val="9"/>
                <w:szCs w:val="9"/>
                <w:color w:val="auto"/>
              </w:rPr>
            </w:pPr>
          </w:p>
        </w:tc>
        <w:tc>
          <w:tcPr>
            <w:tcW w:w="7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88"/>
              </w:rPr>
              <w:t>Three Months</w:t>
            </w:r>
          </w:p>
        </w:tc>
        <w:tc>
          <w:tcPr>
            <w:tcW w:w="560" w:type="dxa"/>
            <w:vAlign w:val="bottom"/>
          </w:tcPr>
          <w:p>
            <w:pPr>
              <w:spacing w:after="0"/>
              <w:rPr>
                <w:sz w:val="9"/>
                <w:szCs w:val="9"/>
                <w:color w:val="auto"/>
              </w:rPr>
            </w:pPr>
          </w:p>
        </w:tc>
        <w:tc>
          <w:tcPr>
            <w:tcW w:w="7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0"/>
              </w:rPr>
              <w:t>Six Months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6"/>
              <w:spacing w:after="0" w:line="129" w:lineRule="exact"/>
              <w:rPr>
                <w:sz w:val="20"/>
                <w:szCs w:val="20"/>
                <w:color w:val="auto"/>
              </w:rPr>
            </w:pPr>
            <w:r>
              <w:rPr>
                <w:rFonts w:ascii="Arial" w:cs="Arial" w:eastAsia="Arial" w:hAnsi="Arial"/>
                <w:sz w:val="12"/>
                <w:szCs w:val="12"/>
                <w:b w:val="1"/>
                <w:bCs w:val="1"/>
                <w:color w:val="auto"/>
                <w:w w:val="98"/>
              </w:rPr>
              <w:t>Ended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06"/>
              <w:spacing w:after="0" w:line="129" w:lineRule="exact"/>
              <w:rPr>
                <w:sz w:val="20"/>
                <w:szCs w:val="20"/>
                <w:color w:val="auto"/>
              </w:rPr>
            </w:pPr>
            <w:r>
              <w:rPr>
                <w:rFonts w:ascii="Arial" w:cs="Arial" w:eastAsia="Arial" w:hAnsi="Arial"/>
                <w:sz w:val="12"/>
                <w:szCs w:val="12"/>
                <w:b w:val="1"/>
                <w:bCs w:val="1"/>
                <w:color w:val="auto"/>
                <w:w w:val="98"/>
              </w:rPr>
              <w:t>Ended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6"/>
              <w:spacing w:after="0" w:line="129" w:lineRule="exact"/>
              <w:rPr>
                <w:sz w:val="20"/>
                <w:szCs w:val="20"/>
                <w:color w:val="auto"/>
              </w:rPr>
            </w:pPr>
            <w:r>
              <w:rPr>
                <w:rFonts w:ascii="Arial" w:cs="Arial" w:eastAsia="Arial" w:hAnsi="Arial"/>
                <w:sz w:val="12"/>
                <w:szCs w:val="12"/>
                <w:b w:val="1"/>
                <w:bCs w:val="1"/>
                <w:color w:val="auto"/>
                <w:w w:val="98"/>
              </w:rPr>
              <w:t>Ended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June 30, 2011</w:t>
            </w:r>
          </w:p>
        </w:tc>
        <w:tc>
          <w:tcPr>
            <w:tcW w:w="5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84"/>
              </w:rPr>
              <w:t>June 30, 2011</w:t>
            </w:r>
          </w:p>
        </w:tc>
        <w:tc>
          <w:tcPr>
            <w:tcW w:w="5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June 30, 2011</w:t>
            </w:r>
          </w:p>
        </w:tc>
        <w:tc>
          <w:tcPr>
            <w:tcW w:w="5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w w:val="94"/>
              </w:rPr>
              <w:t>June 30, 2011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8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Net income attributable to common stockholders</w:t>
            </w:r>
          </w:p>
        </w:tc>
        <w:tc>
          <w:tcPr>
            <w:tcW w:w="5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Net income attributable to stockholders</w:t>
            </w:r>
          </w:p>
        </w:tc>
        <w:tc>
          <w:tcPr>
            <w:tcW w:w="66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2,992</w:t>
            </w:r>
          </w:p>
        </w:tc>
        <w:tc>
          <w:tcPr>
            <w:tcW w:w="70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6,358</w:t>
            </w:r>
          </w:p>
        </w:tc>
        <w:tc>
          <w:tcPr>
            <w:tcW w:w="7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2,992</w:t>
            </w:r>
          </w:p>
        </w:tc>
        <w:tc>
          <w:tcPr>
            <w:tcW w:w="70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6,358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w w:val="99"/>
              </w:rPr>
              <w:t>Less: cumulative dividends on preferred stock and undistributed earnings allocated to Series B</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Stock participating security(a)</w:t>
            </w:r>
          </w:p>
        </w:tc>
        <w:tc>
          <w:tcPr>
            <w:tcW w:w="5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5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5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00" w:type="dxa"/>
            <w:vAlign w:val="bottom"/>
            <w:gridSpan w:val="2"/>
          </w:tcPr>
          <w:p>
            <w:pPr>
              <w:spacing w:after="0"/>
              <w:rPr>
                <w:sz w:val="20"/>
                <w:szCs w:val="20"/>
                <w:color w:val="auto"/>
              </w:rPr>
            </w:pPr>
            <w:r>
              <w:rPr>
                <w:rFonts w:ascii="Arial" w:cs="Arial" w:eastAsia="Arial" w:hAnsi="Arial"/>
                <w:sz w:val="15"/>
                <w:szCs w:val="15"/>
                <w:color w:val="auto"/>
              </w:rPr>
              <w:t>Net income attributable to common stockholders</w:t>
            </w:r>
          </w:p>
        </w:tc>
        <w:tc>
          <w:tcPr>
            <w:tcW w:w="66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2,524</w:t>
            </w:r>
          </w:p>
        </w:tc>
        <w:tc>
          <w:tcPr>
            <w:tcW w:w="70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5,387</w:t>
            </w:r>
          </w:p>
        </w:tc>
        <w:tc>
          <w:tcPr>
            <w:tcW w:w="7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2,545</w:t>
            </w:r>
          </w:p>
        </w:tc>
        <w:tc>
          <w:tcPr>
            <w:tcW w:w="70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5,434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6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Weighted-average shares outstanding</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Weighted-average common shares outstanding</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1,505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1,505</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1,505</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Dilutive effect of warrants</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Dilutive effect of restricted stock units</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outstanding-diluted</w:t>
            </w:r>
          </w:p>
        </w:tc>
        <w:tc>
          <w:tcPr>
            <w:tcW w:w="5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5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5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1,654</w:t>
            </w: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300" w:type="dxa"/>
            <w:vAlign w:val="bottom"/>
            <w:gridSpan w:val="2"/>
          </w:tcPr>
          <w:p>
            <w:pPr>
              <w:spacing w:after="0"/>
              <w:rPr>
                <w:sz w:val="20"/>
                <w:szCs w:val="20"/>
                <w:color w:val="auto"/>
              </w:rPr>
            </w:pPr>
            <w:r>
              <w:rPr>
                <w:rFonts w:ascii="Arial" w:cs="Arial" w:eastAsia="Arial" w:hAnsi="Arial"/>
                <w:sz w:val="15"/>
                <w:szCs w:val="15"/>
                <w:color w:val="auto"/>
              </w:rPr>
              <w:t>Earnings per share</w:t>
            </w:r>
          </w:p>
        </w:tc>
        <w:tc>
          <w:tcPr>
            <w:tcW w:w="66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1.68</w:t>
            </w:r>
          </w:p>
        </w:tc>
        <w:tc>
          <w:tcPr>
            <w:tcW w:w="70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3.58</w:t>
            </w:r>
          </w:p>
        </w:tc>
        <w:tc>
          <w:tcPr>
            <w:tcW w:w="7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1.54</w:t>
            </w:r>
          </w:p>
        </w:tc>
        <w:tc>
          <w:tcPr>
            <w:tcW w:w="70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39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3" w:lineRule="exact"/>
        <w:rPr>
          <w:sz w:val="20"/>
          <w:szCs w:val="20"/>
          <w:color w:val="auto"/>
        </w:rPr>
      </w:pPr>
    </w:p>
    <w:p>
      <w:pPr>
        <w:jc w:val="both"/>
        <w:ind w:left="446" w:right="20" w:hanging="446"/>
        <w:spacing w:after="0" w:line="305" w:lineRule="auto"/>
        <w:tabs>
          <w:tab w:leader="none" w:pos="44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cumulative dividends on preferred stock of $214 million and $429 million in the three and six months ended June 30, 2011. Earnings of $254 million and $542 million for the three and six months ended June 30, 2011 have been allocated to the Series B Preferred Stock holders for the basic earnings per share calculation. Earnings of $233 million and $495 million for the three and six months ended June 30, 2011 have been allocated to the Series B Preferred Stock holders for the diluted earnings per share calculation.</w:t>
      </w:r>
    </w:p>
    <w:p>
      <w:pPr>
        <w:spacing w:after="0" w:line="91" w:lineRule="exact"/>
        <w:rPr>
          <w:rFonts w:ascii="Arial" w:cs="Arial" w:eastAsia="Arial" w:hAnsi="Arial"/>
          <w:sz w:val="14"/>
          <w:szCs w:val="14"/>
          <w:color w:val="auto"/>
        </w:rPr>
      </w:pPr>
    </w:p>
    <w:p>
      <w:pPr>
        <w:ind w:left="466"/>
        <w:spacing w:after="0"/>
        <w:rPr>
          <w:rFonts w:ascii="Arial" w:cs="Arial" w:eastAsia="Arial" w:hAnsi="Arial"/>
          <w:sz w:val="14"/>
          <w:szCs w:val="14"/>
          <w:color w:val="auto"/>
        </w:rPr>
      </w:pPr>
      <w:r>
        <w:rPr>
          <w:rFonts w:ascii="Arial" w:cs="Arial" w:eastAsia="Arial" w:hAnsi="Arial"/>
          <w:sz w:val="15"/>
          <w:szCs w:val="15"/>
          <w:color w:val="auto"/>
        </w:rPr>
        <w:t>The following table summarizes basic and diluted earnings per share for three and six months ended June 30, 2010 (in millions, except per share amounts):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Basic</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Diluted</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w w:val="99"/>
              </w:rPr>
              <w:t>Three Months</w:t>
            </w:r>
          </w:p>
        </w:tc>
        <w:tc>
          <w:tcPr>
            <w:tcW w:w="500" w:type="dxa"/>
            <w:vAlign w:val="bottom"/>
          </w:tcPr>
          <w:p>
            <w:pPr>
              <w:spacing w:after="0"/>
              <w:rPr>
                <w:sz w:val="9"/>
                <w:szCs w:val="9"/>
                <w:color w:val="auto"/>
              </w:rPr>
            </w:pPr>
          </w:p>
        </w:tc>
        <w:tc>
          <w:tcPr>
            <w:tcW w:w="6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3"/>
              </w:rPr>
              <w:t>Six Months</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88"/>
              </w:rPr>
              <w:t>Three Months</w:t>
            </w:r>
          </w:p>
        </w:tc>
        <w:tc>
          <w:tcPr>
            <w:tcW w:w="580" w:type="dxa"/>
            <w:vAlign w:val="bottom"/>
          </w:tcPr>
          <w:p>
            <w:pPr>
              <w:spacing w:after="0"/>
              <w:rPr>
                <w:sz w:val="9"/>
                <w:szCs w:val="9"/>
                <w:color w:val="auto"/>
              </w:rPr>
            </w:pPr>
          </w:p>
        </w:tc>
        <w:tc>
          <w:tcPr>
            <w:tcW w:w="7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0"/>
              </w:rPr>
              <w:t>Six Months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Ended</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80"/>
              <w:spacing w:after="0" w:line="129" w:lineRule="exact"/>
              <w:rPr>
                <w:sz w:val="20"/>
                <w:szCs w:val="20"/>
                <w:color w:val="auto"/>
              </w:rPr>
            </w:pPr>
            <w:r>
              <w:rPr>
                <w:rFonts w:ascii="Arial" w:cs="Arial" w:eastAsia="Arial" w:hAnsi="Arial"/>
                <w:sz w:val="12"/>
                <w:szCs w:val="12"/>
                <w:b w:val="1"/>
                <w:bCs w:val="1"/>
                <w:color w:val="auto"/>
                <w:w w:val="98"/>
              </w:rPr>
              <w:t>Ended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6"/>
              <w:spacing w:after="0" w:line="129" w:lineRule="exact"/>
              <w:rPr>
                <w:sz w:val="20"/>
                <w:szCs w:val="20"/>
                <w:color w:val="auto"/>
              </w:rPr>
            </w:pPr>
            <w:r>
              <w:rPr>
                <w:rFonts w:ascii="Arial" w:cs="Arial" w:eastAsia="Arial" w:hAnsi="Arial"/>
                <w:sz w:val="12"/>
                <w:szCs w:val="12"/>
                <w:b w:val="1"/>
                <w:bCs w:val="1"/>
                <w:color w:val="auto"/>
                <w:w w:val="98"/>
              </w:rPr>
              <w:t>Ended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7"/>
              </w:rPr>
              <w:t>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w w:val="97"/>
              </w:rPr>
              <w:t>June 30, 2010</w:t>
            </w:r>
          </w:p>
        </w:tc>
        <w:tc>
          <w:tcPr>
            <w:tcW w:w="50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June 30, 2010</w:t>
            </w:r>
          </w:p>
        </w:tc>
        <w:tc>
          <w:tcPr>
            <w:tcW w:w="2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June 30, 2010</w:t>
            </w:r>
          </w:p>
        </w:tc>
        <w:tc>
          <w:tcPr>
            <w:tcW w:w="58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w w:val="97"/>
              </w:rPr>
              <w:t>June 30, 2010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Net income attributable to common stockholders</w:t>
            </w:r>
          </w:p>
        </w:tc>
        <w:tc>
          <w:tcPr>
            <w:tcW w:w="2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Net income attributable to stockholders</w:t>
            </w:r>
          </w:p>
        </w:tc>
        <w:tc>
          <w:tcPr>
            <w:tcW w:w="2460" w:type="dxa"/>
            <w:vAlign w:val="bottom"/>
            <w:gridSpan w:val="2"/>
          </w:tcPr>
          <w:p>
            <w:pPr>
              <w:ind w:left="23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1,536</w:t>
            </w:r>
          </w:p>
        </w:tc>
        <w:tc>
          <w:tcPr>
            <w:tcW w:w="62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2,604</w:t>
            </w:r>
          </w:p>
        </w:tc>
        <w:tc>
          <w:tcPr>
            <w:tcW w:w="42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1,536</w:t>
            </w:r>
          </w:p>
        </w:tc>
        <w:tc>
          <w:tcPr>
            <w:tcW w:w="70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2,604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Less: cumulative dividends on preferred stock</w:t>
            </w:r>
          </w:p>
        </w:tc>
        <w:tc>
          <w:tcPr>
            <w:tcW w:w="2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405</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5"/>
                <w:szCs w:val="15"/>
                <w:color w:val="auto"/>
              </w:rPr>
              <w:t>Net income attributable to common stockholders</w:t>
            </w: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gridSpan w:val="2"/>
            <w:vMerge w:val="continue"/>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1,334</w:t>
            </w:r>
          </w:p>
        </w:tc>
        <w:tc>
          <w:tcPr>
            <w:tcW w:w="80" w:type="dxa"/>
            <w:vAlign w:val="bottom"/>
          </w:tcPr>
          <w:p>
            <w:pPr>
              <w:spacing w:after="0"/>
              <w:rPr>
                <w:sz w:val="16"/>
                <w:szCs w:val="16"/>
                <w:color w:val="auto"/>
              </w:rPr>
            </w:pPr>
          </w:p>
        </w:tc>
        <w:tc>
          <w:tcPr>
            <w:tcW w:w="62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2,199</w:t>
            </w:r>
          </w:p>
        </w:tc>
        <w:tc>
          <w:tcPr>
            <w:tcW w:w="42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1,334</w:t>
            </w:r>
          </w:p>
        </w:tc>
        <w:tc>
          <w:tcPr>
            <w:tcW w:w="70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Weighted-average shares outstanding</w:t>
            </w:r>
          </w:p>
        </w:tc>
        <w:tc>
          <w:tcPr>
            <w:tcW w:w="2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Weighted-average common shares outstanding</w:t>
            </w: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1,500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1,500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1,500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Dilutive effect of warrants</w:t>
            </w:r>
          </w:p>
        </w:tc>
        <w:tc>
          <w:tcPr>
            <w:tcW w:w="23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5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80" w:type="dxa"/>
            <w:vAlign w:val="bottom"/>
            <w:gridSpan w:val="2"/>
          </w:tcPr>
          <w:p>
            <w:pPr>
              <w:spacing w:after="0"/>
              <w:rPr>
                <w:sz w:val="20"/>
                <w:szCs w:val="20"/>
                <w:color w:val="auto"/>
              </w:rPr>
            </w:pPr>
            <w:r>
              <w:rPr>
                <w:rFonts w:ascii="Arial" w:cs="Arial" w:eastAsia="Arial" w:hAnsi="Arial"/>
                <w:sz w:val="15"/>
                <w:szCs w:val="15"/>
                <w:color w:val="auto"/>
              </w:rPr>
              <w:t>Weighted-average common shares outstanding-diluted</w:t>
            </w: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1,500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1,500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1,567</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2460" w:type="dxa"/>
            <w:vAlign w:val="bottom"/>
            <w:gridSpan w:val="2"/>
            <w:shd w:val="clear" w:color="auto" w:fill="CCEEFF"/>
          </w:tcPr>
          <w:p>
            <w:pPr>
              <w:ind w:left="23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0.89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1.47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0.85</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20" w:type="dxa"/>
            <w:vAlign w:val="bottom"/>
          </w:tcPr>
          <w:p>
            <w:pPr>
              <w:jc w:val="right"/>
              <w:ind w:right="944"/>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6"/>
          </w:cols>
          <w:pgMar w:left="234" w:top="258"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millions, except share amounts)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June 30, 2011</w:t>
            </w:r>
          </w:p>
        </w:tc>
        <w:tc>
          <w:tcPr>
            <w:tcW w:w="32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w w:val="94"/>
              </w:rPr>
              <w:t>December 31, 2010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760" w:type="dxa"/>
            <w:vAlign w:val="bottom"/>
            <w:tcBorders>
              <w:top w:val="single" w:sz="8" w:color="CCEEFF"/>
            </w:tcBorders>
            <w:shd w:val="clear" w:color="auto" w:fill="CCEEFF"/>
          </w:tcPr>
          <w:p>
            <w:pPr>
              <w:ind w:left="3960"/>
              <w:spacing w:after="0" w:line="168" w:lineRule="exact"/>
              <w:rPr>
                <w:sz w:val="20"/>
                <w:szCs w:val="20"/>
                <w:color w:val="auto"/>
              </w:rPr>
            </w:pPr>
            <w:r>
              <w:rPr>
                <w:rFonts w:ascii="Arial" w:cs="Arial" w:eastAsia="Arial" w:hAnsi="Arial"/>
                <w:sz w:val="15"/>
                <w:szCs w:val="15"/>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b w:val="1"/>
                <w:bCs w:val="1"/>
                <w:color w:val="auto"/>
              </w:rPr>
              <w:t>Automotive Current Assets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20,471</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Marketable securities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12,298</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and notes receivable (net of allowance of $363 and $252)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11,789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Inventories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14,105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12,125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on operating leases, net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4,180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Other current assets and deferred income taxes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current assets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65,984</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53,053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b w:val="1"/>
                <w:bCs w:val="1"/>
                <w:color w:val="auto"/>
              </w:rPr>
              <w:t>Automotive Non-current Assets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Equity in net assets of nonconsolidated affiliates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7,160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Property, net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20,989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19,235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28,767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Intangible assets, net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11,083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11,882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 and deferred income taxes</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4,323</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Total non-current assets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72,322</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Automotive Assets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9"/>
              </w:rPr>
              <w:t>138,306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127,966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b w:val="1"/>
                <w:bCs w:val="1"/>
                <w:color w:val="auto"/>
              </w:rPr>
              <w:t>GM Financial Assets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Finance receivables, net (including gross finance receivables transferred to SPEs of $8,333 and $7,156)</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8,587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8,197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Restricted cash</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1,125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1,279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Other assets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1,118</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GM Financial Assets</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12,109</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8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44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w w:val="99"/>
              </w:rPr>
              <w:t>150,415</w:t>
            </w:r>
          </w:p>
        </w:tc>
        <w:tc>
          <w:tcPr>
            <w:tcW w:w="5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138,898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760" w:type="dxa"/>
            <w:vAlign w:val="bottom"/>
            <w:shd w:val="clear" w:color="auto" w:fill="CCEEFF"/>
          </w:tcPr>
          <w:p>
            <w:pPr>
              <w:ind w:left="3280"/>
              <w:spacing w:after="0"/>
              <w:rPr>
                <w:sz w:val="20"/>
                <w:szCs w:val="20"/>
                <w:color w:val="auto"/>
              </w:rPr>
            </w:pPr>
            <w:r>
              <w:rPr>
                <w:rFonts w:ascii="Arial" w:cs="Arial" w:eastAsia="Arial" w:hAnsi="Arial"/>
                <w:sz w:val="15"/>
                <w:szCs w:val="15"/>
                <w:b w:val="1"/>
                <w:bCs w:val="1"/>
                <w:color w:val="auto"/>
              </w:rPr>
              <w:t>LIABILITIES AND EQUITY</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b w:val="1"/>
                <w:bCs w:val="1"/>
                <w:color w:val="auto"/>
              </w:rPr>
              <w:t>Automotive Current Liabilities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 (principally trade)</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25,412</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21,497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Short-term debt and current portion of long-term debt (including debt at GM Korea of $157 and $70)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2,027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liabilities (including derivative liabilities at GM Korea of $19 and $111)</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26,409</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53,848</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47,157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Automotive Non-current Liabilities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Long-term debt (including certain debt at GM Korea of $8 and $835)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2,690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Postretirement benefits other than pensions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9,379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Pensions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21,389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21,894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 and deferred income taxes</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12,887</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13,021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Total non-current liabilities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46,345</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Automotive Liabilities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9"/>
              </w:rPr>
              <w:t>100,193</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94,380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b w:val="1"/>
                <w:bCs w:val="1"/>
                <w:color w:val="auto"/>
              </w:rPr>
              <w:t>GM Financial Liabilities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Securitization notes payable</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6,881</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rPr>
              <w:t>Credit facilities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423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tcPr>
          <w:p>
            <w:pPr>
              <w:ind w:left="360"/>
              <w:spacing w:after="0"/>
              <w:rPr>
                <w:sz w:val="20"/>
                <w:szCs w:val="20"/>
                <w:color w:val="auto"/>
              </w:rPr>
            </w:pPr>
            <w:r>
              <w:rPr>
                <w:rFonts w:ascii="Arial" w:cs="Arial" w:eastAsia="Arial" w:hAnsi="Arial"/>
                <w:sz w:val="15"/>
                <w:szCs w:val="15"/>
                <w:b w:val="1"/>
                <w:bCs w:val="1"/>
                <w:color w:val="auto"/>
              </w:rPr>
              <w:t>Total GM Financial Liabilities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8,190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9"/>
              </w:rPr>
              <w:t>108,383</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101,739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Equity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color w:val="auto"/>
              </w:rPr>
              <w:t>Preferred stock, $0.01 par value, 2,000,000,000 shares authorized: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60" w:type="dxa"/>
            <w:vAlign w:val="bottom"/>
            <w:shd w:val="clear" w:color="auto" w:fill="CCEEFF"/>
          </w:tcPr>
          <w:p>
            <w:pPr>
              <w:ind w:left="360"/>
              <w:spacing w:after="0"/>
              <w:rPr>
                <w:sz w:val="20"/>
                <w:szCs w:val="20"/>
                <w:color w:val="auto"/>
              </w:rPr>
            </w:pPr>
            <w:r>
              <w:rPr>
                <w:rFonts w:ascii="Arial" w:cs="Arial" w:eastAsia="Arial" w:hAnsi="Arial"/>
                <w:sz w:val="15"/>
                <w:szCs w:val="15"/>
                <w:color w:val="auto"/>
                <w:w w:val="94"/>
              </w:rPr>
              <w:t>Series A (276,101,695 shares issued and outstanding (each with a $25.00 liquidation preference) at June 30, 2011 and December 31,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shd w:val="clear" w:color="auto" w:fill="CCEEFF"/>
          </w:tcPr>
          <w:p>
            <w:pPr>
              <w:jc w:val="right"/>
              <w:ind w:right="7784"/>
              <w:spacing w:after="0"/>
              <w:rPr>
                <w:sz w:val="20"/>
                <w:szCs w:val="20"/>
                <w:color w:val="auto"/>
              </w:rPr>
            </w:pPr>
            <w:r>
              <w:rPr>
                <w:rFonts w:ascii="Arial" w:cs="Arial" w:eastAsia="Arial" w:hAnsi="Arial"/>
                <w:sz w:val="15"/>
                <w:szCs w:val="15"/>
                <w:color w:val="auto"/>
              </w:rPr>
              <w:t>2010)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5,536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60" w:type="dxa"/>
            <w:vAlign w:val="bottom"/>
          </w:tcPr>
          <w:p>
            <w:pPr>
              <w:ind w:left="360"/>
              <w:spacing w:after="0"/>
              <w:rPr>
                <w:sz w:val="20"/>
                <w:szCs w:val="20"/>
                <w:color w:val="auto"/>
              </w:rPr>
            </w:pPr>
            <w:r>
              <w:rPr>
                <w:rFonts w:ascii="Arial" w:cs="Arial" w:eastAsia="Arial" w:hAnsi="Arial"/>
                <w:sz w:val="15"/>
                <w:szCs w:val="15"/>
                <w:color w:val="auto"/>
                <w:w w:val="94"/>
              </w:rPr>
              <w:t>Series B (100,000,000 shares issued and outstanding (each with a $50.00 liquidation preference)at June 30, 2011 and December 31,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780" w:type="dxa"/>
            <w:vAlign w:val="bottom"/>
            <w:gridSpan w:val="2"/>
          </w:tcPr>
          <w:p>
            <w:pPr>
              <w:jc w:val="right"/>
              <w:ind w:right="7784"/>
              <w:spacing w:after="0"/>
              <w:rPr>
                <w:sz w:val="20"/>
                <w:szCs w:val="20"/>
                <w:color w:val="auto"/>
              </w:rPr>
            </w:pPr>
            <w:r>
              <w:rPr>
                <w:rFonts w:ascii="Arial" w:cs="Arial" w:eastAsia="Arial" w:hAnsi="Arial"/>
                <w:sz w:val="15"/>
                <w:szCs w:val="15"/>
                <w:color w:val="auto"/>
              </w:rPr>
              <w:t>2010)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4,855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Common stock, $0.01 par value (5,000,000,000 shares authorized, 1,561,450,455 and</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6"/>
              </w:rPr>
              <w:t>1,500,844,394 shares issued and outstanding at June 30, 2011 and 1,500,136,998 shares issued and outstanding at December 31,</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2010)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color w:val="auto"/>
              </w:rPr>
              <w:t>Capital surplus (principally additional paid-in capital)</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24,412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24,257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4,729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41,118</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5"/>
                <w:szCs w:val="15"/>
                <w:color w:val="auto"/>
              </w:rPr>
              <w:t>Noncontrolling interests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Equity</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42,032</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8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Equity</w:t>
            </w:r>
          </w:p>
        </w:tc>
        <w:tc>
          <w:tcPr>
            <w:tcW w:w="44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w w:val="99"/>
              </w:rPr>
              <w:t>150,415</w:t>
            </w:r>
          </w:p>
        </w:tc>
        <w:tc>
          <w:tcPr>
            <w:tcW w:w="5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138,898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jc w:val="right"/>
              <w:ind w:right="2904"/>
              <w:spacing w:after="0"/>
              <w:rPr>
                <w:sz w:val="20"/>
                <w:szCs w:val="20"/>
                <w:color w:val="auto"/>
              </w:rPr>
            </w:pPr>
            <w:r>
              <w:rPr>
                <w:rFonts w:ascii="Arial" w:cs="Arial" w:eastAsia="Arial" w:hAnsi="Arial"/>
                <w:sz w:val="15"/>
                <w:szCs w:val="15"/>
                <w:color w:val="auto"/>
              </w:rPr>
              <w:t>12</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8" w:right="219" w:bottom="1440" w:gutter="0" w:footer="0" w:header="0"/>
        </w:sectPr>
      </w:pPr>
    </w:p>
    <w:bookmarkStart w:id="16" w:name="page17"/>
    <w:bookmarkEnd w:id="1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0"/>
        <w:spacing w:after="0"/>
        <w:rPr>
          <w:sz w:val="20"/>
          <w:szCs w:val="20"/>
          <w:color w:val="auto"/>
        </w:rPr>
      </w:pPr>
      <w:r>
        <w:rPr>
          <w:rFonts w:ascii="Arial" w:cs="Arial" w:eastAsia="Arial" w:hAnsi="Arial"/>
          <w:sz w:val="48"/>
          <w:szCs w:val="48"/>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48"/>
          <w:szCs w:val="48"/>
          <w:b w:val="1"/>
          <w:bCs w:val="1"/>
          <w:color w:val="auto"/>
        </w:rPr>
        <w:t>Q2 2011 Results</w:t>
      </w:r>
    </w:p>
    <w:p>
      <w:pPr>
        <w:spacing w:after="0" w:line="200" w:lineRule="exact"/>
        <w:rPr>
          <w:sz w:val="20"/>
          <w:szCs w:val="20"/>
          <w:color w:val="auto"/>
        </w:rPr>
      </w:pPr>
    </w:p>
    <w:p>
      <w:pPr>
        <w:spacing w:after="0" w:line="215" w:lineRule="exact"/>
        <w:rPr>
          <w:sz w:val="20"/>
          <w:szCs w:val="20"/>
          <w:color w:val="auto"/>
        </w:rPr>
      </w:pPr>
    </w:p>
    <w:p>
      <w:pPr>
        <w:ind w:left="3300"/>
        <w:spacing w:after="0"/>
        <w:rPr>
          <w:sz w:val="20"/>
          <w:szCs w:val="20"/>
          <w:color w:val="auto"/>
        </w:rPr>
      </w:pPr>
      <w:r>
        <w:rPr>
          <w:rFonts w:ascii="Arial" w:cs="Arial" w:eastAsia="Arial" w:hAnsi="Arial"/>
          <w:sz w:val="38"/>
          <w:szCs w:val="38"/>
          <w:color w:val="auto"/>
        </w:rPr>
        <w:t>August 4, 2011</w:t>
      </w:r>
    </w:p>
    <w:p>
      <w:pPr>
        <w:sectPr>
          <w:pgSz w:w="11900" w:h="16838" w:orient="portrait"/>
          <w:cols w:equalWidth="0" w:num="1">
            <w:col w:w="10100"/>
          </w:cols>
          <w:pgMar w:left="1440" w:top="310" w:right="359" w:bottom="1440" w:gutter="0" w:footer="0" w:header="0"/>
        </w:sectPr>
      </w:pPr>
    </w:p>
    <w:bookmarkStart w:id="17" w:name="page18"/>
    <w:bookmarkEnd w:id="17"/>
    <w:p>
      <w:pPr>
        <w:ind w:left="2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right="1180"/>
        <w:spacing w:after="0" w:line="241" w:lineRule="auto"/>
        <w:rPr>
          <w:sz w:val="20"/>
          <w:szCs w:val="20"/>
          <w:color w:val="auto"/>
        </w:rPr>
      </w:pPr>
      <w:r>
        <w:rPr>
          <w:rFonts w:ascii="Arial" w:cs="Arial" w:eastAsia="Arial" w:hAnsi="Arial"/>
          <w:sz w:val="22"/>
          <w:szCs w:val="22"/>
          <w:i w:val="1"/>
          <w:iCs w:val="1"/>
          <w:color w:val="auto"/>
        </w:rPr>
        <w:t>In this presentation and in related comments by our management, our use of the words “expect,” “anticipate,” “possible,” “potential,” “target,” “believe,” “commit,” “intend,” “continue,” “may,” “would,” “could,” “should,” “project,” “projected,” “positioned” or similar expressions is intended to identify forward 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suppliers’ ability to deliver parts, systems and components at such times to allow us to meet production schedules; our ability to maintain adequate liquidity and financing sources and an appropriate level of debt, including as required to fund our planned significant investment in new technology; our ability to realize successful vehicle applications of new technology; and our ability to continue to attract new customers, particularly for our new products.</w:t>
      </w:r>
    </w:p>
    <w:p>
      <w:pPr>
        <w:spacing w:after="0" w:line="225" w:lineRule="exact"/>
        <w:rPr>
          <w:sz w:val="20"/>
          <w:szCs w:val="20"/>
          <w:color w:val="auto"/>
        </w:rPr>
      </w:pPr>
    </w:p>
    <w:p>
      <w:pPr>
        <w:ind w:left="640" w:right="1360"/>
        <w:spacing w:after="0" w:line="252" w:lineRule="auto"/>
        <w:rPr>
          <w:sz w:val="20"/>
          <w:szCs w:val="20"/>
          <w:color w:val="auto"/>
        </w:rPr>
      </w:pPr>
      <w:r>
        <w:rPr>
          <w:rFonts w:ascii="Arial" w:cs="Arial" w:eastAsia="Arial" w:hAnsi="Arial"/>
          <w:sz w:val="22"/>
          <w:szCs w:val="22"/>
          <w:i w:val="1"/>
          <w:iCs w:val="1"/>
          <w:color w:val="auto"/>
        </w:rPr>
        <w:t>GM's most recent annual report on Form 10-K and quarterly report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w:t>
      </w:r>
    </w:p>
    <w:p>
      <w:pPr>
        <w:sectPr>
          <w:pgSz w:w="11900" w:h="16838" w:orient="portrait"/>
          <w:cols w:equalWidth="0" w:num="1">
            <w:col w:w="9460"/>
          </w:cols>
          <w:pgMar w:left="1440" w:top="597" w:right="999" w:bottom="1440" w:gutter="0" w:footer="0" w:header="0"/>
        </w:sectPr>
      </w:pPr>
    </w:p>
    <w:bookmarkStart w:id="18" w:name="page19"/>
    <w:bookmarkEnd w:id="18"/>
    <w:p>
      <w:pPr>
        <w:ind w:left="2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Second Quarter 2011 Highlights</w:t>
      </w:r>
    </w:p>
    <w:p>
      <w:pPr>
        <w:spacing w:after="0" w:line="200" w:lineRule="exact"/>
        <w:rPr>
          <w:sz w:val="20"/>
          <w:szCs w:val="20"/>
          <w:color w:val="auto"/>
        </w:rPr>
      </w:pPr>
    </w:p>
    <w:p>
      <w:pPr>
        <w:spacing w:after="0" w:line="250" w:lineRule="exact"/>
        <w:rPr>
          <w:sz w:val="20"/>
          <w:szCs w:val="20"/>
          <w:color w:val="auto"/>
        </w:rPr>
      </w:pPr>
    </w:p>
    <w:tbl>
      <w:tblPr>
        <w:tblLayout w:type="fixed"/>
        <w:tblInd w:w="740" w:type="dxa"/>
        <w:tblCellMar>
          <w:top w:w="0" w:type="dxa"/>
          <w:left w:w="0" w:type="dxa"/>
          <w:bottom w:w="0" w:type="dxa"/>
          <w:right w:w="0" w:type="dxa"/>
        </w:tblCellMar>
      </w:tblPr>
      <w:tr>
        <w:trPr>
          <w:trHeight w:val="341"/>
        </w:trPr>
        <w:tc>
          <w:tcPr>
            <w:tcW w:w="3900" w:type="dxa"/>
            <w:vAlign w:val="bottom"/>
          </w:tcPr>
          <w:p>
            <w:pPr>
              <w:spacing w:after="0"/>
              <w:rPr>
                <w:sz w:val="24"/>
                <w:szCs w:val="24"/>
                <w:color w:val="auto"/>
              </w:rPr>
            </w:pPr>
          </w:p>
        </w:tc>
        <w:tc>
          <w:tcPr>
            <w:tcW w:w="1760" w:type="dxa"/>
            <w:vAlign w:val="bottom"/>
            <w:vMerge w:val="restart"/>
          </w:tcPr>
          <w:p>
            <w:pPr>
              <w:jc w:val="right"/>
              <w:ind w:right="148"/>
              <w:spacing w:after="0"/>
              <w:rPr>
                <w:sz w:val="20"/>
                <w:szCs w:val="20"/>
                <w:color w:val="auto"/>
              </w:rPr>
            </w:pPr>
            <w:r>
              <w:rPr>
                <w:rFonts w:ascii="Arial" w:cs="Arial" w:eastAsia="Arial" w:hAnsi="Arial"/>
                <w:sz w:val="32"/>
                <w:szCs w:val="32"/>
                <w:b w:val="1"/>
                <w:bCs w:val="1"/>
                <w:color w:val="auto"/>
              </w:rPr>
              <w:t>Q2 ‘11</w:t>
            </w:r>
          </w:p>
        </w:tc>
        <w:tc>
          <w:tcPr>
            <w:tcW w:w="1300" w:type="dxa"/>
            <w:vAlign w:val="bottom"/>
          </w:tcPr>
          <w:p>
            <w:pPr>
              <w:jc w:val="center"/>
              <w:ind w:left="39"/>
              <w:spacing w:after="0"/>
              <w:rPr>
                <w:sz w:val="20"/>
                <w:szCs w:val="20"/>
                <w:color w:val="auto"/>
              </w:rPr>
            </w:pPr>
            <w:r>
              <w:rPr>
                <w:rFonts w:ascii="Arial" w:cs="Arial" w:eastAsia="Arial" w:hAnsi="Arial"/>
                <w:sz w:val="28"/>
                <w:szCs w:val="28"/>
                <w:b w:val="1"/>
                <w:bCs w:val="1"/>
                <w:color w:val="auto"/>
              </w:rPr>
              <w:t>F/(U) vs.</w:t>
            </w:r>
          </w:p>
        </w:tc>
        <w:tc>
          <w:tcPr>
            <w:tcW w:w="0" w:type="dxa"/>
            <w:vAlign w:val="bottom"/>
          </w:tcPr>
          <w:p>
            <w:pPr>
              <w:spacing w:after="0"/>
              <w:rPr>
                <w:sz w:val="1"/>
                <w:szCs w:val="1"/>
                <w:color w:val="auto"/>
              </w:rPr>
            </w:pPr>
          </w:p>
        </w:tc>
      </w:tr>
      <w:tr>
        <w:trPr>
          <w:trHeight w:val="385"/>
        </w:trPr>
        <w:tc>
          <w:tcPr>
            <w:tcW w:w="39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300" w:type="dxa"/>
            <w:vAlign w:val="bottom"/>
          </w:tcPr>
          <w:p>
            <w:pPr>
              <w:jc w:val="center"/>
              <w:ind w:left="79"/>
              <w:spacing w:after="0"/>
              <w:rPr>
                <w:sz w:val="20"/>
                <w:szCs w:val="20"/>
                <w:color w:val="auto"/>
              </w:rPr>
            </w:pPr>
            <w:r>
              <w:rPr>
                <w:rFonts w:ascii="Arial" w:cs="Arial" w:eastAsia="Arial" w:hAnsi="Arial"/>
                <w:sz w:val="28"/>
                <w:szCs w:val="28"/>
                <w:b w:val="1"/>
                <w:bCs w:val="1"/>
                <w:color w:val="auto"/>
                <w:w w:val="99"/>
              </w:rPr>
              <w:t>Q2 ‘10</w:t>
            </w:r>
          </w:p>
        </w:tc>
        <w:tc>
          <w:tcPr>
            <w:tcW w:w="0" w:type="dxa"/>
            <w:vAlign w:val="bottom"/>
          </w:tcPr>
          <w:p>
            <w:pPr>
              <w:spacing w:after="0"/>
              <w:rPr>
                <w:sz w:val="1"/>
                <w:szCs w:val="1"/>
                <w:color w:val="auto"/>
              </w:rPr>
            </w:pPr>
          </w:p>
        </w:tc>
      </w:tr>
      <w:tr>
        <w:trPr>
          <w:trHeight w:val="653"/>
        </w:trPr>
        <w:tc>
          <w:tcPr>
            <w:tcW w:w="3900" w:type="dxa"/>
            <w:vAlign w:val="bottom"/>
          </w:tcPr>
          <w:p>
            <w:pPr>
              <w:spacing w:after="0"/>
              <w:rPr>
                <w:sz w:val="20"/>
                <w:szCs w:val="20"/>
                <w:color w:val="auto"/>
              </w:rPr>
            </w:pPr>
            <w:r>
              <w:rPr>
                <w:rFonts w:ascii="Arial" w:cs="Arial" w:eastAsia="Arial" w:hAnsi="Arial"/>
                <w:sz w:val="38"/>
                <w:szCs w:val="38"/>
                <w:color w:val="auto"/>
              </w:rPr>
              <w:t>Global Deliveries</w:t>
            </w:r>
          </w:p>
        </w:tc>
        <w:tc>
          <w:tcPr>
            <w:tcW w:w="1760" w:type="dxa"/>
            <w:vAlign w:val="bottom"/>
          </w:tcPr>
          <w:p>
            <w:pPr>
              <w:jc w:val="right"/>
              <w:ind w:right="208"/>
              <w:spacing w:after="0"/>
              <w:rPr>
                <w:sz w:val="20"/>
                <w:szCs w:val="20"/>
                <w:color w:val="auto"/>
              </w:rPr>
            </w:pPr>
            <w:r>
              <w:rPr>
                <w:rFonts w:ascii="Arial" w:cs="Arial" w:eastAsia="Arial" w:hAnsi="Arial"/>
                <w:sz w:val="38"/>
                <w:szCs w:val="38"/>
                <w:color w:val="auto"/>
              </w:rPr>
              <w:t>2.3M</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3900" w:type="dxa"/>
            <w:vAlign w:val="bottom"/>
          </w:tcPr>
          <w:p>
            <w:pPr>
              <w:spacing w:after="0"/>
              <w:rPr>
                <w:sz w:val="20"/>
                <w:szCs w:val="20"/>
                <w:color w:val="auto"/>
              </w:rPr>
            </w:pPr>
            <w:r>
              <w:rPr>
                <w:rFonts w:ascii="Arial" w:cs="Arial" w:eastAsia="Arial" w:hAnsi="Arial"/>
                <w:sz w:val="38"/>
                <w:szCs w:val="38"/>
                <w:color w:val="auto"/>
              </w:rPr>
              <w:t>Net Revenue</w:t>
            </w:r>
          </w:p>
        </w:tc>
        <w:tc>
          <w:tcPr>
            <w:tcW w:w="1760" w:type="dxa"/>
            <w:vAlign w:val="bottom"/>
          </w:tcPr>
          <w:p>
            <w:pPr>
              <w:jc w:val="right"/>
              <w:ind w:right="28"/>
              <w:spacing w:after="0"/>
              <w:rPr>
                <w:sz w:val="20"/>
                <w:szCs w:val="20"/>
                <w:color w:val="auto"/>
              </w:rPr>
            </w:pPr>
            <w:r>
              <w:rPr>
                <w:rFonts w:ascii="Arial" w:cs="Arial" w:eastAsia="Arial" w:hAnsi="Arial"/>
                <w:sz w:val="38"/>
                <w:szCs w:val="38"/>
                <w:color w:val="auto"/>
              </w:rPr>
              <w:t>$39.4B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3900" w:type="dxa"/>
            <w:vAlign w:val="bottom"/>
          </w:tcPr>
          <w:p>
            <w:pPr>
              <w:spacing w:after="0"/>
              <w:rPr>
                <w:sz w:val="20"/>
                <w:szCs w:val="20"/>
                <w:color w:val="auto"/>
              </w:rPr>
            </w:pPr>
            <w:r>
              <w:rPr>
                <w:rFonts w:ascii="Arial" w:cs="Arial" w:eastAsia="Arial" w:hAnsi="Arial"/>
                <w:sz w:val="38"/>
                <w:szCs w:val="38"/>
                <w:color w:val="auto"/>
              </w:rPr>
              <w:t>EBIT - Adj.</w:t>
            </w:r>
          </w:p>
        </w:tc>
        <w:tc>
          <w:tcPr>
            <w:tcW w:w="1760" w:type="dxa"/>
            <w:vAlign w:val="bottom"/>
          </w:tcPr>
          <w:p>
            <w:pPr>
              <w:jc w:val="right"/>
              <w:ind w:right="128"/>
              <w:spacing w:after="0"/>
              <w:rPr>
                <w:sz w:val="20"/>
                <w:szCs w:val="20"/>
                <w:color w:val="auto"/>
              </w:rPr>
            </w:pPr>
            <w:r>
              <w:rPr>
                <w:rFonts w:ascii="Arial" w:cs="Arial" w:eastAsia="Arial" w:hAnsi="Arial"/>
                <w:sz w:val="38"/>
                <w:szCs w:val="38"/>
                <w:color w:val="auto"/>
              </w:rPr>
              <w:t>$3.0B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3900" w:type="dxa"/>
            <w:vAlign w:val="bottom"/>
          </w:tcPr>
          <w:p>
            <w:pPr>
              <w:ind w:left="280"/>
              <w:spacing w:after="0"/>
              <w:rPr>
                <w:sz w:val="20"/>
                <w:szCs w:val="20"/>
                <w:color w:val="auto"/>
              </w:rPr>
            </w:pPr>
            <w:r>
              <w:rPr>
                <w:rFonts w:ascii="Arial" w:cs="Arial" w:eastAsia="Arial" w:hAnsi="Arial"/>
                <w:sz w:val="32"/>
                <w:szCs w:val="32"/>
                <w:color w:val="auto"/>
              </w:rPr>
              <w:t>- GMNA</w:t>
            </w:r>
          </w:p>
        </w:tc>
        <w:tc>
          <w:tcPr>
            <w:tcW w:w="1760" w:type="dxa"/>
            <w:vAlign w:val="bottom"/>
          </w:tcPr>
          <w:p>
            <w:pPr>
              <w:jc w:val="right"/>
              <w:ind w:right="208"/>
              <w:spacing w:after="0"/>
              <w:rPr>
                <w:sz w:val="20"/>
                <w:szCs w:val="20"/>
                <w:color w:val="auto"/>
              </w:rPr>
            </w:pPr>
            <w:r>
              <w:rPr>
                <w:rFonts w:ascii="Arial" w:cs="Arial" w:eastAsia="Arial" w:hAnsi="Arial"/>
                <w:sz w:val="32"/>
                <w:szCs w:val="32"/>
                <w:color w:val="auto"/>
              </w:rPr>
              <w:t>$2.2B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900" w:type="dxa"/>
            <w:vAlign w:val="bottom"/>
          </w:tcPr>
          <w:p>
            <w:pPr>
              <w:ind w:left="280"/>
              <w:spacing w:after="0"/>
              <w:rPr>
                <w:sz w:val="20"/>
                <w:szCs w:val="20"/>
                <w:color w:val="auto"/>
              </w:rPr>
            </w:pPr>
            <w:r>
              <w:rPr>
                <w:rFonts w:ascii="Arial" w:cs="Arial" w:eastAsia="Arial" w:hAnsi="Arial"/>
                <w:sz w:val="32"/>
                <w:szCs w:val="32"/>
                <w:color w:val="auto"/>
              </w:rPr>
              <w:t>- GME</w:t>
            </w:r>
          </w:p>
        </w:tc>
        <w:tc>
          <w:tcPr>
            <w:tcW w:w="1760" w:type="dxa"/>
            <w:vAlign w:val="bottom"/>
          </w:tcPr>
          <w:p>
            <w:pPr>
              <w:jc w:val="right"/>
              <w:ind w:right="208"/>
              <w:spacing w:after="0"/>
              <w:rPr>
                <w:sz w:val="20"/>
                <w:szCs w:val="20"/>
                <w:color w:val="auto"/>
              </w:rPr>
            </w:pPr>
            <w:r>
              <w:rPr>
                <w:rFonts w:ascii="Arial" w:cs="Arial" w:eastAsia="Arial" w:hAnsi="Arial"/>
                <w:sz w:val="32"/>
                <w:szCs w:val="32"/>
                <w:color w:val="auto"/>
              </w:rPr>
              <w:t>$0.1B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900" w:type="dxa"/>
            <w:vAlign w:val="bottom"/>
          </w:tcPr>
          <w:p>
            <w:pPr>
              <w:ind w:left="280"/>
              <w:spacing w:after="0"/>
              <w:rPr>
                <w:sz w:val="20"/>
                <w:szCs w:val="20"/>
                <w:color w:val="auto"/>
              </w:rPr>
            </w:pPr>
            <w:r>
              <w:rPr>
                <w:rFonts w:ascii="Arial" w:cs="Arial" w:eastAsia="Arial" w:hAnsi="Arial"/>
                <w:sz w:val="32"/>
                <w:szCs w:val="32"/>
                <w:color w:val="auto"/>
              </w:rPr>
              <w:t>- GMIO</w:t>
            </w:r>
          </w:p>
        </w:tc>
        <w:tc>
          <w:tcPr>
            <w:tcW w:w="1760" w:type="dxa"/>
            <w:vAlign w:val="bottom"/>
          </w:tcPr>
          <w:p>
            <w:pPr>
              <w:jc w:val="right"/>
              <w:ind w:right="208"/>
              <w:spacing w:after="0"/>
              <w:rPr>
                <w:sz w:val="20"/>
                <w:szCs w:val="20"/>
                <w:color w:val="auto"/>
              </w:rPr>
            </w:pPr>
            <w:r>
              <w:rPr>
                <w:rFonts w:ascii="Arial" w:cs="Arial" w:eastAsia="Arial" w:hAnsi="Arial"/>
                <w:sz w:val="32"/>
                <w:szCs w:val="32"/>
                <w:color w:val="auto"/>
              </w:rPr>
              <w:t>$0.6B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900" w:type="dxa"/>
            <w:vAlign w:val="bottom"/>
          </w:tcPr>
          <w:p>
            <w:pPr>
              <w:ind w:left="280"/>
              <w:spacing w:after="0"/>
              <w:rPr>
                <w:sz w:val="20"/>
                <w:szCs w:val="20"/>
                <w:color w:val="auto"/>
              </w:rPr>
            </w:pPr>
            <w:r>
              <w:rPr>
                <w:rFonts w:ascii="Arial" w:cs="Arial" w:eastAsia="Arial" w:hAnsi="Arial"/>
                <w:sz w:val="32"/>
                <w:szCs w:val="32"/>
                <w:color w:val="auto"/>
              </w:rPr>
              <w:t>- GMSA</w:t>
            </w:r>
          </w:p>
        </w:tc>
        <w:tc>
          <w:tcPr>
            <w:tcW w:w="1760" w:type="dxa"/>
            <w:vAlign w:val="bottom"/>
          </w:tcPr>
          <w:p>
            <w:pPr>
              <w:jc w:val="right"/>
              <w:ind w:right="208"/>
              <w:spacing w:after="0"/>
              <w:rPr>
                <w:sz w:val="20"/>
                <w:szCs w:val="20"/>
                <w:color w:val="auto"/>
              </w:rPr>
            </w:pPr>
            <w:r>
              <w:rPr>
                <w:rFonts w:ascii="Arial" w:cs="Arial" w:eastAsia="Arial" w:hAnsi="Arial"/>
                <w:sz w:val="32"/>
                <w:szCs w:val="32"/>
                <w:color w:val="auto"/>
              </w:rPr>
              <w:t>$0.1B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3"/>
        </w:trPr>
        <w:tc>
          <w:tcPr>
            <w:tcW w:w="3900" w:type="dxa"/>
            <w:vAlign w:val="bottom"/>
          </w:tcPr>
          <w:p>
            <w:pPr>
              <w:spacing w:after="0"/>
              <w:rPr>
                <w:sz w:val="20"/>
                <w:szCs w:val="20"/>
                <w:color w:val="auto"/>
              </w:rPr>
            </w:pPr>
            <w:r>
              <w:rPr>
                <w:rFonts w:ascii="Arial" w:cs="Arial" w:eastAsia="Arial" w:hAnsi="Arial"/>
                <w:sz w:val="38"/>
                <w:szCs w:val="38"/>
                <w:color w:val="auto"/>
              </w:rPr>
              <w:t>Auto Free Cash Flow</w:t>
            </w:r>
          </w:p>
        </w:tc>
        <w:tc>
          <w:tcPr>
            <w:tcW w:w="1760" w:type="dxa"/>
            <w:vAlign w:val="bottom"/>
          </w:tcPr>
          <w:p>
            <w:pPr>
              <w:jc w:val="right"/>
              <w:ind w:right="128"/>
              <w:spacing w:after="0"/>
              <w:rPr>
                <w:sz w:val="20"/>
                <w:szCs w:val="20"/>
                <w:color w:val="auto"/>
              </w:rPr>
            </w:pPr>
            <w:r>
              <w:rPr>
                <w:rFonts w:ascii="Arial" w:cs="Arial" w:eastAsia="Arial" w:hAnsi="Arial"/>
                <w:sz w:val="38"/>
                <w:szCs w:val="38"/>
                <w:color w:val="auto"/>
              </w:rPr>
              <w:t>$3.8B</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w:t>
      </w:r>
    </w:p>
    <w:p>
      <w:pPr>
        <w:sectPr>
          <w:pgSz w:w="11900" w:h="16838" w:orient="portrait"/>
          <w:cols w:equalWidth="0" w:num="1">
            <w:col w:w="9460"/>
          </w:cols>
          <w:pgMar w:left="1440" w:top="597" w:right="999" w:bottom="1440" w:gutter="0" w:footer="0" w:header="0"/>
        </w:sectPr>
      </w:pPr>
    </w:p>
    <w:bookmarkStart w:id="19" w:name="page20"/>
    <w:bookmarkEnd w:id="19"/>
    <w:p>
      <w:pPr>
        <w:ind w:left="9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Summary of Q2 2011 Results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7080" w:type="dxa"/>
            <w:vAlign w:val="bottom"/>
          </w:tcPr>
          <w:p>
            <w:pPr>
              <w:spacing w:after="0"/>
              <w:rPr>
                <w:sz w:val="24"/>
                <w:szCs w:val="24"/>
                <w:color w:val="auto"/>
              </w:rPr>
            </w:pPr>
          </w:p>
        </w:tc>
        <w:tc>
          <w:tcPr>
            <w:tcW w:w="1840" w:type="dxa"/>
            <w:vAlign w:val="bottom"/>
          </w:tcPr>
          <w:p>
            <w:pPr>
              <w:jc w:val="center"/>
              <w:ind w:left="221"/>
              <w:spacing w:after="0"/>
              <w:rPr>
                <w:sz w:val="20"/>
                <w:szCs w:val="20"/>
                <w:color w:val="auto"/>
              </w:rPr>
            </w:pPr>
            <w:r>
              <w:rPr>
                <w:rFonts w:ascii="Arial" w:cs="Arial" w:eastAsia="Arial" w:hAnsi="Arial"/>
                <w:sz w:val="32"/>
                <w:szCs w:val="32"/>
                <w:b w:val="1"/>
                <w:bCs w:val="1"/>
                <w:color w:val="auto"/>
                <w:w w:val="98"/>
              </w:rPr>
              <w:t>Q2</w:t>
            </w:r>
          </w:p>
        </w:tc>
        <w:tc>
          <w:tcPr>
            <w:tcW w:w="1320" w:type="dxa"/>
            <w:vAlign w:val="bottom"/>
          </w:tcPr>
          <w:p>
            <w:pPr>
              <w:jc w:val="center"/>
              <w:spacing w:after="0"/>
              <w:rPr>
                <w:sz w:val="20"/>
                <w:szCs w:val="20"/>
                <w:color w:val="auto"/>
              </w:rPr>
            </w:pPr>
            <w:r>
              <w:rPr>
                <w:rFonts w:ascii="Arial" w:cs="Arial" w:eastAsia="Arial" w:hAnsi="Arial"/>
                <w:sz w:val="32"/>
                <w:szCs w:val="32"/>
                <w:b w:val="1"/>
                <w:bCs w:val="1"/>
                <w:color w:val="auto"/>
                <w:w w:val="98"/>
              </w:rPr>
              <w:t>Q2</w:t>
            </w:r>
          </w:p>
        </w:tc>
      </w:tr>
      <w:tr>
        <w:trPr>
          <w:trHeight w:val="421"/>
        </w:trPr>
        <w:tc>
          <w:tcPr>
            <w:tcW w:w="7080" w:type="dxa"/>
            <w:vAlign w:val="bottom"/>
          </w:tcPr>
          <w:p>
            <w:pPr>
              <w:spacing w:after="0"/>
              <w:rPr>
                <w:sz w:val="24"/>
                <w:szCs w:val="24"/>
                <w:color w:val="auto"/>
              </w:rPr>
            </w:pPr>
          </w:p>
        </w:tc>
        <w:tc>
          <w:tcPr>
            <w:tcW w:w="1840" w:type="dxa"/>
            <w:vAlign w:val="bottom"/>
          </w:tcPr>
          <w:p>
            <w:pPr>
              <w:jc w:val="right"/>
              <w:ind w:right="161"/>
              <w:spacing w:after="0"/>
              <w:rPr>
                <w:sz w:val="20"/>
                <w:szCs w:val="20"/>
                <w:color w:val="auto"/>
              </w:rPr>
            </w:pPr>
            <w:r>
              <w:rPr>
                <w:rFonts w:ascii="Arial" w:cs="Arial" w:eastAsia="Arial" w:hAnsi="Arial"/>
                <w:sz w:val="32"/>
                <w:szCs w:val="32"/>
                <w:b w:val="1"/>
                <w:bCs w:val="1"/>
                <w:color w:val="auto"/>
              </w:rPr>
              <w:t>2010</w:t>
            </w:r>
          </w:p>
        </w:tc>
        <w:tc>
          <w:tcPr>
            <w:tcW w:w="1320" w:type="dxa"/>
            <w:vAlign w:val="bottom"/>
          </w:tcPr>
          <w:p>
            <w:pPr>
              <w:jc w:val="center"/>
              <w:spacing w:after="0"/>
              <w:rPr>
                <w:sz w:val="20"/>
                <w:szCs w:val="20"/>
                <w:color w:val="auto"/>
              </w:rPr>
            </w:pPr>
            <w:r>
              <w:rPr>
                <w:rFonts w:ascii="Arial" w:cs="Arial" w:eastAsia="Arial" w:hAnsi="Arial"/>
                <w:sz w:val="32"/>
                <w:szCs w:val="32"/>
                <w:b w:val="1"/>
                <w:bCs w:val="1"/>
                <w:color w:val="auto"/>
                <w:w w:val="98"/>
              </w:rPr>
              <w:t>2011</w:t>
            </w:r>
          </w:p>
        </w:tc>
      </w:tr>
      <w:tr>
        <w:trPr>
          <w:trHeight w:val="553"/>
        </w:trPr>
        <w:tc>
          <w:tcPr>
            <w:tcW w:w="7080" w:type="dxa"/>
            <w:vAlign w:val="bottom"/>
          </w:tcPr>
          <w:p>
            <w:pPr>
              <w:spacing w:after="0"/>
              <w:rPr>
                <w:sz w:val="20"/>
                <w:szCs w:val="20"/>
                <w:color w:val="auto"/>
              </w:rPr>
            </w:pPr>
            <w:r>
              <w:rPr>
                <w:rFonts w:ascii="Arial" w:cs="Arial" w:eastAsia="Arial" w:hAnsi="Arial"/>
                <w:sz w:val="32"/>
                <w:szCs w:val="32"/>
                <w:b w:val="1"/>
                <w:bCs w:val="1"/>
                <w:color w:val="auto"/>
              </w:rPr>
              <w:t>GAAP</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41"/>
        </w:trPr>
        <w:tc>
          <w:tcPr>
            <w:tcW w:w="7080" w:type="dxa"/>
            <w:vAlign w:val="bottom"/>
          </w:tcPr>
          <w:p>
            <w:pPr>
              <w:ind w:left="300"/>
              <w:spacing w:after="0"/>
              <w:rPr>
                <w:sz w:val="20"/>
                <w:szCs w:val="20"/>
                <w:color w:val="auto"/>
              </w:rPr>
            </w:pPr>
            <w:r>
              <w:rPr>
                <w:rFonts w:ascii="Arial" w:cs="Arial" w:eastAsia="Arial" w:hAnsi="Arial"/>
                <w:sz w:val="32"/>
                <w:szCs w:val="32"/>
                <w:color w:val="auto"/>
              </w:rPr>
              <w:t>Net Revenue ($B)</w:t>
            </w:r>
          </w:p>
        </w:tc>
        <w:tc>
          <w:tcPr>
            <w:tcW w:w="1840" w:type="dxa"/>
            <w:vAlign w:val="bottom"/>
          </w:tcPr>
          <w:p>
            <w:pPr>
              <w:jc w:val="center"/>
              <w:ind w:left="221"/>
              <w:spacing w:after="0"/>
              <w:rPr>
                <w:sz w:val="20"/>
                <w:szCs w:val="20"/>
                <w:color w:val="auto"/>
              </w:rPr>
            </w:pPr>
            <w:r>
              <w:rPr>
                <w:rFonts w:ascii="Arial" w:cs="Arial" w:eastAsia="Arial" w:hAnsi="Arial"/>
                <w:sz w:val="32"/>
                <w:szCs w:val="32"/>
                <w:color w:val="auto"/>
                <w:w w:val="99"/>
              </w:rPr>
              <w:t>33.2</w:t>
            </w:r>
          </w:p>
        </w:tc>
        <w:tc>
          <w:tcPr>
            <w:tcW w:w="1320" w:type="dxa"/>
            <w:vAlign w:val="bottom"/>
          </w:tcPr>
          <w:p>
            <w:pPr>
              <w:jc w:val="center"/>
              <w:spacing w:after="0"/>
              <w:rPr>
                <w:sz w:val="20"/>
                <w:szCs w:val="20"/>
                <w:color w:val="auto"/>
              </w:rPr>
            </w:pPr>
            <w:r>
              <w:rPr>
                <w:rFonts w:ascii="Arial" w:cs="Arial" w:eastAsia="Arial" w:hAnsi="Arial"/>
                <w:sz w:val="32"/>
                <w:szCs w:val="32"/>
                <w:color w:val="auto"/>
                <w:w w:val="99"/>
              </w:rPr>
              <w:t>39.4</w:t>
            </w:r>
          </w:p>
        </w:tc>
      </w:tr>
      <w:tr>
        <w:trPr>
          <w:trHeight w:val="623"/>
        </w:trPr>
        <w:tc>
          <w:tcPr>
            <w:tcW w:w="7080" w:type="dxa"/>
            <w:vAlign w:val="bottom"/>
          </w:tcPr>
          <w:p>
            <w:pPr>
              <w:ind w:left="300"/>
              <w:spacing w:after="0"/>
              <w:rPr>
                <w:sz w:val="20"/>
                <w:szCs w:val="20"/>
                <w:color w:val="auto"/>
              </w:rPr>
            </w:pPr>
            <w:r>
              <w:rPr>
                <w:rFonts w:ascii="Arial" w:cs="Arial" w:eastAsia="Arial" w:hAnsi="Arial"/>
                <w:sz w:val="32"/>
                <w:szCs w:val="32"/>
                <w:color w:val="auto"/>
              </w:rPr>
              <w:t>Operating Income ($B)</w:t>
            </w:r>
          </w:p>
        </w:tc>
        <w:tc>
          <w:tcPr>
            <w:tcW w:w="1840" w:type="dxa"/>
            <w:vAlign w:val="bottom"/>
          </w:tcPr>
          <w:p>
            <w:pPr>
              <w:jc w:val="center"/>
              <w:ind w:left="221"/>
              <w:spacing w:after="0"/>
              <w:rPr>
                <w:sz w:val="20"/>
                <w:szCs w:val="20"/>
                <w:color w:val="auto"/>
              </w:rPr>
            </w:pPr>
            <w:r>
              <w:rPr>
                <w:rFonts w:ascii="Arial" w:cs="Arial" w:eastAsia="Arial" w:hAnsi="Arial"/>
                <w:sz w:val="32"/>
                <w:szCs w:val="32"/>
                <w:color w:val="auto"/>
              </w:rPr>
              <w:t>1.9</w:t>
            </w:r>
          </w:p>
        </w:tc>
        <w:tc>
          <w:tcPr>
            <w:tcW w:w="1320" w:type="dxa"/>
            <w:vAlign w:val="bottom"/>
          </w:tcPr>
          <w:p>
            <w:pPr>
              <w:jc w:val="center"/>
              <w:spacing w:after="0"/>
              <w:rPr>
                <w:sz w:val="20"/>
                <w:szCs w:val="20"/>
                <w:color w:val="auto"/>
              </w:rPr>
            </w:pPr>
            <w:r>
              <w:rPr>
                <w:rFonts w:ascii="Arial" w:cs="Arial" w:eastAsia="Arial" w:hAnsi="Arial"/>
                <w:sz w:val="32"/>
                <w:szCs w:val="32"/>
                <w:color w:val="auto"/>
                <w:w w:val="98"/>
              </w:rPr>
              <w:t>2.5</w:t>
            </w:r>
          </w:p>
        </w:tc>
      </w:tr>
      <w:tr>
        <w:trPr>
          <w:trHeight w:val="611"/>
        </w:trPr>
        <w:tc>
          <w:tcPr>
            <w:tcW w:w="7080" w:type="dxa"/>
            <w:vAlign w:val="bottom"/>
          </w:tcPr>
          <w:p>
            <w:pPr>
              <w:ind w:left="300"/>
              <w:spacing w:after="0"/>
              <w:rPr>
                <w:sz w:val="20"/>
                <w:szCs w:val="20"/>
                <w:color w:val="auto"/>
              </w:rPr>
            </w:pPr>
            <w:r>
              <w:rPr>
                <w:rFonts w:ascii="Arial" w:cs="Arial" w:eastAsia="Arial" w:hAnsi="Arial"/>
                <w:sz w:val="32"/>
                <w:szCs w:val="32"/>
                <w:color w:val="auto"/>
              </w:rPr>
              <w:t>Net Income to Common Stockholders ($B)</w:t>
            </w:r>
          </w:p>
        </w:tc>
        <w:tc>
          <w:tcPr>
            <w:tcW w:w="1840" w:type="dxa"/>
            <w:vAlign w:val="bottom"/>
          </w:tcPr>
          <w:p>
            <w:pPr>
              <w:jc w:val="center"/>
              <w:ind w:left="221"/>
              <w:spacing w:after="0"/>
              <w:rPr>
                <w:sz w:val="20"/>
                <w:szCs w:val="20"/>
                <w:color w:val="auto"/>
              </w:rPr>
            </w:pPr>
            <w:r>
              <w:rPr>
                <w:rFonts w:ascii="Arial" w:cs="Arial" w:eastAsia="Arial" w:hAnsi="Arial"/>
                <w:sz w:val="32"/>
                <w:szCs w:val="32"/>
                <w:color w:val="auto"/>
              </w:rPr>
              <w:t>1.3</w:t>
            </w:r>
          </w:p>
        </w:tc>
        <w:tc>
          <w:tcPr>
            <w:tcW w:w="1320" w:type="dxa"/>
            <w:vAlign w:val="bottom"/>
          </w:tcPr>
          <w:p>
            <w:pPr>
              <w:jc w:val="center"/>
              <w:spacing w:after="0"/>
              <w:rPr>
                <w:sz w:val="20"/>
                <w:szCs w:val="20"/>
                <w:color w:val="auto"/>
              </w:rPr>
            </w:pPr>
            <w:r>
              <w:rPr>
                <w:rFonts w:ascii="Arial" w:cs="Arial" w:eastAsia="Arial" w:hAnsi="Arial"/>
                <w:sz w:val="32"/>
                <w:szCs w:val="32"/>
                <w:color w:val="auto"/>
                <w:w w:val="98"/>
              </w:rPr>
              <w:t>2.5</w:t>
            </w:r>
          </w:p>
        </w:tc>
      </w:tr>
      <w:tr>
        <w:trPr>
          <w:trHeight w:val="600"/>
        </w:trPr>
        <w:tc>
          <w:tcPr>
            <w:tcW w:w="7080" w:type="dxa"/>
            <w:vAlign w:val="bottom"/>
          </w:tcPr>
          <w:p>
            <w:pPr>
              <w:ind w:left="300"/>
              <w:spacing w:after="0"/>
              <w:rPr>
                <w:sz w:val="20"/>
                <w:szCs w:val="20"/>
                <w:color w:val="auto"/>
              </w:rPr>
            </w:pPr>
            <w:r>
              <w:rPr>
                <w:rFonts w:ascii="Arial" w:cs="Arial" w:eastAsia="Arial" w:hAnsi="Arial"/>
                <w:sz w:val="32"/>
                <w:szCs w:val="32"/>
                <w:color w:val="auto"/>
              </w:rPr>
              <w:t>EPS – Diluted ($/Share)</w:t>
            </w:r>
          </w:p>
        </w:tc>
        <w:tc>
          <w:tcPr>
            <w:tcW w:w="1840" w:type="dxa"/>
            <w:vAlign w:val="bottom"/>
          </w:tcPr>
          <w:p>
            <w:pPr>
              <w:jc w:val="center"/>
              <w:ind w:left="221"/>
              <w:spacing w:after="0"/>
              <w:rPr>
                <w:sz w:val="20"/>
                <w:szCs w:val="20"/>
                <w:color w:val="auto"/>
              </w:rPr>
            </w:pPr>
            <w:r>
              <w:rPr>
                <w:rFonts w:ascii="Arial" w:cs="Arial" w:eastAsia="Arial" w:hAnsi="Arial"/>
                <w:sz w:val="32"/>
                <w:szCs w:val="32"/>
                <w:color w:val="auto"/>
                <w:w w:val="99"/>
              </w:rPr>
              <w:t>0.85</w:t>
            </w:r>
          </w:p>
        </w:tc>
        <w:tc>
          <w:tcPr>
            <w:tcW w:w="1320" w:type="dxa"/>
            <w:vAlign w:val="bottom"/>
          </w:tcPr>
          <w:p>
            <w:pPr>
              <w:jc w:val="center"/>
              <w:spacing w:after="0"/>
              <w:rPr>
                <w:sz w:val="20"/>
                <w:szCs w:val="20"/>
                <w:color w:val="auto"/>
              </w:rPr>
            </w:pPr>
            <w:r>
              <w:rPr>
                <w:rFonts w:ascii="Arial" w:cs="Arial" w:eastAsia="Arial" w:hAnsi="Arial"/>
                <w:sz w:val="32"/>
                <w:szCs w:val="32"/>
                <w:color w:val="auto"/>
                <w:w w:val="99"/>
              </w:rPr>
              <w:t>1.54</w:t>
            </w:r>
          </w:p>
        </w:tc>
      </w:tr>
      <w:tr>
        <w:trPr>
          <w:trHeight w:val="1093"/>
        </w:trPr>
        <w:tc>
          <w:tcPr>
            <w:tcW w:w="7080" w:type="dxa"/>
            <w:vAlign w:val="bottom"/>
          </w:tcPr>
          <w:p>
            <w:pPr>
              <w:spacing w:after="0"/>
              <w:rPr>
                <w:sz w:val="20"/>
                <w:szCs w:val="20"/>
                <w:color w:val="auto"/>
              </w:rPr>
            </w:pPr>
            <w:r>
              <w:rPr>
                <w:rFonts w:ascii="Arial" w:cs="Arial" w:eastAsia="Arial" w:hAnsi="Arial"/>
                <w:sz w:val="32"/>
                <w:szCs w:val="32"/>
                <w:b w:val="1"/>
                <w:bCs w:val="1"/>
                <w:color w:val="auto"/>
              </w:rPr>
              <w:t>Non- GAAP</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64"/>
        </w:trPr>
        <w:tc>
          <w:tcPr>
            <w:tcW w:w="7080" w:type="dxa"/>
            <w:vAlign w:val="bottom"/>
          </w:tcPr>
          <w:p>
            <w:pPr>
              <w:ind w:left="300"/>
              <w:spacing w:after="0"/>
              <w:rPr>
                <w:sz w:val="20"/>
                <w:szCs w:val="20"/>
                <w:color w:val="auto"/>
              </w:rPr>
            </w:pPr>
            <w:r>
              <w:rPr>
                <w:rFonts w:ascii="Arial" w:cs="Arial" w:eastAsia="Arial" w:hAnsi="Arial"/>
                <w:sz w:val="32"/>
                <w:szCs w:val="32"/>
                <w:color w:val="auto"/>
              </w:rPr>
              <w:t>EBIT- Adj. ($B)</w:t>
            </w:r>
          </w:p>
        </w:tc>
        <w:tc>
          <w:tcPr>
            <w:tcW w:w="1840" w:type="dxa"/>
            <w:vAlign w:val="bottom"/>
          </w:tcPr>
          <w:p>
            <w:pPr>
              <w:jc w:val="center"/>
              <w:ind w:left="221"/>
              <w:spacing w:after="0"/>
              <w:rPr>
                <w:sz w:val="20"/>
                <w:szCs w:val="20"/>
                <w:color w:val="auto"/>
              </w:rPr>
            </w:pPr>
            <w:r>
              <w:rPr>
                <w:rFonts w:ascii="Arial" w:cs="Arial" w:eastAsia="Arial" w:hAnsi="Arial"/>
                <w:sz w:val="32"/>
                <w:szCs w:val="32"/>
                <w:color w:val="auto"/>
              </w:rPr>
              <w:t>2.0</w:t>
            </w:r>
          </w:p>
        </w:tc>
        <w:tc>
          <w:tcPr>
            <w:tcW w:w="1320" w:type="dxa"/>
            <w:vAlign w:val="bottom"/>
          </w:tcPr>
          <w:p>
            <w:pPr>
              <w:jc w:val="center"/>
              <w:spacing w:after="0"/>
              <w:rPr>
                <w:sz w:val="20"/>
                <w:szCs w:val="20"/>
                <w:color w:val="auto"/>
              </w:rPr>
            </w:pPr>
            <w:r>
              <w:rPr>
                <w:rFonts w:ascii="Arial" w:cs="Arial" w:eastAsia="Arial" w:hAnsi="Arial"/>
                <w:sz w:val="32"/>
                <w:szCs w:val="32"/>
                <w:color w:val="auto"/>
                <w:w w:val="98"/>
              </w:rPr>
              <w:t>3.0</w:t>
            </w:r>
          </w:p>
        </w:tc>
      </w:tr>
      <w:tr>
        <w:trPr>
          <w:trHeight w:val="658"/>
        </w:trPr>
        <w:tc>
          <w:tcPr>
            <w:tcW w:w="7080" w:type="dxa"/>
            <w:vAlign w:val="bottom"/>
          </w:tcPr>
          <w:p>
            <w:pPr>
              <w:ind w:left="300"/>
              <w:spacing w:after="0"/>
              <w:rPr>
                <w:sz w:val="20"/>
                <w:szCs w:val="20"/>
                <w:color w:val="auto"/>
              </w:rPr>
            </w:pPr>
            <w:r>
              <w:rPr>
                <w:rFonts w:ascii="Arial" w:cs="Arial" w:eastAsia="Arial" w:hAnsi="Arial"/>
                <w:sz w:val="32"/>
                <w:szCs w:val="32"/>
                <w:color w:val="auto"/>
              </w:rPr>
              <w:t>Automotive Free Cash Flow ($B)</w:t>
            </w:r>
          </w:p>
        </w:tc>
        <w:tc>
          <w:tcPr>
            <w:tcW w:w="1840" w:type="dxa"/>
            <w:vAlign w:val="bottom"/>
          </w:tcPr>
          <w:p>
            <w:pPr>
              <w:jc w:val="center"/>
              <w:ind w:left="221"/>
              <w:spacing w:after="0"/>
              <w:rPr>
                <w:sz w:val="20"/>
                <w:szCs w:val="20"/>
                <w:color w:val="auto"/>
              </w:rPr>
            </w:pPr>
            <w:r>
              <w:rPr>
                <w:rFonts w:ascii="Arial" w:cs="Arial" w:eastAsia="Arial" w:hAnsi="Arial"/>
                <w:sz w:val="32"/>
                <w:szCs w:val="32"/>
                <w:color w:val="auto"/>
              </w:rPr>
              <w:t>2.8</w:t>
            </w:r>
          </w:p>
        </w:tc>
        <w:tc>
          <w:tcPr>
            <w:tcW w:w="1320" w:type="dxa"/>
            <w:vAlign w:val="bottom"/>
          </w:tcPr>
          <w:p>
            <w:pPr>
              <w:jc w:val="center"/>
              <w:spacing w:after="0"/>
              <w:rPr>
                <w:sz w:val="20"/>
                <w:szCs w:val="20"/>
                <w:color w:val="auto"/>
              </w:rPr>
            </w:pPr>
            <w:r>
              <w:rPr>
                <w:rFonts w:ascii="Arial" w:cs="Arial" w:eastAsia="Arial" w:hAnsi="Arial"/>
                <w:sz w:val="32"/>
                <w:szCs w:val="32"/>
                <w:color w:val="auto"/>
                <w:w w:val="98"/>
              </w:rPr>
              <w:t>3.8</w:t>
            </w:r>
          </w:p>
        </w:tc>
      </w:tr>
      <w:tr>
        <w:trPr>
          <w:trHeight w:val="950"/>
        </w:trPr>
        <w:tc>
          <w:tcPr>
            <w:tcW w:w="8920" w:type="dxa"/>
            <w:vAlign w:val="bottom"/>
            <w:gridSpan w:val="2"/>
          </w:tcPr>
          <w:p>
            <w:pPr>
              <w:ind w:left="40"/>
              <w:spacing w:after="0"/>
              <w:rPr>
                <w:sz w:val="20"/>
                <w:szCs w:val="20"/>
                <w:color w:val="auto"/>
              </w:rPr>
            </w:pPr>
            <w:r>
              <w:rPr>
                <w:rFonts w:ascii="Arial" w:cs="Arial" w:eastAsia="Arial" w:hAnsi="Arial"/>
                <w:sz w:val="19"/>
                <w:szCs w:val="19"/>
                <w:i w:val="1"/>
                <w:iCs w:val="1"/>
                <w:color w:val="auto"/>
              </w:rPr>
              <w:t>Note: Starting Q4 2010 EBIT-Adj. includes GM Financial on an Earnings Before Tax (EBT) basis</w:t>
            </w: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bl>
    <w:p>
      <w:pPr>
        <w:sectPr>
          <w:pgSz w:w="11900" w:h="16838" w:orient="portrait"/>
          <w:cols w:equalWidth="0" w:num="1">
            <w:col w:w="10240"/>
          </w:cols>
          <w:pgMar w:left="660" w:top="632" w:right="999" w:bottom="1440" w:gutter="0" w:footer="0" w:header="0"/>
        </w:sectPr>
      </w:pPr>
    </w:p>
    <w:bookmarkStart w:id="20" w:name="page21"/>
    <w:bookmarkEnd w:id="20"/>
    <w:p>
      <w:pPr>
        <w:ind w:left="10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Net Income Impact of Special Items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6960" w:type="dxa"/>
            <w:vAlign w:val="bottom"/>
          </w:tcPr>
          <w:p>
            <w:pPr>
              <w:spacing w:after="0"/>
              <w:rPr>
                <w:sz w:val="24"/>
                <w:szCs w:val="24"/>
                <w:color w:val="auto"/>
              </w:rPr>
            </w:pPr>
          </w:p>
        </w:tc>
        <w:tc>
          <w:tcPr>
            <w:tcW w:w="2200" w:type="dxa"/>
            <w:vAlign w:val="bottom"/>
          </w:tcPr>
          <w:p>
            <w:pPr>
              <w:jc w:val="center"/>
              <w:ind w:left="912"/>
              <w:spacing w:after="0"/>
              <w:rPr>
                <w:sz w:val="20"/>
                <w:szCs w:val="20"/>
                <w:color w:val="auto"/>
              </w:rPr>
            </w:pPr>
            <w:r>
              <w:rPr>
                <w:rFonts w:ascii="Arial" w:cs="Arial" w:eastAsia="Arial" w:hAnsi="Arial"/>
                <w:sz w:val="32"/>
                <w:szCs w:val="32"/>
                <w:b w:val="1"/>
                <w:bCs w:val="1"/>
                <w:color w:val="auto"/>
                <w:w w:val="98"/>
              </w:rPr>
              <w:t>Q2</w:t>
            </w:r>
          </w:p>
        </w:tc>
        <w:tc>
          <w:tcPr>
            <w:tcW w:w="920" w:type="dxa"/>
            <w:vAlign w:val="bottom"/>
          </w:tcPr>
          <w:p>
            <w:pPr>
              <w:jc w:val="center"/>
              <w:ind w:left="72"/>
              <w:spacing w:after="0"/>
              <w:rPr>
                <w:sz w:val="20"/>
                <w:szCs w:val="20"/>
                <w:color w:val="auto"/>
              </w:rPr>
            </w:pPr>
            <w:r>
              <w:rPr>
                <w:rFonts w:ascii="Arial" w:cs="Arial" w:eastAsia="Arial" w:hAnsi="Arial"/>
                <w:sz w:val="32"/>
                <w:szCs w:val="32"/>
                <w:b w:val="1"/>
                <w:bCs w:val="1"/>
                <w:color w:val="auto"/>
                <w:w w:val="98"/>
              </w:rPr>
              <w:t>Q2</w:t>
            </w:r>
          </w:p>
        </w:tc>
      </w:tr>
      <w:tr>
        <w:trPr>
          <w:trHeight w:val="421"/>
        </w:trPr>
        <w:tc>
          <w:tcPr>
            <w:tcW w:w="6960" w:type="dxa"/>
            <w:vAlign w:val="bottom"/>
          </w:tcPr>
          <w:p>
            <w:pPr>
              <w:spacing w:after="0"/>
              <w:rPr>
                <w:sz w:val="24"/>
                <w:szCs w:val="24"/>
                <w:color w:val="auto"/>
              </w:rPr>
            </w:pPr>
          </w:p>
        </w:tc>
        <w:tc>
          <w:tcPr>
            <w:tcW w:w="2200" w:type="dxa"/>
            <w:vAlign w:val="bottom"/>
          </w:tcPr>
          <w:p>
            <w:pPr>
              <w:jc w:val="center"/>
              <w:ind w:left="932"/>
              <w:spacing w:after="0"/>
              <w:rPr>
                <w:sz w:val="20"/>
                <w:szCs w:val="20"/>
                <w:color w:val="auto"/>
              </w:rPr>
            </w:pPr>
            <w:r>
              <w:rPr>
                <w:rFonts w:ascii="Arial" w:cs="Arial" w:eastAsia="Arial" w:hAnsi="Arial"/>
                <w:sz w:val="32"/>
                <w:szCs w:val="32"/>
                <w:b w:val="1"/>
                <w:bCs w:val="1"/>
                <w:color w:val="auto"/>
              </w:rPr>
              <w:t>2010</w:t>
            </w:r>
          </w:p>
        </w:tc>
        <w:tc>
          <w:tcPr>
            <w:tcW w:w="920" w:type="dxa"/>
            <w:vAlign w:val="bottom"/>
          </w:tcPr>
          <w:p>
            <w:pPr>
              <w:jc w:val="center"/>
              <w:ind w:left="72"/>
              <w:spacing w:after="0"/>
              <w:rPr>
                <w:sz w:val="20"/>
                <w:szCs w:val="20"/>
                <w:color w:val="auto"/>
              </w:rPr>
            </w:pPr>
            <w:r>
              <w:rPr>
                <w:rFonts w:ascii="Arial" w:cs="Arial" w:eastAsia="Arial" w:hAnsi="Arial"/>
                <w:sz w:val="32"/>
                <w:szCs w:val="32"/>
                <w:b w:val="1"/>
                <w:bCs w:val="1"/>
                <w:color w:val="auto"/>
                <w:w w:val="98"/>
              </w:rPr>
              <w:t>2011</w:t>
            </w:r>
          </w:p>
        </w:tc>
      </w:tr>
      <w:tr>
        <w:trPr>
          <w:trHeight w:val="449"/>
        </w:trPr>
        <w:tc>
          <w:tcPr>
            <w:tcW w:w="6960" w:type="dxa"/>
            <w:vAlign w:val="bottom"/>
          </w:tcPr>
          <w:p>
            <w:pPr>
              <w:spacing w:after="0"/>
              <w:rPr>
                <w:sz w:val="20"/>
                <w:szCs w:val="20"/>
                <w:color w:val="auto"/>
              </w:rPr>
            </w:pPr>
            <w:r>
              <w:rPr>
                <w:rFonts w:ascii="Arial" w:cs="Arial" w:eastAsia="Arial" w:hAnsi="Arial"/>
                <w:sz w:val="28"/>
                <w:szCs w:val="28"/>
                <w:b w:val="1"/>
                <w:bCs w:val="1"/>
                <w:color w:val="auto"/>
              </w:rPr>
              <w:t>Net Income to Common Stockholders ($B)</w:t>
            </w:r>
          </w:p>
        </w:tc>
        <w:tc>
          <w:tcPr>
            <w:tcW w:w="2200" w:type="dxa"/>
            <w:vAlign w:val="bottom"/>
          </w:tcPr>
          <w:p>
            <w:pPr>
              <w:jc w:val="right"/>
              <w:ind w:right="212"/>
              <w:spacing w:after="0"/>
              <w:rPr>
                <w:sz w:val="20"/>
                <w:szCs w:val="20"/>
                <w:color w:val="auto"/>
              </w:rPr>
            </w:pPr>
            <w:r>
              <w:rPr>
                <w:rFonts w:ascii="Arial" w:cs="Arial" w:eastAsia="Arial" w:hAnsi="Arial"/>
                <w:sz w:val="28"/>
                <w:szCs w:val="28"/>
                <w:b w:val="1"/>
                <w:bCs w:val="1"/>
                <w:color w:val="auto"/>
              </w:rPr>
              <w:t>1.3</w:t>
            </w:r>
          </w:p>
        </w:tc>
        <w:tc>
          <w:tcPr>
            <w:tcW w:w="920" w:type="dxa"/>
            <w:vAlign w:val="bottom"/>
          </w:tcPr>
          <w:p>
            <w:pPr>
              <w:jc w:val="right"/>
              <w:spacing w:after="0"/>
              <w:rPr>
                <w:sz w:val="20"/>
                <w:szCs w:val="20"/>
                <w:color w:val="auto"/>
              </w:rPr>
            </w:pPr>
            <w:r>
              <w:rPr>
                <w:rFonts w:ascii="Arial" w:cs="Arial" w:eastAsia="Arial" w:hAnsi="Arial"/>
                <w:sz w:val="28"/>
                <w:szCs w:val="28"/>
                <w:b w:val="1"/>
                <w:bCs w:val="1"/>
                <w:color w:val="auto"/>
              </w:rPr>
              <w:t>2.5</w:t>
            </w:r>
          </w:p>
        </w:tc>
      </w:tr>
      <w:tr>
        <w:trPr>
          <w:trHeight w:val="470"/>
        </w:trPr>
        <w:tc>
          <w:tcPr>
            <w:tcW w:w="6960" w:type="dxa"/>
            <w:vAlign w:val="bottom"/>
          </w:tcPr>
          <w:p>
            <w:pPr>
              <w:spacing w:after="0"/>
              <w:rPr>
                <w:sz w:val="20"/>
                <w:szCs w:val="20"/>
                <w:color w:val="auto"/>
              </w:rPr>
            </w:pPr>
            <w:r>
              <w:rPr>
                <w:rFonts w:ascii="Arial" w:cs="Arial" w:eastAsia="Arial" w:hAnsi="Arial"/>
                <w:sz w:val="28"/>
                <w:szCs w:val="28"/>
                <w:b w:val="1"/>
                <w:bCs w:val="1"/>
                <w:color w:val="auto"/>
              </w:rPr>
              <w:t>EPS – Diluted ($/Share)</w:t>
            </w:r>
          </w:p>
        </w:tc>
        <w:tc>
          <w:tcPr>
            <w:tcW w:w="2200" w:type="dxa"/>
            <w:vAlign w:val="bottom"/>
          </w:tcPr>
          <w:p>
            <w:pPr>
              <w:jc w:val="center"/>
              <w:ind w:left="932"/>
              <w:spacing w:after="0"/>
              <w:rPr>
                <w:sz w:val="20"/>
                <w:szCs w:val="20"/>
                <w:color w:val="auto"/>
              </w:rPr>
            </w:pPr>
            <w:r>
              <w:rPr>
                <w:rFonts w:ascii="Arial" w:cs="Arial" w:eastAsia="Arial" w:hAnsi="Arial"/>
                <w:sz w:val="28"/>
                <w:szCs w:val="28"/>
                <w:b w:val="1"/>
                <w:bCs w:val="1"/>
                <w:color w:val="auto"/>
              </w:rPr>
              <w:t>0.85</w:t>
            </w:r>
          </w:p>
        </w:tc>
        <w:tc>
          <w:tcPr>
            <w:tcW w:w="920" w:type="dxa"/>
            <w:vAlign w:val="bottom"/>
          </w:tcPr>
          <w:p>
            <w:pPr>
              <w:jc w:val="center"/>
              <w:ind w:left="72"/>
              <w:spacing w:after="0"/>
              <w:rPr>
                <w:sz w:val="20"/>
                <w:szCs w:val="20"/>
                <w:color w:val="auto"/>
              </w:rPr>
            </w:pPr>
            <w:r>
              <w:rPr>
                <w:rFonts w:ascii="Arial" w:cs="Arial" w:eastAsia="Arial" w:hAnsi="Arial"/>
                <w:sz w:val="28"/>
                <w:szCs w:val="28"/>
                <w:b w:val="1"/>
                <w:bCs w:val="1"/>
                <w:color w:val="auto"/>
                <w:w w:val="99"/>
              </w:rPr>
              <w:t>1.54</w:t>
            </w:r>
          </w:p>
        </w:tc>
      </w:tr>
      <w:tr>
        <w:trPr>
          <w:trHeight w:val="811"/>
        </w:trPr>
        <w:tc>
          <w:tcPr>
            <w:tcW w:w="6960" w:type="dxa"/>
            <w:vAlign w:val="bottom"/>
          </w:tcPr>
          <w:p>
            <w:pPr>
              <w:spacing w:after="0"/>
              <w:rPr>
                <w:sz w:val="20"/>
                <w:szCs w:val="20"/>
                <w:color w:val="auto"/>
              </w:rPr>
            </w:pPr>
            <w:r>
              <w:rPr>
                <w:rFonts w:ascii="Arial" w:cs="Arial" w:eastAsia="Arial" w:hAnsi="Arial"/>
                <w:sz w:val="28"/>
                <w:szCs w:val="28"/>
                <w:b w:val="1"/>
                <w:bCs w:val="1"/>
                <w:color w:val="auto"/>
              </w:rPr>
              <w:t>Special Items Included ($B):</w:t>
            </w: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2"/>
        </w:trPr>
        <w:tc>
          <w:tcPr>
            <w:tcW w:w="6960" w:type="dxa"/>
            <w:vAlign w:val="bottom"/>
          </w:tcPr>
          <w:p>
            <w:pPr>
              <w:spacing w:after="0"/>
              <w:rPr>
                <w:sz w:val="20"/>
                <w:szCs w:val="20"/>
                <w:color w:val="auto"/>
              </w:rPr>
            </w:pPr>
            <w:r>
              <w:rPr>
                <w:rFonts w:ascii="Arial" w:cs="Arial" w:eastAsia="Arial" w:hAnsi="Arial"/>
                <w:sz w:val="28"/>
                <w:szCs w:val="28"/>
                <w:color w:val="auto"/>
              </w:rPr>
              <w:t>None</w:t>
            </w:r>
          </w:p>
        </w:tc>
        <w:tc>
          <w:tcPr>
            <w:tcW w:w="2200" w:type="dxa"/>
            <w:vAlign w:val="bottom"/>
          </w:tcPr>
          <w:p>
            <w:pPr>
              <w:jc w:val="center"/>
              <w:ind w:left="932"/>
              <w:spacing w:after="0"/>
              <w:rPr>
                <w:sz w:val="20"/>
                <w:szCs w:val="20"/>
                <w:color w:val="auto"/>
              </w:rPr>
            </w:pPr>
            <w:r>
              <w:rPr>
                <w:rFonts w:ascii="Arial" w:cs="Arial" w:eastAsia="Arial" w:hAnsi="Arial"/>
                <w:sz w:val="28"/>
                <w:szCs w:val="28"/>
                <w:color w:val="auto"/>
                <w:w w:val="85"/>
              </w:rPr>
              <w:t>-</w:t>
            </w:r>
          </w:p>
        </w:tc>
        <w:tc>
          <w:tcPr>
            <w:tcW w:w="920" w:type="dxa"/>
            <w:vAlign w:val="bottom"/>
          </w:tcPr>
          <w:p>
            <w:pPr>
              <w:jc w:val="center"/>
              <w:ind w:left="72"/>
              <w:spacing w:after="0"/>
              <w:rPr>
                <w:sz w:val="20"/>
                <w:szCs w:val="20"/>
                <w:color w:val="auto"/>
              </w:rPr>
            </w:pPr>
            <w:r>
              <w:rPr>
                <w:rFonts w:ascii="Arial" w:cs="Arial" w:eastAsia="Arial" w:hAnsi="Arial"/>
                <w:sz w:val="28"/>
                <w:szCs w:val="2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Total Impact of Special Items:</w:t>
      </w:r>
    </w:p>
    <w:p>
      <w:pPr>
        <w:sectPr>
          <w:pgSz w:w="11900" w:h="16838" w:orient="portrait"/>
          <w:cols w:equalWidth="0" w:num="1">
            <w:col w:w="10340"/>
          </w:cols>
          <w:pgMar w:left="560" w:top="597" w:right="99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color w:val="auto"/>
        </w:rPr>
        <w:t>Net Income to Common Stockholders ($B)</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sectPr>
          <w:pgSz w:w="11900" w:h="16838" w:orient="portrait"/>
          <w:cols w:equalWidth="0" w:num="3">
            <w:col w:w="7840" w:space="720"/>
            <w:col w:w="400" w:space="720"/>
            <w:col w:w="660"/>
          </w:cols>
          <w:pgMar w:left="560" w:top="597" w:right="999" w:bottom="1440" w:gutter="0" w:footer="0" w:header="0"/>
          <w:type w:val="continuous"/>
        </w:sectPr>
      </w:pPr>
    </w:p>
    <w:p>
      <w:pPr>
        <w:spacing w:after="0"/>
        <w:rPr>
          <w:sz w:val="20"/>
          <w:szCs w:val="20"/>
          <w:color w:val="auto"/>
        </w:rPr>
      </w:pPr>
      <w:r>
        <w:rPr>
          <w:rFonts w:ascii="Arial" w:cs="Arial" w:eastAsia="Arial" w:hAnsi="Arial"/>
          <w:sz w:val="28"/>
          <w:szCs w:val="28"/>
          <w:color w:val="auto"/>
        </w:rPr>
        <w:t>EPS – Diluted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color w:val="auto"/>
        </w:rPr>
        <w:t>-</w:t>
      </w:r>
    </w:p>
    <w:p>
      <w:pPr>
        <w:spacing w:after="0" w:line="200" w:lineRule="exact"/>
        <w:rPr>
          <w:sz w:val="20"/>
          <w:szCs w:val="20"/>
          <w:color w:val="auto"/>
        </w:rPr>
      </w:pPr>
    </w:p>
    <w:p>
      <w:pPr>
        <w:sectPr>
          <w:pgSz w:w="11900" w:h="16838" w:orient="portrait"/>
          <w:cols w:equalWidth="0" w:num="3">
            <w:col w:w="7840" w:space="720"/>
            <w:col w:w="400" w:space="720"/>
            <w:col w:w="660"/>
          </w:cols>
          <w:pgMar w:left="560" w:top="59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4</w:t>
      </w:r>
    </w:p>
    <w:p>
      <w:pPr>
        <w:sectPr>
          <w:pgSz w:w="11900" w:h="16838" w:orient="portrait"/>
          <w:cols w:equalWidth="0" w:num="1">
            <w:col w:w="10340"/>
          </w:cols>
          <w:pgMar w:left="560" w:top="597" w:right="99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Info Item: Fully Diluted EPS Calculation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840" w:type="dxa"/>
            <w:vAlign w:val="bottom"/>
          </w:tcPr>
          <w:p>
            <w:pPr>
              <w:spacing w:after="0"/>
              <w:rPr>
                <w:sz w:val="24"/>
                <w:szCs w:val="24"/>
                <w:color w:val="auto"/>
              </w:rPr>
            </w:pPr>
          </w:p>
        </w:tc>
        <w:tc>
          <w:tcPr>
            <w:tcW w:w="1240" w:type="dxa"/>
            <w:vAlign w:val="bottom"/>
          </w:tcPr>
          <w:p>
            <w:pPr>
              <w:jc w:val="right"/>
              <w:ind w:right="402"/>
              <w:spacing w:after="0"/>
              <w:rPr>
                <w:sz w:val="20"/>
                <w:szCs w:val="20"/>
                <w:color w:val="auto"/>
              </w:rPr>
            </w:pPr>
            <w:r>
              <w:rPr>
                <w:rFonts w:ascii="Arial" w:cs="Arial" w:eastAsia="Arial" w:hAnsi="Arial"/>
                <w:sz w:val="25"/>
                <w:szCs w:val="25"/>
                <w:color w:val="auto"/>
              </w:rPr>
              <w:t>Q2</w:t>
            </w:r>
          </w:p>
        </w:tc>
        <w:tc>
          <w:tcPr>
            <w:tcW w:w="1840" w:type="dxa"/>
            <w:vAlign w:val="bottom"/>
          </w:tcPr>
          <w:p>
            <w:pPr>
              <w:jc w:val="center"/>
              <w:spacing w:after="0"/>
              <w:rPr>
                <w:sz w:val="20"/>
                <w:szCs w:val="20"/>
                <w:color w:val="auto"/>
              </w:rPr>
            </w:pPr>
            <w:r>
              <w:rPr>
                <w:rFonts w:ascii="Arial" w:cs="Arial" w:eastAsia="Arial" w:hAnsi="Arial"/>
                <w:sz w:val="25"/>
                <w:szCs w:val="25"/>
                <w:color w:val="auto"/>
              </w:rPr>
              <w:t>Q1</w:t>
            </w:r>
          </w:p>
        </w:tc>
        <w:tc>
          <w:tcPr>
            <w:tcW w:w="1460" w:type="dxa"/>
            <w:vAlign w:val="bottom"/>
          </w:tcPr>
          <w:p>
            <w:pPr>
              <w:jc w:val="center"/>
              <w:ind w:left="4"/>
              <w:spacing w:after="0"/>
              <w:rPr>
                <w:sz w:val="20"/>
                <w:szCs w:val="20"/>
                <w:color w:val="auto"/>
              </w:rPr>
            </w:pPr>
            <w:r>
              <w:rPr>
                <w:rFonts w:ascii="Arial" w:cs="Arial" w:eastAsia="Arial" w:hAnsi="Arial"/>
                <w:sz w:val="25"/>
                <w:szCs w:val="25"/>
                <w:color w:val="auto"/>
              </w:rPr>
              <w:t>Q2</w:t>
            </w:r>
          </w:p>
        </w:tc>
      </w:tr>
      <w:tr>
        <w:trPr>
          <w:trHeight w:val="306"/>
        </w:trPr>
        <w:tc>
          <w:tcPr>
            <w:tcW w:w="5840" w:type="dxa"/>
            <w:vAlign w:val="bottom"/>
          </w:tcPr>
          <w:p>
            <w:pPr>
              <w:spacing w:after="0"/>
              <w:rPr>
                <w:sz w:val="24"/>
                <w:szCs w:val="24"/>
                <w:color w:val="auto"/>
              </w:rPr>
            </w:pPr>
          </w:p>
        </w:tc>
        <w:tc>
          <w:tcPr>
            <w:tcW w:w="1240" w:type="dxa"/>
            <w:vAlign w:val="bottom"/>
          </w:tcPr>
          <w:p>
            <w:pPr>
              <w:jc w:val="center"/>
              <w:ind w:right="2"/>
              <w:spacing w:after="0"/>
              <w:rPr>
                <w:sz w:val="20"/>
                <w:szCs w:val="20"/>
                <w:color w:val="auto"/>
              </w:rPr>
            </w:pPr>
            <w:r>
              <w:rPr>
                <w:rFonts w:ascii="Arial" w:cs="Arial" w:eastAsia="Arial" w:hAnsi="Arial"/>
                <w:sz w:val="25"/>
                <w:szCs w:val="25"/>
                <w:color w:val="auto"/>
              </w:rPr>
              <w:t>2010</w:t>
            </w:r>
          </w:p>
        </w:tc>
        <w:tc>
          <w:tcPr>
            <w:tcW w:w="1840" w:type="dxa"/>
            <w:vAlign w:val="bottom"/>
          </w:tcPr>
          <w:p>
            <w:pPr>
              <w:jc w:val="center"/>
              <w:spacing w:after="0"/>
              <w:rPr>
                <w:sz w:val="20"/>
                <w:szCs w:val="20"/>
                <w:color w:val="auto"/>
              </w:rPr>
            </w:pPr>
            <w:r>
              <w:rPr>
                <w:rFonts w:ascii="Arial" w:cs="Arial" w:eastAsia="Arial" w:hAnsi="Arial"/>
                <w:sz w:val="25"/>
                <w:szCs w:val="25"/>
                <w:color w:val="auto"/>
              </w:rPr>
              <w:t>2011</w:t>
            </w:r>
          </w:p>
        </w:tc>
        <w:tc>
          <w:tcPr>
            <w:tcW w:w="1460" w:type="dxa"/>
            <w:vAlign w:val="bottom"/>
          </w:tcPr>
          <w:p>
            <w:pPr>
              <w:jc w:val="center"/>
              <w:spacing w:after="0"/>
              <w:rPr>
                <w:sz w:val="20"/>
                <w:szCs w:val="20"/>
                <w:color w:val="auto"/>
              </w:rPr>
            </w:pPr>
            <w:r>
              <w:rPr>
                <w:rFonts w:ascii="Arial" w:cs="Arial" w:eastAsia="Arial" w:hAnsi="Arial"/>
                <w:sz w:val="25"/>
                <w:szCs w:val="25"/>
                <w:color w:val="auto"/>
              </w:rPr>
              <w:t>2011</w:t>
            </w:r>
          </w:p>
        </w:tc>
      </w:tr>
      <w:tr>
        <w:trPr>
          <w:trHeight w:val="517"/>
        </w:trPr>
        <w:tc>
          <w:tcPr>
            <w:tcW w:w="5840" w:type="dxa"/>
            <w:vAlign w:val="bottom"/>
          </w:tcPr>
          <w:p>
            <w:pPr>
              <w:spacing w:after="0"/>
              <w:rPr>
                <w:sz w:val="20"/>
                <w:szCs w:val="20"/>
                <w:color w:val="auto"/>
              </w:rPr>
            </w:pPr>
            <w:r>
              <w:rPr>
                <w:rFonts w:ascii="Arial" w:cs="Arial" w:eastAsia="Arial" w:hAnsi="Arial"/>
                <w:sz w:val="25"/>
                <w:szCs w:val="25"/>
                <w:b w:val="1"/>
                <w:bCs w:val="1"/>
                <w:color w:val="auto"/>
              </w:rPr>
              <w:t>Net income to stockholders ($B)</w:t>
            </w:r>
          </w:p>
        </w:tc>
        <w:tc>
          <w:tcPr>
            <w:tcW w:w="1240" w:type="dxa"/>
            <w:vAlign w:val="bottom"/>
          </w:tcPr>
          <w:p>
            <w:pPr>
              <w:jc w:val="center"/>
              <w:ind w:right="2"/>
              <w:spacing w:after="0"/>
              <w:rPr>
                <w:sz w:val="20"/>
                <w:szCs w:val="20"/>
                <w:color w:val="auto"/>
              </w:rPr>
            </w:pPr>
            <w:r>
              <w:rPr>
                <w:rFonts w:ascii="Arial" w:cs="Arial" w:eastAsia="Arial" w:hAnsi="Arial"/>
                <w:sz w:val="25"/>
                <w:szCs w:val="25"/>
                <w:b w:val="1"/>
                <w:bCs w:val="1"/>
                <w:color w:val="auto"/>
              </w:rPr>
              <w:t>1.5</w:t>
            </w:r>
          </w:p>
        </w:tc>
        <w:tc>
          <w:tcPr>
            <w:tcW w:w="1840" w:type="dxa"/>
            <w:vAlign w:val="bottom"/>
          </w:tcPr>
          <w:p>
            <w:pPr>
              <w:jc w:val="center"/>
              <w:spacing w:after="0"/>
              <w:rPr>
                <w:sz w:val="20"/>
                <w:szCs w:val="20"/>
                <w:color w:val="auto"/>
              </w:rPr>
            </w:pPr>
            <w:r>
              <w:rPr>
                <w:rFonts w:ascii="Arial" w:cs="Arial" w:eastAsia="Arial" w:hAnsi="Arial"/>
                <w:sz w:val="25"/>
                <w:szCs w:val="25"/>
                <w:b w:val="1"/>
                <w:bCs w:val="1"/>
                <w:color w:val="auto"/>
                <w:w w:val="97"/>
              </w:rPr>
              <w:t>3.4</w:t>
            </w:r>
          </w:p>
        </w:tc>
        <w:tc>
          <w:tcPr>
            <w:tcW w:w="1460" w:type="dxa"/>
            <w:vAlign w:val="bottom"/>
          </w:tcPr>
          <w:p>
            <w:pPr>
              <w:jc w:val="center"/>
              <w:ind w:left="4"/>
              <w:spacing w:after="0"/>
              <w:rPr>
                <w:sz w:val="20"/>
                <w:szCs w:val="20"/>
                <w:color w:val="auto"/>
              </w:rPr>
            </w:pPr>
            <w:r>
              <w:rPr>
                <w:rFonts w:ascii="Arial" w:cs="Arial" w:eastAsia="Arial" w:hAnsi="Arial"/>
                <w:sz w:val="25"/>
                <w:szCs w:val="25"/>
                <w:b w:val="1"/>
                <w:bCs w:val="1"/>
                <w:color w:val="auto"/>
                <w:w w:val="97"/>
              </w:rPr>
              <w:t>3.0</w:t>
            </w:r>
          </w:p>
        </w:tc>
      </w:tr>
      <w:tr>
        <w:trPr>
          <w:trHeight w:val="274"/>
        </w:trPr>
        <w:tc>
          <w:tcPr>
            <w:tcW w:w="5840" w:type="dxa"/>
            <w:vAlign w:val="bottom"/>
          </w:tcPr>
          <w:p>
            <w:pPr>
              <w:ind w:left="180"/>
              <w:spacing w:after="0"/>
              <w:rPr>
                <w:sz w:val="20"/>
                <w:szCs w:val="20"/>
                <w:color w:val="auto"/>
              </w:rPr>
            </w:pPr>
            <w:r>
              <w:rPr>
                <w:rFonts w:ascii="Arial" w:cs="Arial" w:eastAsia="Arial" w:hAnsi="Arial"/>
                <w:sz w:val="22"/>
                <w:szCs w:val="22"/>
                <w:color w:val="auto"/>
              </w:rPr>
              <w:t>Cumulative dividend on Series A</w:t>
            </w:r>
          </w:p>
        </w:tc>
        <w:tc>
          <w:tcPr>
            <w:tcW w:w="1240" w:type="dxa"/>
            <w:vAlign w:val="bottom"/>
          </w:tcPr>
          <w:p>
            <w:pPr>
              <w:jc w:val="right"/>
              <w:ind w:right="322"/>
              <w:spacing w:after="0"/>
              <w:rPr>
                <w:sz w:val="20"/>
                <w:szCs w:val="20"/>
                <w:color w:val="auto"/>
              </w:rPr>
            </w:pPr>
            <w:r>
              <w:rPr>
                <w:rFonts w:ascii="Arial" w:cs="Arial" w:eastAsia="Arial" w:hAnsi="Arial"/>
                <w:sz w:val="22"/>
                <w:szCs w:val="22"/>
                <w:color w:val="auto"/>
              </w:rPr>
              <w:t>(0.2)</w:t>
            </w:r>
          </w:p>
        </w:tc>
        <w:tc>
          <w:tcPr>
            <w:tcW w:w="1840" w:type="dxa"/>
            <w:vAlign w:val="bottom"/>
          </w:tcPr>
          <w:p>
            <w:pPr>
              <w:jc w:val="center"/>
              <w:spacing w:after="0"/>
              <w:rPr>
                <w:sz w:val="20"/>
                <w:szCs w:val="20"/>
                <w:color w:val="auto"/>
              </w:rPr>
            </w:pPr>
            <w:r>
              <w:rPr>
                <w:rFonts w:ascii="Arial" w:cs="Arial" w:eastAsia="Arial" w:hAnsi="Arial"/>
                <w:sz w:val="22"/>
                <w:szCs w:val="22"/>
                <w:color w:val="auto"/>
              </w:rPr>
              <w:t>(0.2)</w:t>
            </w:r>
          </w:p>
        </w:tc>
        <w:tc>
          <w:tcPr>
            <w:tcW w:w="1460" w:type="dxa"/>
            <w:vAlign w:val="bottom"/>
          </w:tcPr>
          <w:p>
            <w:pPr>
              <w:jc w:val="center"/>
              <w:ind w:left="4"/>
              <w:spacing w:after="0"/>
              <w:rPr>
                <w:sz w:val="20"/>
                <w:szCs w:val="20"/>
                <w:color w:val="auto"/>
              </w:rPr>
            </w:pPr>
            <w:r>
              <w:rPr>
                <w:rFonts w:ascii="Arial" w:cs="Arial" w:eastAsia="Arial" w:hAnsi="Arial"/>
                <w:sz w:val="22"/>
                <w:szCs w:val="22"/>
                <w:color w:val="auto"/>
              </w:rPr>
              <w:t>(0.2)</w:t>
            </w:r>
          </w:p>
        </w:tc>
      </w:tr>
      <w:tr>
        <w:trPr>
          <w:trHeight w:val="329"/>
        </w:trPr>
        <w:tc>
          <w:tcPr>
            <w:tcW w:w="5840" w:type="dxa"/>
            <w:vAlign w:val="bottom"/>
          </w:tcPr>
          <w:p>
            <w:pPr>
              <w:ind w:left="180"/>
              <w:spacing w:after="0"/>
              <w:rPr>
                <w:sz w:val="20"/>
                <w:szCs w:val="20"/>
                <w:color w:val="auto"/>
              </w:rPr>
            </w:pPr>
            <w:r>
              <w:rPr>
                <w:rFonts w:ascii="Arial" w:cs="Arial" w:eastAsia="Arial" w:hAnsi="Arial"/>
                <w:sz w:val="22"/>
                <w:szCs w:val="22"/>
                <w:color w:val="auto"/>
              </w:rPr>
              <w:t>Cumulative dividend on Series B</w:t>
            </w:r>
          </w:p>
        </w:tc>
        <w:tc>
          <w:tcPr>
            <w:tcW w:w="1240" w:type="dxa"/>
            <w:vAlign w:val="bottom"/>
          </w:tcPr>
          <w:p>
            <w:pPr>
              <w:jc w:val="right"/>
              <w:ind w:right="382"/>
              <w:spacing w:after="0"/>
              <w:rPr>
                <w:sz w:val="20"/>
                <w:szCs w:val="20"/>
                <w:color w:val="auto"/>
              </w:rPr>
            </w:pPr>
            <w:r>
              <w:rPr>
                <w:rFonts w:ascii="Arial" w:cs="Arial" w:eastAsia="Arial" w:hAnsi="Arial"/>
                <w:sz w:val="22"/>
                <w:szCs w:val="22"/>
                <w:color w:val="auto"/>
              </w:rPr>
              <w:t>n/a</w:t>
            </w:r>
          </w:p>
        </w:tc>
        <w:tc>
          <w:tcPr>
            <w:tcW w:w="1840" w:type="dxa"/>
            <w:vAlign w:val="bottom"/>
          </w:tcPr>
          <w:p>
            <w:pPr>
              <w:jc w:val="center"/>
              <w:spacing w:after="0"/>
              <w:rPr>
                <w:sz w:val="20"/>
                <w:szCs w:val="20"/>
                <w:color w:val="auto"/>
              </w:rPr>
            </w:pPr>
            <w:r>
              <w:rPr>
                <w:rFonts w:ascii="Arial" w:cs="Arial" w:eastAsia="Arial" w:hAnsi="Arial"/>
                <w:sz w:val="22"/>
                <w:szCs w:val="22"/>
                <w:color w:val="auto"/>
              </w:rPr>
              <w:t>(0.1)</w:t>
            </w:r>
          </w:p>
        </w:tc>
        <w:tc>
          <w:tcPr>
            <w:tcW w:w="1460" w:type="dxa"/>
            <w:vAlign w:val="bottom"/>
          </w:tcPr>
          <w:p>
            <w:pPr>
              <w:jc w:val="center"/>
              <w:ind w:left="4"/>
              <w:spacing w:after="0"/>
              <w:rPr>
                <w:sz w:val="20"/>
                <w:szCs w:val="20"/>
                <w:color w:val="auto"/>
              </w:rPr>
            </w:pPr>
            <w:r>
              <w:rPr>
                <w:rFonts w:ascii="Arial" w:cs="Arial" w:eastAsia="Arial" w:hAnsi="Arial"/>
                <w:sz w:val="22"/>
                <w:szCs w:val="22"/>
                <w:color w:val="auto"/>
              </w:rPr>
              <w:t>(0.1)</w:t>
            </w:r>
          </w:p>
        </w:tc>
      </w:tr>
      <w:tr>
        <w:trPr>
          <w:trHeight w:val="329"/>
        </w:trPr>
        <w:tc>
          <w:tcPr>
            <w:tcW w:w="5840" w:type="dxa"/>
            <w:vAlign w:val="bottom"/>
          </w:tcPr>
          <w:p>
            <w:pPr>
              <w:ind w:left="180"/>
              <w:spacing w:after="0"/>
              <w:rPr>
                <w:sz w:val="20"/>
                <w:szCs w:val="20"/>
                <w:color w:val="auto"/>
              </w:rPr>
            </w:pPr>
            <w:r>
              <w:rPr>
                <w:rFonts w:ascii="Arial" w:cs="Arial" w:eastAsia="Arial" w:hAnsi="Arial"/>
                <w:sz w:val="22"/>
                <w:szCs w:val="22"/>
                <w:color w:val="auto"/>
              </w:rPr>
              <w:t>Undistributed earnings allocated to Series B</w:t>
            </w:r>
          </w:p>
        </w:tc>
        <w:tc>
          <w:tcPr>
            <w:tcW w:w="1240" w:type="dxa"/>
            <w:vAlign w:val="bottom"/>
          </w:tcPr>
          <w:p>
            <w:pPr>
              <w:jc w:val="right"/>
              <w:ind w:right="382"/>
              <w:spacing w:after="0"/>
              <w:rPr>
                <w:sz w:val="20"/>
                <w:szCs w:val="20"/>
                <w:color w:val="auto"/>
              </w:rPr>
            </w:pPr>
            <w:r>
              <w:rPr>
                <w:rFonts w:ascii="Arial" w:cs="Arial" w:eastAsia="Arial" w:hAnsi="Arial"/>
                <w:sz w:val="22"/>
                <w:szCs w:val="22"/>
                <w:color w:val="auto"/>
              </w:rPr>
              <w:t>n/a</w:t>
            </w:r>
          </w:p>
        </w:tc>
        <w:tc>
          <w:tcPr>
            <w:tcW w:w="1840" w:type="dxa"/>
            <w:vAlign w:val="bottom"/>
          </w:tcPr>
          <w:p>
            <w:pPr>
              <w:jc w:val="center"/>
              <w:spacing w:after="0"/>
              <w:rPr>
                <w:sz w:val="20"/>
                <w:szCs w:val="20"/>
                <w:color w:val="auto"/>
              </w:rPr>
            </w:pPr>
            <w:r>
              <w:rPr>
                <w:rFonts w:ascii="Arial" w:cs="Arial" w:eastAsia="Arial" w:hAnsi="Arial"/>
                <w:sz w:val="22"/>
                <w:szCs w:val="22"/>
                <w:color w:val="auto"/>
              </w:rPr>
              <w:t>0.0</w:t>
            </w:r>
          </w:p>
        </w:tc>
        <w:tc>
          <w:tcPr>
            <w:tcW w:w="1460" w:type="dxa"/>
            <w:vAlign w:val="bottom"/>
          </w:tcPr>
          <w:p>
            <w:pPr>
              <w:jc w:val="center"/>
              <w:ind w:left="4"/>
              <w:spacing w:after="0"/>
              <w:rPr>
                <w:sz w:val="20"/>
                <w:szCs w:val="20"/>
                <w:color w:val="auto"/>
              </w:rPr>
            </w:pPr>
            <w:r>
              <w:rPr>
                <w:rFonts w:ascii="Arial" w:cs="Arial" w:eastAsia="Arial" w:hAnsi="Arial"/>
                <w:sz w:val="22"/>
                <w:szCs w:val="22"/>
                <w:color w:val="auto"/>
              </w:rPr>
              <w:t>(0.3)</w:t>
            </w:r>
          </w:p>
        </w:tc>
      </w:tr>
      <w:tr>
        <w:trPr>
          <w:trHeight w:val="337"/>
        </w:trPr>
        <w:tc>
          <w:tcPr>
            <w:tcW w:w="5840" w:type="dxa"/>
            <w:vAlign w:val="bottom"/>
          </w:tcPr>
          <w:p>
            <w:pPr>
              <w:spacing w:after="0"/>
              <w:rPr>
                <w:sz w:val="20"/>
                <w:szCs w:val="20"/>
                <w:color w:val="auto"/>
              </w:rPr>
            </w:pPr>
            <w:r>
              <w:rPr>
                <w:rFonts w:ascii="Arial" w:cs="Arial" w:eastAsia="Arial" w:hAnsi="Arial"/>
                <w:sz w:val="25"/>
                <w:szCs w:val="25"/>
                <w:b w:val="1"/>
                <w:bCs w:val="1"/>
                <w:color w:val="auto"/>
              </w:rPr>
              <w:t>Net income to common ($B)</w:t>
            </w:r>
          </w:p>
        </w:tc>
        <w:tc>
          <w:tcPr>
            <w:tcW w:w="1240" w:type="dxa"/>
            <w:vAlign w:val="bottom"/>
          </w:tcPr>
          <w:p>
            <w:pPr>
              <w:jc w:val="center"/>
              <w:ind w:right="2"/>
              <w:spacing w:after="0"/>
              <w:rPr>
                <w:sz w:val="20"/>
                <w:szCs w:val="20"/>
                <w:color w:val="auto"/>
              </w:rPr>
            </w:pPr>
            <w:r>
              <w:rPr>
                <w:rFonts w:ascii="Arial" w:cs="Arial" w:eastAsia="Arial" w:hAnsi="Arial"/>
                <w:sz w:val="25"/>
                <w:szCs w:val="25"/>
                <w:b w:val="1"/>
                <w:bCs w:val="1"/>
                <w:color w:val="auto"/>
              </w:rPr>
              <w:t>1.3</w:t>
            </w:r>
          </w:p>
        </w:tc>
        <w:tc>
          <w:tcPr>
            <w:tcW w:w="1840" w:type="dxa"/>
            <w:vAlign w:val="bottom"/>
          </w:tcPr>
          <w:p>
            <w:pPr>
              <w:jc w:val="center"/>
              <w:spacing w:after="0"/>
              <w:rPr>
                <w:sz w:val="20"/>
                <w:szCs w:val="20"/>
                <w:color w:val="auto"/>
              </w:rPr>
            </w:pPr>
            <w:r>
              <w:rPr>
                <w:rFonts w:ascii="Arial" w:cs="Arial" w:eastAsia="Arial" w:hAnsi="Arial"/>
                <w:sz w:val="25"/>
                <w:szCs w:val="25"/>
                <w:b w:val="1"/>
                <w:bCs w:val="1"/>
                <w:color w:val="auto"/>
                <w:w w:val="97"/>
              </w:rPr>
              <w:t>3.2</w:t>
            </w:r>
          </w:p>
        </w:tc>
        <w:tc>
          <w:tcPr>
            <w:tcW w:w="1460" w:type="dxa"/>
            <w:vAlign w:val="bottom"/>
          </w:tcPr>
          <w:p>
            <w:pPr>
              <w:jc w:val="center"/>
              <w:ind w:left="4"/>
              <w:spacing w:after="0"/>
              <w:rPr>
                <w:sz w:val="20"/>
                <w:szCs w:val="20"/>
                <w:color w:val="auto"/>
              </w:rPr>
            </w:pPr>
            <w:r>
              <w:rPr>
                <w:rFonts w:ascii="Arial" w:cs="Arial" w:eastAsia="Arial" w:hAnsi="Arial"/>
                <w:sz w:val="25"/>
                <w:szCs w:val="25"/>
                <w:b w:val="1"/>
                <w:bCs w:val="1"/>
                <w:color w:val="auto"/>
                <w:w w:val="97"/>
              </w:rPr>
              <w:t>2.5</w:t>
            </w:r>
          </w:p>
        </w:tc>
      </w:tr>
      <w:tr>
        <w:trPr>
          <w:trHeight w:val="321"/>
        </w:trPr>
        <w:tc>
          <w:tcPr>
            <w:tcW w:w="5840" w:type="dxa"/>
            <w:vAlign w:val="bottom"/>
          </w:tcPr>
          <w:p>
            <w:pPr>
              <w:ind w:left="180"/>
              <w:spacing w:after="0"/>
              <w:rPr>
                <w:sz w:val="20"/>
                <w:szCs w:val="20"/>
                <w:color w:val="auto"/>
              </w:rPr>
            </w:pPr>
            <w:r>
              <w:rPr>
                <w:rFonts w:ascii="Arial" w:cs="Arial" w:eastAsia="Arial" w:hAnsi="Arial"/>
                <w:sz w:val="22"/>
                <w:szCs w:val="22"/>
                <w:color w:val="auto"/>
              </w:rPr>
              <w:t>Add back Series B Preferred dividend</w:t>
            </w:r>
          </w:p>
        </w:tc>
        <w:tc>
          <w:tcPr>
            <w:tcW w:w="1240" w:type="dxa"/>
            <w:vAlign w:val="bottom"/>
          </w:tcPr>
          <w:p>
            <w:pPr>
              <w:jc w:val="right"/>
              <w:ind w:right="382"/>
              <w:spacing w:after="0"/>
              <w:rPr>
                <w:sz w:val="20"/>
                <w:szCs w:val="20"/>
                <w:color w:val="auto"/>
              </w:rPr>
            </w:pPr>
            <w:r>
              <w:rPr>
                <w:rFonts w:ascii="Arial" w:cs="Arial" w:eastAsia="Arial" w:hAnsi="Arial"/>
                <w:sz w:val="22"/>
                <w:szCs w:val="22"/>
                <w:color w:val="auto"/>
              </w:rPr>
              <w:t>n/a</w:t>
            </w:r>
          </w:p>
        </w:tc>
        <w:tc>
          <w:tcPr>
            <w:tcW w:w="1840" w:type="dxa"/>
            <w:vAlign w:val="bottom"/>
          </w:tcPr>
          <w:p>
            <w:pPr>
              <w:jc w:val="center"/>
              <w:spacing w:after="0"/>
              <w:rPr>
                <w:sz w:val="20"/>
                <w:szCs w:val="20"/>
                <w:color w:val="auto"/>
              </w:rPr>
            </w:pPr>
            <w:r>
              <w:rPr>
                <w:rFonts w:ascii="Arial" w:cs="Arial" w:eastAsia="Arial" w:hAnsi="Arial"/>
                <w:sz w:val="22"/>
                <w:szCs w:val="22"/>
                <w:color w:val="auto"/>
              </w:rPr>
              <w:t>0.1</w:t>
            </w:r>
          </w:p>
        </w:tc>
        <w:tc>
          <w:tcPr>
            <w:tcW w:w="1460" w:type="dxa"/>
            <w:vAlign w:val="bottom"/>
          </w:tcPr>
          <w:p>
            <w:pPr>
              <w:jc w:val="center"/>
              <w:spacing w:after="0"/>
              <w:rPr>
                <w:sz w:val="20"/>
                <w:szCs w:val="20"/>
                <w:color w:val="auto"/>
              </w:rPr>
            </w:pPr>
            <w:r>
              <w:rPr>
                <w:rFonts w:ascii="Arial" w:cs="Arial" w:eastAsia="Arial" w:hAnsi="Arial"/>
                <w:sz w:val="22"/>
                <w:szCs w:val="22"/>
                <w:color w:val="auto"/>
              </w:rPr>
              <w:t>0.0</w:t>
            </w:r>
          </w:p>
        </w:tc>
      </w:tr>
      <w:tr>
        <w:trPr>
          <w:trHeight w:val="361"/>
        </w:trPr>
        <w:tc>
          <w:tcPr>
            <w:tcW w:w="5840" w:type="dxa"/>
            <w:vAlign w:val="bottom"/>
          </w:tcPr>
          <w:p>
            <w:pPr>
              <w:spacing w:after="0"/>
              <w:rPr>
                <w:sz w:val="20"/>
                <w:szCs w:val="20"/>
                <w:color w:val="auto"/>
              </w:rPr>
            </w:pPr>
            <w:r>
              <w:rPr>
                <w:rFonts w:ascii="Arial" w:cs="Arial" w:eastAsia="Arial" w:hAnsi="Arial"/>
                <w:sz w:val="25"/>
                <w:szCs w:val="25"/>
                <w:b w:val="1"/>
                <w:bCs w:val="1"/>
                <w:color w:val="auto"/>
              </w:rPr>
              <w:t>Net income to common – diluted EPS calc. ($B)</w:t>
            </w:r>
          </w:p>
        </w:tc>
        <w:tc>
          <w:tcPr>
            <w:tcW w:w="1240" w:type="dxa"/>
            <w:vAlign w:val="bottom"/>
          </w:tcPr>
          <w:p>
            <w:pPr>
              <w:jc w:val="center"/>
              <w:ind w:right="2"/>
              <w:spacing w:after="0"/>
              <w:rPr>
                <w:sz w:val="20"/>
                <w:szCs w:val="20"/>
                <w:color w:val="auto"/>
              </w:rPr>
            </w:pPr>
            <w:r>
              <w:rPr>
                <w:rFonts w:ascii="Arial" w:cs="Arial" w:eastAsia="Arial" w:hAnsi="Arial"/>
                <w:sz w:val="25"/>
                <w:szCs w:val="25"/>
                <w:b w:val="1"/>
                <w:bCs w:val="1"/>
                <w:color w:val="auto"/>
              </w:rPr>
              <w:t>1.3</w:t>
            </w:r>
          </w:p>
        </w:tc>
        <w:tc>
          <w:tcPr>
            <w:tcW w:w="1840" w:type="dxa"/>
            <w:vAlign w:val="bottom"/>
          </w:tcPr>
          <w:p>
            <w:pPr>
              <w:jc w:val="center"/>
              <w:spacing w:after="0"/>
              <w:rPr>
                <w:sz w:val="20"/>
                <w:szCs w:val="20"/>
                <w:color w:val="auto"/>
              </w:rPr>
            </w:pPr>
            <w:r>
              <w:rPr>
                <w:rFonts w:ascii="Arial" w:cs="Arial" w:eastAsia="Arial" w:hAnsi="Arial"/>
                <w:sz w:val="25"/>
                <w:szCs w:val="25"/>
                <w:b w:val="1"/>
                <w:bCs w:val="1"/>
                <w:color w:val="auto"/>
                <w:w w:val="97"/>
              </w:rPr>
              <w:t>3.2</w:t>
            </w:r>
          </w:p>
        </w:tc>
        <w:tc>
          <w:tcPr>
            <w:tcW w:w="1460" w:type="dxa"/>
            <w:vAlign w:val="bottom"/>
          </w:tcPr>
          <w:p>
            <w:pPr>
              <w:jc w:val="center"/>
              <w:ind w:left="4"/>
              <w:spacing w:after="0"/>
              <w:rPr>
                <w:sz w:val="20"/>
                <w:szCs w:val="20"/>
                <w:color w:val="auto"/>
              </w:rPr>
            </w:pPr>
            <w:r>
              <w:rPr>
                <w:rFonts w:ascii="Arial" w:cs="Arial" w:eastAsia="Arial" w:hAnsi="Arial"/>
                <w:sz w:val="25"/>
                <w:szCs w:val="25"/>
                <w:b w:val="1"/>
                <w:bCs w:val="1"/>
                <w:color w:val="auto"/>
                <w:w w:val="97"/>
              </w:rPr>
              <w:t>2.5</w:t>
            </w:r>
          </w:p>
        </w:tc>
      </w:tr>
      <w:tr>
        <w:trPr>
          <w:trHeight w:val="664"/>
        </w:trPr>
        <w:tc>
          <w:tcPr>
            <w:tcW w:w="5840" w:type="dxa"/>
            <w:vAlign w:val="bottom"/>
          </w:tcPr>
          <w:p>
            <w:pPr>
              <w:spacing w:after="0"/>
              <w:rPr>
                <w:sz w:val="20"/>
                <w:szCs w:val="20"/>
                <w:color w:val="auto"/>
              </w:rPr>
            </w:pPr>
            <w:r>
              <w:rPr>
                <w:rFonts w:ascii="Arial" w:cs="Arial" w:eastAsia="Arial" w:hAnsi="Arial"/>
                <w:sz w:val="25"/>
                <w:szCs w:val="25"/>
                <w:b w:val="1"/>
                <w:bCs w:val="1"/>
                <w:color w:val="auto"/>
              </w:rPr>
              <w:t>Fully diluted share count (M)</w:t>
            </w:r>
          </w:p>
        </w:tc>
        <w:tc>
          <w:tcPr>
            <w:tcW w:w="1240" w:type="dxa"/>
            <w:vAlign w:val="bottom"/>
          </w:tcPr>
          <w:p>
            <w:pPr>
              <w:jc w:val="center"/>
              <w:ind w:right="22"/>
              <w:spacing w:after="0"/>
              <w:rPr>
                <w:sz w:val="20"/>
                <w:szCs w:val="20"/>
                <w:color w:val="auto"/>
              </w:rPr>
            </w:pPr>
            <w:r>
              <w:rPr>
                <w:rFonts w:ascii="Arial" w:cs="Arial" w:eastAsia="Arial" w:hAnsi="Arial"/>
                <w:sz w:val="25"/>
                <w:szCs w:val="25"/>
                <w:b w:val="1"/>
                <w:bCs w:val="1"/>
                <w:color w:val="auto"/>
                <w:w w:val="99"/>
              </w:rPr>
              <w:t>1,567</w:t>
            </w:r>
          </w:p>
        </w:tc>
        <w:tc>
          <w:tcPr>
            <w:tcW w:w="1840" w:type="dxa"/>
            <w:vAlign w:val="bottom"/>
          </w:tcPr>
          <w:p>
            <w:pPr>
              <w:jc w:val="center"/>
              <w:spacing w:after="0"/>
              <w:rPr>
                <w:sz w:val="20"/>
                <w:szCs w:val="20"/>
                <w:color w:val="auto"/>
              </w:rPr>
            </w:pPr>
            <w:r>
              <w:rPr>
                <w:rFonts w:ascii="Arial" w:cs="Arial" w:eastAsia="Arial" w:hAnsi="Arial"/>
                <w:sz w:val="25"/>
                <w:szCs w:val="25"/>
                <w:b w:val="1"/>
                <w:bCs w:val="1"/>
                <w:color w:val="auto"/>
                <w:w w:val="99"/>
              </w:rPr>
              <w:t>1,817</w:t>
            </w:r>
          </w:p>
        </w:tc>
        <w:tc>
          <w:tcPr>
            <w:tcW w:w="1460" w:type="dxa"/>
            <w:vAlign w:val="bottom"/>
          </w:tcPr>
          <w:p>
            <w:pPr>
              <w:jc w:val="center"/>
              <w:spacing w:after="0"/>
              <w:rPr>
                <w:sz w:val="20"/>
                <w:szCs w:val="20"/>
                <w:color w:val="auto"/>
              </w:rPr>
            </w:pPr>
            <w:r>
              <w:rPr>
                <w:rFonts w:ascii="Arial" w:cs="Arial" w:eastAsia="Arial" w:hAnsi="Arial"/>
                <w:sz w:val="25"/>
                <w:szCs w:val="25"/>
                <w:b w:val="1"/>
                <w:bCs w:val="1"/>
                <w:color w:val="auto"/>
                <w:w w:val="95"/>
              </w:rPr>
              <w:t>1,654</w:t>
            </w:r>
          </w:p>
        </w:tc>
      </w:tr>
      <w:tr>
        <w:trPr>
          <w:trHeight w:val="280"/>
        </w:trPr>
        <w:tc>
          <w:tcPr>
            <w:tcW w:w="5840" w:type="dxa"/>
            <w:vAlign w:val="bottom"/>
          </w:tcPr>
          <w:p>
            <w:pPr>
              <w:ind w:left="200"/>
              <w:spacing w:after="0"/>
              <w:rPr>
                <w:sz w:val="20"/>
                <w:szCs w:val="20"/>
                <w:color w:val="auto"/>
              </w:rPr>
            </w:pPr>
            <w:r>
              <w:rPr>
                <w:rFonts w:ascii="Arial" w:cs="Arial" w:eastAsia="Arial" w:hAnsi="Arial"/>
                <w:sz w:val="22"/>
                <w:szCs w:val="22"/>
                <w:color w:val="auto"/>
              </w:rPr>
              <w:t>Memo: Series B equivalents included</w:t>
            </w:r>
          </w:p>
        </w:tc>
        <w:tc>
          <w:tcPr>
            <w:tcW w:w="1240" w:type="dxa"/>
            <w:vAlign w:val="bottom"/>
          </w:tcPr>
          <w:p>
            <w:pPr>
              <w:jc w:val="right"/>
              <w:ind w:right="382"/>
              <w:spacing w:after="0"/>
              <w:rPr>
                <w:sz w:val="20"/>
                <w:szCs w:val="20"/>
                <w:color w:val="auto"/>
              </w:rPr>
            </w:pPr>
            <w:r>
              <w:rPr>
                <w:rFonts w:ascii="Arial" w:cs="Arial" w:eastAsia="Arial" w:hAnsi="Arial"/>
                <w:sz w:val="22"/>
                <w:szCs w:val="22"/>
                <w:color w:val="auto"/>
              </w:rPr>
              <w:t>n/a</w:t>
            </w:r>
          </w:p>
        </w:tc>
        <w:tc>
          <w:tcPr>
            <w:tcW w:w="1840" w:type="dxa"/>
            <w:vAlign w:val="bottom"/>
          </w:tcPr>
          <w:p>
            <w:pPr>
              <w:jc w:val="center"/>
              <w:spacing w:after="0"/>
              <w:rPr>
                <w:sz w:val="20"/>
                <w:szCs w:val="20"/>
                <w:color w:val="auto"/>
              </w:rPr>
            </w:pPr>
            <w:r>
              <w:rPr>
                <w:rFonts w:ascii="Arial" w:cs="Arial" w:eastAsia="Arial" w:hAnsi="Arial"/>
                <w:sz w:val="22"/>
                <w:szCs w:val="22"/>
                <w:color w:val="auto"/>
              </w:rPr>
              <w:t>148</w:t>
            </w:r>
          </w:p>
        </w:tc>
        <w:tc>
          <w:tcPr>
            <w:tcW w:w="1460" w:type="dxa"/>
            <w:vAlign w:val="bottom"/>
          </w:tcPr>
          <w:p>
            <w:pPr>
              <w:jc w:val="center"/>
              <w:spacing w:after="0"/>
              <w:rPr>
                <w:sz w:val="20"/>
                <w:szCs w:val="20"/>
                <w:color w:val="auto"/>
              </w:rPr>
            </w:pPr>
            <w:r>
              <w:rPr>
                <w:rFonts w:ascii="Arial" w:cs="Arial" w:eastAsia="Arial" w:hAnsi="Arial"/>
                <w:sz w:val="22"/>
                <w:szCs w:val="22"/>
                <w:color w:val="auto"/>
                <w:w w:val="97"/>
              </w:rPr>
              <w:t>0</w:t>
            </w:r>
          </w:p>
        </w:tc>
      </w:tr>
      <w:tr>
        <w:trPr>
          <w:trHeight w:val="584"/>
        </w:trPr>
        <w:tc>
          <w:tcPr>
            <w:tcW w:w="5840" w:type="dxa"/>
            <w:vAlign w:val="bottom"/>
          </w:tcPr>
          <w:p>
            <w:pPr>
              <w:spacing w:after="0"/>
              <w:rPr>
                <w:sz w:val="20"/>
                <w:szCs w:val="20"/>
                <w:color w:val="auto"/>
              </w:rPr>
            </w:pPr>
            <w:r>
              <w:rPr>
                <w:rFonts w:ascii="Arial" w:cs="Arial" w:eastAsia="Arial" w:hAnsi="Arial"/>
                <w:sz w:val="25"/>
                <w:szCs w:val="25"/>
                <w:b w:val="1"/>
                <w:bCs w:val="1"/>
                <w:color w:val="auto"/>
              </w:rPr>
              <w:t>EPS – Diluted ($/share)</w:t>
            </w:r>
          </w:p>
        </w:tc>
        <w:tc>
          <w:tcPr>
            <w:tcW w:w="1240" w:type="dxa"/>
            <w:vAlign w:val="bottom"/>
          </w:tcPr>
          <w:p>
            <w:pPr>
              <w:jc w:val="center"/>
              <w:ind w:right="2"/>
              <w:spacing w:after="0"/>
              <w:rPr>
                <w:sz w:val="20"/>
                <w:szCs w:val="20"/>
                <w:color w:val="auto"/>
              </w:rPr>
            </w:pPr>
            <w:r>
              <w:rPr>
                <w:rFonts w:ascii="Arial" w:cs="Arial" w:eastAsia="Arial" w:hAnsi="Arial"/>
                <w:sz w:val="25"/>
                <w:szCs w:val="25"/>
                <w:b w:val="1"/>
                <w:bCs w:val="1"/>
                <w:color w:val="auto"/>
                <w:w w:val="98"/>
              </w:rPr>
              <w:t>0.85</w:t>
            </w:r>
          </w:p>
        </w:tc>
        <w:tc>
          <w:tcPr>
            <w:tcW w:w="1840" w:type="dxa"/>
            <w:vAlign w:val="bottom"/>
          </w:tcPr>
          <w:p>
            <w:pPr>
              <w:jc w:val="center"/>
              <w:spacing w:after="0"/>
              <w:rPr>
                <w:sz w:val="20"/>
                <w:szCs w:val="20"/>
                <w:color w:val="auto"/>
              </w:rPr>
            </w:pPr>
            <w:r>
              <w:rPr>
                <w:rFonts w:ascii="Arial" w:cs="Arial" w:eastAsia="Arial" w:hAnsi="Arial"/>
                <w:sz w:val="25"/>
                <w:szCs w:val="25"/>
                <w:b w:val="1"/>
                <w:bCs w:val="1"/>
                <w:color w:val="auto"/>
                <w:w w:val="98"/>
              </w:rPr>
              <w:t>1.77</w:t>
            </w:r>
          </w:p>
        </w:tc>
        <w:tc>
          <w:tcPr>
            <w:tcW w:w="1460" w:type="dxa"/>
            <w:vAlign w:val="bottom"/>
          </w:tcPr>
          <w:p>
            <w:pPr>
              <w:jc w:val="center"/>
              <w:spacing w:after="0"/>
              <w:rPr>
                <w:sz w:val="20"/>
                <w:szCs w:val="20"/>
                <w:color w:val="auto"/>
              </w:rPr>
            </w:pPr>
            <w:r>
              <w:rPr>
                <w:rFonts w:ascii="Arial" w:cs="Arial" w:eastAsia="Arial" w:hAnsi="Arial"/>
                <w:sz w:val="25"/>
                <w:szCs w:val="25"/>
                <w:b w:val="1"/>
                <w:bCs w:val="1"/>
                <w:color w:val="auto"/>
                <w:w w:val="98"/>
              </w:rPr>
              <w:t>1.54</w:t>
            </w:r>
          </w:p>
        </w:tc>
      </w:tr>
      <w:tr>
        <w:trPr>
          <w:trHeight w:val="533"/>
        </w:trPr>
        <w:tc>
          <w:tcPr>
            <w:tcW w:w="5840" w:type="dxa"/>
            <w:vAlign w:val="bottom"/>
          </w:tcPr>
          <w:p>
            <w:pPr>
              <w:spacing w:after="0"/>
              <w:rPr>
                <w:sz w:val="20"/>
                <w:szCs w:val="20"/>
                <w:color w:val="auto"/>
              </w:rPr>
            </w:pPr>
            <w:r>
              <w:rPr>
                <w:rFonts w:ascii="Arial" w:cs="Arial" w:eastAsia="Arial" w:hAnsi="Arial"/>
                <w:sz w:val="22"/>
                <w:szCs w:val="22"/>
                <w:color w:val="auto"/>
              </w:rPr>
              <w:t>Memo:</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4"/>
        </w:trPr>
        <w:tc>
          <w:tcPr>
            <w:tcW w:w="5840" w:type="dxa"/>
            <w:vAlign w:val="bottom"/>
          </w:tcPr>
          <w:p>
            <w:pPr>
              <w:spacing w:after="0"/>
              <w:rPr>
                <w:sz w:val="20"/>
                <w:szCs w:val="20"/>
                <w:color w:val="auto"/>
              </w:rPr>
            </w:pPr>
            <w:r>
              <w:rPr>
                <w:rFonts w:ascii="Arial" w:cs="Arial" w:eastAsia="Arial" w:hAnsi="Arial"/>
                <w:sz w:val="22"/>
                <w:szCs w:val="22"/>
                <w:color w:val="auto"/>
              </w:rPr>
              <w:t>Average stock price in $33.00 - $39.60 range</w:t>
            </w:r>
          </w:p>
        </w:tc>
        <w:tc>
          <w:tcPr>
            <w:tcW w:w="1240" w:type="dxa"/>
            <w:vAlign w:val="bottom"/>
          </w:tcPr>
          <w:p>
            <w:pPr>
              <w:jc w:val="right"/>
              <w:ind w:right="382"/>
              <w:spacing w:after="0"/>
              <w:rPr>
                <w:sz w:val="20"/>
                <w:szCs w:val="20"/>
                <w:color w:val="auto"/>
              </w:rPr>
            </w:pPr>
            <w:r>
              <w:rPr>
                <w:rFonts w:ascii="Arial" w:cs="Arial" w:eastAsia="Arial" w:hAnsi="Arial"/>
                <w:sz w:val="22"/>
                <w:szCs w:val="22"/>
                <w:color w:val="auto"/>
              </w:rPr>
              <w:t>n/a</w:t>
            </w:r>
          </w:p>
        </w:tc>
        <w:tc>
          <w:tcPr>
            <w:tcW w:w="1840" w:type="dxa"/>
            <w:vAlign w:val="bottom"/>
          </w:tcPr>
          <w:p>
            <w:pPr>
              <w:jc w:val="center"/>
              <w:spacing w:after="0"/>
              <w:rPr>
                <w:sz w:val="20"/>
                <w:szCs w:val="20"/>
                <w:color w:val="auto"/>
              </w:rPr>
            </w:pPr>
            <w:r>
              <w:rPr>
                <w:rFonts w:ascii="Arial" w:cs="Arial" w:eastAsia="Arial" w:hAnsi="Arial"/>
                <w:sz w:val="22"/>
                <w:szCs w:val="22"/>
                <w:color w:val="auto"/>
                <w:w w:val="95"/>
              </w:rPr>
              <w:t>Y</w:t>
            </w:r>
          </w:p>
        </w:tc>
        <w:tc>
          <w:tcPr>
            <w:tcW w:w="1460" w:type="dxa"/>
            <w:vAlign w:val="bottom"/>
          </w:tcPr>
          <w:p>
            <w:pPr>
              <w:jc w:val="center"/>
              <w:spacing w:after="0"/>
              <w:rPr>
                <w:sz w:val="20"/>
                <w:szCs w:val="20"/>
                <w:color w:val="auto"/>
              </w:rPr>
            </w:pPr>
            <w:r>
              <w:rPr>
                <w:rFonts w:ascii="Arial" w:cs="Arial" w:eastAsia="Arial" w:hAnsi="Arial"/>
                <w:sz w:val="22"/>
                <w:szCs w:val="22"/>
                <w:color w:val="auto"/>
              </w:rPr>
              <w:t>N</w:t>
            </w:r>
          </w:p>
        </w:tc>
      </w:tr>
      <w:tr>
        <w:trPr>
          <w:trHeight w:val="329"/>
        </w:trPr>
        <w:tc>
          <w:tcPr>
            <w:tcW w:w="5840" w:type="dxa"/>
            <w:vAlign w:val="bottom"/>
          </w:tcPr>
          <w:p>
            <w:pPr>
              <w:spacing w:after="0"/>
              <w:rPr>
                <w:sz w:val="20"/>
                <w:szCs w:val="20"/>
                <w:color w:val="auto"/>
              </w:rPr>
            </w:pPr>
            <w:r>
              <w:rPr>
                <w:rFonts w:ascii="Arial" w:cs="Arial" w:eastAsia="Arial" w:hAnsi="Arial"/>
                <w:sz w:val="22"/>
                <w:szCs w:val="22"/>
                <w:color w:val="auto"/>
              </w:rPr>
              <w:t>EPS calculation method</w:t>
            </w:r>
          </w:p>
        </w:tc>
        <w:tc>
          <w:tcPr>
            <w:tcW w:w="1240" w:type="dxa"/>
            <w:vAlign w:val="bottom"/>
          </w:tcPr>
          <w:p>
            <w:pPr>
              <w:jc w:val="right"/>
              <w:ind w:right="382"/>
              <w:spacing w:after="0"/>
              <w:rPr>
                <w:sz w:val="20"/>
                <w:szCs w:val="20"/>
                <w:color w:val="auto"/>
              </w:rPr>
            </w:pPr>
            <w:r>
              <w:rPr>
                <w:rFonts w:ascii="Arial" w:cs="Arial" w:eastAsia="Arial" w:hAnsi="Arial"/>
                <w:sz w:val="22"/>
                <w:szCs w:val="22"/>
                <w:color w:val="auto"/>
              </w:rPr>
              <w:t>n/a</w:t>
            </w:r>
          </w:p>
        </w:tc>
        <w:tc>
          <w:tcPr>
            <w:tcW w:w="1840" w:type="dxa"/>
            <w:vAlign w:val="bottom"/>
          </w:tcPr>
          <w:p>
            <w:pPr>
              <w:jc w:val="center"/>
              <w:ind w:left="2"/>
              <w:spacing w:after="0"/>
              <w:rPr>
                <w:sz w:val="20"/>
                <w:szCs w:val="20"/>
                <w:color w:val="auto"/>
              </w:rPr>
            </w:pPr>
            <w:r>
              <w:rPr>
                <w:rFonts w:ascii="Arial" w:cs="Arial" w:eastAsia="Arial" w:hAnsi="Arial"/>
                <w:sz w:val="22"/>
                <w:szCs w:val="22"/>
                <w:color w:val="auto"/>
              </w:rPr>
              <w:t>If Converted</w:t>
            </w:r>
          </w:p>
        </w:tc>
        <w:tc>
          <w:tcPr>
            <w:tcW w:w="1460" w:type="dxa"/>
            <w:vAlign w:val="bottom"/>
          </w:tcPr>
          <w:p>
            <w:pPr>
              <w:jc w:val="center"/>
              <w:spacing w:after="0"/>
              <w:rPr>
                <w:sz w:val="20"/>
                <w:szCs w:val="20"/>
                <w:color w:val="auto"/>
              </w:rPr>
            </w:pPr>
            <w:r>
              <w:rPr>
                <w:rFonts w:ascii="Arial" w:cs="Arial" w:eastAsia="Arial" w:hAnsi="Arial"/>
                <w:sz w:val="22"/>
                <w:szCs w:val="22"/>
                <w:color w:val="auto"/>
              </w:rPr>
              <w:t>Two-Class</w:t>
            </w:r>
          </w:p>
        </w:tc>
      </w:tr>
      <w:tr>
        <w:trPr>
          <w:trHeight w:val="942"/>
        </w:trPr>
        <w:tc>
          <w:tcPr>
            <w:tcW w:w="5840" w:type="dxa"/>
            <w:vAlign w:val="bottom"/>
          </w:tcPr>
          <w:p>
            <w:pPr>
              <w:ind w:left="80"/>
              <w:spacing w:after="0"/>
              <w:rPr>
                <w:sz w:val="20"/>
                <w:szCs w:val="20"/>
                <w:color w:val="auto"/>
              </w:rPr>
            </w:pPr>
            <w:r>
              <w:rPr>
                <w:rFonts w:ascii="Arial" w:cs="Arial" w:eastAsia="Arial" w:hAnsi="Arial"/>
                <w:sz w:val="19"/>
                <w:szCs w:val="19"/>
                <w:i w:val="1"/>
                <w:iCs w:val="1"/>
                <w:color w:val="auto"/>
              </w:rPr>
              <w:t>Note: Results may not foot due to rounding</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bl>
    <w:p>
      <w:pPr>
        <w:sectPr>
          <w:pgSz w:w="11900" w:h="16838" w:orient="portrait"/>
          <w:cols w:equalWidth="0" w:num="1">
            <w:col w:w="10380"/>
          </w:cols>
          <w:pgMar w:left="520" w:top="597" w:right="99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Q2 Operating Income Walk to EBIT- Adj.</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6820" w:type="dxa"/>
            <w:vAlign w:val="bottom"/>
          </w:tcPr>
          <w:p>
            <w:pPr>
              <w:spacing w:after="0"/>
              <w:rPr>
                <w:sz w:val="24"/>
                <w:szCs w:val="24"/>
                <w:color w:val="auto"/>
              </w:rPr>
            </w:pPr>
          </w:p>
        </w:tc>
        <w:tc>
          <w:tcPr>
            <w:tcW w:w="1940" w:type="dxa"/>
            <w:vAlign w:val="bottom"/>
          </w:tcPr>
          <w:p>
            <w:pPr>
              <w:jc w:val="center"/>
              <w:ind w:right="49"/>
              <w:spacing w:after="0"/>
              <w:rPr>
                <w:sz w:val="20"/>
                <w:szCs w:val="20"/>
                <w:color w:val="auto"/>
              </w:rPr>
            </w:pPr>
            <w:r>
              <w:rPr>
                <w:rFonts w:ascii="Arial" w:cs="Arial" w:eastAsia="Arial" w:hAnsi="Arial"/>
                <w:sz w:val="32"/>
                <w:szCs w:val="32"/>
                <w:b w:val="1"/>
                <w:bCs w:val="1"/>
                <w:color w:val="auto"/>
                <w:w w:val="98"/>
              </w:rPr>
              <w:t>Q2</w:t>
            </w:r>
          </w:p>
        </w:tc>
        <w:tc>
          <w:tcPr>
            <w:tcW w:w="1500" w:type="dxa"/>
            <w:vAlign w:val="bottom"/>
          </w:tcPr>
          <w:p>
            <w:pPr>
              <w:jc w:val="center"/>
              <w:ind w:right="255"/>
              <w:spacing w:after="0"/>
              <w:rPr>
                <w:sz w:val="20"/>
                <w:szCs w:val="20"/>
                <w:color w:val="auto"/>
              </w:rPr>
            </w:pPr>
            <w:r>
              <w:rPr>
                <w:rFonts w:ascii="Arial" w:cs="Arial" w:eastAsia="Arial" w:hAnsi="Arial"/>
                <w:sz w:val="32"/>
                <w:szCs w:val="32"/>
                <w:b w:val="1"/>
                <w:bCs w:val="1"/>
                <w:color w:val="auto"/>
                <w:w w:val="98"/>
              </w:rPr>
              <w:t>Q2</w:t>
            </w:r>
          </w:p>
        </w:tc>
      </w:tr>
      <w:tr>
        <w:trPr>
          <w:trHeight w:val="421"/>
        </w:trPr>
        <w:tc>
          <w:tcPr>
            <w:tcW w:w="6820" w:type="dxa"/>
            <w:vAlign w:val="bottom"/>
          </w:tcPr>
          <w:p>
            <w:pPr>
              <w:ind w:left="280"/>
              <w:spacing w:after="0"/>
              <w:rPr>
                <w:sz w:val="20"/>
                <w:szCs w:val="20"/>
                <w:color w:val="auto"/>
              </w:rPr>
            </w:pPr>
            <w:r>
              <w:rPr>
                <w:rFonts w:ascii="Arial" w:cs="Arial" w:eastAsia="Arial" w:hAnsi="Arial"/>
                <w:sz w:val="28"/>
                <w:szCs w:val="28"/>
                <w:b w:val="1"/>
                <w:bCs w:val="1"/>
                <w:color w:val="auto"/>
              </w:rPr>
              <w:t>($B)</w:t>
            </w:r>
          </w:p>
        </w:tc>
        <w:tc>
          <w:tcPr>
            <w:tcW w:w="1940" w:type="dxa"/>
            <w:vAlign w:val="bottom"/>
          </w:tcPr>
          <w:p>
            <w:pPr>
              <w:jc w:val="center"/>
              <w:ind w:right="49"/>
              <w:spacing w:after="0"/>
              <w:rPr>
                <w:sz w:val="20"/>
                <w:szCs w:val="20"/>
                <w:color w:val="auto"/>
              </w:rPr>
            </w:pPr>
            <w:r>
              <w:rPr>
                <w:rFonts w:ascii="Arial" w:cs="Arial" w:eastAsia="Arial" w:hAnsi="Arial"/>
                <w:sz w:val="32"/>
                <w:szCs w:val="32"/>
                <w:b w:val="1"/>
                <w:bCs w:val="1"/>
                <w:color w:val="auto"/>
                <w:w w:val="98"/>
              </w:rPr>
              <w:t>2010</w:t>
            </w:r>
          </w:p>
        </w:tc>
        <w:tc>
          <w:tcPr>
            <w:tcW w:w="1500" w:type="dxa"/>
            <w:vAlign w:val="bottom"/>
          </w:tcPr>
          <w:p>
            <w:pPr>
              <w:jc w:val="center"/>
              <w:ind w:right="235"/>
              <w:spacing w:after="0"/>
              <w:rPr>
                <w:sz w:val="20"/>
                <w:szCs w:val="20"/>
                <w:color w:val="auto"/>
              </w:rPr>
            </w:pPr>
            <w:r>
              <w:rPr>
                <w:rFonts w:ascii="Arial" w:cs="Arial" w:eastAsia="Arial" w:hAnsi="Arial"/>
                <w:sz w:val="32"/>
                <w:szCs w:val="32"/>
                <w:b w:val="1"/>
                <w:bCs w:val="1"/>
                <w:color w:val="auto"/>
              </w:rPr>
              <w:t>2011</w:t>
            </w:r>
          </w:p>
        </w:tc>
      </w:tr>
      <w:tr>
        <w:trPr>
          <w:trHeight w:val="576"/>
        </w:trPr>
        <w:tc>
          <w:tcPr>
            <w:tcW w:w="6820" w:type="dxa"/>
            <w:vAlign w:val="bottom"/>
          </w:tcPr>
          <w:p>
            <w:pPr>
              <w:ind w:left="280"/>
              <w:spacing w:after="0"/>
              <w:rPr>
                <w:sz w:val="20"/>
                <w:szCs w:val="20"/>
                <w:color w:val="auto"/>
              </w:rPr>
            </w:pPr>
            <w:r>
              <w:rPr>
                <w:rFonts w:ascii="Arial" w:cs="Arial" w:eastAsia="Arial" w:hAnsi="Arial"/>
                <w:sz w:val="32"/>
                <w:szCs w:val="32"/>
                <w:b w:val="1"/>
                <w:bCs w:val="1"/>
                <w:color w:val="auto"/>
              </w:rPr>
              <w:t>Operating Income</w:t>
            </w:r>
          </w:p>
        </w:tc>
        <w:tc>
          <w:tcPr>
            <w:tcW w:w="1940" w:type="dxa"/>
            <w:vAlign w:val="bottom"/>
          </w:tcPr>
          <w:p>
            <w:pPr>
              <w:jc w:val="center"/>
              <w:ind w:right="29"/>
              <w:spacing w:after="0"/>
              <w:rPr>
                <w:sz w:val="20"/>
                <w:szCs w:val="20"/>
                <w:color w:val="auto"/>
              </w:rPr>
            </w:pPr>
            <w:r>
              <w:rPr>
                <w:rFonts w:ascii="Arial" w:cs="Arial" w:eastAsia="Arial" w:hAnsi="Arial"/>
                <w:sz w:val="32"/>
                <w:szCs w:val="32"/>
                <w:b w:val="1"/>
                <w:bCs w:val="1"/>
                <w:color w:val="auto"/>
                <w:w w:val="98"/>
              </w:rPr>
              <w:t>1.9</w:t>
            </w:r>
          </w:p>
        </w:tc>
        <w:tc>
          <w:tcPr>
            <w:tcW w:w="1500" w:type="dxa"/>
            <w:vAlign w:val="bottom"/>
          </w:tcPr>
          <w:p>
            <w:pPr>
              <w:jc w:val="center"/>
              <w:ind w:right="235"/>
              <w:spacing w:after="0"/>
              <w:rPr>
                <w:sz w:val="20"/>
                <w:szCs w:val="20"/>
                <w:color w:val="auto"/>
              </w:rPr>
            </w:pPr>
            <w:r>
              <w:rPr>
                <w:rFonts w:ascii="Arial" w:cs="Arial" w:eastAsia="Arial" w:hAnsi="Arial"/>
                <w:sz w:val="32"/>
                <w:szCs w:val="32"/>
                <w:b w:val="1"/>
                <w:bCs w:val="1"/>
                <w:color w:val="auto"/>
                <w:w w:val="98"/>
              </w:rPr>
              <w:t>2.5</w:t>
            </w:r>
          </w:p>
        </w:tc>
      </w:tr>
      <w:tr>
        <w:trPr>
          <w:trHeight w:val="648"/>
        </w:trPr>
        <w:tc>
          <w:tcPr>
            <w:tcW w:w="6820" w:type="dxa"/>
            <w:vAlign w:val="bottom"/>
          </w:tcPr>
          <w:p>
            <w:pPr>
              <w:ind w:left="460"/>
              <w:spacing w:after="0"/>
              <w:rPr>
                <w:sz w:val="20"/>
                <w:szCs w:val="20"/>
                <w:color w:val="auto"/>
              </w:rPr>
            </w:pPr>
            <w:r>
              <w:rPr>
                <w:rFonts w:ascii="Arial" w:cs="Arial" w:eastAsia="Arial" w:hAnsi="Arial"/>
                <w:sz w:val="28"/>
                <w:szCs w:val="28"/>
                <w:color w:val="auto"/>
              </w:rPr>
              <w:t>Equity Income</w:t>
            </w:r>
          </w:p>
        </w:tc>
        <w:tc>
          <w:tcPr>
            <w:tcW w:w="1940" w:type="dxa"/>
            <w:vAlign w:val="bottom"/>
          </w:tcPr>
          <w:p>
            <w:pPr>
              <w:jc w:val="right"/>
              <w:ind w:right="709"/>
              <w:spacing w:after="0"/>
              <w:rPr>
                <w:sz w:val="20"/>
                <w:szCs w:val="20"/>
                <w:color w:val="auto"/>
              </w:rPr>
            </w:pPr>
            <w:r>
              <w:rPr>
                <w:rFonts w:ascii="Arial" w:cs="Arial" w:eastAsia="Arial" w:hAnsi="Arial"/>
                <w:sz w:val="28"/>
                <w:szCs w:val="28"/>
                <w:color w:val="auto"/>
              </w:rPr>
              <w:t>0.4</w:t>
            </w:r>
          </w:p>
        </w:tc>
        <w:tc>
          <w:tcPr>
            <w:tcW w:w="1500" w:type="dxa"/>
            <w:vAlign w:val="bottom"/>
          </w:tcPr>
          <w:p>
            <w:pPr>
              <w:jc w:val="right"/>
              <w:ind w:right="595"/>
              <w:spacing w:after="0"/>
              <w:rPr>
                <w:sz w:val="20"/>
                <w:szCs w:val="20"/>
                <w:color w:val="auto"/>
              </w:rPr>
            </w:pPr>
            <w:r>
              <w:rPr>
                <w:rFonts w:ascii="Arial" w:cs="Arial" w:eastAsia="Arial" w:hAnsi="Arial"/>
                <w:sz w:val="28"/>
                <w:szCs w:val="28"/>
                <w:color w:val="auto"/>
              </w:rPr>
              <w:t>0.4</w:t>
            </w:r>
          </w:p>
        </w:tc>
      </w:tr>
      <w:tr>
        <w:trPr>
          <w:trHeight w:val="623"/>
        </w:trPr>
        <w:tc>
          <w:tcPr>
            <w:tcW w:w="6820" w:type="dxa"/>
            <w:vAlign w:val="bottom"/>
          </w:tcPr>
          <w:p>
            <w:pPr>
              <w:ind w:left="460"/>
              <w:spacing w:after="0"/>
              <w:rPr>
                <w:sz w:val="20"/>
                <w:szCs w:val="20"/>
                <w:color w:val="auto"/>
              </w:rPr>
            </w:pPr>
            <w:r>
              <w:rPr>
                <w:rFonts w:ascii="Arial" w:cs="Arial" w:eastAsia="Arial" w:hAnsi="Arial"/>
                <w:sz w:val="28"/>
                <w:szCs w:val="28"/>
                <w:color w:val="auto"/>
              </w:rPr>
              <w:t>Non-Controlling Interests</w:t>
            </w:r>
          </w:p>
        </w:tc>
        <w:tc>
          <w:tcPr>
            <w:tcW w:w="1940" w:type="dxa"/>
            <w:vAlign w:val="bottom"/>
          </w:tcPr>
          <w:p>
            <w:pPr>
              <w:jc w:val="right"/>
              <w:ind w:right="609"/>
              <w:spacing w:after="0"/>
              <w:rPr>
                <w:sz w:val="20"/>
                <w:szCs w:val="20"/>
                <w:color w:val="auto"/>
              </w:rPr>
            </w:pPr>
            <w:r>
              <w:rPr>
                <w:rFonts w:ascii="Arial" w:cs="Arial" w:eastAsia="Arial" w:hAnsi="Arial"/>
                <w:sz w:val="28"/>
                <w:szCs w:val="28"/>
                <w:color w:val="auto"/>
              </w:rPr>
              <w:t>(0.1)</w:t>
            </w:r>
          </w:p>
        </w:tc>
        <w:tc>
          <w:tcPr>
            <w:tcW w:w="1500" w:type="dxa"/>
            <w:vAlign w:val="bottom"/>
          </w:tcPr>
          <w:p>
            <w:pPr>
              <w:jc w:val="right"/>
              <w:ind w:right="595"/>
              <w:spacing w:after="0"/>
              <w:rPr>
                <w:sz w:val="20"/>
                <w:szCs w:val="20"/>
                <w:color w:val="auto"/>
              </w:rPr>
            </w:pPr>
            <w:r>
              <w:rPr>
                <w:rFonts w:ascii="Arial" w:cs="Arial" w:eastAsia="Arial" w:hAnsi="Arial"/>
                <w:sz w:val="28"/>
                <w:szCs w:val="28"/>
                <w:color w:val="auto"/>
              </w:rPr>
              <w:t>0.0</w:t>
            </w:r>
          </w:p>
        </w:tc>
      </w:tr>
      <w:tr>
        <w:trPr>
          <w:trHeight w:val="623"/>
        </w:trPr>
        <w:tc>
          <w:tcPr>
            <w:tcW w:w="6820" w:type="dxa"/>
            <w:vAlign w:val="bottom"/>
          </w:tcPr>
          <w:p>
            <w:pPr>
              <w:ind w:left="460"/>
              <w:spacing w:after="0"/>
              <w:rPr>
                <w:sz w:val="20"/>
                <w:szCs w:val="20"/>
                <w:color w:val="auto"/>
              </w:rPr>
            </w:pPr>
            <w:r>
              <w:rPr>
                <w:rFonts w:ascii="Arial" w:cs="Arial" w:eastAsia="Arial" w:hAnsi="Arial"/>
                <w:sz w:val="28"/>
                <w:szCs w:val="28"/>
                <w:color w:val="auto"/>
              </w:rPr>
              <w:t>Non-Operating Income</w:t>
            </w:r>
          </w:p>
        </w:tc>
        <w:tc>
          <w:tcPr>
            <w:tcW w:w="1940" w:type="dxa"/>
            <w:vAlign w:val="bottom"/>
          </w:tcPr>
          <w:p>
            <w:pPr>
              <w:jc w:val="right"/>
              <w:ind w:right="609"/>
              <w:spacing w:after="0"/>
              <w:rPr>
                <w:sz w:val="20"/>
                <w:szCs w:val="20"/>
                <w:color w:val="auto"/>
              </w:rPr>
            </w:pPr>
            <w:r>
              <w:rPr>
                <w:rFonts w:ascii="Arial" w:cs="Arial" w:eastAsia="Arial" w:hAnsi="Arial"/>
                <w:sz w:val="28"/>
                <w:szCs w:val="28"/>
                <w:color w:val="auto"/>
              </w:rPr>
              <w:t>(0.2)</w:t>
            </w:r>
          </w:p>
        </w:tc>
        <w:tc>
          <w:tcPr>
            <w:tcW w:w="1500" w:type="dxa"/>
            <w:vAlign w:val="bottom"/>
          </w:tcPr>
          <w:p>
            <w:pPr>
              <w:jc w:val="right"/>
              <w:ind w:right="595"/>
              <w:spacing w:after="0"/>
              <w:rPr>
                <w:sz w:val="20"/>
                <w:szCs w:val="20"/>
                <w:color w:val="auto"/>
              </w:rPr>
            </w:pPr>
            <w:r>
              <w:rPr>
                <w:rFonts w:ascii="Arial" w:cs="Arial" w:eastAsia="Arial" w:hAnsi="Arial"/>
                <w:sz w:val="28"/>
                <w:szCs w:val="28"/>
                <w:color w:val="auto"/>
              </w:rPr>
              <w:t>0.2</w:t>
            </w:r>
          </w:p>
        </w:tc>
      </w:tr>
      <w:tr>
        <w:trPr>
          <w:trHeight w:val="657"/>
        </w:trPr>
        <w:tc>
          <w:tcPr>
            <w:tcW w:w="6820" w:type="dxa"/>
            <w:vAlign w:val="bottom"/>
          </w:tcPr>
          <w:p>
            <w:pPr>
              <w:ind w:left="280"/>
              <w:spacing w:after="0"/>
              <w:rPr>
                <w:sz w:val="20"/>
                <w:szCs w:val="20"/>
                <w:color w:val="auto"/>
              </w:rPr>
            </w:pPr>
            <w:r>
              <w:rPr>
                <w:rFonts w:ascii="Arial" w:cs="Arial" w:eastAsia="Arial" w:hAnsi="Arial"/>
                <w:sz w:val="32"/>
                <w:szCs w:val="32"/>
                <w:b w:val="1"/>
                <w:bCs w:val="1"/>
                <w:color w:val="auto"/>
              </w:rPr>
              <w:t>Earnings Before Interest &amp; Taxes (EBIT)</w:t>
            </w:r>
          </w:p>
        </w:tc>
        <w:tc>
          <w:tcPr>
            <w:tcW w:w="1940" w:type="dxa"/>
            <w:vAlign w:val="bottom"/>
          </w:tcPr>
          <w:p>
            <w:pPr>
              <w:jc w:val="center"/>
              <w:ind w:right="29"/>
              <w:spacing w:after="0"/>
              <w:rPr>
                <w:sz w:val="20"/>
                <w:szCs w:val="20"/>
                <w:color w:val="auto"/>
              </w:rPr>
            </w:pPr>
            <w:r>
              <w:rPr>
                <w:rFonts w:ascii="Arial" w:cs="Arial" w:eastAsia="Arial" w:hAnsi="Arial"/>
                <w:sz w:val="32"/>
                <w:szCs w:val="32"/>
                <w:b w:val="1"/>
                <w:bCs w:val="1"/>
                <w:color w:val="auto"/>
                <w:w w:val="98"/>
              </w:rPr>
              <w:t>2.0</w:t>
            </w:r>
          </w:p>
        </w:tc>
        <w:tc>
          <w:tcPr>
            <w:tcW w:w="1500" w:type="dxa"/>
            <w:vAlign w:val="bottom"/>
          </w:tcPr>
          <w:p>
            <w:pPr>
              <w:jc w:val="center"/>
              <w:ind w:right="235"/>
              <w:spacing w:after="0"/>
              <w:rPr>
                <w:sz w:val="20"/>
                <w:szCs w:val="20"/>
                <w:color w:val="auto"/>
              </w:rPr>
            </w:pPr>
            <w:r>
              <w:rPr>
                <w:rFonts w:ascii="Arial" w:cs="Arial" w:eastAsia="Arial" w:hAnsi="Arial"/>
                <w:sz w:val="32"/>
                <w:szCs w:val="32"/>
                <w:b w:val="1"/>
                <w:bCs w:val="1"/>
                <w:color w:val="auto"/>
                <w:w w:val="98"/>
              </w:rPr>
              <w:t>3.0</w:t>
            </w:r>
          </w:p>
        </w:tc>
      </w:tr>
      <w:tr>
        <w:trPr>
          <w:trHeight w:val="637"/>
        </w:trPr>
        <w:tc>
          <w:tcPr>
            <w:tcW w:w="6820" w:type="dxa"/>
            <w:vAlign w:val="bottom"/>
          </w:tcPr>
          <w:p>
            <w:pPr>
              <w:ind w:left="540"/>
              <w:spacing w:after="0"/>
              <w:rPr>
                <w:sz w:val="20"/>
                <w:szCs w:val="20"/>
                <w:color w:val="auto"/>
              </w:rPr>
            </w:pPr>
            <w:r>
              <w:rPr>
                <w:rFonts w:ascii="Arial" w:cs="Arial" w:eastAsia="Arial" w:hAnsi="Arial"/>
                <w:sz w:val="28"/>
                <w:szCs w:val="28"/>
                <w:color w:val="auto"/>
              </w:rPr>
              <w:t>Less Special Items</w:t>
            </w:r>
          </w:p>
        </w:tc>
        <w:tc>
          <w:tcPr>
            <w:tcW w:w="1940" w:type="dxa"/>
            <w:vAlign w:val="bottom"/>
          </w:tcPr>
          <w:p>
            <w:pPr>
              <w:jc w:val="right"/>
              <w:ind w:right="709"/>
              <w:spacing w:after="0"/>
              <w:rPr>
                <w:sz w:val="20"/>
                <w:szCs w:val="20"/>
                <w:color w:val="auto"/>
              </w:rPr>
            </w:pPr>
            <w:r>
              <w:rPr>
                <w:rFonts w:ascii="Arial" w:cs="Arial" w:eastAsia="Arial" w:hAnsi="Arial"/>
                <w:sz w:val="28"/>
                <w:szCs w:val="28"/>
                <w:color w:val="auto"/>
              </w:rPr>
              <w:t>0.0</w:t>
            </w:r>
          </w:p>
        </w:tc>
        <w:tc>
          <w:tcPr>
            <w:tcW w:w="1500" w:type="dxa"/>
            <w:vAlign w:val="bottom"/>
          </w:tcPr>
          <w:p>
            <w:pPr>
              <w:jc w:val="right"/>
              <w:ind w:right="595"/>
              <w:spacing w:after="0"/>
              <w:rPr>
                <w:sz w:val="20"/>
                <w:szCs w:val="20"/>
                <w:color w:val="auto"/>
              </w:rPr>
            </w:pPr>
            <w:r>
              <w:rPr>
                <w:rFonts w:ascii="Arial" w:cs="Arial" w:eastAsia="Arial" w:hAnsi="Arial"/>
                <w:sz w:val="28"/>
                <w:szCs w:val="28"/>
                <w:color w:val="auto"/>
              </w:rPr>
              <w:t>0.0</w:t>
            </w:r>
          </w:p>
        </w:tc>
      </w:tr>
      <w:tr>
        <w:trPr>
          <w:trHeight w:val="657"/>
        </w:trPr>
        <w:tc>
          <w:tcPr>
            <w:tcW w:w="6820" w:type="dxa"/>
            <w:vAlign w:val="bottom"/>
          </w:tcPr>
          <w:p>
            <w:pPr>
              <w:ind w:left="280"/>
              <w:spacing w:after="0"/>
              <w:rPr>
                <w:sz w:val="20"/>
                <w:szCs w:val="20"/>
                <w:color w:val="auto"/>
              </w:rPr>
            </w:pPr>
            <w:r>
              <w:rPr>
                <w:rFonts w:ascii="Arial" w:cs="Arial" w:eastAsia="Arial" w:hAnsi="Arial"/>
                <w:sz w:val="32"/>
                <w:szCs w:val="32"/>
                <w:b w:val="1"/>
                <w:bCs w:val="1"/>
                <w:color w:val="auto"/>
              </w:rPr>
              <w:t>EBIT- Adj.</w:t>
            </w:r>
          </w:p>
        </w:tc>
        <w:tc>
          <w:tcPr>
            <w:tcW w:w="1940" w:type="dxa"/>
            <w:vAlign w:val="bottom"/>
          </w:tcPr>
          <w:p>
            <w:pPr>
              <w:jc w:val="center"/>
              <w:ind w:right="29"/>
              <w:spacing w:after="0"/>
              <w:rPr>
                <w:sz w:val="20"/>
                <w:szCs w:val="20"/>
                <w:color w:val="auto"/>
              </w:rPr>
            </w:pPr>
            <w:r>
              <w:rPr>
                <w:rFonts w:ascii="Arial" w:cs="Arial" w:eastAsia="Arial" w:hAnsi="Arial"/>
                <w:sz w:val="32"/>
                <w:szCs w:val="32"/>
                <w:b w:val="1"/>
                <w:bCs w:val="1"/>
                <w:color w:val="auto"/>
                <w:w w:val="98"/>
              </w:rPr>
              <w:t>2.0</w:t>
            </w:r>
          </w:p>
        </w:tc>
        <w:tc>
          <w:tcPr>
            <w:tcW w:w="1500" w:type="dxa"/>
            <w:vAlign w:val="bottom"/>
          </w:tcPr>
          <w:p>
            <w:pPr>
              <w:jc w:val="center"/>
              <w:ind w:right="235"/>
              <w:spacing w:after="0"/>
              <w:rPr>
                <w:sz w:val="20"/>
                <w:szCs w:val="20"/>
                <w:color w:val="auto"/>
              </w:rPr>
            </w:pPr>
            <w:r>
              <w:rPr>
                <w:rFonts w:ascii="Arial" w:cs="Arial" w:eastAsia="Arial" w:hAnsi="Arial"/>
                <w:sz w:val="32"/>
                <w:szCs w:val="32"/>
                <w:b w:val="1"/>
                <w:bCs w:val="1"/>
                <w:color w:val="auto"/>
                <w:w w:val="98"/>
              </w:rPr>
              <w:t>3.0</w:t>
            </w:r>
          </w:p>
        </w:tc>
      </w:tr>
      <w:tr>
        <w:trPr>
          <w:trHeight w:val="1126"/>
        </w:trPr>
        <w:tc>
          <w:tcPr>
            <w:tcW w:w="8760" w:type="dxa"/>
            <w:vAlign w:val="bottom"/>
            <w:gridSpan w:val="2"/>
          </w:tcPr>
          <w:p>
            <w:pPr>
              <w:ind w:left="20"/>
              <w:spacing w:after="0"/>
              <w:rPr>
                <w:sz w:val="20"/>
                <w:szCs w:val="20"/>
                <w:color w:val="auto"/>
              </w:rPr>
            </w:pPr>
            <w:r>
              <w:rPr>
                <w:rFonts w:ascii="Arial" w:cs="Arial" w:eastAsia="Arial" w:hAnsi="Arial"/>
                <w:sz w:val="19"/>
                <w:szCs w:val="19"/>
                <w:i w:val="1"/>
                <w:iCs w:val="1"/>
                <w:color w:val="auto"/>
              </w:rPr>
              <w:t>Note: Starting Q4 2010 EBIT &amp; EBIT-Adj. include GM Financial on an Earnings Before Tax (EBT) basis</w:t>
            </w:r>
          </w:p>
        </w:tc>
        <w:tc>
          <w:tcPr>
            <w:tcW w:w="1500" w:type="dxa"/>
            <w:vAlign w:val="bottom"/>
          </w:tcPr>
          <w:p>
            <w:pPr>
              <w:spacing w:after="0"/>
              <w:rPr>
                <w:sz w:val="24"/>
                <w:szCs w:val="24"/>
                <w:color w:val="auto"/>
              </w:rPr>
            </w:pPr>
          </w:p>
        </w:tc>
      </w:tr>
      <w:tr>
        <w:trPr>
          <w:trHeight w:val="341"/>
        </w:trPr>
        <w:tc>
          <w:tcPr>
            <w:tcW w:w="6820" w:type="dxa"/>
            <w:vAlign w:val="bottom"/>
          </w:tcPr>
          <w:p>
            <w:pPr>
              <w:spacing w:after="0"/>
              <w:rPr>
                <w:sz w:val="20"/>
                <w:szCs w:val="20"/>
                <w:color w:val="auto"/>
              </w:rPr>
            </w:pPr>
            <w:r>
              <w:rPr>
                <w:rFonts w:ascii="Arial" w:cs="Arial" w:eastAsia="Arial" w:hAnsi="Arial"/>
                <w:sz w:val="19"/>
                <w:szCs w:val="19"/>
                <w:i w:val="1"/>
                <w:iCs w:val="1"/>
                <w:color w:val="auto"/>
              </w:rPr>
              <w:t>Note: Results may not foot due to rounding</w:t>
            </w:r>
          </w:p>
        </w:tc>
        <w:tc>
          <w:tcPr>
            <w:tcW w:w="19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6</w:t>
            </w:r>
          </w:p>
        </w:tc>
      </w:tr>
    </w:tbl>
    <w:p>
      <w:pPr>
        <w:sectPr>
          <w:pgSz w:w="11900" w:h="16838" w:orient="portrait"/>
          <w:cols w:equalWidth="0" w:num="1">
            <w:col w:w="10260"/>
          </w:cols>
          <w:pgMar w:left="640" w:top="632" w:right="999" w:bottom="1440" w:gutter="0" w:footer="0" w:header="0"/>
        </w:sectPr>
      </w:pPr>
    </w:p>
    <w:bookmarkStart w:id="23" w:name="page24"/>
    <w:bookmarkEnd w:id="23"/>
    <w:p>
      <w:pPr>
        <w:ind w:left="11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Q2 EBIT &amp; EBIT- Adj.</w:t>
      </w: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Arial" w:cs="Arial" w:eastAsia="Arial" w:hAnsi="Arial"/>
                <w:sz w:val="22"/>
                <w:szCs w:val="22"/>
                <w:b w:val="1"/>
                <w:bCs w:val="1"/>
                <w:color w:val="auto"/>
              </w:rPr>
              <w:t>GMNA</w:t>
            </w:r>
          </w:p>
        </w:tc>
        <w:tc>
          <w:tcPr>
            <w:tcW w:w="116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GME</w:t>
            </w:r>
          </w:p>
        </w:tc>
        <w:tc>
          <w:tcPr>
            <w:tcW w:w="1220" w:type="dxa"/>
            <w:vAlign w:val="bottom"/>
            <w:vMerge w:val="restart"/>
          </w:tcPr>
          <w:p>
            <w:pPr>
              <w:ind w:left="340"/>
              <w:spacing w:after="0"/>
              <w:rPr>
                <w:sz w:val="20"/>
                <w:szCs w:val="20"/>
                <w:color w:val="auto"/>
              </w:rPr>
            </w:pPr>
            <w:r>
              <w:rPr>
                <w:rFonts w:ascii="Arial" w:cs="Arial" w:eastAsia="Arial" w:hAnsi="Arial"/>
                <w:sz w:val="22"/>
                <w:szCs w:val="22"/>
                <w:b w:val="1"/>
                <w:bCs w:val="1"/>
                <w:color w:val="auto"/>
              </w:rPr>
              <w:t>GMIO</w:t>
            </w:r>
          </w:p>
        </w:tc>
        <w:tc>
          <w:tcPr>
            <w:tcW w:w="110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GMSA</w:t>
            </w:r>
          </w:p>
        </w:tc>
        <w:tc>
          <w:tcPr>
            <w:tcW w:w="1300" w:type="dxa"/>
            <w:vAlign w:val="bottom"/>
            <w:vMerge w:val="restart"/>
          </w:tcPr>
          <w:p>
            <w:pPr>
              <w:ind w:left="480"/>
              <w:spacing w:after="0"/>
              <w:rPr>
                <w:sz w:val="20"/>
                <w:szCs w:val="20"/>
                <w:color w:val="auto"/>
              </w:rPr>
            </w:pPr>
            <w:r>
              <w:rPr>
                <w:rFonts w:ascii="Arial" w:cs="Arial" w:eastAsia="Arial" w:hAnsi="Arial"/>
                <w:sz w:val="22"/>
                <w:szCs w:val="22"/>
                <w:b w:val="1"/>
                <w:bCs w:val="1"/>
                <w:color w:val="auto"/>
              </w:rPr>
              <w:t>GMF*</w:t>
            </w:r>
          </w:p>
        </w:tc>
        <w:tc>
          <w:tcPr>
            <w:tcW w:w="1120" w:type="dxa"/>
            <w:vAlign w:val="bottom"/>
          </w:tcPr>
          <w:p>
            <w:pPr>
              <w:ind w:left="240"/>
              <w:spacing w:after="0"/>
              <w:rPr>
                <w:sz w:val="20"/>
                <w:szCs w:val="20"/>
                <w:color w:val="auto"/>
              </w:rPr>
            </w:pPr>
            <w:r>
              <w:rPr>
                <w:rFonts w:ascii="Arial" w:cs="Arial" w:eastAsia="Arial" w:hAnsi="Arial"/>
                <w:sz w:val="22"/>
                <w:szCs w:val="22"/>
                <w:b w:val="1"/>
                <w:bCs w:val="1"/>
                <w:color w:val="auto"/>
              </w:rPr>
              <w:t>Corp./</w:t>
            </w:r>
          </w:p>
        </w:tc>
        <w:tc>
          <w:tcPr>
            <w:tcW w:w="1320" w:type="dxa"/>
            <w:vAlign w:val="bottom"/>
            <w:vMerge w:val="restart"/>
          </w:tcPr>
          <w:p>
            <w:pPr>
              <w:ind w:left="240"/>
              <w:spacing w:after="0"/>
              <w:rPr>
                <w:sz w:val="20"/>
                <w:szCs w:val="20"/>
                <w:color w:val="auto"/>
              </w:rPr>
            </w:pPr>
            <w:r>
              <w:rPr>
                <w:rFonts w:ascii="Arial" w:cs="Arial" w:eastAsia="Arial" w:hAnsi="Arial"/>
                <w:sz w:val="22"/>
                <w:szCs w:val="22"/>
                <w:b w:val="1"/>
                <w:bCs w:val="1"/>
                <w:color w:val="auto"/>
              </w:rPr>
              <w:t>EBIT-Adj.</w:t>
            </w:r>
          </w:p>
        </w:tc>
        <w:tc>
          <w:tcPr>
            <w:tcW w:w="2140" w:type="dxa"/>
            <w:vAlign w:val="bottom"/>
          </w:tcPr>
          <w:p>
            <w:pPr>
              <w:ind w:left="460"/>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325"/>
        </w:trPr>
        <w:tc>
          <w:tcPr>
            <w:tcW w:w="9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22"/>
                <w:szCs w:val="22"/>
                <w:b w:val="1"/>
                <w:bCs w:val="1"/>
                <w:color w:val="auto"/>
              </w:rPr>
              <w:t>Elims</w:t>
            </w:r>
          </w:p>
        </w:tc>
        <w:tc>
          <w:tcPr>
            <w:tcW w:w="1320" w:type="dxa"/>
            <w:vAlign w:val="bottom"/>
            <w:vMerge w:val="continue"/>
          </w:tcPr>
          <w:p>
            <w:pPr>
              <w:spacing w:after="0"/>
              <w:rPr>
                <w:sz w:val="24"/>
                <w:szCs w:val="24"/>
                <w:color w:val="auto"/>
              </w:rPr>
            </w:pPr>
          </w:p>
        </w:tc>
        <w:tc>
          <w:tcPr>
            <w:tcW w:w="2140" w:type="dxa"/>
            <w:vAlign w:val="bottom"/>
          </w:tcPr>
          <w:p>
            <w:pPr>
              <w:ind w:left="100"/>
              <w:spacing w:after="0"/>
              <w:rPr>
                <w:sz w:val="20"/>
                <w:szCs w:val="20"/>
                <w:color w:val="auto"/>
              </w:rPr>
            </w:pPr>
            <w:r>
              <w:rPr>
                <w:rFonts w:ascii="Arial" w:cs="Arial" w:eastAsia="Arial" w:hAnsi="Arial"/>
                <w:sz w:val="18"/>
                <w:szCs w:val="18"/>
                <w:b w:val="1"/>
                <w:bCs w:val="1"/>
                <w:color w:val="auto"/>
                <w:w w:val="99"/>
              </w:rPr>
              <w:t>Special Items</w:t>
            </w:r>
            <w:r>
              <w:rPr>
                <w:rFonts w:ascii="Arial" w:cs="Arial" w:eastAsia="Arial" w:hAnsi="Arial"/>
                <w:sz w:val="22"/>
                <w:szCs w:val="22"/>
                <w:b w:val="1"/>
                <w:bCs w:val="1"/>
                <w:color w:val="auto"/>
                <w:w w:val="99"/>
              </w:rPr>
              <w:t>EBIT</w:t>
            </w:r>
          </w:p>
        </w:tc>
        <w:tc>
          <w:tcPr>
            <w:tcW w:w="0" w:type="dxa"/>
            <w:vAlign w:val="bottom"/>
          </w:tcPr>
          <w:p>
            <w:pPr>
              <w:spacing w:after="0"/>
              <w:rPr>
                <w:sz w:val="1"/>
                <w:szCs w:val="1"/>
                <w:color w:val="auto"/>
              </w:rPr>
            </w:pPr>
          </w:p>
        </w:tc>
      </w:tr>
      <w:tr>
        <w:trPr>
          <w:trHeight w:val="788"/>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2"/>
          </w:tcPr>
          <w:p>
            <w:pPr>
              <w:ind w:left="760"/>
              <w:spacing w:after="0"/>
              <w:rPr>
                <w:sz w:val="20"/>
                <w:szCs w:val="20"/>
                <w:color w:val="auto"/>
              </w:rPr>
            </w:pPr>
            <w:r>
              <w:rPr>
                <w:rFonts w:ascii="Arial" w:cs="Arial" w:eastAsia="Arial" w:hAnsi="Arial"/>
                <w:sz w:val="22"/>
                <w:szCs w:val="22"/>
                <w:b w:val="1"/>
                <w:bCs w:val="1"/>
                <w:color w:val="auto"/>
              </w:rPr>
              <w:t>Q2 2010</w:t>
            </w:r>
          </w:p>
        </w:tc>
        <w:tc>
          <w:tcPr>
            <w:tcW w:w="1300" w:type="dxa"/>
            <w:vAlign w:val="bottom"/>
          </w:tcPr>
          <w:p>
            <w:pPr>
              <w:ind w:left="120"/>
              <w:spacing w:after="0"/>
              <w:rPr>
                <w:sz w:val="20"/>
                <w:szCs w:val="20"/>
                <w:color w:val="auto"/>
              </w:rPr>
            </w:pPr>
            <w:r>
              <w:rPr>
                <w:rFonts w:ascii="Arial" w:cs="Arial" w:eastAsia="Arial" w:hAnsi="Arial"/>
                <w:sz w:val="22"/>
                <w:szCs w:val="22"/>
                <w:b w:val="1"/>
                <w:bCs w:val="1"/>
                <w:color w:val="auto"/>
              </w:rPr>
              <w:t>Q2 2011</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
        <w:spacing w:after="0"/>
        <w:tabs>
          <w:tab w:leader="none" w:pos="4880" w:val="left"/>
          <w:tab w:leader="none" w:pos="10260" w:val="left"/>
        </w:tabs>
        <w:rPr>
          <w:sz w:val="20"/>
          <w:szCs w:val="20"/>
          <w:color w:val="auto"/>
        </w:rPr>
      </w:pPr>
      <w:r>
        <w:rPr>
          <w:rFonts w:ascii="Arial" w:cs="Arial" w:eastAsia="Arial" w:hAnsi="Arial"/>
          <w:sz w:val="19"/>
          <w:szCs w:val="19"/>
          <w:i w:val="1"/>
          <w:iCs w:val="1"/>
          <w:color w:val="auto"/>
        </w:rPr>
        <w:t>Note: Results may not foot due to rounding</w:t>
      </w:r>
      <w:r>
        <w:rPr>
          <w:sz w:val="20"/>
          <w:szCs w:val="20"/>
          <w:color w:val="auto"/>
        </w:rPr>
        <w:tab/>
      </w:r>
      <w:r>
        <w:rPr>
          <w:rFonts w:ascii="Arial" w:cs="Arial" w:eastAsia="Arial" w:hAnsi="Arial"/>
          <w:sz w:val="19"/>
          <w:szCs w:val="19"/>
          <w:i w:val="1"/>
          <w:iCs w:val="1"/>
          <w:color w:val="auto"/>
        </w:rPr>
        <w:t>* GMF at an Earnings Before Tax basis (EBT)</w:t>
      </w:r>
      <w:r>
        <w:rPr>
          <w:sz w:val="20"/>
          <w:szCs w:val="20"/>
          <w:color w:val="auto"/>
        </w:rPr>
        <w:tab/>
      </w:r>
      <w:r>
        <w:rPr>
          <w:rFonts w:ascii="Arial" w:cs="Arial" w:eastAsia="Arial" w:hAnsi="Arial"/>
          <w:sz w:val="26"/>
          <w:szCs w:val="26"/>
          <w:b w:val="1"/>
          <w:bCs w:val="1"/>
          <w:color w:val="auto"/>
          <w:vertAlign w:val="superscript"/>
        </w:rPr>
        <w:t>7</w:t>
      </w:r>
    </w:p>
    <w:p>
      <w:pPr>
        <w:sectPr>
          <w:pgSz w:w="11900" w:h="16838" w:orient="portrait"/>
          <w:cols w:equalWidth="0" w:num="1">
            <w:col w:w="10400"/>
          </w:cols>
          <w:pgMar w:left="640" w:top="597" w:right="859" w:bottom="1440" w:gutter="0" w:footer="0" w:header="0"/>
        </w:sectPr>
      </w:pPr>
    </w:p>
    <w:bookmarkStart w:id="24" w:name="page25"/>
    <w:bookmarkEnd w:id="24"/>
    <w:p>
      <w:pPr>
        <w:ind w:left="10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Global Deliveries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421"/>
        </w:trPr>
        <w:tc>
          <w:tcPr>
            <w:tcW w:w="2740" w:type="dxa"/>
            <w:vAlign w:val="bottom"/>
          </w:tcPr>
          <w:p>
            <w:pPr>
              <w:jc w:val="right"/>
              <w:ind w:right="1699"/>
              <w:spacing w:after="0"/>
              <w:rPr>
                <w:sz w:val="20"/>
                <w:szCs w:val="20"/>
                <w:color w:val="auto"/>
              </w:rPr>
            </w:pPr>
            <w:r>
              <w:rPr>
                <w:rFonts w:ascii="Arial" w:cs="Arial" w:eastAsia="Arial" w:hAnsi="Arial"/>
                <w:sz w:val="32"/>
                <w:szCs w:val="32"/>
                <w:b w:val="1"/>
                <w:bCs w:val="1"/>
                <w:color w:val="auto"/>
                <w:w w:val="96"/>
              </w:rPr>
              <w:t>(</w:t>
            </w:r>
            <w:r>
              <w:rPr>
                <w:rFonts w:ascii="Arial" w:cs="Arial" w:eastAsia="Arial" w:hAnsi="Arial"/>
                <w:sz w:val="28"/>
                <w:szCs w:val="28"/>
                <w:b w:val="1"/>
                <w:bCs w:val="1"/>
                <w:color w:val="auto"/>
                <w:w w:val="96"/>
              </w:rPr>
              <w:t>000’s</w:t>
            </w:r>
            <w:r>
              <w:rPr>
                <w:rFonts w:ascii="Arial" w:cs="Arial" w:eastAsia="Arial" w:hAnsi="Arial"/>
                <w:sz w:val="32"/>
                <w:szCs w:val="32"/>
                <w:b w:val="1"/>
                <w:bCs w:val="1"/>
                <w:color w:val="auto"/>
                <w:w w:val="96"/>
              </w:rPr>
              <w:t>)</w:t>
            </w:r>
          </w:p>
        </w:tc>
        <w:tc>
          <w:tcPr>
            <w:tcW w:w="3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740" w:type="dxa"/>
            <w:vAlign w:val="bottom"/>
          </w:tcPr>
          <w:p>
            <w:pPr>
              <w:jc w:val="right"/>
              <w:ind w:right="1739"/>
              <w:spacing w:after="0"/>
              <w:rPr>
                <w:sz w:val="20"/>
                <w:szCs w:val="20"/>
                <w:color w:val="auto"/>
              </w:rPr>
            </w:pPr>
            <w:r>
              <w:rPr>
                <w:rFonts w:ascii="Arial" w:cs="Arial" w:eastAsia="Arial" w:hAnsi="Arial"/>
                <w:sz w:val="28"/>
                <w:szCs w:val="28"/>
                <w:color w:val="auto"/>
              </w:rPr>
              <w:t>2,400</w:t>
            </w:r>
          </w:p>
        </w:tc>
        <w:tc>
          <w:tcPr>
            <w:tcW w:w="324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25"/>
                <w:szCs w:val="25"/>
                <w:b w:val="1"/>
                <w:bCs w:val="1"/>
                <w:color w:val="auto"/>
              </w:rPr>
              <w:t>2,320</w:t>
            </w:r>
          </w:p>
        </w:tc>
        <w:tc>
          <w:tcPr>
            <w:tcW w:w="0" w:type="dxa"/>
            <w:vAlign w:val="bottom"/>
          </w:tcPr>
          <w:p>
            <w:pPr>
              <w:spacing w:after="0"/>
              <w:rPr>
                <w:sz w:val="1"/>
                <w:szCs w:val="1"/>
                <w:color w:val="auto"/>
              </w:rPr>
            </w:pPr>
          </w:p>
        </w:tc>
      </w:tr>
      <w:tr>
        <w:trPr>
          <w:trHeight w:val="327"/>
        </w:trPr>
        <w:tc>
          <w:tcPr>
            <w:tcW w:w="2740" w:type="dxa"/>
            <w:vAlign w:val="bottom"/>
            <w:vMerge w:val="restart"/>
          </w:tcPr>
          <w:p>
            <w:pPr>
              <w:jc w:val="right"/>
              <w:ind w:right="379"/>
              <w:spacing w:after="0"/>
              <w:rPr>
                <w:sz w:val="20"/>
                <w:szCs w:val="20"/>
                <w:color w:val="auto"/>
              </w:rPr>
            </w:pPr>
            <w:r>
              <w:rPr>
                <w:rFonts w:ascii="Arial" w:cs="Arial" w:eastAsia="Arial" w:hAnsi="Arial"/>
                <w:sz w:val="25"/>
                <w:szCs w:val="25"/>
                <w:b w:val="1"/>
                <w:bCs w:val="1"/>
                <w:color w:val="auto"/>
              </w:rPr>
              <w:t>2,162</w:t>
            </w:r>
          </w:p>
        </w:tc>
        <w:tc>
          <w:tcPr>
            <w:tcW w:w="3240" w:type="dxa"/>
            <w:vAlign w:val="bottom"/>
            <w:vMerge w:val="restart"/>
          </w:tcPr>
          <w:p>
            <w:pPr>
              <w:jc w:val="right"/>
              <w:ind w:right="377"/>
              <w:spacing w:after="0"/>
              <w:rPr>
                <w:sz w:val="20"/>
                <w:szCs w:val="20"/>
                <w:color w:val="auto"/>
              </w:rPr>
            </w:pPr>
            <w:r>
              <w:rPr>
                <w:rFonts w:ascii="Arial" w:cs="Arial" w:eastAsia="Arial" w:hAnsi="Arial"/>
                <w:sz w:val="25"/>
                <w:szCs w:val="25"/>
                <w:b w:val="1"/>
                <w:bCs w:val="1"/>
                <w:color w:val="auto"/>
              </w:rPr>
              <w:t>2,179</w:t>
            </w:r>
          </w:p>
        </w:tc>
        <w:tc>
          <w:tcPr>
            <w:tcW w:w="2760" w:type="dxa"/>
            <w:vAlign w:val="bottom"/>
          </w:tcPr>
          <w:p>
            <w:pPr>
              <w:jc w:val="right"/>
              <w:ind w:right="1497"/>
              <w:spacing w:after="0"/>
              <w:rPr>
                <w:sz w:val="20"/>
                <w:szCs w:val="20"/>
                <w:color w:val="auto"/>
              </w:rPr>
            </w:pPr>
            <w:r>
              <w:rPr>
                <w:rFonts w:ascii="Arial" w:cs="Arial" w:eastAsia="Arial" w:hAnsi="Arial"/>
                <w:sz w:val="25"/>
                <w:szCs w:val="25"/>
                <w:b w:val="1"/>
                <w:bCs w:val="1"/>
                <w:color w:val="auto"/>
              </w:rPr>
              <w:t>2,216</w:t>
            </w:r>
          </w:p>
        </w:tc>
        <w:tc>
          <w:tcPr>
            <w:tcW w:w="0" w:type="dxa"/>
            <w:vAlign w:val="bottom"/>
          </w:tcPr>
          <w:p>
            <w:pPr>
              <w:spacing w:after="0"/>
              <w:rPr>
                <w:sz w:val="1"/>
                <w:szCs w:val="1"/>
                <w:color w:val="auto"/>
              </w:rPr>
            </w:pPr>
          </w:p>
        </w:tc>
      </w:tr>
      <w:tr>
        <w:trPr>
          <w:trHeight w:val="44"/>
        </w:trPr>
        <w:tc>
          <w:tcPr>
            <w:tcW w:w="2740" w:type="dxa"/>
            <w:vAlign w:val="bottom"/>
            <w:vMerge w:val="continue"/>
          </w:tcPr>
          <w:p>
            <w:pPr>
              <w:spacing w:after="0"/>
              <w:rPr>
                <w:sz w:val="3"/>
                <w:szCs w:val="3"/>
                <w:color w:val="auto"/>
              </w:rPr>
            </w:pPr>
          </w:p>
        </w:tc>
        <w:tc>
          <w:tcPr>
            <w:tcW w:w="3240" w:type="dxa"/>
            <w:vAlign w:val="bottom"/>
            <w:vMerge w:val="continue"/>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740" w:type="dxa"/>
            <w:vAlign w:val="bottom"/>
          </w:tcPr>
          <w:p>
            <w:pPr>
              <w:spacing w:after="0"/>
              <w:rPr>
                <w:sz w:val="24"/>
                <w:szCs w:val="24"/>
                <w:color w:val="auto"/>
              </w:rPr>
            </w:pPr>
          </w:p>
        </w:tc>
        <w:tc>
          <w:tcPr>
            <w:tcW w:w="3240" w:type="dxa"/>
            <w:vAlign w:val="bottom"/>
          </w:tcPr>
          <w:p>
            <w:pPr>
              <w:jc w:val="right"/>
              <w:ind w:right="1997"/>
              <w:spacing w:after="0"/>
              <w:rPr>
                <w:sz w:val="20"/>
                <w:szCs w:val="20"/>
                <w:color w:val="auto"/>
              </w:rPr>
            </w:pPr>
            <w:r>
              <w:rPr>
                <w:rFonts w:ascii="Arial" w:cs="Arial" w:eastAsia="Arial" w:hAnsi="Arial"/>
                <w:sz w:val="25"/>
                <w:szCs w:val="25"/>
                <w:b w:val="1"/>
                <w:bCs w:val="1"/>
                <w:color w:val="auto"/>
              </w:rPr>
              <w:t>2,068</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1,700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28"/>
          <w:szCs w:val="28"/>
          <w:color w:val="auto"/>
        </w:rPr>
        <w:t>1,000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1560" w:type="dxa"/>
            <w:vAlign w:val="bottom"/>
          </w:tcPr>
          <w:p>
            <w:pPr>
              <w:spacing w:after="0"/>
              <w:rPr>
                <w:sz w:val="24"/>
                <w:szCs w:val="24"/>
                <w:color w:val="auto"/>
              </w:rPr>
            </w:pPr>
          </w:p>
        </w:tc>
        <w:tc>
          <w:tcPr>
            <w:tcW w:w="1480" w:type="dxa"/>
            <w:vAlign w:val="bottom"/>
          </w:tcPr>
          <w:p>
            <w:pPr>
              <w:jc w:val="center"/>
              <w:ind w:right="62"/>
              <w:spacing w:after="0"/>
              <w:rPr>
                <w:sz w:val="20"/>
                <w:szCs w:val="20"/>
                <w:color w:val="auto"/>
              </w:rPr>
            </w:pPr>
            <w:r>
              <w:rPr>
                <w:rFonts w:ascii="Arial" w:cs="Arial" w:eastAsia="Arial" w:hAnsi="Arial"/>
                <w:sz w:val="25"/>
                <w:szCs w:val="25"/>
                <w:b w:val="1"/>
                <w:bCs w:val="1"/>
                <w:color w:val="auto"/>
                <w:w w:val="97"/>
              </w:rPr>
              <w:t>Q2 2010</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rPr>
              <w:t>Q3 2010</w:t>
            </w:r>
          </w:p>
        </w:tc>
        <w:tc>
          <w:tcPr>
            <w:tcW w:w="1640" w:type="dxa"/>
            <w:vAlign w:val="bottom"/>
          </w:tcPr>
          <w:p>
            <w:pPr>
              <w:jc w:val="center"/>
              <w:spacing w:after="0"/>
              <w:rPr>
                <w:sz w:val="20"/>
                <w:szCs w:val="20"/>
                <w:color w:val="auto"/>
              </w:rPr>
            </w:pPr>
            <w:r>
              <w:rPr>
                <w:rFonts w:ascii="Arial" w:cs="Arial" w:eastAsia="Arial" w:hAnsi="Arial"/>
                <w:sz w:val="25"/>
                <w:szCs w:val="25"/>
                <w:b w:val="1"/>
                <w:bCs w:val="1"/>
                <w:color w:val="auto"/>
              </w:rPr>
              <w:t>Q4 2010</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7"/>
              </w:rPr>
              <w:t>Q1 2011</w:t>
            </w:r>
          </w:p>
        </w:tc>
        <w:tc>
          <w:tcPr>
            <w:tcW w:w="1280" w:type="dxa"/>
            <w:vAlign w:val="bottom"/>
          </w:tcPr>
          <w:p>
            <w:pPr>
              <w:jc w:val="center"/>
              <w:ind w:left="202"/>
              <w:spacing w:after="0"/>
              <w:rPr>
                <w:sz w:val="20"/>
                <w:szCs w:val="20"/>
                <w:color w:val="auto"/>
              </w:rPr>
            </w:pPr>
            <w:r>
              <w:rPr>
                <w:rFonts w:ascii="Arial" w:cs="Arial" w:eastAsia="Arial" w:hAnsi="Arial"/>
                <w:sz w:val="25"/>
                <w:szCs w:val="25"/>
                <w:b w:val="1"/>
                <w:bCs w:val="1"/>
                <w:color w:val="auto"/>
              </w:rPr>
              <w:t>Q2 2011</w:t>
            </w:r>
          </w:p>
        </w:tc>
      </w:tr>
      <w:tr>
        <w:trPr>
          <w:trHeight w:val="674"/>
        </w:trPr>
        <w:tc>
          <w:tcPr>
            <w:tcW w:w="1560" w:type="dxa"/>
            <w:vAlign w:val="bottom"/>
          </w:tcPr>
          <w:p>
            <w:pPr>
              <w:spacing w:after="0"/>
              <w:rPr>
                <w:sz w:val="20"/>
                <w:szCs w:val="20"/>
                <w:color w:val="auto"/>
              </w:rPr>
            </w:pPr>
            <w:r>
              <w:rPr>
                <w:rFonts w:ascii="Arial" w:cs="Arial" w:eastAsia="Arial" w:hAnsi="Arial"/>
                <w:sz w:val="22"/>
                <w:szCs w:val="22"/>
                <w:b w:val="1"/>
                <w:bCs w:val="1"/>
                <w:color w:val="auto"/>
              </w:rPr>
              <w:t>Global Share</w:t>
            </w:r>
          </w:p>
        </w:tc>
        <w:tc>
          <w:tcPr>
            <w:tcW w:w="1480" w:type="dxa"/>
            <w:vAlign w:val="bottom"/>
          </w:tcPr>
          <w:p>
            <w:pPr>
              <w:jc w:val="right"/>
              <w:ind w:right="362"/>
              <w:spacing w:after="0"/>
              <w:rPr>
                <w:sz w:val="20"/>
                <w:szCs w:val="20"/>
                <w:color w:val="auto"/>
              </w:rPr>
            </w:pPr>
            <w:r>
              <w:rPr>
                <w:rFonts w:ascii="Arial" w:cs="Arial" w:eastAsia="Arial" w:hAnsi="Arial"/>
                <w:sz w:val="22"/>
                <w:szCs w:val="22"/>
                <w:b w:val="1"/>
                <w:bCs w:val="1"/>
                <w:color w:val="auto"/>
              </w:rPr>
              <w:t>11.6%</w:t>
            </w:r>
          </w:p>
        </w:tc>
        <w:tc>
          <w:tcPr>
            <w:tcW w:w="1620" w:type="dxa"/>
            <w:vAlign w:val="bottom"/>
          </w:tcPr>
          <w:p>
            <w:pPr>
              <w:jc w:val="right"/>
              <w:ind w:right="382"/>
              <w:spacing w:after="0"/>
              <w:rPr>
                <w:sz w:val="20"/>
                <w:szCs w:val="20"/>
                <w:color w:val="auto"/>
              </w:rPr>
            </w:pPr>
            <w:r>
              <w:rPr>
                <w:rFonts w:ascii="Arial" w:cs="Arial" w:eastAsia="Arial" w:hAnsi="Arial"/>
                <w:sz w:val="22"/>
                <w:szCs w:val="22"/>
                <w:b w:val="1"/>
                <w:bCs w:val="1"/>
                <w:color w:val="auto"/>
              </w:rPr>
              <w:t>11.4%</w:t>
            </w:r>
          </w:p>
        </w:tc>
        <w:tc>
          <w:tcPr>
            <w:tcW w:w="1640" w:type="dxa"/>
            <w:vAlign w:val="bottom"/>
          </w:tcPr>
          <w:p>
            <w:pPr>
              <w:jc w:val="right"/>
              <w:ind w:right="382"/>
              <w:spacing w:after="0"/>
              <w:rPr>
                <w:sz w:val="20"/>
                <w:szCs w:val="20"/>
                <w:color w:val="auto"/>
              </w:rPr>
            </w:pPr>
            <w:r>
              <w:rPr>
                <w:rFonts w:ascii="Arial" w:cs="Arial" w:eastAsia="Arial" w:hAnsi="Arial"/>
                <w:sz w:val="22"/>
                <w:szCs w:val="22"/>
                <w:b w:val="1"/>
                <w:bCs w:val="1"/>
                <w:color w:val="auto"/>
              </w:rPr>
              <w:t>11.5%</w:t>
            </w:r>
          </w:p>
        </w:tc>
        <w:tc>
          <w:tcPr>
            <w:tcW w:w="1620" w:type="dxa"/>
            <w:vAlign w:val="bottom"/>
          </w:tcPr>
          <w:p>
            <w:pPr>
              <w:jc w:val="right"/>
              <w:ind w:right="402"/>
              <w:spacing w:after="0"/>
              <w:rPr>
                <w:sz w:val="20"/>
                <w:szCs w:val="20"/>
                <w:color w:val="auto"/>
              </w:rPr>
            </w:pPr>
            <w:r>
              <w:rPr>
                <w:rFonts w:ascii="Arial" w:cs="Arial" w:eastAsia="Arial" w:hAnsi="Arial"/>
                <w:sz w:val="22"/>
                <w:szCs w:val="22"/>
                <w:b w:val="1"/>
                <w:bCs w:val="1"/>
                <w:color w:val="auto"/>
              </w:rPr>
              <w:t>11.4%</w:t>
            </w:r>
          </w:p>
        </w:tc>
        <w:tc>
          <w:tcPr>
            <w:tcW w:w="1280" w:type="dxa"/>
            <w:vAlign w:val="bottom"/>
          </w:tcPr>
          <w:p>
            <w:pPr>
              <w:jc w:val="right"/>
              <w:ind w:right="42"/>
              <w:spacing w:after="0"/>
              <w:rPr>
                <w:sz w:val="20"/>
                <w:szCs w:val="20"/>
                <w:color w:val="auto"/>
              </w:rPr>
            </w:pPr>
            <w:r>
              <w:rPr>
                <w:rFonts w:ascii="Arial" w:cs="Arial" w:eastAsia="Arial" w:hAnsi="Arial"/>
                <w:sz w:val="22"/>
                <w:szCs w:val="22"/>
                <w:b w:val="1"/>
                <w:bCs w:val="1"/>
                <w:color w:val="auto"/>
              </w:rPr>
              <w:t>12.2%</w:t>
            </w:r>
          </w:p>
        </w:tc>
      </w:tr>
    </w:tbl>
    <w:p>
      <w:pPr>
        <w:spacing w:after="0" w:line="200" w:lineRule="exact"/>
        <w:rPr>
          <w:sz w:val="20"/>
          <w:szCs w:val="20"/>
          <w:color w:val="auto"/>
        </w:rPr>
      </w:pPr>
    </w:p>
    <w:p>
      <w:pPr>
        <w:spacing w:after="0" w:line="249" w:lineRule="exact"/>
        <w:rPr>
          <w:sz w:val="20"/>
          <w:szCs w:val="20"/>
          <w:color w:val="auto"/>
        </w:rPr>
      </w:pPr>
    </w:p>
    <w:p>
      <w:pPr>
        <w:ind w:left="80" w:right="120"/>
        <w:spacing w:after="0" w:line="275" w:lineRule="auto"/>
        <w:rPr>
          <w:sz w:val="20"/>
          <w:szCs w:val="20"/>
          <w:color w:val="auto"/>
        </w:rPr>
      </w:pPr>
      <w:r>
        <w:rPr>
          <w:rFonts w:ascii="Arial" w:cs="Arial" w:eastAsia="Arial" w:hAnsi="Arial"/>
          <w:sz w:val="19"/>
          <w:szCs w:val="19"/>
          <w:i w:val="1"/>
          <w:iCs w:val="1"/>
          <w:color w:val="auto"/>
        </w:rPr>
        <w:t>GM deliveries &amp; market share include vehicles sold around the world under GM and JV brands, and through GM-branded distribution network</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8</w:t>
      </w:r>
    </w:p>
    <w:p>
      <w:pPr>
        <w:sectPr>
          <w:pgSz w:w="11900" w:h="16838" w:orient="portrait"/>
          <w:cols w:equalWidth="0" w:num="1">
            <w:col w:w="10280"/>
          </w:cols>
          <w:pgMar w:left="620" w:top="597" w:right="999" w:bottom="1440" w:gutter="0" w:footer="0" w:header="0"/>
        </w:sectPr>
      </w:pPr>
    </w:p>
    <w:bookmarkStart w:id="25" w:name="page26"/>
    <w:bookmarkEnd w:id="25"/>
    <w:p>
      <w:pPr>
        <w:ind w:left="98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Earnings Before Interest &amp; Taxes</w:t>
      </w:r>
    </w:p>
    <w:p>
      <w:pPr>
        <w:spacing w:after="0" w:line="200" w:lineRule="exact"/>
        <w:rPr>
          <w:sz w:val="20"/>
          <w:szCs w:val="20"/>
          <w:color w:val="auto"/>
        </w:rPr>
      </w:pPr>
    </w:p>
    <w:p>
      <w:pPr>
        <w:spacing w:after="0" w:line="228" w:lineRule="exact"/>
        <w:rPr>
          <w:sz w:val="20"/>
          <w:szCs w:val="20"/>
          <w:color w:val="auto"/>
        </w:rPr>
      </w:pPr>
    </w:p>
    <w:p>
      <w:pPr>
        <w:ind w:left="1340"/>
        <w:spacing w:after="0"/>
        <w:rPr>
          <w:sz w:val="20"/>
          <w:szCs w:val="20"/>
          <w:color w:val="auto"/>
        </w:rPr>
      </w:pPr>
      <w:r>
        <w:rPr>
          <w:rFonts w:ascii="Arial" w:cs="Arial" w:eastAsia="Arial" w:hAnsi="Arial"/>
          <w:sz w:val="25"/>
          <w:szCs w:val="25"/>
          <w:b w:val="1"/>
          <w:bCs w:val="1"/>
          <w:color w:val="auto"/>
        </w:rPr>
        <w:t>($B)</w:t>
      </w:r>
    </w:p>
    <w:p>
      <w:pPr>
        <w:spacing w:after="0" w:line="48"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4.0</w:t>
      </w:r>
    </w:p>
    <w:p>
      <w:pPr>
        <w:spacing w:after="0" w:line="10" w:lineRule="exact"/>
        <w:rPr>
          <w:sz w:val="20"/>
          <w:szCs w:val="20"/>
          <w:color w:val="auto"/>
        </w:rPr>
      </w:pPr>
    </w:p>
    <w:p>
      <w:pPr>
        <w:ind w:left="7160"/>
        <w:spacing w:after="0"/>
        <w:rPr>
          <w:sz w:val="20"/>
          <w:szCs w:val="20"/>
          <w:color w:val="auto"/>
        </w:rPr>
      </w:pPr>
      <w:r>
        <w:rPr>
          <w:rFonts w:ascii="Arial" w:cs="Arial" w:eastAsia="Arial" w:hAnsi="Arial"/>
          <w:sz w:val="25"/>
          <w:szCs w:val="25"/>
          <w:b w:val="1"/>
          <w:bCs w:val="1"/>
          <w:color w:val="auto"/>
        </w:rPr>
        <w:t>3.5</w:t>
      </w:r>
    </w:p>
    <w:p>
      <w:pPr>
        <w:sectPr>
          <w:pgSz w:w="11900" w:h="16838" w:orient="portrait"/>
          <w:cols w:equalWidth="0" w:num="1">
            <w:col w:w="10240"/>
          </w:cols>
          <w:pgMar w:left="660" w:top="597"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0.0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Revenue ($B)</w:t>
      </w:r>
    </w:p>
    <w:p>
      <w:pPr>
        <w:spacing w:after="0" w:line="92" w:lineRule="exact"/>
        <w:rPr>
          <w:sz w:val="20"/>
          <w:szCs w:val="20"/>
          <w:color w:val="auto"/>
        </w:rPr>
      </w:pPr>
    </w:p>
    <w:p>
      <w:pPr>
        <w:jc w:val="both"/>
        <w:ind w:left="160" w:right="180"/>
        <w:spacing w:after="0" w:line="330" w:lineRule="auto"/>
        <w:rPr>
          <w:sz w:val="20"/>
          <w:szCs w:val="20"/>
          <w:color w:val="auto"/>
        </w:rPr>
      </w:pPr>
      <w:r>
        <w:rPr>
          <w:rFonts w:ascii="Arial" w:cs="Arial" w:eastAsia="Arial" w:hAnsi="Arial"/>
          <w:sz w:val="21"/>
          <w:szCs w:val="21"/>
          <w:color w:val="auto"/>
        </w:rPr>
        <w:t>Oper Inc % Rev EBIT-Adj % Rev.</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Production (000’s)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260"/>
        <w:spacing w:after="0"/>
        <w:rPr>
          <w:sz w:val="20"/>
          <w:szCs w:val="20"/>
          <w:color w:val="auto"/>
        </w:rPr>
      </w:pPr>
      <w:r>
        <w:rPr>
          <w:rFonts w:ascii="Arial" w:cs="Arial" w:eastAsia="Arial" w:hAnsi="Arial"/>
          <w:sz w:val="25"/>
          <w:szCs w:val="25"/>
          <w:b w:val="1"/>
          <w:bCs w:val="1"/>
          <w:color w:val="auto"/>
        </w:rPr>
        <w:t>3.0</w:t>
      </w:r>
    </w:p>
    <w:p>
      <w:pPr>
        <w:spacing w:after="0" w:line="200" w:lineRule="exact"/>
        <w:rPr>
          <w:sz w:val="20"/>
          <w:szCs w:val="20"/>
          <w:color w:val="auto"/>
        </w:rPr>
      </w:pPr>
    </w:p>
    <w:p>
      <w:pPr>
        <w:spacing w:after="0" w:line="218"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auto"/>
        </w:rPr>
        <w:t>2.3</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jc w:val="right"/>
              <w:ind w:right="547"/>
              <w:spacing w:after="0"/>
              <w:rPr>
                <w:sz w:val="20"/>
                <w:szCs w:val="20"/>
                <w:color w:val="auto"/>
              </w:rPr>
            </w:pPr>
            <w:r>
              <w:rPr>
                <w:rFonts w:ascii="Arial" w:cs="Arial" w:eastAsia="Arial" w:hAnsi="Arial"/>
                <w:sz w:val="25"/>
                <w:szCs w:val="25"/>
                <w:b w:val="1"/>
                <w:bCs w:val="1"/>
                <w:color w:val="FFFFFF"/>
              </w:rPr>
              <w:t>2.0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80" w:type="dxa"/>
            <w:vAlign w:val="bottom"/>
            <w:vMerge w:val="restart"/>
          </w:tcPr>
          <w:p>
            <w:pPr>
              <w:jc w:val="right"/>
              <w:ind w:right="566"/>
              <w:spacing w:after="0"/>
              <w:rPr>
                <w:sz w:val="20"/>
                <w:szCs w:val="20"/>
                <w:color w:val="auto"/>
              </w:rPr>
            </w:pPr>
            <w:r>
              <w:rPr>
                <w:rFonts w:ascii="Arial" w:cs="Arial" w:eastAsia="Arial" w:hAnsi="Arial"/>
                <w:sz w:val="25"/>
                <w:szCs w:val="25"/>
                <w:b w:val="1"/>
                <w:bCs w:val="1"/>
                <w:color w:val="auto"/>
              </w:rPr>
              <w:t>1.3</w:t>
            </w:r>
          </w:p>
        </w:tc>
        <w:tc>
          <w:tcPr>
            <w:tcW w:w="1620" w:type="dxa"/>
            <w:vAlign w:val="bottom"/>
          </w:tcPr>
          <w:p>
            <w:pPr>
              <w:ind w:left="400"/>
              <w:spacing w:after="0"/>
              <w:rPr>
                <w:sz w:val="20"/>
                <w:szCs w:val="20"/>
                <w:color w:val="auto"/>
              </w:rPr>
            </w:pPr>
            <w:r>
              <w:rPr>
                <w:rFonts w:ascii="Arial" w:cs="Arial" w:eastAsia="Arial" w:hAnsi="Arial"/>
                <w:sz w:val="18"/>
                <w:szCs w:val="18"/>
                <w:b w:val="1"/>
                <w:bCs w:val="1"/>
                <w:color w:val="FFFFFF"/>
              </w:rPr>
              <w:t>EBIT-Adj.</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6"/>
        </w:trPr>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5"/>
                <w:szCs w:val="25"/>
                <w:b w:val="1"/>
                <w:bCs w:val="1"/>
                <w:color w:val="FFFFFF"/>
                <w:w w:val="97"/>
              </w:rPr>
              <w:t>1.0</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FFFFFF"/>
                <w:w w:val="96"/>
              </w:rPr>
              <w:t>EBIT-Adj.</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7"/>
        </w:trPr>
        <w:tc>
          <w:tcPr>
            <w:tcW w:w="1060" w:type="dxa"/>
            <w:vAlign w:val="bottom"/>
          </w:tcPr>
          <w:p>
            <w:pPr>
              <w:jc w:val="right"/>
              <w:ind w:right="544"/>
              <w:spacing w:after="0"/>
              <w:rPr>
                <w:sz w:val="20"/>
                <w:szCs w:val="20"/>
                <w:color w:val="auto"/>
              </w:rPr>
            </w:pPr>
            <w:r>
              <w:rPr>
                <w:rFonts w:ascii="Arial" w:cs="Arial" w:eastAsia="Arial" w:hAnsi="Arial"/>
                <w:sz w:val="25"/>
                <w:szCs w:val="25"/>
                <w:b w:val="1"/>
                <w:bCs w:val="1"/>
                <w:color w:val="auto"/>
              </w:rPr>
              <w:t>Q2</w:t>
            </w:r>
          </w:p>
        </w:tc>
        <w:tc>
          <w:tcPr>
            <w:tcW w:w="1520" w:type="dxa"/>
            <w:vAlign w:val="bottom"/>
          </w:tcPr>
          <w:p>
            <w:pPr>
              <w:jc w:val="center"/>
              <w:spacing w:after="0"/>
              <w:rPr>
                <w:sz w:val="20"/>
                <w:szCs w:val="20"/>
                <w:color w:val="auto"/>
              </w:rPr>
            </w:pPr>
            <w:r>
              <w:rPr>
                <w:rFonts w:ascii="Arial" w:cs="Arial" w:eastAsia="Arial" w:hAnsi="Arial"/>
                <w:sz w:val="25"/>
                <w:szCs w:val="25"/>
                <w:b w:val="1"/>
                <w:bCs w:val="1"/>
                <w:color w:val="auto"/>
              </w:rPr>
              <w:t>Q3</w:t>
            </w:r>
          </w:p>
        </w:tc>
        <w:tc>
          <w:tcPr>
            <w:tcW w:w="1580" w:type="dxa"/>
            <w:vAlign w:val="bottom"/>
          </w:tcPr>
          <w:p>
            <w:pPr>
              <w:jc w:val="center"/>
              <w:spacing w:after="0"/>
              <w:rPr>
                <w:sz w:val="20"/>
                <w:szCs w:val="20"/>
                <w:color w:val="auto"/>
              </w:rPr>
            </w:pPr>
            <w:r>
              <w:rPr>
                <w:rFonts w:ascii="Arial" w:cs="Arial" w:eastAsia="Arial" w:hAnsi="Arial"/>
                <w:sz w:val="25"/>
                <w:szCs w:val="25"/>
                <w:b w:val="1"/>
                <w:bCs w:val="1"/>
                <w:color w:val="auto"/>
              </w:rPr>
              <w:t>Q4</w:t>
            </w:r>
          </w:p>
        </w:tc>
        <w:tc>
          <w:tcPr>
            <w:tcW w:w="1620" w:type="dxa"/>
            <w:vAlign w:val="bottom"/>
          </w:tcPr>
          <w:p>
            <w:pPr>
              <w:ind w:left="540"/>
              <w:spacing w:after="0"/>
              <w:rPr>
                <w:sz w:val="20"/>
                <w:szCs w:val="20"/>
                <w:color w:val="auto"/>
              </w:rPr>
            </w:pPr>
            <w:r>
              <w:rPr>
                <w:rFonts w:ascii="Arial" w:cs="Arial" w:eastAsia="Arial" w:hAnsi="Arial"/>
                <w:sz w:val="25"/>
                <w:szCs w:val="25"/>
                <w:b w:val="1"/>
                <w:bCs w:val="1"/>
                <w:color w:val="auto"/>
              </w:rPr>
              <w:t>Q1</w:t>
            </w:r>
          </w:p>
        </w:tc>
        <w:tc>
          <w:tcPr>
            <w:tcW w:w="1000" w:type="dxa"/>
            <w:vAlign w:val="bottom"/>
          </w:tcPr>
          <w:p>
            <w:pPr>
              <w:jc w:val="center"/>
              <w:ind w:left="264"/>
              <w:spacing w:after="0"/>
              <w:rPr>
                <w:sz w:val="20"/>
                <w:szCs w:val="20"/>
                <w:color w:val="auto"/>
              </w:rPr>
            </w:pPr>
            <w:r>
              <w:rPr>
                <w:rFonts w:ascii="Arial" w:cs="Arial" w:eastAsia="Arial" w:hAnsi="Arial"/>
                <w:sz w:val="25"/>
                <w:szCs w:val="25"/>
                <w:b w:val="1"/>
                <w:bCs w:val="1"/>
                <w:color w:val="auto"/>
              </w:rPr>
              <w:t>Q2</w:t>
            </w:r>
          </w:p>
        </w:tc>
        <w:tc>
          <w:tcPr>
            <w:tcW w:w="0" w:type="dxa"/>
            <w:vAlign w:val="bottom"/>
          </w:tcPr>
          <w:p>
            <w:pPr>
              <w:spacing w:after="0"/>
              <w:rPr>
                <w:sz w:val="1"/>
                <w:szCs w:val="1"/>
                <w:color w:val="auto"/>
              </w:rPr>
            </w:pPr>
          </w:p>
        </w:tc>
      </w:tr>
      <w:tr>
        <w:trPr>
          <w:trHeight w:val="327"/>
        </w:trPr>
        <w:tc>
          <w:tcPr>
            <w:tcW w:w="1060" w:type="dxa"/>
            <w:vAlign w:val="bottom"/>
          </w:tcPr>
          <w:p>
            <w:pPr>
              <w:jc w:val="right"/>
              <w:ind w:right="404"/>
              <w:spacing w:after="0"/>
              <w:rPr>
                <w:sz w:val="20"/>
                <w:szCs w:val="20"/>
                <w:color w:val="auto"/>
              </w:rPr>
            </w:pPr>
            <w:r>
              <w:rPr>
                <w:rFonts w:ascii="Arial" w:cs="Arial" w:eastAsia="Arial" w:hAnsi="Arial"/>
                <w:sz w:val="25"/>
                <w:szCs w:val="25"/>
                <w:b w:val="1"/>
                <w:bCs w:val="1"/>
                <w:color w:val="auto"/>
                <w:w w:val="93"/>
              </w:rPr>
              <w:t>2010</w:t>
            </w:r>
          </w:p>
        </w:tc>
        <w:tc>
          <w:tcPr>
            <w:tcW w:w="1520" w:type="dxa"/>
            <w:vAlign w:val="bottom"/>
          </w:tcPr>
          <w:p>
            <w:pPr>
              <w:jc w:val="right"/>
              <w:ind w:right="404"/>
              <w:spacing w:after="0"/>
              <w:rPr>
                <w:sz w:val="20"/>
                <w:szCs w:val="20"/>
                <w:color w:val="auto"/>
              </w:rPr>
            </w:pPr>
            <w:r>
              <w:rPr>
                <w:rFonts w:ascii="Arial" w:cs="Arial" w:eastAsia="Arial" w:hAnsi="Arial"/>
                <w:sz w:val="25"/>
                <w:szCs w:val="25"/>
                <w:b w:val="1"/>
                <w:bCs w:val="1"/>
                <w:color w:val="auto"/>
              </w:rPr>
              <w:t>2010</w:t>
            </w:r>
          </w:p>
        </w:tc>
        <w:tc>
          <w:tcPr>
            <w:tcW w:w="1580" w:type="dxa"/>
            <w:vAlign w:val="bottom"/>
          </w:tcPr>
          <w:p>
            <w:pPr>
              <w:jc w:val="right"/>
              <w:ind w:right="446"/>
              <w:spacing w:after="0"/>
              <w:rPr>
                <w:sz w:val="20"/>
                <w:szCs w:val="20"/>
                <w:color w:val="auto"/>
              </w:rPr>
            </w:pPr>
            <w:r>
              <w:rPr>
                <w:rFonts w:ascii="Arial" w:cs="Arial" w:eastAsia="Arial" w:hAnsi="Arial"/>
                <w:sz w:val="25"/>
                <w:szCs w:val="25"/>
                <w:b w:val="1"/>
                <w:bCs w:val="1"/>
                <w:color w:val="auto"/>
              </w:rPr>
              <w:t>2010</w:t>
            </w:r>
          </w:p>
        </w:tc>
        <w:tc>
          <w:tcPr>
            <w:tcW w:w="1620" w:type="dxa"/>
            <w:vAlign w:val="bottom"/>
          </w:tcPr>
          <w:p>
            <w:pPr>
              <w:ind w:left="440"/>
              <w:spacing w:after="0"/>
              <w:rPr>
                <w:sz w:val="20"/>
                <w:szCs w:val="20"/>
                <w:color w:val="auto"/>
              </w:rPr>
            </w:pPr>
            <w:r>
              <w:rPr>
                <w:rFonts w:ascii="Arial" w:cs="Arial" w:eastAsia="Arial" w:hAnsi="Arial"/>
                <w:sz w:val="25"/>
                <w:szCs w:val="25"/>
                <w:b w:val="1"/>
                <w:bCs w:val="1"/>
                <w:color w:val="auto"/>
              </w:rPr>
              <w:t>2011</w:t>
            </w:r>
          </w:p>
        </w:tc>
        <w:tc>
          <w:tcPr>
            <w:tcW w:w="1000" w:type="dxa"/>
            <w:vAlign w:val="bottom"/>
          </w:tcPr>
          <w:p>
            <w:pPr>
              <w:jc w:val="right"/>
              <w:spacing w:after="0"/>
              <w:rPr>
                <w:sz w:val="20"/>
                <w:szCs w:val="20"/>
                <w:color w:val="auto"/>
              </w:rPr>
            </w:pPr>
            <w:r>
              <w:rPr>
                <w:rFonts w:ascii="Arial" w:cs="Arial" w:eastAsia="Arial" w:hAnsi="Arial"/>
                <w:sz w:val="25"/>
                <w:szCs w:val="25"/>
                <w:b w:val="1"/>
                <w:bCs w:val="1"/>
                <w:color w:val="auto"/>
              </w:rPr>
              <w:t>2011</w:t>
            </w:r>
          </w:p>
        </w:tc>
        <w:tc>
          <w:tcPr>
            <w:tcW w:w="0" w:type="dxa"/>
            <w:vAlign w:val="bottom"/>
          </w:tcPr>
          <w:p>
            <w:pPr>
              <w:spacing w:after="0"/>
              <w:rPr>
                <w:sz w:val="1"/>
                <w:szCs w:val="1"/>
                <w:color w:val="auto"/>
              </w:rPr>
            </w:pPr>
          </w:p>
        </w:tc>
      </w:tr>
      <w:tr>
        <w:trPr>
          <w:trHeight w:val="368"/>
        </w:trPr>
        <w:tc>
          <w:tcPr>
            <w:tcW w:w="1060" w:type="dxa"/>
            <w:vAlign w:val="bottom"/>
          </w:tcPr>
          <w:p>
            <w:pPr>
              <w:jc w:val="center"/>
              <w:ind w:right="284"/>
              <w:spacing w:after="0"/>
              <w:rPr>
                <w:sz w:val="20"/>
                <w:szCs w:val="20"/>
                <w:color w:val="auto"/>
              </w:rPr>
            </w:pPr>
            <w:r>
              <w:rPr>
                <w:rFonts w:ascii="Arial" w:cs="Arial" w:eastAsia="Arial" w:hAnsi="Arial"/>
                <w:sz w:val="22"/>
                <w:szCs w:val="22"/>
                <w:b w:val="1"/>
                <w:bCs w:val="1"/>
                <w:color w:val="auto"/>
                <w:w w:val="97"/>
              </w:rPr>
              <w:t>33.2</w:t>
            </w:r>
          </w:p>
        </w:tc>
        <w:tc>
          <w:tcPr>
            <w:tcW w:w="1520" w:type="dxa"/>
            <w:vAlign w:val="bottom"/>
          </w:tcPr>
          <w:p>
            <w:pPr>
              <w:jc w:val="center"/>
              <w:ind w:left="44"/>
              <w:spacing w:after="0"/>
              <w:rPr>
                <w:sz w:val="20"/>
                <w:szCs w:val="20"/>
                <w:color w:val="auto"/>
              </w:rPr>
            </w:pPr>
            <w:r>
              <w:rPr>
                <w:rFonts w:ascii="Arial" w:cs="Arial" w:eastAsia="Arial" w:hAnsi="Arial"/>
                <w:sz w:val="22"/>
                <w:szCs w:val="22"/>
                <w:b w:val="1"/>
                <w:bCs w:val="1"/>
                <w:color w:val="auto"/>
              </w:rPr>
              <w:t>34.1</w:t>
            </w:r>
          </w:p>
        </w:tc>
        <w:tc>
          <w:tcPr>
            <w:tcW w:w="1580" w:type="dxa"/>
            <w:vAlign w:val="bottom"/>
          </w:tcPr>
          <w:p>
            <w:pPr>
              <w:jc w:val="center"/>
              <w:ind w:left="26"/>
              <w:spacing w:after="0"/>
              <w:rPr>
                <w:sz w:val="20"/>
                <w:szCs w:val="20"/>
                <w:color w:val="auto"/>
              </w:rPr>
            </w:pPr>
            <w:r>
              <w:rPr>
                <w:rFonts w:ascii="Arial" w:cs="Arial" w:eastAsia="Arial" w:hAnsi="Arial"/>
                <w:sz w:val="22"/>
                <w:szCs w:val="22"/>
                <w:b w:val="1"/>
                <w:bCs w:val="1"/>
                <w:color w:val="auto"/>
              </w:rPr>
              <w:t>36.9</w:t>
            </w: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7"/>
              </w:rPr>
              <w:t>36.2</w:t>
            </w:r>
          </w:p>
        </w:tc>
        <w:tc>
          <w:tcPr>
            <w:tcW w:w="1000" w:type="dxa"/>
            <w:vAlign w:val="bottom"/>
          </w:tcPr>
          <w:p>
            <w:pPr>
              <w:jc w:val="center"/>
              <w:ind w:left="304"/>
              <w:spacing w:after="0"/>
              <w:rPr>
                <w:sz w:val="20"/>
                <w:szCs w:val="20"/>
                <w:color w:val="auto"/>
              </w:rPr>
            </w:pPr>
            <w:r>
              <w:rPr>
                <w:rFonts w:ascii="Arial" w:cs="Arial" w:eastAsia="Arial" w:hAnsi="Arial"/>
                <w:sz w:val="22"/>
                <w:szCs w:val="22"/>
                <w:b w:val="1"/>
                <w:bCs w:val="1"/>
                <w:color w:val="auto"/>
                <w:w w:val="97"/>
              </w:rPr>
              <w:t>39.4</w:t>
            </w:r>
          </w:p>
        </w:tc>
        <w:tc>
          <w:tcPr>
            <w:tcW w:w="0" w:type="dxa"/>
            <w:vAlign w:val="bottom"/>
          </w:tcPr>
          <w:p>
            <w:pPr>
              <w:spacing w:after="0"/>
              <w:rPr>
                <w:sz w:val="1"/>
                <w:szCs w:val="1"/>
                <w:color w:val="auto"/>
              </w:rPr>
            </w:pPr>
          </w:p>
        </w:tc>
      </w:tr>
      <w:tr>
        <w:trPr>
          <w:trHeight w:val="317"/>
        </w:trPr>
        <w:tc>
          <w:tcPr>
            <w:tcW w:w="1060" w:type="dxa"/>
            <w:vAlign w:val="bottom"/>
          </w:tcPr>
          <w:p>
            <w:pPr>
              <w:jc w:val="center"/>
              <w:ind w:right="284"/>
              <w:spacing w:after="0"/>
              <w:rPr>
                <w:sz w:val="20"/>
                <w:szCs w:val="20"/>
                <w:color w:val="auto"/>
              </w:rPr>
            </w:pPr>
            <w:r>
              <w:rPr>
                <w:rFonts w:ascii="Arial" w:cs="Arial" w:eastAsia="Arial" w:hAnsi="Arial"/>
                <w:sz w:val="22"/>
                <w:szCs w:val="22"/>
                <w:color w:val="auto"/>
                <w:w w:val="99"/>
              </w:rPr>
              <w:t>5.7%</w:t>
            </w:r>
          </w:p>
        </w:tc>
        <w:tc>
          <w:tcPr>
            <w:tcW w:w="1520" w:type="dxa"/>
            <w:vAlign w:val="bottom"/>
          </w:tcPr>
          <w:p>
            <w:pPr>
              <w:jc w:val="center"/>
              <w:ind w:left="24"/>
              <w:spacing w:after="0"/>
              <w:rPr>
                <w:sz w:val="20"/>
                <w:szCs w:val="20"/>
                <w:color w:val="auto"/>
              </w:rPr>
            </w:pPr>
            <w:r>
              <w:rPr>
                <w:rFonts w:ascii="Arial" w:cs="Arial" w:eastAsia="Arial" w:hAnsi="Arial"/>
                <w:sz w:val="22"/>
                <w:szCs w:val="22"/>
                <w:color w:val="auto"/>
                <w:w w:val="99"/>
              </w:rPr>
              <w:t>5.4%</w:t>
            </w:r>
          </w:p>
        </w:tc>
        <w:tc>
          <w:tcPr>
            <w:tcW w:w="1580" w:type="dxa"/>
            <w:vAlign w:val="bottom"/>
          </w:tcPr>
          <w:p>
            <w:pPr>
              <w:jc w:val="center"/>
              <w:ind w:left="26"/>
              <w:spacing w:after="0"/>
              <w:rPr>
                <w:sz w:val="20"/>
                <w:szCs w:val="20"/>
                <w:color w:val="auto"/>
              </w:rPr>
            </w:pPr>
            <w:r>
              <w:rPr>
                <w:rFonts w:ascii="Arial" w:cs="Arial" w:eastAsia="Arial" w:hAnsi="Arial"/>
                <w:sz w:val="22"/>
                <w:szCs w:val="22"/>
                <w:color w:val="auto"/>
              </w:rPr>
              <w:t>0.6%</w:t>
            </w:r>
          </w:p>
        </w:tc>
        <w:tc>
          <w:tcPr>
            <w:tcW w:w="1620" w:type="dxa"/>
            <w:vAlign w:val="bottom"/>
          </w:tcPr>
          <w:p>
            <w:pPr>
              <w:jc w:val="center"/>
              <w:spacing w:after="0"/>
              <w:rPr>
                <w:sz w:val="20"/>
                <w:szCs w:val="20"/>
                <w:color w:val="auto"/>
              </w:rPr>
            </w:pPr>
            <w:r>
              <w:rPr>
                <w:rFonts w:ascii="Arial" w:cs="Arial" w:eastAsia="Arial" w:hAnsi="Arial"/>
                <w:sz w:val="22"/>
                <w:szCs w:val="22"/>
                <w:color w:val="auto"/>
                <w:w w:val="99"/>
              </w:rPr>
              <w:t>2.6%</w:t>
            </w:r>
          </w:p>
        </w:tc>
        <w:tc>
          <w:tcPr>
            <w:tcW w:w="1000" w:type="dxa"/>
            <w:vAlign w:val="bottom"/>
          </w:tcPr>
          <w:p>
            <w:pPr>
              <w:jc w:val="center"/>
              <w:ind w:left="304"/>
              <w:spacing w:after="0"/>
              <w:rPr>
                <w:sz w:val="20"/>
                <w:szCs w:val="20"/>
                <w:color w:val="auto"/>
              </w:rPr>
            </w:pPr>
            <w:r>
              <w:rPr>
                <w:rFonts w:ascii="Arial" w:cs="Arial" w:eastAsia="Arial" w:hAnsi="Arial"/>
                <w:sz w:val="22"/>
                <w:szCs w:val="22"/>
                <w:color w:val="auto"/>
                <w:w w:val="99"/>
              </w:rPr>
              <w:t>6.2%</w:t>
            </w:r>
          </w:p>
        </w:tc>
        <w:tc>
          <w:tcPr>
            <w:tcW w:w="0" w:type="dxa"/>
            <w:vAlign w:val="bottom"/>
          </w:tcPr>
          <w:p>
            <w:pPr>
              <w:spacing w:after="0"/>
              <w:rPr>
                <w:sz w:val="1"/>
                <w:szCs w:val="1"/>
                <w:color w:val="auto"/>
              </w:rPr>
            </w:pPr>
          </w:p>
        </w:tc>
      </w:tr>
      <w:tr>
        <w:trPr>
          <w:trHeight w:val="317"/>
        </w:trPr>
        <w:tc>
          <w:tcPr>
            <w:tcW w:w="1060" w:type="dxa"/>
            <w:vAlign w:val="bottom"/>
          </w:tcPr>
          <w:p>
            <w:pPr>
              <w:jc w:val="center"/>
              <w:ind w:right="284"/>
              <w:spacing w:after="0"/>
              <w:rPr>
                <w:sz w:val="20"/>
                <w:szCs w:val="20"/>
                <w:color w:val="auto"/>
              </w:rPr>
            </w:pPr>
            <w:r>
              <w:rPr>
                <w:rFonts w:ascii="Arial" w:cs="Arial" w:eastAsia="Arial" w:hAnsi="Arial"/>
                <w:sz w:val="22"/>
                <w:szCs w:val="22"/>
                <w:color w:val="auto"/>
                <w:w w:val="99"/>
              </w:rPr>
              <w:t>6.1%</w:t>
            </w:r>
          </w:p>
        </w:tc>
        <w:tc>
          <w:tcPr>
            <w:tcW w:w="1520" w:type="dxa"/>
            <w:vAlign w:val="bottom"/>
          </w:tcPr>
          <w:p>
            <w:pPr>
              <w:jc w:val="center"/>
              <w:ind w:left="24"/>
              <w:spacing w:after="0"/>
              <w:rPr>
                <w:sz w:val="20"/>
                <w:szCs w:val="20"/>
                <w:color w:val="auto"/>
              </w:rPr>
            </w:pPr>
            <w:r>
              <w:rPr>
                <w:rFonts w:ascii="Arial" w:cs="Arial" w:eastAsia="Arial" w:hAnsi="Arial"/>
                <w:sz w:val="22"/>
                <w:szCs w:val="22"/>
                <w:color w:val="auto"/>
                <w:w w:val="99"/>
              </w:rPr>
              <w:t>6.7%</w:t>
            </w:r>
          </w:p>
        </w:tc>
        <w:tc>
          <w:tcPr>
            <w:tcW w:w="1580" w:type="dxa"/>
            <w:vAlign w:val="bottom"/>
          </w:tcPr>
          <w:p>
            <w:pPr>
              <w:jc w:val="center"/>
              <w:ind w:left="26"/>
              <w:spacing w:after="0"/>
              <w:rPr>
                <w:sz w:val="20"/>
                <w:szCs w:val="20"/>
                <w:color w:val="auto"/>
              </w:rPr>
            </w:pPr>
            <w:r>
              <w:rPr>
                <w:rFonts w:ascii="Arial" w:cs="Arial" w:eastAsia="Arial" w:hAnsi="Arial"/>
                <w:sz w:val="22"/>
                <w:szCs w:val="22"/>
                <w:color w:val="auto"/>
              </w:rPr>
              <w:t>2.8%</w:t>
            </w:r>
          </w:p>
        </w:tc>
        <w:tc>
          <w:tcPr>
            <w:tcW w:w="1620" w:type="dxa"/>
            <w:vAlign w:val="bottom"/>
          </w:tcPr>
          <w:p>
            <w:pPr>
              <w:jc w:val="center"/>
              <w:spacing w:after="0"/>
              <w:rPr>
                <w:sz w:val="20"/>
                <w:szCs w:val="20"/>
                <w:color w:val="auto"/>
              </w:rPr>
            </w:pPr>
            <w:r>
              <w:rPr>
                <w:rFonts w:ascii="Arial" w:cs="Arial" w:eastAsia="Arial" w:hAnsi="Arial"/>
                <w:sz w:val="22"/>
                <w:szCs w:val="22"/>
                <w:color w:val="auto"/>
                <w:w w:val="99"/>
              </w:rPr>
              <w:t>5.6%</w:t>
            </w:r>
          </w:p>
        </w:tc>
        <w:tc>
          <w:tcPr>
            <w:tcW w:w="1000" w:type="dxa"/>
            <w:vAlign w:val="bottom"/>
          </w:tcPr>
          <w:p>
            <w:pPr>
              <w:jc w:val="center"/>
              <w:ind w:left="304"/>
              <w:spacing w:after="0"/>
              <w:rPr>
                <w:sz w:val="20"/>
                <w:szCs w:val="20"/>
                <w:color w:val="auto"/>
              </w:rPr>
            </w:pPr>
            <w:r>
              <w:rPr>
                <w:rFonts w:ascii="Arial" w:cs="Arial" w:eastAsia="Arial" w:hAnsi="Arial"/>
                <w:sz w:val="22"/>
                <w:szCs w:val="22"/>
                <w:color w:val="auto"/>
                <w:w w:val="99"/>
              </w:rPr>
              <w:t>7.5%</w:t>
            </w:r>
          </w:p>
        </w:tc>
        <w:tc>
          <w:tcPr>
            <w:tcW w:w="0" w:type="dxa"/>
            <w:vAlign w:val="bottom"/>
          </w:tcPr>
          <w:p>
            <w:pPr>
              <w:spacing w:after="0"/>
              <w:rPr>
                <w:sz w:val="1"/>
                <w:szCs w:val="1"/>
                <w:color w:val="auto"/>
              </w:rPr>
            </w:pPr>
          </w:p>
        </w:tc>
      </w:tr>
      <w:tr>
        <w:trPr>
          <w:trHeight w:val="376"/>
        </w:trPr>
        <w:tc>
          <w:tcPr>
            <w:tcW w:w="1060" w:type="dxa"/>
            <w:vAlign w:val="bottom"/>
          </w:tcPr>
          <w:p>
            <w:pPr>
              <w:jc w:val="center"/>
              <w:ind w:right="264"/>
              <w:spacing w:after="0"/>
              <w:rPr>
                <w:sz w:val="20"/>
                <w:szCs w:val="20"/>
                <w:color w:val="auto"/>
              </w:rPr>
            </w:pPr>
            <w:r>
              <w:rPr>
                <w:rFonts w:ascii="Arial" w:cs="Arial" w:eastAsia="Arial" w:hAnsi="Arial"/>
                <w:sz w:val="22"/>
                <w:szCs w:val="22"/>
                <w:b w:val="1"/>
                <w:bCs w:val="1"/>
                <w:color w:val="auto"/>
              </w:rPr>
              <w:t>2,257</w:t>
            </w:r>
          </w:p>
        </w:tc>
        <w:tc>
          <w:tcPr>
            <w:tcW w:w="1520" w:type="dxa"/>
            <w:vAlign w:val="bottom"/>
          </w:tcPr>
          <w:p>
            <w:pPr>
              <w:jc w:val="center"/>
              <w:ind w:left="44"/>
              <w:spacing w:after="0"/>
              <w:rPr>
                <w:sz w:val="20"/>
                <w:szCs w:val="20"/>
                <w:color w:val="auto"/>
              </w:rPr>
            </w:pPr>
            <w:r>
              <w:rPr>
                <w:rFonts w:ascii="Arial" w:cs="Arial" w:eastAsia="Arial" w:hAnsi="Arial"/>
                <w:sz w:val="22"/>
                <w:szCs w:val="22"/>
                <w:b w:val="1"/>
                <w:bCs w:val="1"/>
                <w:color w:val="auto"/>
              </w:rPr>
              <w:t>2,104</w:t>
            </w:r>
          </w:p>
        </w:tc>
        <w:tc>
          <w:tcPr>
            <w:tcW w:w="1580" w:type="dxa"/>
            <w:vAlign w:val="bottom"/>
          </w:tcPr>
          <w:p>
            <w:pPr>
              <w:jc w:val="center"/>
              <w:ind w:left="26"/>
              <w:spacing w:after="0"/>
              <w:rPr>
                <w:sz w:val="20"/>
                <w:szCs w:val="20"/>
                <w:color w:val="auto"/>
              </w:rPr>
            </w:pPr>
            <w:r>
              <w:rPr>
                <w:rFonts w:ascii="Arial" w:cs="Arial" w:eastAsia="Arial" w:hAnsi="Arial"/>
                <w:sz w:val="22"/>
                <w:szCs w:val="22"/>
                <w:b w:val="1"/>
                <w:bCs w:val="1"/>
                <w:color w:val="auto"/>
              </w:rPr>
              <w:t>2,269</w:t>
            </w: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rPr>
              <w:t>2,327</w:t>
            </w:r>
          </w:p>
        </w:tc>
        <w:tc>
          <w:tcPr>
            <w:tcW w:w="1000" w:type="dxa"/>
            <w:vAlign w:val="bottom"/>
          </w:tcPr>
          <w:p>
            <w:pPr>
              <w:jc w:val="center"/>
              <w:ind w:left="324"/>
              <w:spacing w:after="0"/>
              <w:rPr>
                <w:sz w:val="20"/>
                <w:szCs w:val="20"/>
                <w:color w:val="auto"/>
              </w:rPr>
            </w:pPr>
            <w:r>
              <w:rPr>
                <w:rFonts w:ascii="Arial" w:cs="Arial" w:eastAsia="Arial" w:hAnsi="Arial"/>
                <w:sz w:val="22"/>
                <w:szCs w:val="22"/>
                <w:b w:val="1"/>
                <w:bCs w:val="1"/>
                <w:color w:val="auto"/>
              </w:rPr>
              <w:t>2,400</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2">
            <w:col w:w="1980" w:space="480"/>
            <w:col w:w="7780"/>
          </w:cols>
          <w:pgMar w:left="660" w:top="597" w:right="999"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9320" w:type="dxa"/>
            <w:vAlign w:val="bottom"/>
          </w:tcPr>
          <w:p>
            <w:pPr>
              <w:spacing w:after="0"/>
              <w:rPr>
                <w:sz w:val="20"/>
                <w:szCs w:val="20"/>
                <w:color w:val="auto"/>
              </w:rPr>
            </w:pPr>
            <w:r>
              <w:rPr>
                <w:rFonts w:ascii="Arial" w:cs="Arial" w:eastAsia="Arial" w:hAnsi="Arial"/>
                <w:sz w:val="19"/>
                <w:szCs w:val="19"/>
                <w:i w:val="1"/>
                <w:iCs w:val="1"/>
                <w:color w:val="auto"/>
              </w:rPr>
              <w:t>Note: Starting Q4 2010 EBIT &amp; EBIT-Adj. include GM Financial on an Earnings Before Tax (EBT) basis</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bl>
    <w:p>
      <w:pPr>
        <w:sectPr>
          <w:pgSz w:w="11900" w:h="16838" w:orient="portrait"/>
          <w:cols w:equalWidth="0" w:num="1">
            <w:col w:w="10240"/>
          </w:cols>
          <w:pgMar w:left="660" w:top="597" w:right="999" w:bottom="1440" w:gutter="0" w:footer="0" w:header="0"/>
          <w:type w:val="continuous"/>
        </w:sectPr>
      </w:pPr>
    </w:p>
    <w:bookmarkStart w:id="26" w:name="page27"/>
    <w:bookmarkEnd w:id="26"/>
    <w:p>
      <w:pPr>
        <w:ind w:left="10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Consolidated EBIT – Q2 2010 vs. Q2 2011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412"/>
        </w:trPr>
        <w:tc>
          <w:tcPr>
            <w:tcW w:w="2080" w:type="dxa"/>
            <w:vAlign w:val="bottom"/>
          </w:tcPr>
          <w:p>
            <w:pPr>
              <w:jc w:val="center"/>
              <w:ind w:left="225"/>
              <w:spacing w:after="0"/>
              <w:rPr>
                <w:sz w:val="20"/>
                <w:szCs w:val="20"/>
                <w:color w:val="auto"/>
              </w:rPr>
            </w:pPr>
            <w:r>
              <w:rPr>
                <w:rFonts w:ascii="Arial" w:cs="Arial" w:eastAsia="Arial" w:hAnsi="Arial"/>
                <w:sz w:val="34"/>
                <w:szCs w:val="34"/>
                <w:b w:val="1"/>
                <w:bCs w:val="1"/>
                <w:color w:val="auto"/>
                <w:w w:val="99"/>
              </w:rPr>
              <w:t>Q2 2010</w:t>
            </w:r>
          </w:p>
        </w:tc>
        <w:tc>
          <w:tcPr>
            <w:tcW w:w="6000" w:type="dxa"/>
            <w:vAlign w:val="bottom"/>
            <w:gridSpan w:val="2"/>
            <w:vMerge w:val="restart"/>
          </w:tcPr>
          <w:p>
            <w:pPr>
              <w:jc w:val="right"/>
              <w:ind w:right="1277"/>
              <w:spacing w:after="0"/>
              <w:rPr>
                <w:sz w:val="20"/>
                <w:szCs w:val="20"/>
                <w:color w:val="auto"/>
              </w:rPr>
            </w:pPr>
            <w:r>
              <w:rPr>
                <w:rFonts w:ascii="Arial" w:cs="Arial" w:eastAsia="Arial" w:hAnsi="Arial"/>
                <w:sz w:val="34"/>
                <w:szCs w:val="34"/>
                <w:b w:val="1"/>
                <w:bCs w:val="1"/>
                <w:color w:val="auto"/>
              </w:rPr>
              <w:t>$1.0B Improvement</w:t>
            </w:r>
          </w:p>
        </w:tc>
        <w:tc>
          <w:tcPr>
            <w:tcW w:w="2060" w:type="dxa"/>
            <w:vAlign w:val="bottom"/>
          </w:tcPr>
          <w:p>
            <w:pPr>
              <w:jc w:val="center"/>
              <w:ind w:right="185"/>
              <w:spacing w:after="0"/>
              <w:rPr>
                <w:sz w:val="20"/>
                <w:szCs w:val="20"/>
                <w:color w:val="auto"/>
              </w:rPr>
            </w:pPr>
            <w:r>
              <w:rPr>
                <w:rFonts w:ascii="Arial" w:cs="Arial" w:eastAsia="Arial" w:hAnsi="Arial"/>
                <w:sz w:val="34"/>
                <w:szCs w:val="34"/>
                <w:b w:val="1"/>
                <w:bCs w:val="1"/>
                <w:color w:val="auto"/>
              </w:rPr>
              <w:t>Q2 2011</w:t>
            </w:r>
          </w:p>
        </w:tc>
        <w:tc>
          <w:tcPr>
            <w:tcW w:w="0" w:type="dxa"/>
            <w:vAlign w:val="bottom"/>
          </w:tcPr>
          <w:p>
            <w:pPr>
              <w:spacing w:after="0"/>
              <w:rPr>
                <w:sz w:val="1"/>
                <w:szCs w:val="1"/>
                <w:color w:val="auto"/>
              </w:rPr>
            </w:pPr>
          </w:p>
        </w:tc>
      </w:tr>
      <w:tr>
        <w:trPr>
          <w:trHeight w:val="182"/>
        </w:trPr>
        <w:tc>
          <w:tcPr>
            <w:tcW w:w="2080" w:type="dxa"/>
            <w:vAlign w:val="bottom"/>
            <w:vMerge w:val="restart"/>
          </w:tcPr>
          <w:p>
            <w:pPr>
              <w:jc w:val="center"/>
              <w:ind w:left="245"/>
              <w:spacing w:after="0"/>
              <w:rPr>
                <w:sz w:val="20"/>
                <w:szCs w:val="20"/>
                <w:color w:val="auto"/>
              </w:rPr>
            </w:pPr>
            <w:r>
              <w:rPr>
                <w:rFonts w:ascii="Arial" w:cs="Arial" w:eastAsia="Arial" w:hAnsi="Arial"/>
                <w:sz w:val="34"/>
                <w:szCs w:val="34"/>
                <w:b w:val="1"/>
                <w:bCs w:val="1"/>
                <w:color w:val="auto"/>
                <w:w w:val="99"/>
              </w:rPr>
              <w:t>EBIT ($B)</w:t>
            </w:r>
          </w:p>
        </w:tc>
        <w:tc>
          <w:tcPr>
            <w:tcW w:w="6000" w:type="dxa"/>
            <w:vAlign w:val="bottom"/>
            <w:gridSpan w:val="2"/>
            <w:vMerge w:val="continue"/>
          </w:tcPr>
          <w:p>
            <w:pPr>
              <w:spacing w:after="0"/>
              <w:rPr>
                <w:sz w:val="15"/>
                <w:szCs w:val="15"/>
                <w:color w:val="auto"/>
              </w:rPr>
            </w:pPr>
          </w:p>
        </w:tc>
        <w:tc>
          <w:tcPr>
            <w:tcW w:w="2060" w:type="dxa"/>
            <w:vAlign w:val="bottom"/>
            <w:vMerge w:val="restart"/>
          </w:tcPr>
          <w:p>
            <w:pPr>
              <w:jc w:val="center"/>
              <w:ind w:right="185"/>
              <w:spacing w:after="0"/>
              <w:rPr>
                <w:sz w:val="20"/>
                <w:szCs w:val="20"/>
                <w:color w:val="auto"/>
              </w:rPr>
            </w:pPr>
            <w:r>
              <w:rPr>
                <w:rFonts w:ascii="Arial" w:cs="Arial" w:eastAsia="Arial" w:hAnsi="Arial"/>
                <w:sz w:val="34"/>
                <w:szCs w:val="34"/>
                <w:b w:val="1"/>
                <w:bCs w:val="1"/>
                <w:color w:val="auto"/>
                <w:w w:val="99"/>
              </w:rPr>
              <w:t>EBIT ($B)</w:t>
            </w:r>
          </w:p>
        </w:tc>
        <w:tc>
          <w:tcPr>
            <w:tcW w:w="0" w:type="dxa"/>
            <w:vAlign w:val="bottom"/>
          </w:tcPr>
          <w:p>
            <w:pPr>
              <w:spacing w:after="0"/>
              <w:rPr>
                <w:sz w:val="1"/>
                <w:szCs w:val="1"/>
                <w:color w:val="auto"/>
              </w:rPr>
            </w:pPr>
          </w:p>
        </w:tc>
      </w:tr>
      <w:tr>
        <w:trPr>
          <w:trHeight w:val="282"/>
        </w:trPr>
        <w:tc>
          <w:tcPr>
            <w:tcW w:w="2080" w:type="dxa"/>
            <w:vAlign w:val="bottom"/>
            <w:vMerge w:val="continue"/>
          </w:tcPr>
          <w:p>
            <w:pPr>
              <w:spacing w:after="0"/>
              <w:rPr>
                <w:sz w:val="24"/>
                <w:szCs w:val="24"/>
                <w:color w:val="auto"/>
              </w:rPr>
            </w:pPr>
          </w:p>
        </w:tc>
        <w:tc>
          <w:tcPr>
            <w:tcW w:w="2960" w:type="dxa"/>
            <w:vAlign w:val="bottom"/>
            <w:vMerge w:val="restart"/>
          </w:tcPr>
          <w:p>
            <w:pPr>
              <w:jc w:val="right"/>
              <w:ind w:right="205"/>
              <w:spacing w:after="0"/>
              <w:rPr>
                <w:sz w:val="20"/>
                <w:szCs w:val="20"/>
                <w:color w:val="auto"/>
              </w:rPr>
            </w:pPr>
            <w:r>
              <w:rPr>
                <w:rFonts w:ascii="Arial" w:cs="Arial" w:eastAsia="Arial" w:hAnsi="Arial"/>
                <w:sz w:val="25"/>
                <w:szCs w:val="25"/>
                <w:color w:val="auto"/>
              </w:rPr>
              <w:t>1.0</w:t>
            </w:r>
          </w:p>
        </w:tc>
        <w:tc>
          <w:tcPr>
            <w:tcW w:w="3040" w:type="dxa"/>
            <w:vAlign w:val="bottom"/>
            <w:vMerge w:val="restart"/>
          </w:tcPr>
          <w:p>
            <w:pPr>
              <w:jc w:val="right"/>
              <w:ind w:right="2077"/>
              <w:spacing w:after="0"/>
              <w:rPr>
                <w:sz w:val="20"/>
                <w:szCs w:val="20"/>
                <w:color w:val="auto"/>
              </w:rPr>
            </w:pPr>
            <w:r>
              <w:rPr>
                <w:rFonts w:ascii="Arial" w:cs="Arial" w:eastAsia="Arial" w:hAnsi="Arial"/>
                <w:sz w:val="25"/>
                <w:szCs w:val="25"/>
                <w:color w:val="auto"/>
              </w:rPr>
              <w:t>(0.4)</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304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2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40" w:type="dxa"/>
            <w:vAlign w:val="bottom"/>
          </w:tcPr>
          <w:p>
            <w:pPr>
              <w:jc w:val="right"/>
              <w:ind w:right="977"/>
              <w:spacing w:after="0"/>
              <w:rPr>
                <w:sz w:val="20"/>
                <w:szCs w:val="20"/>
                <w:color w:val="auto"/>
              </w:rPr>
            </w:pPr>
            <w:r>
              <w:rPr>
                <w:rFonts w:ascii="Arial" w:cs="Arial" w:eastAsia="Arial" w:hAnsi="Arial"/>
                <w:sz w:val="25"/>
                <w:szCs w:val="25"/>
                <w:color w:val="auto"/>
              </w:rPr>
              <w:t>(0.2)</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5"/>
                <w:szCs w:val="25"/>
                <w:color w:val="auto"/>
              </w:rPr>
              <w:t>3.0</w:t>
            </w:r>
          </w:p>
        </w:tc>
        <w:tc>
          <w:tcPr>
            <w:tcW w:w="2060" w:type="dxa"/>
            <w:vAlign w:val="bottom"/>
          </w:tcPr>
          <w:p>
            <w:pPr>
              <w:jc w:val="right"/>
              <w:spacing w:after="0"/>
              <w:rPr>
                <w:sz w:val="20"/>
                <w:szCs w:val="20"/>
                <w:color w:val="auto"/>
              </w:rPr>
            </w:pPr>
            <w:r>
              <w:rPr>
                <w:rFonts w:ascii="Arial" w:cs="Arial" w:eastAsia="Arial" w:hAnsi="Arial"/>
                <w:sz w:val="25"/>
                <w:szCs w:val="25"/>
                <w:color w:val="auto"/>
              </w:rPr>
              <w:t>3.0</w:t>
            </w:r>
          </w:p>
        </w:tc>
        <w:tc>
          <w:tcPr>
            <w:tcW w:w="0" w:type="dxa"/>
            <w:vAlign w:val="bottom"/>
          </w:tcPr>
          <w:p>
            <w:pPr>
              <w:spacing w:after="0"/>
              <w:rPr>
                <w:sz w:val="1"/>
                <w:szCs w:val="1"/>
                <w:color w:val="auto"/>
              </w:rPr>
            </w:pPr>
          </w:p>
        </w:tc>
      </w:tr>
      <w:tr>
        <w:trPr>
          <w:trHeight w:val="494"/>
        </w:trPr>
        <w:tc>
          <w:tcPr>
            <w:tcW w:w="2080" w:type="dxa"/>
            <w:vAlign w:val="bottom"/>
          </w:tcPr>
          <w:p>
            <w:pPr>
              <w:spacing w:after="0"/>
              <w:rPr>
                <w:sz w:val="24"/>
                <w:szCs w:val="24"/>
                <w:color w:val="auto"/>
              </w:rPr>
            </w:pPr>
          </w:p>
        </w:tc>
        <w:tc>
          <w:tcPr>
            <w:tcW w:w="2960" w:type="dxa"/>
            <w:vAlign w:val="bottom"/>
          </w:tcPr>
          <w:p>
            <w:pPr>
              <w:jc w:val="right"/>
              <w:ind w:right="1285"/>
              <w:spacing w:after="0"/>
              <w:rPr>
                <w:sz w:val="20"/>
                <w:szCs w:val="20"/>
                <w:color w:val="auto"/>
              </w:rPr>
            </w:pPr>
            <w:r>
              <w:rPr>
                <w:rFonts w:ascii="Arial" w:cs="Arial" w:eastAsia="Arial" w:hAnsi="Arial"/>
                <w:sz w:val="25"/>
                <w:szCs w:val="25"/>
                <w:color w:val="auto"/>
              </w:rPr>
              <w:t>0.6</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080" w:type="dxa"/>
            <w:vAlign w:val="bottom"/>
          </w:tcPr>
          <w:p>
            <w:pPr>
              <w:jc w:val="right"/>
              <w:ind w:right="1585"/>
              <w:spacing w:after="0"/>
              <w:rPr>
                <w:sz w:val="20"/>
                <w:szCs w:val="20"/>
                <w:color w:val="auto"/>
              </w:rPr>
            </w:pPr>
            <w:r>
              <w:rPr>
                <w:rFonts w:ascii="Arial" w:cs="Arial" w:eastAsia="Arial" w:hAnsi="Arial"/>
                <w:sz w:val="25"/>
                <w:szCs w:val="25"/>
                <w:color w:val="auto"/>
                <w:w w:val="91"/>
              </w:rPr>
              <w:t>2.0</w:t>
            </w:r>
          </w:p>
        </w:tc>
        <w:tc>
          <w:tcPr>
            <w:tcW w:w="2960" w:type="dxa"/>
            <w:vAlign w:val="bottom"/>
          </w:tcPr>
          <w:p>
            <w:pPr>
              <w:jc w:val="right"/>
              <w:ind w:right="2405"/>
              <w:spacing w:after="0"/>
              <w:rPr>
                <w:sz w:val="20"/>
                <w:szCs w:val="20"/>
                <w:color w:val="auto"/>
              </w:rPr>
            </w:pPr>
            <w:r>
              <w:rPr>
                <w:rFonts w:ascii="Arial" w:cs="Arial" w:eastAsia="Arial" w:hAnsi="Arial"/>
                <w:sz w:val="25"/>
                <w:szCs w:val="25"/>
                <w:color w:val="auto"/>
              </w:rPr>
              <w:t>2.0</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5"/>
                <w:szCs w:val="25"/>
                <w:color w:val="auto"/>
                <w:w w:val="97"/>
              </w:rPr>
              <w:t>0.0</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25"/>
                <w:szCs w:val="25"/>
                <w:color w:val="auto"/>
              </w:rPr>
              <w:t>0.0</w:t>
            </w:r>
          </w:p>
        </w:tc>
        <w:tc>
          <w:tcPr>
            <w:tcW w:w="600" w:type="dxa"/>
            <w:vAlign w:val="bottom"/>
          </w:tcPr>
          <w:p>
            <w:pPr>
              <w:spacing w:after="0"/>
              <w:rPr>
                <w:sz w:val="24"/>
                <w:szCs w:val="24"/>
                <w:color w:val="auto"/>
              </w:rPr>
            </w:pPr>
          </w:p>
        </w:tc>
      </w:tr>
      <w:tr>
        <w:trPr>
          <w:trHeight w:val="373"/>
        </w:trPr>
        <w:tc>
          <w:tcPr>
            <w:tcW w:w="600" w:type="dxa"/>
            <w:vAlign w:val="bottom"/>
          </w:tcPr>
          <w:p>
            <w:pPr>
              <w:spacing w:after="0"/>
              <w:rPr>
                <w:sz w:val="20"/>
                <w:szCs w:val="20"/>
                <w:color w:val="auto"/>
              </w:rPr>
            </w:pPr>
            <w:r>
              <w:rPr>
                <w:rFonts w:ascii="Arial" w:cs="Arial" w:eastAsia="Arial" w:hAnsi="Arial"/>
                <w:sz w:val="19"/>
                <w:szCs w:val="19"/>
                <w:b w:val="1"/>
                <w:bCs w:val="1"/>
                <w:color w:val="auto"/>
              </w:rPr>
              <w:t>EBIT</w:t>
            </w:r>
          </w:p>
        </w:tc>
        <w:tc>
          <w:tcPr>
            <w:tcW w:w="1320" w:type="dxa"/>
            <w:vAlign w:val="bottom"/>
          </w:tcPr>
          <w:p>
            <w:pPr>
              <w:jc w:val="center"/>
              <w:spacing w:after="0"/>
              <w:rPr>
                <w:sz w:val="20"/>
                <w:szCs w:val="20"/>
                <w:color w:val="auto"/>
              </w:rPr>
            </w:pPr>
            <w:r>
              <w:rPr>
                <w:rFonts w:ascii="Arial" w:cs="Arial" w:eastAsia="Arial" w:hAnsi="Arial"/>
                <w:sz w:val="19"/>
                <w:szCs w:val="19"/>
                <w:color w:val="auto"/>
              </w:rPr>
              <w:t>Less Special</w:t>
            </w:r>
          </w:p>
        </w:tc>
        <w:tc>
          <w:tcPr>
            <w:tcW w:w="1020" w:type="dxa"/>
            <w:vAlign w:val="bottom"/>
          </w:tcPr>
          <w:p>
            <w:pPr>
              <w:ind w:left="80"/>
              <w:spacing w:after="0"/>
              <w:rPr>
                <w:sz w:val="20"/>
                <w:szCs w:val="20"/>
                <w:color w:val="auto"/>
              </w:rPr>
            </w:pPr>
            <w:r>
              <w:rPr>
                <w:rFonts w:ascii="Arial" w:cs="Arial" w:eastAsia="Arial" w:hAnsi="Arial"/>
                <w:sz w:val="19"/>
                <w:szCs w:val="19"/>
                <w:b w:val="1"/>
                <w:bCs w:val="1"/>
                <w:color w:val="auto"/>
              </w:rPr>
              <w:t>EBIT-Adj.</w:t>
            </w:r>
          </w:p>
        </w:tc>
        <w:tc>
          <w:tcPr>
            <w:tcW w:w="1140" w:type="dxa"/>
            <w:vAlign w:val="bottom"/>
          </w:tcPr>
          <w:p>
            <w:pPr>
              <w:jc w:val="center"/>
              <w:ind w:right="66"/>
              <w:spacing w:after="0"/>
              <w:rPr>
                <w:sz w:val="20"/>
                <w:szCs w:val="20"/>
                <w:color w:val="auto"/>
              </w:rPr>
            </w:pPr>
            <w:r>
              <w:rPr>
                <w:rFonts w:ascii="Arial" w:cs="Arial" w:eastAsia="Arial" w:hAnsi="Arial"/>
                <w:sz w:val="19"/>
                <w:szCs w:val="19"/>
                <w:b w:val="1"/>
                <w:bCs w:val="1"/>
                <w:color w:val="auto"/>
                <w:w w:val="98"/>
              </w:rPr>
              <w:t>Volume /</w:t>
            </w:r>
          </w:p>
        </w:tc>
        <w:tc>
          <w:tcPr>
            <w:tcW w:w="1060" w:type="dxa"/>
            <w:vAlign w:val="bottom"/>
          </w:tcPr>
          <w:p>
            <w:pPr>
              <w:ind w:left="260"/>
              <w:spacing w:after="0"/>
              <w:rPr>
                <w:sz w:val="20"/>
                <w:szCs w:val="20"/>
                <w:color w:val="auto"/>
              </w:rPr>
            </w:pPr>
            <w:r>
              <w:rPr>
                <w:rFonts w:ascii="Arial" w:cs="Arial" w:eastAsia="Arial" w:hAnsi="Arial"/>
                <w:sz w:val="19"/>
                <w:szCs w:val="19"/>
                <w:b w:val="1"/>
                <w:bCs w:val="1"/>
                <w:color w:val="auto"/>
              </w:rPr>
              <w:t>Price</w:t>
            </w:r>
          </w:p>
        </w:tc>
        <w:tc>
          <w:tcPr>
            <w:tcW w:w="1060" w:type="dxa"/>
            <w:vAlign w:val="bottom"/>
          </w:tcPr>
          <w:p>
            <w:pPr>
              <w:ind w:left="320"/>
              <w:spacing w:after="0"/>
              <w:rPr>
                <w:sz w:val="20"/>
                <w:szCs w:val="20"/>
                <w:color w:val="auto"/>
              </w:rPr>
            </w:pPr>
            <w:r>
              <w:rPr>
                <w:rFonts w:ascii="Arial" w:cs="Arial" w:eastAsia="Arial" w:hAnsi="Arial"/>
                <w:sz w:val="19"/>
                <w:szCs w:val="19"/>
                <w:b w:val="1"/>
                <w:bCs w:val="1"/>
                <w:color w:val="auto"/>
              </w:rPr>
              <w:t>Cost</w:t>
            </w:r>
          </w:p>
        </w:tc>
        <w:tc>
          <w:tcPr>
            <w:tcW w:w="1020" w:type="dxa"/>
            <w:vAlign w:val="bottom"/>
          </w:tcPr>
          <w:p>
            <w:pPr>
              <w:ind w:left="300"/>
              <w:spacing w:after="0"/>
              <w:rPr>
                <w:sz w:val="20"/>
                <w:szCs w:val="20"/>
                <w:color w:val="auto"/>
              </w:rPr>
            </w:pPr>
            <w:r>
              <w:rPr>
                <w:rFonts w:ascii="Arial" w:cs="Arial" w:eastAsia="Arial" w:hAnsi="Arial"/>
                <w:sz w:val="19"/>
                <w:szCs w:val="19"/>
                <w:b w:val="1"/>
                <w:bCs w:val="1"/>
                <w:color w:val="auto"/>
              </w:rPr>
              <w:t>Other</w:t>
            </w:r>
          </w:p>
        </w:tc>
        <w:tc>
          <w:tcPr>
            <w:tcW w:w="1160" w:type="dxa"/>
            <w:vAlign w:val="bottom"/>
          </w:tcPr>
          <w:p>
            <w:pPr>
              <w:ind w:left="220"/>
              <w:spacing w:after="0"/>
              <w:rPr>
                <w:sz w:val="20"/>
                <w:szCs w:val="20"/>
                <w:color w:val="auto"/>
              </w:rPr>
            </w:pPr>
            <w:r>
              <w:rPr>
                <w:rFonts w:ascii="Arial" w:cs="Arial" w:eastAsia="Arial" w:hAnsi="Arial"/>
                <w:sz w:val="19"/>
                <w:szCs w:val="19"/>
                <w:b w:val="1"/>
                <w:bCs w:val="1"/>
                <w:color w:val="auto"/>
              </w:rPr>
              <w:t>EBIT-Adj.</w:t>
            </w:r>
          </w:p>
        </w:tc>
        <w:tc>
          <w:tcPr>
            <w:tcW w:w="1280" w:type="dxa"/>
            <w:vAlign w:val="bottom"/>
          </w:tcPr>
          <w:p>
            <w:pPr>
              <w:ind w:left="80"/>
              <w:spacing w:after="0"/>
              <w:rPr>
                <w:sz w:val="20"/>
                <w:szCs w:val="20"/>
                <w:color w:val="auto"/>
              </w:rPr>
            </w:pPr>
            <w:r>
              <w:rPr>
                <w:rFonts w:ascii="Arial" w:cs="Arial" w:eastAsia="Arial" w:hAnsi="Arial"/>
                <w:sz w:val="19"/>
                <w:szCs w:val="19"/>
                <w:color w:val="auto"/>
              </w:rPr>
              <w:t>Plus Special</w:t>
            </w:r>
          </w:p>
        </w:tc>
        <w:tc>
          <w:tcPr>
            <w:tcW w:w="600" w:type="dxa"/>
            <w:vAlign w:val="bottom"/>
          </w:tcPr>
          <w:p>
            <w:pPr>
              <w:jc w:val="right"/>
              <w:spacing w:after="0"/>
              <w:rPr>
                <w:sz w:val="20"/>
                <w:szCs w:val="20"/>
                <w:color w:val="auto"/>
              </w:rPr>
            </w:pPr>
            <w:r>
              <w:rPr>
                <w:rFonts w:ascii="Arial" w:cs="Arial" w:eastAsia="Arial" w:hAnsi="Arial"/>
                <w:sz w:val="19"/>
                <w:szCs w:val="19"/>
                <w:b w:val="1"/>
                <w:bCs w:val="1"/>
                <w:color w:val="auto"/>
              </w:rPr>
              <w:t>EBIT</w:t>
            </w:r>
          </w:p>
        </w:tc>
      </w:tr>
      <w:tr>
        <w:trPr>
          <w:trHeight w:val="250"/>
        </w:trPr>
        <w:tc>
          <w:tcPr>
            <w:tcW w:w="6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Items</w:t>
            </w:r>
          </w:p>
        </w:tc>
        <w:tc>
          <w:tcPr>
            <w:tcW w:w="1020" w:type="dxa"/>
            <w:vAlign w:val="bottom"/>
          </w:tcPr>
          <w:p>
            <w:pPr>
              <w:spacing w:after="0"/>
              <w:rPr>
                <w:sz w:val="21"/>
                <w:szCs w:val="21"/>
                <w:color w:val="auto"/>
              </w:rPr>
            </w:pPr>
          </w:p>
        </w:tc>
        <w:tc>
          <w:tcPr>
            <w:tcW w:w="1140" w:type="dxa"/>
            <w:vAlign w:val="bottom"/>
          </w:tcPr>
          <w:p>
            <w:pPr>
              <w:jc w:val="center"/>
              <w:ind w:right="46"/>
              <w:spacing w:after="0"/>
              <w:rPr>
                <w:sz w:val="20"/>
                <w:szCs w:val="20"/>
                <w:color w:val="auto"/>
              </w:rPr>
            </w:pPr>
            <w:r>
              <w:rPr>
                <w:rFonts w:ascii="Arial" w:cs="Arial" w:eastAsia="Arial" w:hAnsi="Arial"/>
                <w:sz w:val="19"/>
                <w:szCs w:val="19"/>
                <w:b w:val="1"/>
                <w:bCs w:val="1"/>
                <w:color w:val="auto"/>
              </w:rPr>
              <w:t>Mix</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ind w:left="380"/>
              <w:spacing w:after="0"/>
              <w:rPr>
                <w:sz w:val="20"/>
                <w:szCs w:val="20"/>
                <w:color w:val="auto"/>
              </w:rPr>
            </w:pPr>
            <w:r>
              <w:rPr>
                <w:rFonts w:ascii="Arial" w:cs="Arial" w:eastAsia="Arial" w:hAnsi="Arial"/>
                <w:sz w:val="19"/>
                <w:szCs w:val="19"/>
                <w:color w:val="auto"/>
              </w:rPr>
              <w:t>Items</w:t>
            </w:r>
          </w:p>
        </w:tc>
        <w:tc>
          <w:tcPr>
            <w:tcW w:w="600" w:type="dxa"/>
            <w:vAlign w:val="bottom"/>
          </w:tcPr>
          <w:p>
            <w:pPr>
              <w:spacing w:after="0"/>
              <w:rPr>
                <w:sz w:val="21"/>
                <w:szCs w:val="21"/>
                <w:color w:val="auto"/>
              </w:rPr>
            </w:pPr>
          </w:p>
        </w:tc>
      </w:tr>
      <w:tr>
        <w:trPr>
          <w:trHeight w:val="735"/>
        </w:trPr>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auto"/>
              </w:rPr>
              <w:t>10</w:t>
            </w:r>
          </w:p>
        </w:tc>
      </w:tr>
    </w:tbl>
    <w:p>
      <w:pPr>
        <w:sectPr>
          <w:pgSz w:w="11900" w:h="16838" w:orient="portrait"/>
          <w:cols w:equalWidth="0" w:num="1">
            <w:col w:w="10260"/>
          </w:cols>
          <w:pgMar w:left="700" w:top="597" w:right="939" w:bottom="1440" w:gutter="0" w:footer="0" w:header="0"/>
        </w:sectPr>
      </w:pPr>
    </w:p>
    <w:bookmarkStart w:id="27" w:name="page28"/>
    <w:bookmarkEnd w:id="27"/>
    <w:p>
      <w:pPr>
        <w:ind w:left="10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GMNA Deliveries</w:t>
      </w:r>
    </w:p>
    <w:p>
      <w:pPr>
        <w:spacing w:after="0" w:line="200" w:lineRule="exact"/>
        <w:rPr>
          <w:sz w:val="20"/>
          <w:szCs w:val="20"/>
          <w:color w:val="auto"/>
        </w:rPr>
      </w:pPr>
    </w:p>
    <w:p>
      <w:pPr>
        <w:spacing w:after="0" w:line="273" w:lineRule="exact"/>
        <w:rPr>
          <w:sz w:val="20"/>
          <w:szCs w:val="20"/>
          <w:color w:val="auto"/>
        </w:rPr>
      </w:pPr>
    </w:p>
    <w:p>
      <w:pPr>
        <w:ind w:left="540"/>
        <w:spacing w:after="0"/>
        <w:rPr>
          <w:sz w:val="20"/>
          <w:szCs w:val="20"/>
          <w:color w:val="auto"/>
        </w:rPr>
      </w:pPr>
      <w:r>
        <w:rPr>
          <w:rFonts w:ascii="Arial" w:cs="Arial" w:eastAsia="Arial" w:hAnsi="Arial"/>
          <w:sz w:val="32"/>
          <w:szCs w:val="32"/>
          <w:b w:val="1"/>
          <w:bCs w:val="1"/>
          <w:color w:val="auto"/>
        </w:rPr>
        <w:t>(</w:t>
      </w:r>
      <w:r>
        <w:rPr>
          <w:rFonts w:ascii="Arial" w:cs="Arial" w:eastAsia="Arial" w:hAnsi="Arial"/>
          <w:sz w:val="21"/>
          <w:szCs w:val="21"/>
          <w:b w:val="1"/>
          <w:bCs w:val="1"/>
          <w:color w:val="auto"/>
        </w:rPr>
        <w:t>000’s</w:t>
      </w:r>
      <w:r>
        <w:rPr>
          <w:rFonts w:ascii="Arial" w:cs="Arial" w:eastAsia="Arial" w:hAnsi="Arial"/>
          <w:sz w:val="32"/>
          <w:szCs w:val="32"/>
          <w:b w:val="1"/>
          <w:bCs w:val="1"/>
          <w:color w:val="auto"/>
        </w:rPr>
        <w:t>)</w:t>
      </w:r>
    </w:p>
    <w:p>
      <w:pPr>
        <w:spacing w:after="0" w:line="359" w:lineRule="exact"/>
        <w:rPr>
          <w:sz w:val="20"/>
          <w:szCs w:val="20"/>
          <w:color w:val="auto"/>
        </w:rPr>
      </w:pPr>
    </w:p>
    <w:p>
      <w:pPr>
        <w:ind w:left="780"/>
        <w:spacing w:after="0"/>
        <w:rPr>
          <w:sz w:val="20"/>
          <w:szCs w:val="20"/>
          <w:color w:val="auto"/>
        </w:rPr>
      </w:pPr>
      <w:r>
        <w:rPr>
          <w:rFonts w:ascii="Arial" w:cs="Arial" w:eastAsia="Arial" w:hAnsi="Arial"/>
          <w:sz w:val="25"/>
          <w:szCs w:val="25"/>
          <w:color w:val="auto"/>
        </w:rPr>
        <w:t>900</w:t>
      </w:r>
    </w:p>
    <w:p>
      <w:pPr>
        <w:ind w:left="8280"/>
        <w:spacing w:after="0" w:line="201" w:lineRule="auto"/>
        <w:rPr>
          <w:sz w:val="20"/>
          <w:szCs w:val="20"/>
          <w:color w:val="auto"/>
        </w:rPr>
      </w:pPr>
      <w:r>
        <w:rPr>
          <w:rFonts w:ascii="Arial" w:cs="Arial" w:eastAsia="Arial" w:hAnsi="Arial"/>
          <w:sz w:val="25"/>
          <w:szCs w:val="25"/>
          <w:b w:val="1"/>
          <w:bCs w:val="1"/>
          <w:color w:val="auto"/>
        </w:rPr>
        <w:t>784</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327"/>
        </w:trPr>
        <w:tc>
          <w:tcPr>
            <w:tcW w:w="1000" w:type="dxa"/>
            <w:vAlign w:val="bottom"/>
          </w:tcPr>
          <w:p>
            <w:pPr>
              <w:jc w:val="right"/>
              <w:ind w:right="477"/>
              <w:spacing w:after="0"/>
              <w:rPr>
                <w:sz w:val="20"/>
                <w:szCs w:val="20"/>
                <w:color w:val="auto"/>
              </w:rPr>
            </w:pPr>
            <w:r>
              <w:rPr>
                <w:rFonts w:ascii="Arial" w:cs="Arial" w:eastAsia="Arial" w:hAnsi="Arial"/>
                <w:sz w:val="25"/>
                <w:szCs w:val="25"/>
                <w:b w:val="1"/>
                <w:bCs w:val="1"/>
                <w:color w:val="auto"/>
                <w:w w:val="91"/>
              </w:rPr>
              <w:t>716</w:t>
            </w:r>
          </w:p>
        </w:tc>
        <w:tc>
          <w:tcPr>
            <w:tcW w:w="1580" w:type="dxa"/>
            <w:vAlign w:val="bottom"/>
            <w:vMerge w:val="restart"/>
          </w:tcPr>
          <w:p>
            <w:pPr>
              <w:jc w:val="right"/>
              <w:ind w:right="457"/>
              <w:spacing w:after="0"/>
              <w:rPr>
                <w:sz w:val="20"/>
                <w:szCs w:val="20"/>
                <w:color w:val="auto"/>
              </w:rPr>
            </w:pPr>
            <w:r>
              <w:rPr>
                <w:rFonts w:ascii="Arial" w:cs="Arial" w:eastAsia="Arial" w:hAnsi="Arial"/>
                <w:sz w:val="25"/>
                <w:szCs w:val="25"/>
                <w:b w:val="1"/>
                <w:bCs w:val="1"/>
                <w:color w:val="auto"/>
              </w:rPr>
              <w:t>660</w:t>
            </w:r>
          </w:p>
        </w:tc>
        <w:tc>
          <w:tcPr>
            <w:tcW w:w="1580" w:type="dxa"/>
            <w:vAlign w:val="bottom"/>
            <w:vMerge w:val="restart"/>
          </w:tcPr>
          <w:p>
            <w:pPr>
              <w:jc w:val="right"/>
              <w:ind w:right="457"/>
              <w:spacing w:after="0"/>
              <w:rPr>
                <w:sz w:val="20"/>
                <w:szCs w:val="20"/>
                <w:color w:val="auto"/>
              </w:rPr>
            </w:pPr>
            <w:r>
              <w:rPr>
                <w:rFonts w:ascii="Arial" w:cs="Arial" w:eastAsia="Arial" w:hAnsi="Arial"/>
                <w:sz w:val="25"/>
                <w:szCs w:val="25"/>
                <w:b w:val="1"/>
                <w:bCs w:val="1"/>
                <w:color w:val="auto"/>
              </w:rPr>
              <w:t>685</w:t>
            </w:r>
          </w:p>
        </w:tc>
        <w:tc>
          <w:tcPr>
            <w:tcW w:w="1020" w:type="dxa"/>
            <w:vAlign w:val="bottom"/>
            <w:vMerge w:val="restart"/>
          </w:tcPr>
          <w:p>
            <w:pPr>
              <w:jc w:val="right"/>
              <w:spacing w:after="0"/>
              <w:rPr>
                <w:sz w:val="20"/>
                <w:szCs w:val="20"/>
                <w:color w:val="auto"/>
              </w:rPr>
            </w:pPr>
            <w:r>
              <w:rPr>
                <w:rFonts w:ascii="Arial" w:cs="Arial" w:eastAsia="Arial" w:hAnsi="Arial"/>
                <w:sz w:val="25"/>
                <w:szCs w:val="25"/>
                <w:b w:val="1"/>
                <w:bCs w:val="1"/>
                <w:color w:val="auto"/>
              </w:rPr>
              <w:t>684</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Arial" w:cs="Arial" w:eastAsia="Arial" w:hAnsi="Arial"/>
          <w:sz w:val="25"/>
          <w:szCs w:val="25"/>
          <w:color w:val="auto"/>
        </w:rPr>
        <w:t>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560" w:type="dxa"/>
            <w:vAlign w:val="bottom"/>
          </w:tcPr>
          <w:p>
            <w:pPr>
              <w:jc w:val="right"/>
              <w:ind w:right="264"/>
              <w:spacing w:after="0"/>
              <w:rPr>
                <w:sz w:val="20"/>
                <w:szCs w:val="20"/>
                <w:color w:val="auto"/>
              </w:rPr>
            </w:pPr>
            <w:r>
              <w:rPr>
                <w:rFonts w:ascii="Arial" w:cs="Arial" w:eastAsia="Arial" w:hAnsi="Arial"/>
                <w:sz w:val="25"/>
                <w:szCs w:val="25"/>
                <w:color w:val="auto"/>
              </w:rPr>
              <w:t>0</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1560" w:type="dxa"/>
            <w:vAlign w:val="bottom"/>
          </w:tcPr>
          <w:p>
            <w:pPr>
              <w:spacing w:after="0"/>
              <w:rPr>
                <w:sz w:val="24"/>
                <w:szCs w:val="24"/>
                <w:color w:val="auto"/>
              </w:rPr>
            </w:pPr>
          </w:p>
        </w:tc>
        <w:tc>
          <w:tcPr>
            <w:tcW w:w="1440" w:type="dxa"/>
            <w:vAlign w:val="bottom"/>
          </w:tcPr>
          <w:p>
            <w:pPr>
              <w:jc w:val="center"/>
              <w:ind w:right="24"/>
              <w:spacing w:after="0"/>
              <w:rPr>
                <w:sz w:val="20"/>
                <w:szCs w:val="20"/>
                <w:color w:val="auto"/>
              </w:rPr>
            </w:pPr>
            <w:r>
              <w:rPr>
                <w:rFonts w:ascii="Arial" w:cs="Arial" w:eastAsia="Arial" w:hAnsi="Arial"/>
                <w:sz w:val="25"/>
                <w:szCs w:val="25"/>
                <w:b w:val="1"/>
                <w:bCs w:val="1"/>
                <w:color w:val="auto"/>
                <w:w w:val="97"/>
              </w:rPr>
              <w:t>Q2 2010</w:t>
            </w:r>
          </w:p>
        </w:tc>
        <w:tc>
          <w:tcPr>
            <w:tcW w:w="1600" w:type="dxa"/>
            <w:vAlign w:val="bottom"/>
          </w:tcPr>
          <w:p>
            <w:pPr>
              <w:jc w:val="center"/>
              <w:spacing w:after="0"/>
              <w:rPr>
                <w:sz w:val="20"/>
                <w:szCs w:val="20"/>
                <w:color w:val="auto"/>
              </w:rPr>
            </w:pPr>
            <w:r>
              <w:rPr>
                <w:rFonts w:ascii="Arial" w:cs="Arial" w:eastAsia="Arial" w:hAnsi="Arial"/>
                <w:sz w:val="25"/>
                <w:szCs w:val="25"/>
                <w:b w:val="1"/>
                <w:bCs w:val="1"/>
                <w:color w:val="auto"/>
              </w:rPr>
              <w:t>Q3 2010</w:t>
            </w:r>
          </w:p>
        </w:tc>
        <w:tc>
          <w:tcPr>
            <w:tcW w:w="1580" w:type="dxa"/>
            <w:vAlign w:val="bottom"/>
          </w:tcPr>
          <w:p>
            <w:pPr>
              <w:jc w:val="center"/>
              <w:spacing w:after="0"/>
              <w:rPr>
                <w:sz w:val="20"/>
                <w:szCs w:val="20"/>
                <w:color w:val="auto"/>
              </w:rPr>
            </w:pPr>
            <w:r>
              <w:rPr>
                <w:rFonts w:ascii="Arial" w:cs="Arial" w:eastAsia="Arial" w:hAnsi="Arial"/>
                <w:sz w:val="25"/>
                <w:szCs w:val="25"/>
                <w:b w:val="1"/>
                <w:bCs w:val="1"/>
                <w:color w:val="auto"/>
                <w:w w:val="97"/>
              </w:rPr>
              <w:t>Q4 2010</w:t>
            </w:r>
          </w:p>
        </w:tc>
        <w:tc>
          <w:tcPr>
            <w:tcW w:w="1560" w:type="dxa"/>
            <w:vAlign w:val="bottom"/>
          </w:tcPr>
          <w:p>
            <w:pPr>
              <w:jc w:val="center"/>
              <w:spacing w:after="0"/>
              <w:rPr>
                <w:sz w:val="20"/>
                <w:szCs w:val="20"/>
                <w:color w:val="auto"/>
              </w:rPr>
            </w:pPr>
            <w:r>
              <w:rPr>
                <w:rFonts w:ascii="Arial" w:cs="Arial" w:eastAsia="Arial" w:hAnsi="Arial"/>
                <w:sz w:val="25"/>
                <w:szCs w:val="25"/>
                <w:b w:val="1"/>
                <w:bCs w:val="1"/>
                <w:color w:val="auto"/>
                <w:w w:val="97"/>
              </w:rPr>
              <w:t>Q1 2011</w:t>
            </w:r>
          </w:p>
        </w:tc>
        <w:tc>
          <w:tcPr>
            <w:tcW w:w="1260" w:type="dxa"/>
            <w:vAlign w:val="bottom"/>
          </w:tcPr>
          <w:p>
            <w:pPr>
              <w:jc w:val="center"/>
              <w:ind w:left="204"/>
              <w:spacing w:after="0"/>
              <w:rPr>
                <w:sz w:val="20"/>
                <w:szCs w:val="20"/>
                <w:color w:val="auto"/>
              </w:rPr>
            </w:pPr>
            <w:r>
              <w:rPr>
                <w:rFonts w:ascii="Arial" w:cs="Arial" w:eastAsia="Arial" w:hAnsi="Arial"/>
                <w:sz w:val="25"/>
                <w:szCs w:val="25"/>
                <w:b w:val="1"/>
                <w:bCs w:val="1"/>
                <w:color w:val="auto"/>
                <w:w w:val="97"/>
              </w:rPr>
              <w:t>Q2 2011</w:t>
            </w:r>
          </w:p>
        </w:tc>
      </w:tr>
      <w:tr>
        <w:trPr>
          <w:trHeight w:val="674"/>
        </w:trPr>
        <w:tc>
          <w:tcPr>
            <w:tcW w:w="1560" w:type="dxa"/>
            <w:vAlign w:val="bottom"/>
          </w:tcPr>
          <w:p>
            <w:pPr>
              <w:spacing w:after="0"/>
              <w:rPr>
                <w:sz w:val="20"/>
                <w:szCs w:val="20"/>
                <w:color w:val="auto"/>
              </w:rPr>
            </w:pPr>
            <w:r>
              <w:rPr>
                <w:rFonts w:ascii="Arial" w:cs="Arial" w:eastAsia="Arial" w:hAnsi="Arial"/>
                <w:sz w:val="22"/>
                <w:szCs w:val="22"/>
                <w:b w:val="1"/>
                <w:bCs w:val="1"/>
                <w:color w:val="auto"/>
              </w:rPr>
              <w:t>GMNA Share</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rPr>
              <w:t>18.7%</w:t>
            </w:r>
          </w:p>
        </w:tc>
        <w:tc>
          <w:tcPr>
            <w:tcW w:w="1600" w:type="dxa"/>
            <w:vAlign w:val="bottom"/>
          </w:tcPr>
          <w:p>
            <w:pPr>
              <w:jc w:val="center"/>
              <w:spacing w:after="0"/>
              <w:rPr>
                <w:sz w:val="20"/>
                <w:szCs w:val="20"/>
                <w:color w:val="auto"/>
              </w:rPr>
            </w:pPr>
            <w:r>
              <w:rPr>
                <w:rFonts w:ascii="Arial" w:cs="Arial" w:eastAsia="Arial" w:hAnsi="Arial"/>
                <w:sz w:val="22"/>
                <w:szCs w:val="22"/>
                <w:b w:val="1"/>
                <w:bCs w:val="1"/>
                <w:color w:val="auto"/>
              </w:rPr>
              <w:t>17.7%</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18.5%</w:t>
            </w:r>
          </w:p>
        </w:tc>
        <w:tc>
          <w:tcPr>
            <w:tcW w:w="1560" w:type="dxa"/>
            <w:vAlign w:val="bottom"/>
          </w:tcPr>
          <w:p>
            <w:pPr>
              <w:jc w:val="center"/>
              <w:spacing w:after="0"/>
              <w:rPr>
                <w:sz w:val="20"/>
                <w:szCs w:val="20"/>
                <w:color w:val="auto"/>
              </w:rPr>
            </w:pPr>
            <w:r>
              <w:rPr>
                <w:rFonts w:ascii="Arial" w:cs="Arial" w:eastAsia="Arial" w:hAnsi="Arial"/>
                <w:sz w:val="22"/>
                <w:szCs w:val="22"/>
                <w:b w:val="1"/>
                <w:bCs w:val="1"/>
                <w:color w:val="auto"/>
              </w:rPr>
              <w:t>18.3%</w:t>
            </w:r>
          </w:p>
        </w:tc>
        <w:tc>
          <w:tcPr>
            <w:tcW w:w="1260" w:type="dxa"/>
            <w:vAlign w:val="bottom"/>
          </w:tcPr>
          <w:p>
            <w:pPr>
              <w:jc w:val="center"/>
              <w:ind w:left="244"/>
              <w:spacing w:after="0"/>
              <w:rPr>
                <w:sz w:val="20"/>
                <w:szCs w:val="20"/>
                <w:color w:val="auto"/>
              </w:rPr>
            </w:pPr>
            <w:r>
              <w:rPr>
                <w:rFonts w:ascii="Arial" w:cs="Arial" w:eastAsia="Arial" w:hAnsi="Arial"/>
                <w:sz w:val="22"/>
                <w:szCs w:val="22"/>
                <w:b w:val="1"/>
                <w:bCs w:val="1"/>
                <w:color w:val="auto"/>
                <w:w w:val="99"/>
              </w:rPr>
              <w:t>19.1%</w:t>
            </w:r>
          </w:p>
        </w:tc>
      </w:tr>
      <w:tr>
        <w:trPr>
          <w:trHeight w:val="529"/>
        </w:trPr>
        <w:tc>
          <w:tcPr>
            <w:tcW w:w="1560" w:type="dxa"/>
            <w:vAlign w:val="bottom"/>
          </w:tcPr>
          <w:p>
            <w:pPr>
              <w:spacing w:after="0"/>
              <w:rPr>
                <w:sz w:val="20"/>
                <w:szCs w:val="20"/>
                <w:color w:val="auto"/>
              </w:rPr>
            </w:pPr>
            <w:r>
              <w:rPr>
                <w:rFonts w:ascii="Arial" w:cs="Arial" w:eastAsia="Arial" w:hAnsi="Arial"/>
                <w:sz w:val="22"/>
                <w:szCs w:val="22"/>
                <w:color w:val="auto"/>
              </w:rPr>
              <w:t>U.S. Share</w:t>
            </w:r>
          </w:p>
        </w:tc>
        <w:tc>
          <w:tcPr>
            <w:tcW w:w="1440" w:type="dxa"/>
            <w:vAlign w:val="bottom"/>
          </w:tcPr>
          <w:p>
            <w:pPr>
              <w:jc w:val="center"/>
              <w:spacing w:after="0"/>
              <w:rPr>
                <w:sz w:val="20"/>
                <w:szCs w:val="20"/>
                <w:color w:val="auto"/>
              </w:rPr>
            </w:pPr>
            <w:r>
              <w:rPr>
                <w:rFonts w:ascii="Arial" w:cs="Arial" w:eastAsia="Arial" w:hAnsi="Arial"/>
                <w:sz w:val="22"/>
                <w:szCs w:val="22"/>
                <w:color w:val="auto"/>
              </w:rPr>
              <w:t>19.4%</w:t>
            </w:r>
          </w:p>
        </w:tc>
        <w:tc>
          <w:tcPr>
            <w:tcW w:w="1600" w:type="dxa"/>
            <w:vAlign w:val="bottom"/>
          </w:tcPr>
          <w:p>
            <w:pPr>
              <w:jc w:val="center"/>
              <w:spacing w:after="0"/>
              <w:rPr>
                <w:sz w:val="20"/>
                <w:szCs w:val="20"/>
                <w:color w:val="auto"/>
              </w:rPr>
            </w:pPr>
            <w:r>
              <w:rPr>
                <w:rFonts w:ascii="Arial" w:cs="Arial" w:eastAsia="Arial" w:hAnsi="Arial"/>
                <w:sz w:val="22"/>
                <w:szCs w:val="22"/>
                <w:color w:val="auto"/>
              </w:rPr>
              <w:t>18.3%</w:t>
            </w:r>
          </w:p>
        </w:tc>
        <w:tc>
          <w:tcPr>
            <w:tcW w:w="1580" w:type="dxa"/>
            <w:vAlign w:val="bottom"/>
          </w:tcPr>
          <w:p>
            <w:pPr>
              <w:jc w:val="center"/>
              <w:spacing w:after="0"/>
              <w:rPr>
                <w:sz w:val="20"/>
                <w:szCs w:val="20"/>
                <w:color w:val="auto"/>
              </w:rPr>
            </w:pPr>
            <w:r>
              <w:rPr>
                <w:rFonts w:ascii="Arial" w:cs="Arial" w:eastAsia="Arial" w:hAnsi="Arial"/>
                <w:sz w:val="22"/>
                <w:szCs w:val="22"/>
                <w:color w:val="auto"/>
              </w:rPr>
              <w:t>19.1%</w:t>
            </w:r>
          </w:p>
        </w:tc>
        <w:tc>
          <w:tcPr>
            <w:tcW w:w="1560" w:type="dxa"/>
            <w:vAlign w:val="bottom"/>
          </w:tcPr>
          <w:p>
            <w:pPr>
              <w:jc w:val="center"/>
              <w:spacing w:after="0"/>
              <w:rPr>
                <w:sz w:val="20"/>
                <w:szCs w:val="20"/>
                <w:color w:val="auto"/>
              </w:rPr>
            </w:pPr>
            <w:r>
              <w:rPr>
                <w:rFonts w:ascii="Arial" w:cs="Arial" w:eastAsia="Arial" w:hAnsi="Arial"/>
                <w:sz w:val="22"/>
                <w:szCs w:val="22"/>
                <w:color w:val="auto"/>
              </w:rPr>
              <w:t>19.0%</w:t>
            </w:r>
          </w:p>
        </w:tc>
        <w:tc>
          <w:tcPr>
            <w:tcW w:w="1260" w:type="dxa"/>
            <w:vAlign w:val="bottom"/>
          </w:tcPr>
          <w:p>
            <w:pPr>
              <w:jc w:val="center"/>
              <w:ind w:left="244"/>
              <w:spacing w:after="0"/>
              <w:rPr>
                <w:sz w:val="20"/>
                <w:szCs w:val="20"/>
                <w:color w:val="auto"/>
              </w:rPr>
            </w:pPr>
            <w:r>
              <w:rPr>
                <w:rFonts w:ascii="Arial" w:cs="Arial" w:eastAsia="Arial" w:hAnsi="Arial"/>
                <w:sz w:val="22"/>
                <w:szCs w:val="22"/>
                <w:color w:val="auto"/>
                <w:w w:val="99"/>
              </w:rPr>
              <w:t>20.0%</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11</w:t>
      </w:r>
    </w:p>
    <w:p>
      <w:pPr>
        <w:sectPr>
          <w:pgSz w:w="11900" w:h="16838" w:orient="portrait"/>
          <w:cols w:equalWidth="0" w:num="1">
            <w:col w:w="10280"/>
          </w:cols>
          <w:pgMar w:left="620" w:top="597" w:right="999" w:bottom="1440" w:gutter="0" w:footer="0" w:header="0"/>
        </w:sectPr>
      </w:pPr>
    </w:p>
    <w:bookmarkStart w:id="28" w:name="page29"/>
    <w:bookmarkEnd w:id="28"/>
    <w:p>
      <w:pPr>
        <w:ind w:left="13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Key GMNA Performance Indicators</w:t>
      </w:r>
    </w:p>
    <w:p>
      <w:pPr>
        <w:spacing w:after="0" w:line="323" w:lineRule="exact"/>
        <w:rPr>
          <w:sz w:val="20"/>
          <w:szCs w:val="20"/>
          <w:color w:val="auto"/>
        </w:rPr>
      </w:pPr>
    </w:p>
    <w:tbl>
      <w:tblPr>
        <w:tblLayout w:type="fixed"/>
        <w:tblInd w:w="260" w:type="dxa"/>
        <w:tblCellMar>
          <w:top w:w="0" w:type="dxa"/>
          <w:left w:w="0" w:type="dxa"/>
          <w:bottom w:w="0" w:type="dxa"/>
          <w:right w:w="0" w:type="dxa"/>
        </w:tblCellMar>
      </w:tblPr>
      <w:tr>
        <w:trPr>
          <w:trHeight w:val="306"/>
        </w:trPr>
        <w:tc>
          <w:tcPr>
            <w:tcW w:w="1200" w:type="dxa"/>
            <w:vAlign w:val="bottom"/>
          </w:tcPr>
          <w:p>
            <w:pPr>
              <w:spacing w:after="0"/>
              <w:rPr>
                <w:sz w:val="24"/>
                <w:szCs w:val="24"/>
                <w:color w:val="auto"/>
              </w:rPr>
            </w:pPr>
          </w:p>
        </w:tc>
        <w:tc>
          <w:tcPr>
            <w:tcW w:w="3660" w:type="dxa"/>
            <w:vAlign w:val="bottom"/>
          </w:tcPr>
          <w:p>
            <w:pPr>
              <w:ind w:left="580"/>
              <w:spacing w:after="0"/>
              <w:rPr>
                <w:sz w:val="20"/>
                <w:szCs w:val="20"/>
                <w:color w:val="auto"/>
              </w:rPr>
            </w:pPr>
            <w:r>
              <w:rPr>
                <w:rFonts w:ascii="Arial" w:cs="Arial" w:eastAsia="Arial" w:hAnsi="Arial"/>
                <w:sz w:val="25"/>
                <w:szCs w:val="25"/>
                <w:b w:val="1"/>
                <w:bCs w:val="1"/>
                <w:color w:val="auto"/>
              </w:rPr>
              <w:t>U.S. Total Share</w:t>
            </w:r>
          </w:p>
        </w:tc>
        <w:tc>
          <w:tcPr>
            <w:tcW w:w="4260" w:type="dxa"/>
            <w:vAlign w:val="bottom"/>
          </w:tcPr>
          <w:p>
            <w:pPr>
              <w:ind w:left="1100"/>
              <w:spacing w:after="0"/>
              <w:rPr>
                <w:sz w:val="20"/>
                <w:szCs w:val="20"/>
                <w:color w:val="auto"/>
              </w:rPr>
            </w:pPr>
            <w:r>
              <w:rPr>
                <w:rFonts w:ascii="Arial" w:cs="Arial" w:eastAsia="Arial" w:hAnsi="Arial"/>
                <w:sz w:val="25"/>
                <w:szCs w:val="25"/>
                <w:b w:val="1"/>
                <w:bCs w:val="1"/>
                <w:color w:val="auto"/>
              </w:rPr>
              <w:t>Avg. GM U.S. Retail</w:t>
            </w:r>
          </w:p>
        </w:tc>
        <w:tc>
          <w:tcPr>
            <w:tcW w:w="1480" w:type="dxa"/>
            <w:vAlign w:val="bottom"/>
            <w:vMerge w:val="restart"/>
          </w:tcPr>
          <w:p>
            <w:pPr>
              <w:ind w:left="860"/>
              <w:spacing w:after="0"/>
              <w:rPr>
                <w:sz w:val="20"/>
                <w:szCs w:val="20"/>
                <w:color w:val="auto"/>
              </w:rPr>
            </w:pPr>
            <w:r>
              <w:rPr>
                <w:rFonts w:ascii="Arial" w:cs="Arial" w:eastAsia="Arial" w:hAnsi="Arial"/>
                <w:sz w:val="22"/>
                <w:szCs w:val="22"/>
                <w:b w:val="1"/>
                <w:bCs w:val="1"/>
                <w:color w:val="auto"/>
                <w:w w:val="98"/>
              </w:rPr>
              <w:t>$/Unit</w:t>
            </w:r>
          </w:p>
        </w:tc>
        <w:tc>
          <w:tcPr>
            <w:tcW w:w="0" w:type="dxa"/>
            <w:vAlign w:val="bottom"/>
          </w:tcPr>
          <w:p>
            <w:pPr>
              <w:spacing w:after="0"/>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22"/>
                <w:szCs w:val="22"/>
                <w:b w:val="1"/>
                <w:bCs w:val="1"/>
                <w:color w:val="auto"/>
              </w:rPr>
              <w:t>Share</w:t>
            </w:r>
          </w:p>
        </w:tc>
        <w:tc>
          <w:tcPr>
            <w:tcW w:w="3660" w:type="dxa"/>
            <w:vAlign w:val="bottom"/>
          </w:tcPr>
          <w:p>
            <w:pPr>
              <w:ind w:left="580"/>
              <w:spacing w:after="0"/>
              <w:rPr>
                <w:sz w:val="20"/>
                <w:szCs w:val="20"/>
                <w:color w:val="auto"/>
              </w:rPr>
            </w:pPr>
            <w:r>
              <w:rPr>
                <w:rFonts w:ascii="Arial" w:cs="Arial" w:eastAsia="Arial" w:hAnsi="Arial"/>
                <w:sz w:val="25"/>
                <w:szCs w:val="25"/>
                <w:b w:val="1"/>
                <w:bCs w:val="1"/>
                <w:color w:val="auto"/>
              </w:rPr>
              <w:t>U.S. Retail Share</w:t>
            </w:r>
          </w:p>
        </w:tc>
        <w:tc>
          <w:tcPr>
            <w:tcW w:w="4260" w:type="dxa"/>
            <w:vAlign w:val="bottom"/>
          </w:tcPr>
          <w:p>
            <w:pPr>
              <w:ind w:left="1100"/>
              <w:spacing w:after="0"/>
              <w:rPr>
                <w:sz w:val="20"/>
                <w:szCs w:val="20"/>
                <w:color w:val="auto"/>
              </w:rPr>
            </w:pPr>
            <w:r>
              <w:rPr>
                <w:rFonts w:ascii="Arial" w:cs="Arial" w:eastAsia="Arial" w:hAnsi="Arial"/>
                <w:sz w:val="25"/>
                <w:szCs w:val="25"/>
                <w:b w:val="1"/>
                <w:bCs w:val="1"/>
                <w:color w:val="auto"/>
              </w:rPr>
              <w:t>Incentive</w:t>
            </w: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center"/>
              <w:ind w:right="411"/>
              <w:spacing w:after="0"/>
              <w:rPr>
                <w:sz w:val="20"/>
                <w:szCs w:val="20"/>
                <w:color w:val="auto"/>
              </w:rPr>
            </w:pPr>
            <w:r>
              <w:rPr>
                <w:rFonts w:ascii="Arial" w:cs="Arial" w:eastAsia="Arial" w:hAnsi="Arial"/>
                <w:sz w:val="22"/>
                <w:szCs w:val="22"/>
                <w:b w:val="1"/>
                <w:bCs w:val="1"/>
                <w:color w:val="auto"/>
              </w:rPr>
              <w:t>Jul</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center"/>
              <w:ind w:right="391"/>
              <w:spacing w:after="0" w:line="236" w:lineRule="exact"/>
              <w:rPr>
                <w:sz w:val="20"/>
                <w:szCs w:val="20"/>
                <w:color w:val="auto"/>
              </w:rPr>
            </w:pPr>
            <w:r>
              <w:rPr>
                <w:rFonts w:ascii="Arial" w:cs="Arial" w:eastAsia="Arial" w:hAnsi="Arial"/>
                <w:sz w:val="22"/>
                <w:szCs w:val="22"/>
                <w:b w:val="1"/>
                <w:bCs w:val="1"/>
                <w:color w:val="auto"/>
              </w:rPr>
              <w:t>2011</w:t>
            </w:r>
          </w:p>
        </w:tc>
        <w:tc>
          <w:tcPr>
            <w:tcW w:w="0" w:type="dxa"/>
            <w:vAlign w:val="bottom"/>
          </w:tcPr>
          <w:p>
            <w:pPr>
              <w:spacing w:after="0"/>
              <w:rPr>
                <w:sz w:val="1"/>
                <w:szCs w:val="1"/>
                <w:color w:val="auto"/>
              </w:rPr>
            </w:pPr>
          </w:p>
        </w:tc>
      </w:tr>
      <w:tr>
        <w:trPr>
          <w:trHeight w:val="296"/>
        </w:trPr>
        <w:tc>
          <w:tcPr>
            <w:tcW w:w="4500" w:type="dxa"/>
            <w:vAlign w:val="bottom"/>
            <w:gridSpan w:val="6"/>
            <w:vMerge w:val="restart"/>
          </w:tcPr>
          <w:p>
            <w:pPr>
              <w:spacing w:after="0"/>
              <w:rPr>
                <w:sz w:val="20"/>
                <w:szCs w:val="20"/>
                <w:color w:val="auto"/>
              </w:rPr>
            </w:pPr>
            <w:r>
              <w:rPr>
                <w:rFonts w:ascii="Arial" w:cs="Arial" w:eastAsia="Arial" w:hAnsi="Arial"/>
                <w:sz w:val="22"/>
                <w:szCs w:val="22"/>
                <w:b w:val="1"/>
                <w:bCs w:val="1"/>
                <w:color w:val="auto"/>
              </w:rPr>
              <w:t>Avg. U.S. Retail Incentive as % of ATP</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center"/>
              <w:ind w:right="391"/>
              <w:spacing w:after="0"/>
              <w:rPr>
                <w:sz w:val="20"/>
                <w:szCs w:val="20"/>
                <w:color w:val="auto"/>
              </w:rPr>
            </w:pPr>
            <w:r>
              <w:rPr>
                <w:rFonts w:ascii="Arial" w:cs="Arial" w:eastAsia="Arial" w:hAnsi="Arial"/>
                <w:sz w:val="22"/>
                <w:szCs w:val="22"/>
                <w:b w:val="1"/>
                <w:bCs w:val="1"/>
                <w:color w:val="auto"/>
              </w:rPr>
              <w:t>est.</w:t>
            </w:r>
          </w:p>
        </w:tc>
        <w:tc>
          <w:tcPr>
            <w:tcW w:w="0" w:type="dxa"/>
            <w:vAlign w:val="bottom"/>
          </w:tcPr>
          <w:p>
            <w:pPr>
              <w:spacing w:after="0"/>
              <w:rPr>
                <w:sz w:val="1"/>
                <w:szCs w:val="1"/>
                <w:color w:val="auto"/>
              </w:rPr>
            </w:pPr>
          </w:p>
        </w:tc>
      </w:tr>
      <w:tr>
        <w:trPr>
          <w:trHeight w:val="118"/>
        </w:trPr>
        <w:tc>
          <w:tcPr>
            <w:tcW w:w="4500" w:type="dxa"/>
            <w:vAlign w:val="bottom"/>
            <w:gridSpan w:val="6"/>
            <w:vMerge w:val="continue"/>
          </w:tcPr>
          <w:p>
            <w:pPr>
              <w:spacing w:after="0"/>
              <w:rPr>
                <w:sz w:val="10"/>
                <w:szCs w:val="10"/>
                <w:color w:val="auto"/>
              </w:rPr>
            </w:pPr>
          </w:p>
        </w:tc>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7"/>
        </w:trPr>
        <w:tc>
          <w:tcPr>
            <w:tcW w:w="1140" w:type="dxa"/>
            <w:vAlign w:val="bottom"/>
          </w:tcPr>
          <w:p>
            <w:pPr>
              <w:jc w:val="center"/>
              <w:ind w:right="6"/>
              <w:spacing w:after="0"/>
              <w:rPr>
                <w:sz w:val="20"/>
                <w:szCs w:val="20"/>
                <w:color w:val="auto"/>
              </w:rPr>
            </w:pPr>
            <w:r>
              <w:rPr>
                <w:rFonts w:ascii="Arial" w:cs="Arial" w:eastAsia="Arial" w:hAnsi="Arial"/>
                <w:sz w:val="19"/>
                <w:szCs w:val="19"/>
                <w:b w:val="1"/>
                <w:bCs w:val="1"/>
                <w:color w:val="auto"/>
                <w:w w:val="98"/>
              </w:rPr>
              <w:t>GM %</w:t>
            </w:r>
          </w:p>
        </w:tc>
        <w:tc>
          <w:tcPr>
            <w:tcW w:w="1120" w:type="dxa"/>
            <w:vAlign w:val="bottom"/>
          </w:tcPr>
          <w:p>
            <w:pPr>
              <w:jc w:val="right"/>
              <w:spacing w:after="0"/>
              <w:rPr>
                <w:sz w:val="20"/>
                <w:szCs w:val="20"/>
                <w:color w:val="auto"/>
              </w:rPr>
            </w:pPr>
            <w:r>
              <w:rPr>
                <w:rFonts w:ascii="Arial" w:cs="Arial" w:eastAsia="Arial" w:hAnsi="Arial"/>
                <w:sz w:val="22"/>
                <w:szCs w:val="22"/>
                <w:color w:val="auto"/>
              </w:rPr>
              <w:t>9.9  11.2</w:t>
            </w:r>
          </w:p>
        </w:tc>
        <w:tc>
          <w:tcPr>
            <w:tcW w:w="560" w:type="dxa"/>
            <w:vAlign w:val="bottom"/>
          </w:tcPr>
          <w:p>
            <w:pPr>
              <w:jc w:val="right"/>
              <w:spacing w:after="0"/>
              <w:rPr>
                <w:sz w:val="20"/>
                <w:szCs w:val="20"/>
                <w:color w:val="auto"/>
              </w:rPr>
            </w:pPr>
            <w:r>
              <w:rPr>
                <w:rFonts w:ascii="Arial" w:cs="Arial" w:eastAsia="Arial" w:hAnsi="Arial"/>
                <w:sz w:val="22"/>
                <w:szCs w:val="22"/>
                <w:color w:val="auto"/>
              </w:rPr>
              <w:t>11.7</w:t>
            </w:r>
          </w:p>
        </w:tc>
        <w:tc>
          <w:tcPr>
            <w:tcW w:w="560" w:type="dxa"/>
            <w:vAlign w:val="bottom"/>
          </w:tcPr>
          <w:p>
            <w:pPr>
              <w:jc w:val="right"/>
              <w:spacing w:after="0"/>
              <w:rPr>
                <w:sz w:val="20"/>
                <w:szCs w:val="20"/>
                <w:color w:val="auto"/>
              </w:rPr>
            </w:pPr>
            <w:r>
              <w:rPr>
                <w:rFonts w:ascii="Arial" w:cs="Arial" w:eastAsia="Arial" w:hAnsi="Arial"/>
                <w:sz w:val="22"/>
                <w:szCs w:val="22"/>
                <w:color w:val="auto"/>
              </w:rPr>
              <w:t>12.6</w:t>
            </w:r>
          </w:p>
        </w:tc>
        <w:tc>
          <w:tcPr>
            <w:tcW w:w="560" w:type="dxa"/>
            <w:vAlign w:val="bottom"/>
          </w:tcPr>
          <w:p>
            <w:pPr>
              <w:jc w:val="right"/>
              <w:spacing w:after="0"/>
              <w:rPr>
                <w:sz w:val="20"/>
                <w:szCs w:val="20"/>
                <w:color w:val="auto"/>
              </w:rPr>
            </w:pPr>
            <w:r>
              <w:rPr>
                <w:rFonts w:ascii="Arial" w:cs="Arial" w:eastAsia="Arial" w:hAnsi="Arial"/>
                <w:sz w:val="22"/>
                <w:szCs w:val="22"/>
                <w:color w:val="auto"/>
              </w:rPr>
              <w:t>10.7</w:t>
            </w:r>
          </w:p>
        </w:tc>
        <w:tc>
          <w:tcPr>
            <w:tcW w:w="560" w:type="dxa"/>
            <w:vAlign w:val="bottom"/>
          </w:tcPr>
          <w:p>
            <w:pPr>
              <w:jc w:val="right"/>
              <w:ind w:right="28"/>
              <w:spacing w:after="0"/>
              <w:rPr>
                <w:sz w:val="20"/>
                <w:szCs w:val="20"/>
                <w:color w:val="auto"/>
              </w:rPr>
            </w:pPr>
            <w:r>
              <w:rPr>
                <w:rFonts w:ascii="Arial" w:cs="Arial" w:eastAsia="Arial" w:hAnsi="Arial"/>
                <w:sz w:val="22"/>
                <w:szCs w:val="22"/>
                <w:color w:val="auto"/>
              </w:rPr>
              <w:t>9.6</w:t>
            </w:r>
          </w:p>
        </w:tc>
        <w:tc>
          <w:tcPr>
            <w:tcW w:w="1120" w:type="dxa"/>
            <w:vAlign w:val="bottom"/>
          </w:tcPr>
          <w:p>
            <w:pPr>
              <w:jc w:val="right"/>
              <w:ind w:right="28"/>
              <w:spacing w:after="0"/>
              <w:rPr>
                <w:sz w:val="20"/>
                <w:szCs w:val="20"/>
                <w:color w:val="auto"/>
              </w:rPr>
            </w:pPr>
            <w:r>
              <w:rPr>
                <w:rFonts w:ascii="Arial" w:cs="Arial" w:eastAsia="Arial" w:hAnsi="Arial"/>
                <w:sz w:val="22"/>
                <w:szCs w:val="22"/>
                <w:color w:val="auto"/>
              </w:rPr>
              <w:t>9.6  9.4</w:t>
            </w:r>
          </w:p>
        </w:tc>
        <w:tc>
          <w:tcPr>
            <w:tcW w:w="560" w:type="dxa"/>
            <w:vAlign w:val="bottom"/>
          </w:tcPr>
          <w:p>
            <w:pPr>
              <w:jc w:val="right"/>
              <w:spacing w:after="0"/>
              <w:rPr>
                <w:sz w:val="20"/>
                <w:szCs w:val="20"/>
                <w:color w:val="auto"/>
              </w:rPr>
            </w:pPr>
            <w:r>
              <w:rPr>
                <w:rFonts w:ascii="Arial" w:cs="Arial" w:eastAsia="Arial" w:hAnsi="Arial"/>
                <w:sz w:val="22"/>
                <w:szCs w:val="22"/>
                <w:color w:val="auto"/>
              </w:rPr>
              <w:t>10.4</w:t>
            </w:r>
          </w:p>
        </w:tc>
        <w:tc>
          <w:tcPr>
            <w:tcW w:w="560" w:type="dxa"/>
            <w:vAlign w:val="bottom"/>
          </w:tcPr>
          <w:p>
            <w:pPr>
              <w:jc w:val="right"/>
              <w:spacing w:after="0"/>
              <w:rPr>
                <w:sz w:val="20"/>
                <w:szCs w:val="20"/>
                <w:color w:val="auto"/>
              </w:rPr>
            </w:pPr>
            <w:r>
              <w:rPr>
                <w:rFonts w:ascii="Arial" w:cs="Arial" w:eastAsia="Arial" w:hAnsi="Arial"/>
                <w:sz w:val="22"/>
                <w:szCs w:val="22"/>
                <w:color w:val="auto"/>
              </w:rPr>
              <w:t>12.6</w:t>
            </w:r>
          </w:p>
        </w:tc>
        <w:tc>
          <w:tcPr>
            <w:tcW w:w="560" w:type="dxa"/>
            <w:vAlign w:val="bottom"/>
          </w:tcPr>
          <w:p>
            <w:pPr>
              <w:jc w:val="right"/>
              <w:spacing w:after="0"/>
              <w:rPr>
                <w:sz w:val="20"/>
                <w:szCs w:val="20"/>
                <w:color w:val="auto"/>
              </w:rPr>
            </w:pPr>
            <w:r>
              <w:rPr>
                <w:rFonts w:ascii="Arial" w:cs="Arial" w:eastAsia="Arial" w:hAnsi="Arial"/>
                <w:sz w:val="22"/>
                <w:szCs w:val="22"/>
                <w:color w:val="auto"/>
              </w:rPr>
              <w:t>13.2</w:t>
            </w:r>
          </w:p>
        </w:tc>
        <w:tc>
          <w:tcPr>
            <w:tcW w:w="560" w:type="dxa"/>
            <w:vAlign w:val="bottom"/>
          </w:tcPr>
          <w:p>
            <w:pPr>
              <w:jc w:val="right"/>
              <w:ind w:right="28"/>
              <w:spacing w:after="0"/>
              <w:rPr>
                <w:sz w:val="20"/>
                <w:szCs w:val="20"/>
                <w:color w:val="auto"/>
              </w:rPr>
            </w:pPr>
            <w:r>
              <w:rPr>
                <w:rFonts w:ascii="Arial" w:cs="Arial" w:eastAsia="Arial" w:hAnsi="Arial"/>
                <w:sz w:val="22"/>
                <w:szCs w:val="22"/>
                <w:color w:val="auto"/>
              </w:rPr>
              <w:t>9.8</w:t>
            </w:r>
          </w:p>
        </w:tc>
        <w:tc>
          <w:tcPr>
            <w:tcW w:w="1160" w:type="dxa"/>
            <w:vAlign w:val="bottom"/>
          </w:tcPr>
          <w:p>
            <w:pPr>
              <w:jc w:val="right"/>
              <w:ind w:right="68"/>
              <w:spacing w:after="0"/>
              <w:rPr>
                <w:sz w:val="20"/>
                <w:szCs w:val="20"/>
                <w:color w:val="auto"/>
              </w:rPr>
            </w:pPr>
            <w:r>
              <w:rPr>
                <w:rFonts w:ascii="Arial" w:cs="Arial" w:eastAsia="Arial" w:hAnsi="Arial"/>
                <w:sz w:val="22"/>
                <w:szCs w:val="22"/>
                <w:color w:val="auto"/>
              </w:rPr>
              <w:t>8.9  9.1</w:t>
            </w:r>
          </w:p>
        </w:tc>
        <w:tc>
          <w:tcPr>
            <w:tcW w:w="520" w:type="dxa"/>
            <w:vAlign w:val="bottom"/>
          </w:tcPr>
          <w:p>
            <w:pPr>
              <w:jc w:val="right"/>
              <w:ind w:right="28"/>
              <w:spacing w:after="0"/>
              <w:rPr>
                <w:sz w:val="20"/>
                <w:szCs w:val="20"/>
                <w:color w:val="auto"/>
              </w:rPr>
            </w:pPr>
            <w:r>
              <w:rPr>
                <w:rFonts w:ascii="Arial" w:cs="Arial" w:eastAsia="Arial" w:hAnsi="Arial"/>
                <w:sz w:val="22"/>
                <w:szCs w:val="22"/>
                <w:color w:val="auto"/>
              </w:rPr>
              <w:t>8.9</w:t>
            </w:r>
          </w:p>
        </w:tc>
        <w:tc>
          <w:tcPr>
            <w:tcW w:w="1080" w:type="dxa"/>
            <w:vAlign w:val="bottom"/>
          </w:tcPr>
          <w:p>
            <w:pPr>
              <w:jc w:val="center"/>
              <w:ind w:right="431"/>
              <w:spacing w:after="0"/>
              <w:rPr>
                <w:sz w:val="20"/>
                <w:szCs w:val="20"/>
                <w:color w:val="auto"/>
              </w:rPr>
            </w:pPr>
            <w:r>
              <w:rPr>
                <w:rFonts w:ascii="Arial" w:cs="Arial" w:eastAsia="Arial" w:hAnsi="Arial"/>
                <w:sz w:val="22"/>
                <w:szCs w:val="22"/>
                <w:color w:val="auto"/>
                <w:w w:val="97"/>
              </w:rPr>
              <w:t>9.5</w:t>
            </w:r>
          </w:p>
        </w:tc>
        <w:tc>
          <w:tcPr>
            <w:tcW w:w="0" w:type="dxa"/>
            <w:vAlign w:val="bottom"/>
          </w:tcPr>
          <w:p>
            <w:pPr>
              <w:spacing w:after="0"/>
              <w:rPr>
                <w:sz w:val="1"/>
                <w:szCs w:val="1"/>
                <w:color w:val="auto"/>
              </w:rPr>
            </w:pPr>
          </w:p>
        </w:tc>
      </w:tr>
      <w:tr>
        <w:trPr>
          <w:trHeight w:val="428"/>
        </w:trPr>
        <w:tc>
          <w:tcPr>
            <w:tcW w:w="1140" w:type="dxa"/>
            <w:vAlign w:val="bottom"/>
          </w:tcPr>
          <w:p>
            <w:pPr>
              <w:jc w:val="center"/>
              <w:spacing w:after="0"/>
              <w:rPr>
                <w:sz w:val="20"/>
                <w:szCs w:val="20"/>
                <w:color w:val="auto"/>
              </w:rPr>
            </w:pPr>
            <w:r>
              <w:rPr>
                <w:rFonts w:ascii="Arial" w:cs="Arial" w:eastAsia="Arial" w:hAnsi="Arial"/>
                <w:sz w:val="19"/>
                <w:szCs w:val="19"/>
                <w:b w:val="1"/>
                <w:bCs w:val="1"/>
                <w:color w:val="auto"/>
              </w:rPr>
              <w:t>GM vs. Ind.</w:t>
            </w:r>
          </w:p>
        </w:tc>
        <w:tc>
          <w:tcPr>
            <w:tcW w:w="1120" w:type="dxa"/>
            <w:vAlign w:val="bottom"/>
          </w:tcPr>
          <w:p>
            <w:pPr>
              <w:jc w:val="right"/>
              <w:spacing w:after="0"/>
              <w:rPr>
                <w:sz w:val="20"/>
                <w:szCs w:val="20"/>
                <w:color w:val="auto"/>
              </w:rPr>
            </w:pPr>
            <w:r>
              <w:rPr>
                <w:rFonts w:ascii="Arial" w:cs="Arial" w:eastAsia="Arial" w:hAnsi="Arial"/>
                <w:sz w:val="22"/>
                <w:szCs w:val="22"/>
                <w:color w:val="auto"/>
              </w:rPr>
              <w:t>0.95 1.03</w:t>
            </w:r>
          </w:p>
        </w:tc>
        <w:tc>
          <w:tcPr>
            <w:tcW w:w="560" w:type="dxa"/>
            <w:vAlign w:val="bottom"/>
          </w:tcPr>
          <w:p>
            <w:pPr>
              <w:jc w:val="right"/>
              <w:spacing w:after="0"/>
              <w:rPr>
                <w:sz w:val="20"/>
                <w:szCs w:val="20"/>
                <w:color w:val="auto"/>
              </w:rPr>
            </w:pPr>
            <w:r>
              <w:rPr>
                <w:rFonts w:ascii="Arial" w:cs="Arial" w:eastAsia="Arial" w:hAnsi="Arial"/>
                <w:sz w:val="22"/>
                <w:szCs w:val="22"/>
                <w:color w:val="auto"/>
              </w:rPr>
              <w:t>1.10</w:t>
            </w:r>
          </w:p>
        </w:tc>
        <w:tc>
          <w:tcPr>
            <w:tcW w:w="560" w:type="dxa"/>
            <w:vAlign w:val="bottom"/>
          </w:tcPr>
          <w:p>
            <w:pPr>
              <w:jc w:val="right"/>
              <w:spacing w:after="0"/>
              <w:rPr>
                <w:sz w:val="20"/>
                <w:szCs w:val="20"/>
                <w:color w:val="auto"/>
              </w:rPr>
            </w:pPr>
            <w:r>
              <w:rPr>
                <w:rFonts w:ascii="Arial" w:cs="Arial" w:eastAsia="Arial" w:hAnsi="Arial"/>
                <w:sz w:val="22"/>
                <w:szCs w:val="22"/>
                <w:color w:val="auto"/>
              </w:rPr>
              <w:t>1.12</w:t>
            </w:r>
          </w:p>
        </w:tc>
        <w:tc>
          <w:tcPr>
            <w:tcW w:w="560" w:type="dxa"/>
            <w:vAlign w:val="bottom"/>
          </w:tcPr>
          <w:p>
            <w:pPr>
              <w:jc w:val="right"/>
              <w:spacing w:after="0"/>
              <w:rPr>
                <w:sz w:val="20"/>
                <w:szCs w:val="20"/>
                <w:color w:val="auto"/>
              </w:rPr>
            </w:pPr>
            <w:r>
              <w:rPr>
                <w:rFonts w:ascii="Arial" w:cs="Arial" w:eastAsia="Arial" w:hAnsi="Arial"/>
                <w:sz w:val="22"/>
                <w:szCs w:val="22"/>
                <w:color w:val="auto"/>
              </w:rPr>
              <w:t>1.01</w:t>
            </w:r>
          </w:p>
        </w:tc>
        <w:tc>
          <w:tcPr>
            <w:tcW w:w="560" w:type="dxa"/>
            <w:vAlign w:val="bottom"/>
          </w:tcPr>
          <w:p>
            <w:pPr>
              <w:jc w:val="right"/>
              <w:spacing w:after="0"/>
              <w:rPr>
                <w:sz w:val="20"/>
                <w:szCs w:val="20"/>
                <w:color w:val="auto"/>
              </w:rPr>
            </w:pPr>
            <w:r>
              <w:rPr>
                <w:rFonts w:ascii="Arial" w:cs="Arial" w:eastAsia="Arial" w:hAnsi="Arial"/>
                <w:sz w:val="22"/>
                <w:szCs w:val="22"/>
                <w:color w:val="auto"/>
              </w:rPr>
              <w:t>0.95</w:t>
            </w:r>
          </w:p>
        </w:tc>
        <w:tc>
          <w:tcPr>
            <w:tcW w:w="1120" w:type="dxa"/>
            <w:vAlign w:val="bottom"/>
          </w:tcPr>
          <w:p>
            <w:pPr>
              <w:jc w:val="right"/>
              <w:spacing w:after="0"/>
              <w:rPr>
                <w:sz w:val="20"/>
                <w:szCs w:val="20"/>
                <w:color w:val="auto"/>
              </w:rPr>
            </w:pPr>
            <w:r>
              <w:rPr>
                <w:rFonts w:ascii="Arial" w:cs="Arial" w:eastAsia="Arial" w:hAnsi="Arial"/>
                <w:sz w:val="22"/>
                <w:szCs w:val="22"/>
                <w:color w:val="auto"/>
              </w:rPr>
              <w:t>1.02 0.97</w:t>
            </w:r>
          </w:p>
        </w:tc>
        <w:tc>
          <w:tcPr>
            <w:tcW w:w="560" w:type="dxa"/>
            <w:vAlign w:val="bottom"/>
          </w:tcPr>
          <w:p>
            <w:pPr>
              <w:jc w:val="right"/>
              <w:spacing w:after="0"/>
              <w:rPr>
                <w:sz w:val="20"/>
                <w:szCs w:val="20"/>
                <w:color w:val="auto"/>
              </w:rPr>
            </w:pPr>
            <w:r>
              <w:rPr>
                <w:rFonts w:ascii="Arial" w:cs="Arial" w:eastAsia="Arial" w:hAnsi="Arial"/>
                <w:sz w:val="22"/>
                <w:szCs w:val="22"/>
                <w:color w:val="auto"/>
              </w:rPr>
              <w:t>1.00</w:t>
            </w:r>
          </w:p>
        </w:tc>
        <w:tc>
          <w:tcPr>
            <w:tcW w:w="560" w:type="dxa"/>
            <w:vAlign w:val="bottom"/>
          </w:tcPr>
          <w:p>
            <w:pPr>
              <w:jc w:val="right"/>
              <w:spacing w:after="0"/>
              <w:rPr>
                <w:sz w:val="20"/>
                <w:szCs w:val="20"/>
                <w:color w:val="auto"/>
              </w:rPr>
            </w:pPr>
            <w:r>
              <w:rPr>
                <w:rFonts w:ascii="Arial" w:cs="Arial" w:eastAsia="Arial" w:hAnsi="Arial"/>
                <w:sz w:val="22"/>
                <w:szCs w:val="22"/>
                <w:color w:val="auto"/>
              </w:rPr>
              <w:t>1.26</w:t>
            </w:r>
          </w:p>
        </w:tc>
        <w:tc>
          <w:tcPr>
            <w:tcW w:w="560" w:type="dxa"/>
            <w:vAlign w:val="bottom"/>
          </w:tcPr>
          <w:p>
            <w:pPr>
              <w:jc w:val="right"/>
              <w:spacing w:after="0"/>
              <w:rPr>
                <w:sz w:val="20"/>
                <w:szCs w:val="20"/>
                <w:color w:val="auto"/>
              </w:rPr>
            </w:pPr>
            <w:r>
              <w:rPr>
                <w:rFonts w:ascii="Arial" w:cs="Arial" w:eastAsia="Arial" w:hAnsi="Arial"/>
                <w:sz w:val="22"/>
                <w:szCs w:val="22"/>
                <w:color w:val="auto"/>
              </w:rPr>
              <w:t>1.23</w:t>
            </w:r>
          </w:p>
        </w:tc>
        <w:tc>
          <w:tcPr>
            <w:tcW w:w="560" w:type="dxa"/>
            <w:vAlign w:val="bottom"/>
          </w:tcPr>
          <w:p>
            <w:pPr>
              <w:jc w:val="right"/>
              <w:spacing w:after="0"/>
              <w:rPr>
                <w:sz w:val="20"/>
                <w:szCs w:val="20"/>
                <w:color w:val="auto"/>
              </w:rPr>
            </w:pPr>
            <w:r>
              <w:rPr>
                <w:rFonts w:ascii="Arial" w:cs="Arial" w:eastAsia="Arial" w:hAnsi="Arial"/>
                <w:sz w:val="22"/>
                <w:szCs w:val="22"/>
                <w:color w:val="auto"/>
              </w:rPr>
              <w:t>0.96</w:t>
            </w:r>
          </w:p>
        </w:tc>
        <w:tc>
          <w:tcPr>
            <w:tcW w:w="1160" w:type="dxa"/>
            <w:vAlign w:val="bottom"/>
          </w:tcPr>
          <w:p>
            <w:pPr>
              <w:jc w:val="right"/>
              <w:spacing w:after="0"/>
              <w:rPr>
                <w:sz w:val="20"/>
                <w:szCs w:val="20"/>
                <w:color w:val="auto"/>
              </w:rPr>
            </w:pPr>
            <w:r>
              <w:rPr>
                <w:rFonts w:ascii="Arial" w:cs="Arial" w:eastAsia="Arial" w:hAnsi="Arial"/>
                <w:sz w:val="22"/>
                <w:szCs w:val="22"/>
                <w:color w:val="auto"/>
              </w:rPr>
              <w:t>1.00 1.10</w:t>
            </w:r>
          </w:p>
        </w:tc>
        <w:tc>
          <w:tcPr>
            <w:tcW w:w="520" w:type="dxa"/>
            <w:vAlign w:val="bottom"/>
          </w:tcPr>
          <w:p>
            <w:pPr>
              <w:jc w:val="right"/>
              <w:spacing w:after="0"/>
              <w:rPr>
                <w:sz w:val="20"/>
                <w:szCs w:val="20"/>
                <w:color w:val="auto"/>
              </w:rPr>
            </w:pPr>
            <w:r>
              <w:rPr>
                <w:rFonts w:ascii="Arial" w:cs="Arial" w:eastAsia="Arial" w:hAnsi="Arial"/>
                <w:sz w:val="22"/>
                <w:szCs w:val="22"/>
                <w:color w:val="auto"/>
              </w:rPr>
              <w:t>1.01</w:t>
            </w:r>
          </w:p>
        </w:tc>
        <w:tc>
          <w:tcPr>
            <w:tcW w:w="1080" w:type="dxa"/>
            <w:vAlign w:val="bottom"/>
          </w:tcPr>
          <w:p>
            <w:pPr>
              <w:jc w:val="center"/>
              <w:ind w:right="411"/>
              <w:spacing w:after="0"/>
              <w:rPr>
                <w:sz w:val="20"/>
                <w:szCs w:val="20"/>
                <w:color w:val="auto"/>
              </w:rPr>
            </w:pPr>
            <w:r>
              <w:rPr>
                <w:rFonts w:ascii="Arial" w:cs="Arial" w:eastAsia="Arial" w:hAnsi="Arial"/>
                <w:sz w:val="22"/>
                <w:szCs w:val="22"/>
                <w:color w:val="auto"/>
              </w:rPr>
              <w:t>0.98</w:t>
            </w:r>
          </w:p>
        </w:tc>
        <w:tc>
          <w:tcPr>
            <w:tcW w:w="0" w:type="dxa"/>
            <w:vAlign w:val="bottom"/>
          </w:tcPr>
          <w:p>
            <w:pPr>
              <w:spacing w:after="0"/>
              <w:rPr>
                <w:sz w:val="1"/>
                <w:szCs w:val="1"/>
                <w:color w:val="auto"/>
              </w:rPr>
            </w:pPr>
          </w:p>
        </w:tc>
      </w:tr>
      <w:tr>
        <w:trPr>
          <w:trHeight w:val="184"/>
        </w:trPr>
        <w:tc>
          <w:tcPr>
            <w:tcW w:w="1140" w:type="dxa"/>
            <w:vAlign w:val="bottom"/>
          </w:tcPr>
          <w:p>
            <w:pPr>
              <w:jc w:val="center"/>
              <w:spacing w:after="0"/>
              <w:rPr>
                <w:sz w:val="20"/>
                <w:szCs w:val="20"/>
                <w:color w:val="auto"/>
              </w:rPr>
            </w:pPr>
            <w:r>
              <w:rPr>
                <w:rFonts w:ascii="Arial" w:cs="Arial" w:eastAsia="Arial" w:hAnsi="Arial"/>
                <w:sz w:val="15"/>
                <w:szCs w:val="15"/>
                <w:color w:val="auto"/>
              </w:rPr>
              <w:t>(GM % / Ind. %)</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5"/>
        </w:trPr>
        <w:tc>
          <w:tcPr>
            <w:tcW w:w="9020" w:type="dxa"/>
            <w:vAlign w:val="bottom"/>
            <w:gridSpan w:val="12"/>
          </w:tcPr>
          <w:p>
            <w:pPr>
              <w:ind w:left="220"/>
              <w:spacing w:after="0"/>
              <w:rPr>
                <w:sz w:val="20"/>
                <w:szCs w:val="20"/>
                <w:color w:val="auto"/>
              </w:rPr>
            </w:pPr>
            <w:r>
              <w:rPr>
                <w:rFonts w:ascii="Arial" w:cs="Arial" w:eastAsia="Arial" w:hAnsi="Arial"/>
                <w:sz w:val="19"/>
                <w:szCs w:val="19"/>
                <w:i w:val="1"/>
                <w:iCs w:val="1"/>
                <w:color w:val="auto"/>
                <w:w w:val="99"/>
              </w:rPr>
              <w:t>Note: Incentive &amp; ATP Information Based on J.D. Power and Associates Power Information Network data</w:t>
            </w: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0" w:type="dxa"/>
            <w:vAlign w:val="bottom"/>
          </w:tcPr>
          <w:p>
            <w:pPr>
              <w:spacing w:after="0"/>
              <w:rPr>
                <w:sz w:val="1"/>
                <w:szCs w:val="1"/>
                <w:color w:val="auto"/>
              </w:rPr>
            </w:pPr>
          </w:p>
        </w:tc>
      </w:tr>
    </w:tbl>
    <w:p>
      <w:pPr>
        <w:sectPr>
          <w:pgSz w:w="11900" w:h="16838" w:orient="portrait"/>
          <w:cols w:equalWidth="0" w:num="1">
            <w:col w:w="10860"/>
          </w:cols>
          <w:pgMar w:left="480" w:top="597" w:right="559" w:bottom="1440" w:gutter="0" w:footer="0" w:header="0"/>
        </w:sectPr>
      </w:pPr>
    </w:p>
    <w:bookmarkStart w:id="29" w:name="page30"/>
    <w:bookmarkEnd w:id="29"/>
    <w:p>
      <w:pPr>
        <w:ind w:left="84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GMNA Earnings Before Interest &amp; Taxes</w:t>
      </w:r>
    </w:p>
    <w:p>
      <w:pPr>
        <w:sectPr>
          <w:pgSz w:w="11900" w:h="16838" w:orient="portrait"/>
          <w:cols w:equalWidth="0" w:num="1">
            <w:col w:w="10100"/>
          </w:cols>
          <w:pgMar w:left="800" w:top="597" w:right="999" w:bottom="1440" w:gutter="0" w:footer="0" w:header="0"/>
        </w:sect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5"/>
          <w:szCs w:val="25"/>
          <w:b w:val="1"/>
          <w:bCs w:val="1"/>
          <w:color w:val="auto"/>
        </w:rPr>
        <w:t>($B)</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320" w:type="dxa"/>
            <w:vAlign w:val="bottom"/>
            <w:vMerge w:val="restart"/>
          </w:tcPr>
          <w:p>
            <w:pPr>
              <w:jc w:val="center"/>
              <w:ind w:left="502"/>
              <w:spacing w:after="0"/>
              <w:rPr>
                <w:sz w:val="20"/>
                <w:szCs w:val="20"/>
                <w:color w:val="auto"/>
              </w:rPr>
            </w:pPr>
            <w:r>
              <w:rPr>
                <w:rFonts w:ascii="Arial" w:cs="Arial" w:eastAsia="Arial" w:hAnsi="Arial"/>
                <w:sz w:val="25"/>
                <w:szCs w:val="25"/>
                <w:color w:val="auto"/>
                <w:w w:val="97"/>
              </w:rPr>
              <w:t>3.0</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jc w:val="right"/>
              <w:ind w:right="126"/>
              <w:spacing w:after="0"/>
              <w:rPr>
                <w:sz w:val="20"/>
                <w:szCs w:val="20"/>
                <w:color w:val="auto"/>
              </w:rPr>
            </w:pPr>
            <w:r>
              <w:rPr>
                <w:rFonts w:ascii="Arial" w:cs="Arial" w:eastAsia="Arial" w:hAnsi="Arial"/>
                <w:sz w:val="25"/>
                <w:szCs w:val="25"/>
                <w:b w:val="1"/>
                <w:bCs w:val="1"/>
                <w:color w:val="auto"/>
              </w:rPr>
              <w:t>2.9</w:t>
            </w:r>
          </w:p>
        </w:tc>
        <w:tc>
          <w:tcPr>
            <w:tcW w:w="0" w:type="dxa"/>
            <w:vAlign w:val="bottom"/>
          </w:tcPr>
          <w:p>
            <w:pPr>
              <w:spacing w:after="0"/>
              <w:rPr>
                <w:sz w:val="1"/>
                <w:szCs w:val="1"/>
                <w:color w:val="auto"/>
              </w:rPr>
            </w:pPr>
          </w:p>
        </w:tc>
      </w:tr>
      <w:tr>
        <w:trPr>
          <w:trHeight w:val="74"/>
        </w:trPr>
        <w:tc>
          <w:tcPr>
            <w:tcW w:w="23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7"/>
        </w:trPr>
        <w:tc>
          <w:tcPr>
            <w:tcW w:w="2320" w:type="dxa"/>
            <w:vAlign w:val="bottom"/>
            <w:vMerge w:val="restart"/>
          </w:tcPr>
          <w:p>
            <w:pPr>
              <w:jc w:val="center"/>
              <w:ind w:left="502"/>
              <w:spacing w:after="0"/>
              <w:rPr>
                <w:sz w:val="20"/>
                <w:szCs w:val="20"/>
                <w:color w:val="auto"/>
              </w:rPr>
            </w:pPr>
            <w:r>
              <w:rPr>
                <w:rFonts w:ascii="Arial" w:cs="Arial" w:eastAsia="Arial" w:hAnsi="Arial"/>
                <w:sz w:val="25"/>
                <w:szCs w:val="25"/>
                <w:color w:val="auto"/>
                <w:w w:val="97"/>
              </w:rPr>
              <w:t>2.0</w:t>
            </w:r>
          </w:p>
        </w:tc>
        <w:tc>
          <w:tcPr>
            <w:tcW w:w="1160" w:type="dxa"/>
            <w:vAlign w:val="bottom"/>
          </w:tcPr>
          <w:p>
            <w:pPr>
              <w:spacing w:after="0"/>
              <w:rPr>
                <w:sz w:val="24"/>
                <w:szCs w:val="24"/>
                <w:color w:val="auto"/>
              </w:rPr>
            </w:pPr>
          </w:p>
        </w:tc>
        <w:tc>
          <w:tcPr>
            <w:tcW w:w="1540" w:type="dxa"/>
            <w:vAlign w:val="bottom"/>
          </w:tcPr>
          <w:p>
            <w:pPr>
              <w:ind w:left="620"/>
              <w:spacing w:after="0"/>
              <w:rPr>
                <w:sz w:val="20"/>
                <w:szCs w:val="20"/>
                <w:color w:val="auto"/>
              </w:rPr>
            </w:pPr>
            <w:r>
              <w:rPr>
                <w:rFonts w:ascii="Arial" w:cs="Arial" w:eastAsia="Arial" w:hAnsi="Arial"/>
                <w:sz w:val="25"/>
                <w:szCs w:val="25"/>
                <w:b w:val="1"/>
                <w:bCs w:val="1"/>
                <w:color w:val="auto"/>
              </w:rPr>
              <w:t>2.1</w:t>
            </w: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vMerge w:val="continue"/>
          </w:tcPr>
          <w:p>
            <w:pPr>
              <w:spacing w:after="0"/>
              <w:rPr>
                <w:sz w:val="23"/>
                <w:szCs w:val="23"/>
                <w:color w:val="auto"/>
              </w:rPr>
            </w:pPr>
          </w:p>
        </w:tc>
        <w:tc>
          <w:tcPr>
            <w:tcW w:w="1160" w:type="dxa"/>
            <w:vAlign w:val="bottom"/>
            <w:vMerge w:val="restart"/>
          </w:tcPr>
          <w:p>
            <w:pPr>
              <w:jc w:val="right"/>
              <w:ind w:right="463"/>
              <w:spacing w:after="0"/>
              <w:rPr>
                <w:sz w:val="20"/>
                <w:szCs w:val="20"/>
                <w:color w:val="auto"/>
              </w:rPr>
            </w:pPr>
            <w:r>
              <w:rPr>
                <w:rFonts w:ascii="Arial" w:cs="Arial" w:eastAsia="Arial" w:hAnsi="Arial"/>
                <w:sz w:val="25"/>
                <w:szCs w:val="25"/>
                <w:b w:val="1"/>
                <w:bCs w:val="1"/>
                <w:color w:val="auto"/>
              </w:rPr>
              <w:t>1.6</w:t>
            </w:r>
          </w:p>
        </w:tc>
        <w:tc>
          <w:tcPr>
            <w:tcW w:w="1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1"/>
        </w:trPr>
        <w:tc>
          <w:tcPr>
            <w:tcW w:w="2320" w:type="dxa"/>
            <w:vAlign w:val="bottom"/>
            <w:vMerge w:val="restart"/>
          </w:tcPr>
          <w:p>
            <w:pPr>
              <w:jc w:val="center"/>
              <w:ind w:left="502"/>
              <w:spacing w:after="0"/>
              <w:rPr>
                <w:sz w:val="20"/>
                <w:szCs w:val="20"/>
                <w:color w:val="auto"/>
              </w:rPr>
            </w:pPr>
            <w:r>
              <w:rPr>
                <w:rFonts w:ascii="Arial" w:cs="Arial" w:eastAsia="Arial" w:hAnsi="Arial"/>
                <w:sz w:val="25"/>
                <w:szCs w:val="25"/>
                <w:color w:val="auto"/>
                <w:w w:val="97"/>
              </w:rPr>
              <w:t>1.0</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vMerge w:val="restart"/>
          </w:tcPr>
          <w:p>
            <w:pPr>
              <w:ind w:left="620"/>
              <w:spacing w:after="0"/>
              <w:rPr>
                <w:sz w:val="20"/>
                <w:szCs w:val="20"/>
                <w:color w:val="auto"/>
              </w:rPr>
            </w:pPr>
            <w:r>
              <w:rPr>
                <w:rFonts w:ascii="Arial" w:cs="Arial" w:eastAsia="Arial" w:hAnsi="Arial"/>
                <w:sz w:val="25"/>
                <w:szCs w:val="25"/>
                <w:b w:val="1"/>
                <w:bCs w:val="1"/>
                <w:color w:val="auto"/>
              </w:rPr>
              <w:t>0.8</w:t>
            </w:r>
          </w:p>
        </w:tc>
        <w:tc>
          <w:tcPr>
            <w:tcW w:w="1220" w:type="dxa"/>
            <w:vAlign w:val="bottom"/>
          </w:tcPr>
          <w:p>
            <w:pPr>
              <w:jc w:val="right"/>
              <w:ind w:right="106"/>
              <w:spacing w:after="0"/>
              <w:rPr>
                <w:sz w:val="20"/>
                <w:szCs w:val="20"/>
                <w:color w:val="auto"/>
              </w:rPr>
            </w:pPr>
            <w:r>
              <w:rPr>
                <w:rFonts w:ascii="Arial" w:cs="Arial" w:eastAsia="Arial" w:hAnsi="Arial"/>
                <w:sz w:val="25"/>
                <w:szCs w:val="25"/>
                <w:b w:val="1"/>
                <w:bCs w:val="1"/>
                <w:color w:val="FFFFFF"/>
              </w:rPr>
              <w:t>1.3</w:t>
            </w:r>
          </w:p>
        </w:tc>
        <w:tc>
          <w:tcPr>
            <w:tcW w:w="0" w:type="dxa"/>
            <w:vAlign w:val="bottom"/>
          </w:tcPr>
          <w:p>
            <w:pPr>
              <w:spacing w:after="0"/>
              <w:rPr>
                <w:sz w:val="1"/>
                <w:szCs w:val="1"/>
                <w:color w:val="auto"/>
              </w:rPr>
            </w:pPr>
          </w:p>
        </w:tc>
      </w:tr>
      <w:tr>
        <w:trPr>
          <w:trHeight w:val="162"/>
        </w:trPr>
        <w:tc>
          <w:tcPr>
            <w:tcW w:w="23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EBIT-Adj.</w:t>
            </w:r>
          </w:p>
        </w:tc>
        <w:tc>
          <w:tcPr>
            <w:tcW w:w="0" w:type="dxa"/>
            <w:vAlign w:val="bottom"/>
          </w:tcPr>
          <w:p>
            <w:pPr>
              <w:spacing w:after="0"/>
              <w:rPr>
                <w:sz w:val="1"/>
                <w:szCs w:val="1"/>
                <w:color w:val="auto"/>
              </w:rPr>
            </w:pPr>
          </w:p>
        </w:tc>
      </w:tr>
      <w:tr>
        <w:trPr>
          <w:trHeight w:val="72"/>
        </w:trPr>
        <w:tc>
          <w:tcPr>
            <w:tcW w:w="2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3"/>
        </w:trPr>
        <w:tc>
          <w:tcPr>
            <w:tcW w:w="2320" w:type="dxa"/>
            <w:vAlign w:val="bottom"/>
          </w:tcPr>
          <w:p>
            <w:pPr>
              <w:jc w:val="center"/>
              <w:ind w:left="502"/>
              <w:spacing w:after="0"/>
              <w:rPr>
                <w:sz w:val="20"/>
                <w:szCs w:val="20"/>
                <w:color w:val="auto"/>
              </w:rPr>
            </w:pPr>
            <w:r>
              <w:rPr>
                <w:rFonts w:ascii="Arial" w:cs="Arial" w:eastAsia="Arial" w:hAnsi="Arial"/>
                <w:sz w:val="25"/>
                <w:szCs w:val="25"/>
                <w:color w:val="auto"/>
                <w:w w:val="97"/>
              </w:rPr>
              <w:t>0.0</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7"/>
        </w:trPr>
        <w:tc>
          <w:tcPr>
            <w:tcW w:w="2320" w:type="dxa"/>
            <w:vAlign w:val="bottom"/>
          </w:tcPr>
          <w:p>
            <w:pPr>
              <w:jc w:val="center"/>
              <w:ind w:left="442"/>
              <w:spacing w:after="0"/>
              <w:rPr>
                <w:sz w:val="20"/>
                <w:szCs w:val="20"/>
                <w:color w:val="auto"/>
              </w:rPr>
            </w:pPr>
            <w:r>
              <w:rPr>
                <w:rFonts w:ascii="Arial" w:cs="Arial" w:eastAsia="Arial" w:hAnsi="Arial"/>
                <w:sz w:val="25"/>
                <w:szCs w:val="25"/>
                <w:color w:val="auto"/>
              </w:rPr>
              <w:t>(1.0)</w:t>
            </w:r>
          </w:p>
        </w:tc>
        <w:tc>
          <w:tcPr>
            <w:tcW w:w="1160" w:type="dxa"/>
            <w:vAlign w:val="bottom"/>
            <w:vMerge w:val="restart"/>
          </w:tcPr>
          <w:p>
            <w:pPr>
              <w:jc w:val="center"/>
              <w:ind w:right="303"/>
              <w:spacing w:after="0"/>
              <w:rPr>
                <w:sz w:val="20"/>
                <w:szCs w:val="20"/>
                <w:color w:val="auto"/>
              </w:rPr>
            </w:pPr>
            <w:r>
              <w:rPr>
                <w:rFonts w:ascii="Arial" w:cs="Arial" w:eastAsia="Arial" w:hAnsi="Arial"/>
                <w:sz w:val="25"/>
                <w:szCs w:val="25"/>
                <w:b w:val="1"/>
                <w:bCs w:val="1"/>
                <w:color w:val="auto"/>
              </w:rPr>
              <w:t>Q2</w:t>
            </w:r>
          </w:p>
        </w:tc>
        <w:tc>
          <w:tcPr>
            <w:tcW w:w="1540" w:type="dxa"/>
            <w:vAlign w:val="bottom"/>
            <w:vMerge w:val="restart"/>
          </w:tcPr>
          <w:p>
            <w:pPr>
              <w:ind w:left="580"/>
              <w:spacing w:after="0"/>
              <w:rPr>
                <w:sz w:val="20"/>
                <w:szCs w:val="20"/>
                <w:color w:val="auto"/>
              </w:rPr>
            </w:pPr>
            <w:r>
              <w:rPr>
                <w:rFonts w:ascii="Arial" w:cs="Arial" w:eastAsia="Arial" w:hAnsi="Arial"/>
                <w:sz w:val="25"/>
                <w:szCs w:val="25"/>
                <w:b w:val="1"/>
                <w:bCs w:val="1"/>
                <w:color w:val="auto"/>
              </w:rPr>
              <w:t>Q3</w:t>
            </w:r>
          </w:p>
        </w:tc>
        <w:tc>
          <w:tcPr>
            <w:tcW w:w="1540" w:type="dxa"/>
            <w:vAlign w:val="bottom"/>
            <w:vMerge w:val="restart"/>
          </w:tcPr>
          <w:p>
            <w:pPr>
              <w:jc w:val="right"/>
              <w:ind w:right="523"/>
              <w:spacing w:after="0"/>
              <w:rPr>
                <w:sz w:val="20"/>
                <w:szCs w:val="20"/>
                <w:color w:val="auto"/>
              </w:rPr>
            </w:pPr>
            <w:r>
              <w:rPr>
                <w:rFonts w:ascii="Arial" w:cs="Arial" w:eastAsia="Arial" w:hAnsi="Arial"/>
                <w:sz w:val="25"/>
                <w:szCs w:val="25"/>
                <w:b w:val="1"/>
                <w:bCs w:val="1"/>
                <w:color w:val="auto"/>
              </w:rPr>
              <w:t>Q4</w:t>
            </w:r>
          </w:p>
        </w:tc>
        <w:tc>
          <w:tcPr>
            <w:tcW w:w="1220" w:type="dxa"/>
            <w:vAlign w:val="bottom"/>
            <w:vMerge w:val="restart"/>
          </w:tcPr>
          <w:p>
            <w:pPr>
              <w:jc w:val="right"/>
              <w:ind w:right="206"/>
              <w:spacing w:after="0"/>
              <w:rPr>
                <w:sz w:val="20"/>
                <w:szCs w:val="20"/>
                <w:color w:val="auto"/>
              </w:rPr>
            </w:pPr>
            <w:r>
              <w:rPr>
                <w:rFonts w:ascii="Arial" w:cs="Arial" w:eastAsia="Arial" w:hAnsi="Arial"/>
                <w:sz w:val="25"/>
                <w:szCs w:val="25"/>
                <w:b w:val="1"/>
                <w:bCs w:val="1"/>
                <w:color w:val="auto"/>
              </w:rPr>
              <w:t>Q1</w:t>
            </w:r>
          </w:p>
        </w:tc>
        <w:tc>
          <w:tcPr>
            <w:tcW w:w="0" w:type="dxa"/>
            <w:vAlign w:val="bottom"/>
          </w:tcPr>
          <w:p>
            <w:pPr>
              <w:spacing w:after="0"/>
              <w:rPr>
                <w:sz w:val="1"/>
                <w:szCs w:val="1"/>
                <w:color w:val="auto"/>
              </w:rPr>
            </w:pPr>
          </w:p>
        </w:tc>
      </w:tr>
      <w:tr>
        <w:trPr>
          <w:trHeight w:val="272"/>
        </w:trPr>
        <w:tc>
          <w:tcPr>
            <w:tcW w:w="232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1540" w:type="dxa"/>
            <w:vAlign w:val="bottom"/>
            <w:vMerge w:val="continue"/>
          </w:tcPr>
          <w:p>
            <w:pPr>
              <w:spacing w:after="0"/>
              <w:rPr>
                <w:sz w:val="23"/>
                <w:szCs w:val="23"/>
                <w:color w:val="auto"/>
              </w:rPr>
            </w:pPr>
          </w:p>
        </w:tc>
        <w:tc>
          <w:tcPr>
            <w:tcW w:w="154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27"/>
        </w:trPr>
        <w:tc>
          <w:tcPr>
            <w:tcW w:w="2320" w:type="dxa"/>
            <w:vAlign w:val="bottom"/>
          </w:tcPr>
          <w:p>
            <w:pPr>
              <w:spacing w:after="0"/>
              <w:rPr>
                <w:sz w:val="24"/>
                <w:szCs w:val="24"/>
                <w:color w:val="auto"/>
              </w:rPr>
            </w:pPr>
          </w:p>
        </w:tc>
        <w:tc>
          <w:tcPr>
            <w:tcW w:w="1160" w:type="dxa"/>
            <w:vAlign w:val="bottom"/>
          </w:tcPr>
          <w:p>
            <w:pPr>
              <w:jc w:val="right"/>
              <w:ind w:right="403"/>
              <w:spacing w:after="0"/>
              <w:rPr>
                <w:sz w:val="20"/>
                <w:szCs w:val="20"/>
                <w:color w:val="auto"/>
              </w:rPr>
            </w:pPr>
            <w:r>
              <w:rPr>
                <w:rFonts w:ascii="Arial" w:cs="Arial" w:eastAsia="Arial" w:hAnsi="Arial"/>
                <w:sz w:val="25"/>
                <w:szCs w:val="25"/>
                <w:b w:val="1"/>
                <w:bCs w:val="1"/>
                <w:color w:val="auto"/>
              </w:rPr>
              <w:t>2010</w:t>
            </w:r>
          </w:p>
        </w:tc>
        <w:tc>
          <w:tcPr>
            <w:tcW w:w="1540" w:type="dxa"/>
            <w:vAlign w:val="bottom"/>
          </w:tcPr>
          <w:p>
            <w:pPr>
              <w:jc w:val="right"/>
              <w:ind w:right="403"/>
              <w:spacing w:after="0"/>
              <w:rPr>
                <w:sz w:val="20"/>
                <w:szCs w:val="20"/>
                <w:color w:val="auto"/>
              </w:rPr>
            </w:pPr>
            <w:r>
              <w:rPr>
                <w:rFonts w:ascii="Arial" w:cs="Arial" w:eastAsia="Arial" w:hAnsi="Arial"/>
                <w:sz w:val="25"/>
                <w:szCs w:val="25"/>
                <w:b w:val="1"/>
                <w:bCs w:val="1"/>
                <w:color w:val="auto"/>
              </w:rPr>
              <w:t>2010</w:t>
            </w:r>
          </w:p>
        </w:tc>
        <w:tc>
          <w:tcPr>
            <w:tcW w:w="1540" w:type="dxa"/>
            <w:vAlign w:val="bottom"/>
          </w:tcPr>
          <w:p>
            <w:pPr>
              <w:jc w:val="right"/>
              <w:ind w:right="423"/>
              <w:spacing w:after="0"/>
              <w:rPr>
                <w:sz w:val="20"/>
                <w:szCs w:val="20"/>
                <w:color w:val="auto"/>
              </w:rPr>
            </w:pPr>
            <w:r>
              <w:rPr>
                <w:rFonts w:ascii="Arial" w:cs="Arial" w:eastAsia="Arial" w:hAnsi="Arial"/>
                <w:sz w:val="25"/>
                <w:szCs w:val="25"/>
                <w:b w:val="1"/>
                <w:bCs w:val="1"/>
                <w:color w:val="auto"/>
              </w:rPr>
              <w:t>2010</w:t>
            </w:r>
          </w:p>
        </w:tc>
        <w:tc>
          <w:tcPr>
            <w:tcW w:w="1220" w:type="dxa"/>
            <w:vAlign w:val="bottom"/>
          </w:tcPr>
          <w:p>
            <w:pPr>
              <w:jc w:val="right"/>
              <w:ind w:right="86"/>
              <w:spacing w:after="0"/>
              <w:rPr>
                <w:sz w:val="20"/>
                <w:szCs w:val="20"/>
                <w:color w:val="auto"/>
              </w:rPr>
            </w:pPr>
            <w:r>
              <w:rPr>
                <w:rFonts w:ascii="Arial" w:cs="Arial" w:eastAsia="Arial" w:hAnsi="Arial"/>
                <w:sz w:val="25"/>
                <w:szCs w:val="25"/>
                <w:b w:val="1"/>
                <w:bCs w:val="1"/>
                <w:color w:val="auto"/>
              </w:rPr>
              <w:t>2011</w:t>
            </w:r>
          </w:p>
        </w:tc>
        <w:tc>
          <w:tcPr>
            <w:tcW w:w="0" w:type="dxa"/>
            <w:vAlign w:val="bottom"/>
          </w:tcPr>
          <w:p>
            <w:pPr>
              <w:spacing w:after="0"/>
              <w:rPr>
                <w:sz w:val="1"/>
                <w:szCs w:val="1"/>
                <w:color w:val="auto"/>
              </w:rPr>
            </w:pPr>
          </w:p>
        </w:tc>
      </w:tr>
      <w:tr>
        <w:trPr>
          <w:trHeight w:val="545"/>
        </w:trPr>
        <w:tc>
          <w:tcPr>
            <w:tcW w:w="2320" w:type="dxa"/>
            <w:vAlign w:val="bottom"/>
          </w:tcPr>
          <w:p>
            <w:pPr>
              <w:spacing w:after="0"/>
              <w:rPr>
                <w:sz w:val="20"/>
                <w:szCs w:val="20"/>
                <w:color w:val="auto"/>
              </w:rPr>
            </w:pPr>
            <w:r>
              <w:rPr>
                <w:rFonts w:ascii="Arial" w:cs="Arial" w:eastAsia="Arial" w:hAnsi="Arial"/>
                <w:sz w:val="22"/>
                <w:szCs w:val="22"/>
                <w:b w:val="1"/>
                <w:bCs w:val="1"/>
                <w:color w:val="auto"/>
              </w:rPr>
              <w:t>Revenue ($B)</w:t>
            </w:r>
          </w:p>
        </w:tc>
        <w:tc>
          <w:tcPr>
            <w:tcW w:w="1160" w:type="dxa"/>
            <w:vAlign w:val="bottom"/>
          </w:tcPr>
          <w:p>
            <w:pPr>
              <w:jc w:val="center"/>
              <w:ind w:right="203"/>
              <w:spacing w:after="0"/>
              <w:rPr>
                <w:sz w:val="20"/>
                <w:szCs w:val="20"/>
                <w:color w:val="auto"/>
              </w:rPr>
            </w:pPr>
            <w:r>
              <w:rPr>
                <w:rFonts w:ascii="Arial" w:cs="Arial" w:eastAsia="Arial" w:hAnsi="Arial"/>
                <w:sz w:val="22"/>
                <w:szCs w:val="22"/>
                <w:b w:val="1"/>
                <w:bCs w:val="1"/>
                <w:color w:val="auto"/>
              </w:rPr>
              <w:t>20.3</w:t>
            </w:r>
          </w:p>
        </w:tc>
        <w:tc>
          <w:tcPr>
            <w:tcW w:w="1540" w:type="dxa"/>
            <w:vAlign w:val="bottom"/>
          </w:tcPr>
          <w:p>
            <w:pPr>
              <w:jc w:val="center"/>
              <w:ind w:left="23"/>
              <w:spacing w:after="0"/>
              <w:rPr>
                <w:sz w:val="20"/>
                <w:szCs w:val="20"/>
                <w:color w:val="auto"/>
              </w:rPr>
            </w:pPr>
            <w:r>
              <w:rPr>
                <w:rFonts w:ascii="Arial" w:cs="Arial" w:eastAsia="Arial" w:hAnsi="Arial"/>
                <w:sz w:val="22"/>
                <w:szCs w:val="22"/>
                <w:b w:val="1"/>
                <w:bCs w:val="1"/>
                <w:color w:val="auto"/>
              </w:rPr>
              <w:t>21.5</w:t>
            </w:r>
          </w:p>
        </w:tc>
        <w:tc>
          <w:tcPr>
            <w:tcW w:w="1540" w:type="dxa"/>
            <w:vAlign w:val="bottom"/>
          </w:tcPr>
          <w:p>
            <w:pPr>
              <w:ind w:left="620"/>
              <w:spacing w:after="0"/>
              <w:rPr>
                <w:sz w:val="20"/>
                <w:szCs w:val="20"/>
                <w:color w:val="auto"/>
              </w:rPr>
            </w:pPr>
            <w:r>
              <w:rPr>
                <w:rFonts w:ascii="Arial" w:cs="Arial" w:eastAsia="Arial" w:hAnsi="Arial"/>
                <w:sz w:val="22"/>
                <w:szCs w:val="22"/>
                <w:b w:val="1"/>
                <w:bCs w:val="1"/>
                <w:color w:val="auto"/>
              </w:rPr>
              <w:t>22.0</w:t>
            </w:r>
          </w:p>
        </w:tc>
        <w:tc>
          <w:tcPr>
            <w:tcW w:w="1220" w:type="dxa"/>
            <w:vAlign w:val="bottom"/>
          </w:tcPr>
          <w:p>
            <w:pPr>
              <w:jc w:val="right"/>
              <w:ind w:right="86"/>
              <w:spacing w:after="0"/>
              <w:rPr>
                <w:sz w:val="20"/>
                <w:szCs w:val="20"/>
                <w:color w:val="auto"/>
              </w:rPr>
            </w:pPr>
            <w:r>
              <w:rPr>
                <w:rFonts w:ascii="Arial" w:cs="Arial" w:eastAsia="Arial" w:hAnsi="Arial"/>
                <w:sz w:val="22"/>
                <w:szCs w:val="22"/>
                <w:b w:val="1"/>
                <w:bCs w:val="1"/>
                <w:color w:val="auto"/>
              </w:rPr>
              <w:t>22.1</w:t>
            </w:r>
          </w:p>
        </w:tc>
        <w:tc>
          <w:tcPr>
            <w:tcW w:w="0" w:type="dxa"/>
            <w:vAlign w:val="bottom"/>
          </w:tcPr>
          <w:p>
            <w:pPr>
              <w:spacing w:after="0"/>
              <w:rPr>
                <w:sz w:val="1"/>
                <w:szCs w:val="1"/>
                <w:color w:val="auto"/>
              </w:rPr>
            </w:pPr>
          </w:p>
        </w:tc>
      </w:tr>
      <w:tr>
        <w:trPr>
          <w:trHeight w:val="376"/>
        </w:trPr>
        <w:tc>
          <w:tcPr>
            <w:tcW w:w="2320" w:type="dxa"/>
            <w:vAlign w:val="bottom"/>
          </w:tcPr>
          <w:p>
            <w:pPr>
              <w:spacing w:after="0"/>
              <w:rPr>
                <w:sz w:val="20"/>
                <w:szCs w:val="20"/>
                <w:color w:val="auto"/>
              </w:rPr>
            </w:pPr>
            <w:r>
              <w:rPr>
                <w:rFonts w:ascii="Arial" w:cs="Arial" w:eastAsia="Arial" w:hAnsi="Arial"/>
                <w:sz w:val="22"/>
                <w:szCs w:val="22"/>
                <w:color w:val="auto"/>
              </w:rPr>
              <w:t>EBIT-Adj % Rev</w:t>
            </w:r>
          </w:p>
        </w:tc>
        <w:tc>
          <w:tcPr>
            <w:tcW w:w="1160" w:type="dxa"/>
            <w:vAlign w:val="bottom"/>
          </w:tcPr>
          <w:p>
            <w:pPr>
              <w:jc w:val="center"/>
              <w:ind w:right="183"/>
              <w:spacing w:after="0"/>
              <w:rPr>
                <w:sz w:val="20"/>
                <w:szCs w:val="20"/>
                <w:color w:val="auto"/>
              </w:rPr>
            </w:pPr>
            <w:r>
              <w:rPr>
                <w:rFonts w:ascii="Arial" w:cs="Arial" w:eastAsia="Arial" w:hAnsi="Arial"/>
                <w:sz w:val="22"/>
                <w:szCs w:val="22"/>
                <w:color w:val="auto"/>
                <w:w w:val="99"/>
              </w:rPr>
              <w:t>7.9%</w:t>
            </w:r>
          </w:p>
        </w:tc>
        <w:tc>
          <w:tcPr>
            <w:tcW w:w="1540" w:type="dxa"/>
            <w:vAlign w:val="bottom"/>
          </w:tcPr>
          <w:p>
            <w:pPr>
              <w:jc w:val="center"/>
              <w:ind w:left="23"/>
              <w:spacing w:after="0"/>
              <w:rPr>
                <w:sz w:val="20"/>
                <w:szCs w:val="20"/>
                <w:color w:val="auto"/>
              </w:rPr>
            </w:pPr>
            <w:r>
              <w:rPr>
                <w:rFonts w:ascii="Arial" w:cs="Arial" w:eastAsia="Arial" w:hAnsi="Arial"/>
                <w:sz w:val="22"/>
                <w:szCs w:val="22"/>
                <w:color w:val="auto"/>
              </w:rPr>
              <w:t>9.9%</w:t>
            </w:r>
          </w:p>
        </w:tc>
        <w:tc>
          <w:tcPr>
            <w:tcW w:w="1540" w:type="dxa"/>
            <w:vAlign w:val="bottom"/>
          </w:tcPr>
          <w:p>
            <w:pPr>
              <w:jc w:val="right"/>
              <w:ind w:right="323"/>
              <w:spacing w:after="0"/>
              <w:rPr>
                <w:sz w:val="20"/>
                <w:szCs w:val="20"/>
                <w:color w:val="auto"/>
              </w:rPr>
            </w:pPr>
            <w:r>
              <w:rPr>
                <w:rFonts w:ascii="Arial" w:cs="Arial" w:eastAsia="Arial" w:hAnsi="Arial"/>
                <w:sz w:val="22"/>
                <w:szCs w:val="22"/>
                <w:color w:val="auto"/>
              </w:rPr>
              <w:t>3.4%</w:t>
            </w:r>
          </w:p>
        </w:tc>
        <w:tc>
          <w:tcPr>
            <w:tcW w:w="1220" w:type="dxa"/>
            <w:vAlign w:val="bottom"/>
          </w:tcPr>
          <w:p>
            <w:pPr>
              <w:jc w:val="right"/>
              <w:ind w:right="46"/>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376"/>
        </w:trPr>
        <w:tc>
          <w:tcPr>
            <w:tcW w:w="2320" w:type="dxa"/>
            <w:vAlign w:val="bottom"/>
          </w:tcPr>
          <w:p>
            <w:pPr>
              <w:spacing w:after="0"/>
              <w:rPr>
                <w:sz w:val="20"/>
                <w:szCs w:val="20"/>
                <w:color w:val="auto"/>
              </w:rPr>
            </w:pPr>
            <w:r>
              <w:rPr>
                <w:rFonts w:ascii="Arial" w:cs="Arial" w:eastAsia="Arial" w:hAnsi="Arial"/>
                <w:sz w:val="22"/>
                <w:szCs w:val="22"/>
                <w:b w:val="1"/>
                <w:bCs w:val="1"/>
                <w:color w:val="auto"/>
              </w:rPr>
              <w:t xml:space="preserve">Production </w:t>
            </w:r>
            <w:r>
              <w:rPr>
                <w:rFonts w:ascii="Arial" w:cs="Arial" w:eastAsia="Arial" w:hAnsi="Arial"/>
                <w:sz w:val="18"/>
                <w:szCs w:val="18"/>
                <w:b w:val="1"/>
                <w:bCs w:val="1"/>
                <w:color w:val="auto"/>
              </w:rPr>
              <w:t>(000’s)</w:t>
            </w:r>
          </w:p>
        </w:tc>
        <w:tc>
          <w:tcPr>
            <w:tcW w:w="1160" w:type="dxa"/>
            <w:vAlign w:val="bottom"/>
          </w:tcPr>
          <w:p>
            <w:pPr>
              <w:jc w:val="center"/>
              <w:ind w:right="183"/>
              <w:spacing w:after="0"/>
              <w:rPr>
                <w:sz w:val="20"/>
                <w:szCs w:val="20"/>
                <w:color w:val="auto"/>
              </w:rPr>
            </w:pPr>
            <w:r>
              <w:rPr>
                <w:rFonts w:ascii="Arial" w:cs="Arial" w:eastAsia="Arial" w:hAnsi="Arial"/>
                <w:sz w:val="22"/>
                <w:szCs w:val="22"/>
                <w:b w:val="1"/>
                <w:bCs w:val="1"/>
                <w:color w:val="auto"/>
              </w:rPr>
              <w:t>731</w:t>
            </w:r>
          </w:p>
        </w:tc>
        <w:tc>
          <w:tcPr>
            <w:tcW w:w="1540" w:type="dxa"/>
            <w:vAlign w:val="bottom"/>
          </w:tcPr>
          <w:p>
            <w:pPr>
              <w:jc w:val="center"/>
              <w:ind w:left="23"/>
              <w:spacing w:after="0"/>
              <w:rPr>
                <w:sz w:val="20"/>
                <w:szCs w:val="20"/>
                <w:color w:val="auto"/>
              </w:rPr>
            </w:pPr>
            <w:r>
              <w:rPr>
                <w:rFonts w:ascii="Arial" w:cs="Arial" w:eastAsia="Arial" w:hAnsi="Arial"/>
                <w:sz w:val="22"/>
                <w:szCs w:val="22"/>
                <w:b w:val="1"/>
                <w:bCs w:val="1"/>
                <w:color w:val="auto"/>
                <w:w w:val="97"/>
              </w:rPr>
              <w:t>707</w:t>
            </w:r>
          </w:p>
        </w:tc>
        <w:tc>
          <w:tcPr>
            <w:tcW w:w="1540" w:type="dxa"/>
            <w:vAlign w:val="bottom"/>
          </w:tcPr>
          <w:p>
            <w:pPr>
              <w:jc w:val="right"/>
              <w:ind w:right="403"/>
              <w:spacing w:after="0"/>
              <w:rPr>
                <w:sz w:val="20"/>
                <w:szCs w:val="20"/>
                <w:color w:val="auto"/>
              </w:rPr>
            </w:pPr>
            <w:r>
              <w:rPr>
                <w:rFonts w:ascii="Arial" w:cs="Arial" w:eastAsia="Arial" w:hAnsi="Arial"/>
                <w:sz w:val="22"/>
                <w:szCs w:val="22"/>
                <w:b w:val="1"/>
                <w:bCs w:val="1"/>
                <w:color w:val="auto"/>
              </w:rPr>
              <w:t>703</w:t>
            </w:r>
          </w:p>
        </w:tc>
        <w:tc>
          <w:tcPr>
            <w:tcW w:w="1220" w:type="dxa"/>
            <w:vAlign w:val="bottom"/>
          </w:tcPr>
          <w:p>
            <w:pPr>
              <w:jc w:val="right"/>
              <w:ind w:right="106"/>
              <w:spacing w:after="0"/>
              <w:rPr>
                <w:sz w:val="20"/>
                <w:szCs w:val="20"/>
                <w:color w:val="auto"/>
              </w:rPr>
            </w:pPr>
            <w:r>
              <w:rPr>
                <w:rFonts w:ascii="Arial" w:cs="Arial" w:eastAsia="Arial" w:hAnsi="Arial"/>
                <w:sz w:val="22"/>
                <w:szCs w:val="22"/>
                <w:b w:val="1"/>
                <w:bCs w:val="1"/>
                <w:color w:val="auto"/>
              </w:rPr>
              <w:t>786</w:t>
            </w:r>
          </w:p>
        </w:tc>
        <w:tc>
          <w:tcPr>
            <w:tcW w:w="0" w:type="dxa"/>
            <w:vAlign w:val="bottom"/>
          </w:tcPr>
          <w:p>
            <w:pPr>
              <w:spacing w:after="0"/>
              <w:rPr>
                <w:sz w:val="1"/>
                <w:szCs w:val="1"/>
                <w:color w:val="auto"/>
              </w:rPr>
            </w:pPr>
          </w:p>
        </w:tc>
      </w:tr>
      <w:tr>
        <w:trPr>
          <w:trHeight w:val="376"/>
        </w:trPr>
        <w:tc>
          <w:tcPr>
            <w:tcW w:w="2320" w:type="dxa"/>
            <w:vAlign w:val="bottom"/>
          </w:tcPr>
          <w:p>
            <w:pPr>
              <w:spacing w:after="0"/>
              <w:rPr>
                <w:sz w:val="20"/>
                <w:szCs w:val="20"/>
                <w:color w:val="auto"/>
              </w:rPr>
            </w:pPr>
            <w:r>
              <w:rPr>
                <w:rFonts w:ascii="Arial" w:cs="Arial" w:eastAsia="Arial" w:hAnsi="Arial"/>
                <w:sz w:val="22"/>
                <w:szCs w:val="22"/>
                <w:b w:val="1"/>
                <w:bCs w:val="1"/>
                <w:color w:val="auto"/>
              </w:rPr>
              <w:t xml:space="preserve">U.S. Dealer Inv </w:t>
            </w:r>
            <w:r>
              <w:rPr>
                <w:rFonts w:ascii="Arial" w:cs="Arial" w:eastAsia="Arial" w:hAnsi="Arial"/>
                <w:sz w:val="18"/>
                <w:szCs w:val="18"/>
                <w:b w:val="1"/>
                <w:bCs w:val="1"/>
                <w:color w:val="auto"/>
              </w:rPr>
              <w:t>(000’s)</w:t>
            </w:r>
          </w:p>
        </w:tc>
        <w:tc>
          <w:tcPr>
            <w:tcW w:w="1160" w:type="dxa"/>
            <w:vAlign w:val="bottom"/>
          </w:tcPr>
          <w:p>
            <w:pPr>
              <w:jc w:val="center"/>
              <w:ind w:right="183"/>
              <w:spacing w:after="0"/>
              <w:rPr>
                <w:sz w:val="20"/>
                <w:szCs w:val="20"/>
                <w:color w:val="auto"/>
              </w:rPr>
            </w:pPr>
            <w:r>
              <w:rPr>
                <w:rFonts w:ascii="Arial" w:cs="Arial" w:eastAsia="Arial" w:hAnsi="Arial"/>
                <w:sz w:val="22"/>
                <w:szCs w:val="22"/>
                <w:b w:val="1"/>
                <w:bCs w:val="1"/>
                <w:color w:val="auto"/>
              </w:rPr>
              <w:t>438</w:t>
            </w:r>
          </w:p>
        </w:tc>
        <w:tc>
          <w:tcPr>
            <w:tcW w:w="1540" w:type="dxa"/>
            <w:vAlign w:val="bottom"/>
          </w:tcPr>
          <w:p>
            <w:pPr>
              <w:jc w:val="center"/>
              <w:ind w:left="23"/>
              <w:spacing w:after="0"/>
              <w:rPr>
                <w:sz w:val="20"/>
                <w:szCs w:val="20"/>
                <w:color w:val="auto"/>
              </w:rPr>
            </w:pPr>
            <w:r>
              <w:rPr>
                <w:rFonts w:ascii="Arial" w:cs="Arial" w:eastAsia="Arial" w:hAnsi="Arial"/>
                <w:sz w:val="22"/>
                <w:szCs w:val="22"/>
                <w:b w:val="1"/>
                <w:bCs w:val="1"/>
                <w:color w:val="auto"/>
                <w:w w:val="97"/>
              </w:rPr>
              <w:t>478</w:t>
            </w:r>
          </w:p>
        </w:tc>
        <w:tc>
          <w:tcPr>
            <w:tcW w:w="1540" w:type="dxa"/>
            <w:vAlign w:val="bottom"/>
          </w:tcPr>
          <w:p>
            <w:pPr>
              <w:jc w:val="right"/>
              <w:ind w:right="403"/>
              <w:spacing w:after="0"/>
              <w:rPr>
                <w:sz w:val="20"/>
                <w:szCs w:val="20"/>
                <w:color w:val="auto"/>
              </w:rPr>
            </w:pPr>
            <w:r>
              <w:rPr>
                <w:rFonts w:ascii="Arial" w:cs="Arial" w:eastAsia="Arial" w:hAnsi="Arial"/>
                <w:sz w:val="22"/>
                <w:szCs w:val="22"/>
                <w:b w:val="1"/>
                <w:bCs w:val="1"/>
                <w:color w:val="auto"/>
              </w:rPr>
              <w:t>511</w:t>
            </w:r>
          </w:p>
        </w:tc>
        <w:tc>
          <w:tcPr>
            <w:tcW w:w="1220" w:type="dxa"/>
            <w:vAlign w:val="bottom"/>
          </w:tcPr>
          <w:p>
            <w:pPr>
              <w:jc w:val="right"/>
              <w:ind w:right="106"/>
              <w:spacing w:after="0"/>
              <w:rPr>
                <w:sz w:val="20"/>
                <w:szCs w:val="20"/>
                <w:color w:val="auto"/>
              </w:rPr>
            </w:pPr>
            <w:r>
              <w:rPr>
                <w:rFonts w:ascii="Arial" w:cs="Arial" w:eastAsia="Arial" w:hAnsi="Arial"/>
                <w:sz w:val="22"/>
                <w:szCs w:val="22"/>
                <w:b w:val="1"/>
                <w:bCs w:val="1"/>
                <w:color w:val="auto"/>
              </w:rPr>
              <w:t>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80"/>
        <w:spacing w:after="0"/>
        <w:rPr>
          <w:sz w:val="20"/>
          <w:szCs w:val="20"/>
          <w:color w:val="auto"/>
        </w:rPr>
      </w:pPr>
      <w:r>
        <w:rPr>
          <w:rFonts w:ascii="Arial" w:cs="Arial" w:eastAsia="Arial" w:hAnsi="Arial"/>
          <w:sz w:val="25"/>
          <w:szCs w:val="25"/>
          <w:b w:val="1"/>
          <w:bCs w:val="1"/>
          <w:color w:val="auto"/>
        </w:rPr>
        <w:t>Q2</w:t>
      </w:r>
    </w:p>
    <w:p>
      <w:pPr>
        <w:spacing w:after="0" w:line="36" w:lineRule="exact"/>
        <w:rPr>
          <w:sz w:val="20"/>
          <w:szCs w:val="20"/>
          <w:color w:val="auto"/>
        </w:rPr>
      </w:pPr>
    </w:p>
    <w:p>
      <w:pPr>
        <w:jc w:val="center"/>
        <w:ind w:right="980"/>
        <w:spacing w:after="0"/>
        <w:rPr>
          <w:sz w:val="20"/>
          <w:szCs w:val="20"/>
          <w:color w:val="auto"/>
        </w:rPr>
      </w:pPr>
      <w:r>
        <w:rPr>
          <w:rFonts w:ascii="Arial" w:cs="Arial" w:eastAsia="Arial" w:hAnsi="Arial"/>
          <w:sz w:val="25"/>
          <w:szCs w:val="25"/>
          <w:b w:val="1"/>
          <w:bCs w:val="1"/>
          <w:color w:val="auto"/>
        </w:rPr>
        <w:t>2011</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23.1</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9.7%</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824</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605</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13</w:t>
      </w:r>
    </w:p>
    <w:p>
      <w:pPr>
        <w:sectPr>
          <w:pgSz w:w="11900" w:h="16838" w:orient="portrait"/>
          <w:cols w:equalWidth="0" w:num="2">
            <w:col w:w="7840" w:space="720"/>
            <w:col w:w="1540"/>
          </w:cols>
          <w:pgMar w:left="800" w:top="597" w:right="999" w:bottom="1440" w:gutter="0" w:footer="0" w:header="0"/>
          <w:type w:val="continuous"/>
        </w:sectPr>
      </w:pPr>
    </w:p>
    <w:bookmarkStart w:id="30" w:name="page31"/>
    <w:bookmarkEnd w:id="30"/>
    <w:p>
      <w:pPr>
        <w:ind w:left="10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GMNA EBIT – Q2 2010 vs. Q2 2011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412"/>
        </w:trPr>
        <w:tc>
          <w:tcPr>
            <w:tcW w:w="2300" w:type="dxa"/>
            <w:vAlign w:val="bottom"/>
          </w:tcPr>
          <w:p>
            <w:pPr>
              <w:jc w:val="center"/>
              <w:ind w:right="610"/>
              <w:spacing w:after="0"/>
              <w:rPr>
                <w:sz w:val="20"/>
                <w:szCs w:val="20"/>
                <w:color w:val="auto"/>
              </w:rPr>
            </w:pPr>
            <w:r>
              <w:rPr>
                <w:rFonts w:ascii="Arial" w:cs="Arial" w:eastAsia="Arial" w:hAnsi="Arial"/>
                <w:sz w:val="34"/>
                <w:szCs w:val="34"/>
                <w:b w:val="1"/>
                <w:bCs w:val="1"/>
                <w:color w:val="auto"/>
              </w:rPr>
              <w:t>Q2 2010</w:t>
            </w:r>
          </w:p>
        </w:tc>
        <w:tc>
          <w:tcPr>
            <w:tcW w:w="4660" w:type="dxa"/>
            <w:vAlign w:val="bottom"/>
            <w:vMerge w:val="restart"/>
          </w:tcPr>
          <w:p>
            <w:pPr>
              <w:ind w:left="760"/>
              <w:spacing w:after="0"/>
              <w:rPr>
                <w:sz w:val="20"/>
                <w:szCs w:val="20"/>
                <w:color w:val="auto"/>
              </w:rPr>
            </w:pPr>
            <w:r>
              <w:rPr>
                <w:rFonts w:ascii="Arial" w:cs="Arial" w:eastAsia="Arial" w:hAnsi="Arial"/>
                <w:sz w:val="34"/>
                <w:szCs w:val="34"/>
                <w:b w:val="1"/>
                <w:bCs w:val="1"/>
                <w:color w:val="auto"/>
              </w:rPr>
              <w:t>$0.6B Improvement</w:t>
            </w:r>
          </w:p>
        </w:tc>
        <w:tc>
          <w:tcPr>
            <w:tcW w:w="2280" w:type="dxa"/>
            <w:vAlign w:val="bottom"/>
          </w:tcPr>
          <w:p>
            <w:pPr>
              <w:jc w:val="center"/>
              <w:ind w:left="570"/>
              <w:spacing w:after="0"/>
              <w:rPr>
                <w:sz w:val="20"/>
                <w:szCs w:val="20"/>
                <w:color w:val="auto"/>
              </w:rPr>
            </w:pPr>
            <w:r>
              <w:rPr>
                <w:rFonts w:ascii="Arial" w:cs="Arial" w:eastAsia="Arial" w:hAnsi="Arial"/>
                <w:sz w:val="34"/>
                <w:szCs w:val="34"/>
                <w:b w:val="1"/>
                <w:bCs w:val="1"/>
                <w:color w:val="auto"/>
                <w:w w:val="99"/>
              </w:rPr>
              <w:t>Q2 2011</w:t>
            </w:r>
          </w:p>
        </w:tc>
        <w:tc>
          <w:tcPr>
            <w:tcW w:w="0" w:type="dxa"/>
            <w:vAlign w:val="bottom"/>
          </w:tcPr>
          <w:p>
            <w:pPr>
              <w:spacing w:after="0"/>
              <w:rPr>
                <w:sz w:val="1"/>
                <w:szCs w:val="1"/>
                <w:color w:val="auto"/>
              </w:rPr>
            </w:pPr>
          </w:p>
        </w:tc>
      </w:tr>
      <w:tr>
        <w:trPr>
          <w:trHeight w:val="182"/>
        </w:trPr>
        <w:tc>
          <w:tcPr>
            <w:tcW w:w="2300" w:type="dxa"/>
            <w:vAlign w:val="bottom"/>
            <w:vMerge w:val="restart"/>
          </w:tcPr>
          <w:p>
            <w:pPr>
              <w:jc w:val="center"/>
              <w:ind w:right="590"/>
              <w:spacing w:after="0"/>
              <w:rPr>
                <w:sz w:val="20"/>
                <w:szCs w:val="20"/>
                <w:color w:val="auto"/>
              </w:rPr>
            </w:pPr>
            <w:r>
              <w:rPr>
                <w:rFonts w:ascii="Arial" w:cs="Arial" w:eastAsia="Arial" w:hAnsi="Arial"/>
                <w:sz w:val="34"/>
                <w:szCs w:val="34"/>
                <w:b w:val="1"/>
                <w:bCs w:val="1"/>
                <w:color w:val="auto"/>
              </w:rPr>
              <w:t>EBIT ($B)</w:t>
            </w:r>
          </w:p>
        </w:tc>
        <w:tc>
          <w:tcPr>
            <w:tcW w:w="4660" w:type="dxa"/>
            <w:vAlign w:val="bottom"/>
            <w:vMerge w:val="continue"/>
          </w:tcPr>
          <w:p>
            <w:pPr>
              <w:spacing w:after="0"/>
              <w:rPr>
                <w:sz w:val="15"/>
                <w:szCs w:val="15"/>
                <w:color w:val="auto"/>
              </w:rPr>
            </w:pPr>
          </w:p>
        </w:tc>
        <w:tc>
          <w:tcPr>
            <w:tcW w:w="2280" w:type="dxa"/>
            <w:vAlign w:val="bottom"/>
            <w:vMerge w:val="restart"/>
          </w:tcPr>
          <w:p>
            <w:pPr>
              <w:jc w:val="center"/>
              <w:ind w:left="570"/>
              <w:spacing w:after="0"/>
              <w:rPr>
                <w:sz w:val="20"/>
                <w:szCs w:val="20"/>
                <w:color w:val="auto"/>
              </w:rPr>
            </w:pPr>
            <w:r>
              <w:rPr>
                <w:rFonts w:ascii="Arial" w:cs="Arial" w:eastAsia="Arial" w:hAnsi="Arial"/>
                <w:sz w:val="34"/>
                <w:szCs w:val="34"/>
                <w:b w:val="1"/>
                <w:bCs w:val="1"/>
                <w:color w:val="auto"/>
              </w:rPr>
              <w:t>EBIT ($B)</w:t>
            </w:r>
          </w:p>
        </w:tc>
        <w:tc>
          <w:tcPr>
            <w:tcW w:w="0" w:type="dxa"/>
            <w:vAlign w:val="bottom"/>
          </w:tcPr>
          <w:p>
            <w:pPr>
              <w:spacing w:after="0"/>
              <w:rPr>
                <w:sz w:val="1"/>
                <w:szCs w:val="1"/>
                <w:color w:val="auto"/>
              </w:rPr>
            </w:pPr>
          </w:p>
        </w:tc>
      </w:tr>
      <w:tr>
        <w:trPr>
          <w:trHeight w:val="282"/>
        </w:trPr>
        <w:tc>
          <w:tcPr>
            <w:tcW w:w="2300" w:type="dxa"/>
            <w:vAlign w:val="bottom"/>
            <w:vMerge w:val="continue"/>
          </w:tcPr>
          <w:p>
            <w:pPr>
              <w:spacing w:after="0"/>
              <w:rPr>
                <w:sz w:val="24"/>
                <w:szCs w:val="24"/>
                <w:color w:val="auto"/>
              </w:rPr>
            </w:pPr>
          </w:p>
        </w:tc>
        <w:tc>
          <w:tcPr>
            <w:tcW w:w="46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680" w:top="597"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25"/>
          <w:szCs w:val="25"/>
          <w:color w:val="auto"/>
        </w:rPr>
        <w:t>0.8</w:t>
      </w:r>
      <w:r>
        <w:rPr>
          <w:sz w:val="20"/>
          <w:szCs w:val="20"/>
          <w:color w:val="auto"/>
        </w:rPr>
        <w:tab/>
      </w:r>
      <w:r>
        <w:rPr>
          <w:rFonts w:ascii="Arial" w:cs="Arial" w:eastAsia="Arial" w:hAnsi="Arial"/>
          <w:sz w:val="24"/>
          <w:szCs w:val="24"/>
          <w:color w:val="auto"/>
        </w:rPr>
        <w:t>(0.2)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Arial" w:cs="Arial" w:eastAsia="Arial" w:hAnsi="Arial"/>
          <w:sz w:val="25"/>
          <w:szCs w:val="25"/>
          <w:color w:val="auto"/>
        </w:rPr>
        <w:t>0.3</w:t>
      </w:r>
    </w:p>
    <w:p>
      <w:pPr>
        <w:spacing w:after="0" w:line="53"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5"/>
          <w:szCs w:val="25"/>
          <w:color w:val="auto"/>
        </w:rPr>
        <w:t>1.6</w:t>
      </w:r>
      <w:r>
        <w:rPr>
          <w:sz w:val="20"/>
          <w:szCs w:val="20"/>
          <w:color w:val="auto"/>
        </w:rPr>
        <w:tab/>
      </w:r>
      <w:r>
        <w:rPr>
          <w:rFonts w:ascii="Arial" w:cs="Arial" w:eastAsia="Arial" w:hAnsi="Arial"/>
          <w:sz w:val="24"/>
          <w:szCs w:val="24"/>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auto"/>
        </w:rPr>
        <w:t>(0.3)</w:t>
      </w:r>
    </w:p>
    <w:p>
      <w:pPr>
        <w:spacing w:after="0" w:line="112" w:lineRule="exact"/>
        <w:rPr>
          <w:sz w:val="20"/>
          <w:szCs w:val="20"/>
          <w:color w:val="auto"/>
        </w:rPr>
      </w:pPr>
    </w:p>
    <w:p>
      <w:pPr>
        <w:jc w:val="right"/>
        <w:ind w:right="100"/>
        <w:spacing w:after="0"/>
        <w:tabs>
          <w:tab w:leader="none" w:pos="320" w:val="left"/>
        </w:tabs>
        <w:rPr>
          <w:sz w:val="20"/>
          <w:szCs w:val="20"/>
          <w:color w:val="auto"/>
        </w:rPr>
      </w:pPr>
      <w:r>
        <w:rPr>
          <w:rFonts w:ascii="Arial" w:cs="Arial" w:eastAsia="Arial" w:hAnsi="Arial"/>
          <w:sz w:val="25"/>
          <w:szCs w:val="25"/>
          <w:color w:val="auto"/>
        </w:rPr>
        <w:t>2.2</w:t>
      </w:r>
      <w:r>
        <w:rPr>
          <w:sz w:val="20"/>
          <w:szCs w:val="20"/>
          <w:color w:val="auto"/>
        </w:rPr>
        <w:tab/>
      </w:r>
      <w:r>
        <w:rPr>
          <w:rFonts w:ascii="Arial" w:cs="Arial" w:eastAsia="Arial" w:hAnsi="Arial"/>
          <w:sz w:val="24"/>
          <w:szCs w:val="24"/>
          <w:color w:val="auto"/>
        </w:rPr>
        <w:t>2.2</w:t>
      </w:r>
    </w:p>
    <w:p>
      <w:pPr>
        <w:spacing w:after="0" w:line="917" w:lineRule="exact"/>
        <w:rPr>
          <w:sz w:val="20"/>
          <w:szCs w:val="20"/>
          <w:color w:val="auto"/>
        </w:rPr>
      </w:pPr>
    </w:p>
    <w:p>
      <w:pPr>
        <w:sectPr>
          <w:pgSz w:w="11900" w:h="16838" w:orient="portrait"/>
          <w:cols w:equalWidth="0" w:num="2">
            <w:col w:w="5920" w:space="600"/>
            <w:col w:w="3760"/>
          </w:cols>
          <w:pgMar w:left="680" w:top="597"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5"/>
                <w:szCs w:val="25"/>
                <w:color w:val="auto"/>
              </w:rPr>
              <w:t>0.0</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25"/>
                <w:szCs w:val="25"/>
                <w:color w:val="auto"/>
              </w:rPr>
              <w:t>0.0</w:t>
            </w:r>
          </w:p>
        </w:tc>
        <w:tc>
          <w:tcPr>
            <w:tcW w:w="620" w:type="dxa"/>
            <w:vAlign w:val="bottom"/>
          </w:tcPr>
          <w:p>
            <w:pPr>
              <w:spacing w:after="0"/>
              <w:rPr>
                <w:sz w:val="24"/>
                <w:szCs w:val="24"/>
                <w:color w:val="auto"/>
              </w:rPr>
            </w:pPr>
          </w:p>
        </w:tc>
      </w:tr>
      <w:tr>
        <w:trPr>
          <w:trHeight w:val="373"/>
        </w:trPr>
        <w:tc>
          <w:tcPr>
            <w:tcW w:w="600" w:type="dxa"/>
            <w:vAlign w:val="bottom"/>
          </w:tcPr>
          <w:p>
            <w:pPr>
              <w:spacing w:after="0"/>
              <w:rPr>
                <w:sz w:val="20"/>
                <w:szCs w:val="20"/>
                <w:color w:val="auto"/>
              </w:rPr>
            </w:pPr>
            <w:r>
              <w:rPr>
                <w:rFonts w:ascii="Arial" w:cs="Arial" w:eastAsia="Arial" w:hAnsi="Arial"/>
                <w:sz w:val="19"/>
                <w:szCs w:val="19"/>
                <w:b w:val="1"/>
                <w:bCs w:val="1"/>
                <w:color w:val="auto"/>
              </w:rPr>
              <w:t>EBIT</w:t>
            </w: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Less Special</w:t>
            </w:r>
          </w:p>
        </w:tc>
        <w:tc>
          <w:tcPr>
            <w:tcW w:w="1020" w:type="dxa"/>
            <w:vAlign w:val="bottom"/>
          </w:tcPr>
          <w:p>
            <w:pPr>
              <w:ind w:left="80"/>
              <w:spacing w:after="0"/>
              <w:rPr>
                <w:sz w:val="20"/>
                <w:szCs w:val="20"/>
                <w:color w:val="auto"/>
              </w:rPr>
            </w:pPr>
            <w:r>
              <w:rPr>
                <w:rFonts w:ascii="Arial" w:cs="Arial" w:eastAsia="Arial" w:hAnsi="Arial"/>
                <w:sz w:val="19"/>
                <w:szCs w:val="19"/>
                <w:b w:val="1"/>
                <w:bCs w:val="1"/>
                <w:color w:val="auto"/>
              </w:rPr>
              <w:t>EBIT-Adj.</w:t>
            </w:r>
          </w:p>
        </w:tc>
        <w:tc>
          <w:tcPr>
            <w:tcW w:w="1140" w:type="dxa"/>
            <w:vAlign w:val="bottom"/>
          </w:tcPr>
          <w:p>
            <w:pPr>
              <w:jc w:val="center"/>
              <w:ind w:right="46"/>
              <w:spacing w:after="0"/>
              <w:rPr>
                <w:sz w:val="20"/>
                <w:szCs w:val="20"/>
                <w:color w:val="auto"/>
              </w:rPr>
            </w:pPr>
            <w:r>
              <w:rPr>
                <w:rFonts w:ascii="Arial" w:cs="Arial" w:eastAsia="Arial" w:hAnsi="Arial"/>
                <w:sz w:val="19"/>
                <w:szCs w:val="19"/>
                <w:b w:val="1"/>
                <w:bCs w:val="1"/>
                <w:color w:val="auto"/>
                <w:w w:val="95"/>
              </w:rPr>
              <w:t>Volume /</w:t>
            </w:r>
          </w:p>
        </w:tc>
        <w:tc>
          <w:tcPr>
            <w:tcW w:w="1060" w:type="dxa"/>
            <w:vAlign w:val="bottom"/>
          </w:tcPr>
          <w:p>
            <w:pPr>
              <w:ind w:left="280"/>
              <w:spacing w:after="0"/>
              <w:rPr>
                <w:sz w:val="20"/>
                <w:szCs w:val="20"/>
                <w:color w:val="auto"/>
              </w:rPr>
            </w:pPr>
            <w:r>
              <w:rPr>
                <w:rFonts w:ascii="Arial" w:cs="Arial" w:eastAsia="Arial" w:hAnsi="Arial"/>
                <w:sz w:val="19"/>
                <w:szCs w:val="19"/>
                <w:b w:val="1"/>
                <w:bCs w:val="1"/>
                <w:color w:val="auto"/>
              </w:rPr>
              <w:t>Price</w:t>
            </w:r>
          </w:p>
        </w:tc>
        <w:tc>
          <w:tcPr>
            <w:tcW w:w="1060" w:type="dxa"/>
            <w:vAlign w:val="bottom"/>
          </w:tcPr>
          <w:p>
            <w:pPr>
              <w:ind w:left="320"/>
              <w:spacing w:after="0"/>
              <w:rPr>
                <w:sz w:val="20"/>
                <w:szCs w:val="20"/>
                <w:color w:val="auto"/>
              </w:rPr>
            </w:pPr>
            <w:r>
              <w:rPr>
                <w:rFonts w:ascii="Arial" w:cs="Arial" w:eastAsia="Arial" w:hAnsi="Arial"/>
                <w:sz w:val="19"/>
                <w:szCs w:val="19"/>
                <w:b w:val="1"/>
                <w:bCs w:val="1"/>
                <w:color w:val="auto"/>
              </w:rPr>
              <w:t>Cost</w:t>
            </w:r>
          </w:p>
        </w:tc>
        <w:tc>
          <w:tcPr>
            <w:tcW w:w="1040" w:type="dxa"/>
            <w:vAlign w:val="bottom"/>
          </w:tcPr>
          <w:p>
            <w:pPr>
              <w:ind w:left="320"/>
              <w:spacing w:after="0"/>
              <w:rPr>
                <w:sz w:val="20"/>
                <w:szCs w:val="20"/>
                <w:color w:val="auto"/>
              </w:rPr>
            </w:pPr>
            <w:r>
              <w:rPr>
                <w:rFonts w:ascii="Arial" w:cs="Arial" w:eastAsia="Arial" w:hAnsi="Arial"/>
                <w:sz w:val="19"/>
                <w:szCs w:val="19"/>
                <w:b w:val="1"/>
                <w:bCs w:val="1"/>
                <w:color w:val="auto"/>
              </w:rPr>
              <w:t>Other</w:t>
            </w:r>
          </w:p>
        </w:tc>
        <w:tc>
          <w:tcPr>
            <w:tcW w:w="1140" w:type="dxa"/>
            <w:vAlign w:val="bottom"/>
          </w:tcPr>
          <w:p>
            <w:pPr>
              <w:ind w:left="220"/>
              <w:spacing w:after="0"/>
              <w:rPr>
                <w:sz w:val="20"/>
                <w:szCs w:val="20"/>
                <w:color w:val="auto"/>
              </w:rPr>
            </w:pPr>
            <w:r>
              <w:rPr>
                <w:rFonts w:ascii="Arial" w:cs="Arial" w:eastAsia="Arial" w:hAnsi="Arial"/>
                <w:sz w:val="19"/>
                <w:szCs w:val="19"/>
                <w:b w:val="1"/>
                <w:bCs w:val="1"/>
                <w:color w:val="auto"/>
              </w:rPr>
              <w:t>EBIT-Adj.</w:t>
            </w:r>
          </w:p>
        </w:tc>
        <w:tc>
          <w:tcPr>
            <w:tcW w:w="1280" w:type="dxa"/>
            <w:vAlign w:val="bottom"/>
          </w:tcPr>
          <w:p>
            <w:pPr>
              <w:ind w:left="100"/>
              <w:spacing w:after="0"/>
              <w:rPr>
                <w:sz w:val="20"/>
                <w:szCs w:val="20"/>
                <w:color w:val="auto"/>
              </w:rPr>
            </w:pPr>
            <w:r>
              <w:rPr>
                <w:rFonts w:ascii="Arial" w:cs="Arial" w:eastAsia="Arial" w:hAnsi="Arial"/>
                <w:sz w:val="19"/>
                <w:szCs w:val="19"/>
                <w:color w:val="auto"/>
              </w:rPr>
              <w:t>Plus Special</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EBIT</w:t>
            </w:r>
          </w:p>
        </w:tc>
      </w:tr>
      <w:tr>
        <w:trPr>
          <w:trHeight w:val="250"/>
        </w:trPr>
        <w:tc>
          <w:tcPr>
            <w:tcW w:w="6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Items</w:t>
            </w:r>
          </w:p>
        </w:tc>
        <w:tc>
          <w:tcPr>
            <w:tcW w:w="1020" w:type="dxa"/>
            <w:vAlign w:val="bottom"/>
          </w:tcPr>
          <w:p>
            <w:pPr>
              <w:spacing w:after="0"/>
              <w:rPr>
                <w:sz w:val="21"/>
                <w:szCs w:val="21"/>
                <w:color w:val="auto"/>
              </w:rPr>
            </w:pPr>
          </w:p>
        </w:tc>
        <w:tc>
          <w:tcPr>
            <w:tcW w:w="1140" w:type="dxa"/>
            <w:vAlign w:val="bottom"/>
          </w:tcPr>
          <w:p>
            <w:pPr>
              <w:jc w:val="center"/>
              <w:ind w:right="26"/>
              <w:spacing w:after="0"/>
              <w:rPr>
                <w:sz w:val="20"/>
                <w:szCs w:val="20"/>
                <w:color w:val="auto"/>
              </w:rPr>
            </w:pPr>
            <w:r>
              <w:rPr>
                <w:rFonts w:ascii="Arial" w:cs="Arial" w:eastAsia="Arial" w:hAnsi="Arial"/>
                <w:sz w:val="19"/>
                <w:szCs w:val="19"/>
                <w:b w:val="1"/>
                <w:bCs w:val="1"/>
                <w:color w:val="auto"/>
                <w:w w:val="94"/>
              </w:rPr>
              <w:t>Mix</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ind w:left="400"/>
              <w:spacing w:after="0"/>
              <w:rPr>
                <w:sz w:val="20"/>
                <w:szCs w:val="20"/>
                <w:color w:val="auto"/>
              </w:rPr>
            </w:pPr>
            <w:r>
              <w:rPr>
                <w:rFonts w:ascii="Arial" w:cs="Arial" w:eastAsia="Arial" w:hAnsi="Arial"/>
                <w:sz w:val="19"/>
                <w:szCs w:val="19"/>
                <w:color w:val="auto"/>
              </w:rPr>
              <w:t>Items</w:t>
            </w:r>
          </w:p>
        </w:tc>
        <w:tc>
          <w:tcPr>
            <w:tcW w:w="620" w:type="dxa"/>
            <w:vAlign w:val="bottom"/>
          </w:tcPr>
          <w:p>
            <w:pPr>
              <w:spacing w:after="0"/>
              <w:rPr>
                <w:sz w:val="21"/>
                <w:szCs w:val="21"/>
                <w:color w:val="auto"/>
              </w:rPr>
            </w:pPr>
          </w:p>
        </w:tc>
      </w:tr>
      <w:tr>
        <w:trPr>
          <w:trHeight w:val="735"/>
        </w:trPr>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w:t>
            </w:r>
          </w:p>
        </w:tc>
      </w:tr>
    </w:tbl>
    <w:p>
      <w:pPr>
        <w:sectPr>
          <w:pgSz w:w="11900" w:h="16838" w:orient="portrait"/>
          <w:cols w:equalWidth="0" w:num="1">
            <w:col w:w="10280"/>
          </w:cols>
          <w:pgMar w:left="680" w:top="597" w:right="939" w:bottom="1440" w:gutter="0" w:footer="0" w:header="0"/>
          <w:type w:val="continuous"/>
        </w:sectPr>
      </w:pPr>
    </w:p>
    <w:bookmarkStart w:id="31" w:name="page32"/>
    <w:bookmarkEnd w:id="31"/>
    <w:p>
      <w:pPr>
        <w:ind w:left="140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Info Item: U.S. Full-size Pickup Dealer Stock</w:t>
      </w:r>
    </w:p>
    <w:p>
      <w:pPr>
        <w:sectPr>
          <w:pgSz w:w="11900" w:h="16838" w:orient="portrait"/>
          <w:cols w:equalWidth="0" w:num="1">
            <w:col w:w="11120"/>
          </w:cols>
          <w:pgMar w:left="360" w:top="597" w:right="419" w:bottom="1440" w:gutter="0" w:footer="0" w:header="0"/>
        </w:sect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4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22"/>
                <w:szCs w:val="22"/>
                <w:b w:val="1"/>
                <w:bCs w:val="1"/>
                <w:color w:val="auto"/>
              </w:rPr>
              <w:t>U.S. Dealer Stock</w:t>
            </w:r>
          </w:p>
        </w:tc>
        <w:tc>
          <w:tcPr>
            <w:tcW w:w="2680" w:type="dxa"/>
            <w:vAlign w:val="bottom"/>
          </w:tcPr>
          <w:p>
            <w:pPr>
              <w:jc w:val="center"/>
              <w:ind w:right="453"/>
              <w:spacing w:after="0"/>
              <w:rPr>
                <w:sz w:val="20"/>
                <w:szCs w:val="20"/>
                <w:color w:val="auto"/>
              </w:rPr>
            </w:pPr>
            <w:r>
              <w:rPr>
                <w:rFonts w:ascii="Arial" w:cs="Arial" w:eastAsia="Arial" w:hAnsi="Arial"/>
                <w:sz w:val="22"/>
                <w:szCs w:val="22"/>
                <w:b w:val="1"/>
                <w:bCs w:val="1"/>
                <w:color w:val="auto"/>
              </w:rPr>
              <w:t>Units (000’s)</w:t>
            </w:r>
          </w:p>
        </w:tc>
        <w:tc>
          <w:tcPr>
            <w:tcW w:w="1420" w:type="dxa"/>
            <w:vAlign w:val="bottom"/>
          </w:tcPr>
          <w:p>
            <w:pPr>
              <w:ind w:left="80"/>
              <w:spacing w:after="0"/>
              <w:rPr>
                <w:sz w:val="20"/>
                <w:szCs w:val="20"/>
                <w:color w:val="auto"/>
              </w:rPr>
            </w:pPr>
            <w:r>
              <w:rPr>
                <w:rFonts w:ascii="Arial" w:cs="Arial" w:eastAsia="Arial" w:hAnsi="Arial"/>
                <w:sz w:val="22"/>
                <w:szCs w:val="22"/>
                <w:b w:val="1"/>
                <w:bCs w:val="1"/>
                <w:color w:val="auto"/>
                <w:w w:val="99"/>
              </w:rPr>
              <w:t>Days Supply</w:t>
            </w:r>
          </w:p>
        </w:tc>
      </w:tr>
      <w:tr>
        <w:trPr>
          <w:trHeight w:val="376"/>
        </w:trPr>
        <w:tc>
          <w:tcPr>
            <w:tcW w:w="134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22"/>
                <w:szCs w:val="22"/>
                <w:color w:val="auto"/>
              </w:rPr>
              <w:t>December 2010</w:t>
            </w:r>
          </w:p>
        </w:tc>
        <w:tc>
          <w:tcPr>
            <w:tcW w:w="2680" w:type="dxa"/>
            <w:vAlign w:val="bottom"/>
          </w:tcPr>
          <w:p>
            <w:pPr>
              <w:jc w:val="center"/>
              <w:ind w:right="493"/>
              <w:spacing w:after="0"/>
              <w:rPr>
                <w:sz w:val="20"/>
                <w:szCs w:val="20"/>
                <w:color w:val="auto"/>
              </w:rPr>
            </w:pPr>
            <w:r>
              <w:rPr>
                <w:rFonts w:ascii="Arial" w:cs="Arial" w:eastAsia="Arial" w:hAnsi="Arial"/>
                <w:sz w:val="22"/>
                <w:szCs w:val="22"/>
                <w:color w:val="auto"/>
                <w:w w:val="97"/>
              </w:rPr>
              <w:t>159</w:t>
            </w:r>
          </w:p>
        </w:tc>
        <w:tc>
          <w:tcPr>
            <w:tcW w:w="1420" w:type="dxa"/>
            <w:vAlign w:val="bottom"/>
          </w:tcPr>
          <w:p>
            <w:pPr>
              <w:jc w:val="center"/>
              <w:spacing w:after="0"/>
              <w:rPr>
                <w:sz w:val="20"/>
                <w:szCs w:val="20"/>
                <w:color w:val="auto"/>
              </w:rPr>
            </w:pPr>
            <w:r>
              <w:rPr>
                <w:rFonts w:ascii="Arial" w:cs="Arial" w:eastAsia="Arial" w:hAnsi="Arial"/>
                <w:sz w:val="22"/>
                <w:szCs w:val="22"/>
                <w:color w:val="auto"/>
              </w:rPr>
              <w:t>70</w:t>
            </w:r>
          </w:p>
        </w:tc>
      </w:tr>
      <w:tr>
        <w:trPr>
          <w:trHeight w:val="353"/>
        </w:trPr>
        <w:tc>
          <w:tcPr>
            <w:tcW w:w="134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22"/>
                <w:szCs w:val="22"/>
                <w:color w:val="auto"/>
              </w:rPr>
              <w:t>June 2011</w:t>
            </w:r>
          </w:p>
        </w:tc>
        <w:tc>
          <w:tcPr>
            <w:tcW w:w="2680" w:type="dxa"/>
            <w:vAlign w:val="bottom"/>
          </w:tcPr>
          <w:p>
            <w:pPr>
              <w:jc w:val="center"/>
              <w:ind w:right="493"/>
              <w:spacing w:after="0"/>
              <w:rPr>
                <w:sz w:val="20"/>
                <w:szCs w:val="20"/>
                <w:color w:val="auto"/>
              </w:rPr>
            </w:pPr>
            <w:r>
              <w:rPr>
                <w:rFonts w:ascii="Arial" w:cs="Arial" w:eastAsia="Arial" w:hAnsi="Arial"/>
                <w:sz w:val="22"/>
                <w:szCs w:val="22"/>
                <w:color w:val="auto"/>
                <w:w w:val="97"/>
              </w:rPr>
              <w:t>219</w:t>
            </w:r>
          </w:p>
        </w:tc>
        <w:tc>
          <w:tcPr>
            <w:tcW w:w="1420" w:type="dxa"/>
            <w:vAlign w:val="bottom"/>
          </w:tcPr>
          <w:p>
            <w:pPr>
              <w:jc w:val="center"/>
              <w:spacing w:after="0"/>
              <w:rPr>
                <w:sz w:val="20"/>
                <w:szCs w:val="20"/>
                <w:color w:val="auto"/>
              </w:rPr>
            </w:pPr>
            <w:r>
              <w:rPr>
                <w:rFonts w:ascii="Arial" w:cs="Arial" w:eastAsia="Arial" w:hAnsi="Arial"/>
                <w:sz w:val="22"/>
                <w:szCs w:val="22"/>
                <w:color w:val="auto"/>
                <w:w w:val="97"/>
              </w:rPr>
              <w:t>122</w:t>
            </w:r>
          </w:p>
        </w:tc>
      </w:tr>
      <w:tr>
        <w:trPr>
          <w:trHeight w:val="364"/>
        </w:trPr>
        <w:tc>
          <w:tcPr>
            <w:tcW w:w="134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22"/>
                <w:szCs w:val="22"/>
                <w:color w:val="auto"/>
              </w:rPr>
              <w:t>July 2011</w:t>
            </w:r>
          </w:p>
        </w:tc>
        <w:tc>
          <w:tcPr>
            <w:tcW w:w="2680" w:type="dxa"/>
            <w:vAlign w:val="bottom"/>
          </w:tcPr>
          <w:p>
            <w:pPr>
              <w:jc w:val="center"/>
              <w:ind w:right="493"/>
              <w:spacing w:after="0"/>
              <w:rPr>
                <w:sz w:val="20"/>
                <w:szCs w:val="20"/>
                <w:color w:val="auto"/>
              </w:rPr>
            </w:pPr>
            <w:r>
              <w:rPr>
                <w:rFonts w:ascii="Arial" w:cs="Arial" w:eastAsia="Arial" w:hAnsi="Arial"/>
                <w:sz w:val="22"/>
                <w:szCs w:val="22"/>
                <w:color w:val="auto"/>
                <w:w w:val="97"/>
              </w:rPr>
              <w:t>209</w:t>
            </w:r>
          </w:p>
        </w:tc>
        <w:tc>
          <w:tcPr>
            <w:tcW w:w="1420" w:type="dxa"/>
            <w:vAlign w:val="bottom"/>
          </w:tcPr>
          <w:p>
            <w:pPr>
              <w:jc w:val="center"/>
              <w:spacing w:after="0"/>
              <w:rPr>
                <w:sz w:val="20"/>
                <w:szCs w:val="20"/>
                <w:color w:val="auto"/>
              </w:rPr>
            </w:pPr>
            <w:r>
              <w:rPr>
                <w:rFonts w:ascii="Arial" w:cs="Arial" w:eastAsia="Arial" w:hAnsi="Arial"/>
                <w:sz w:val="22"/>
                <w:szCs w:val="22"/>
                <w:color w:val="auto"/>
                <w:w w:val="97"/>
              </w:rPr>
              <w:t>115</w:t>
            </w:r>
          </w:p>
        </w:tc>
      </w:tr>
      <w:tr>
        <w:trPr>
          <w:trHeight w:val="353"/>
        </w:trPr>
        <w:tc>
          <w:tcPr>
            <w:tcW w:w="134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22"/>
                <w:szCs w:val="22"/>
                <w:color w:val="auto"/>
              </w:rPr>
              <w:t>December 2011 Objective</w:t>
            </w:r>
          </w:p>
        </w:tc>
        <w:tc>
          <w:tcPr>
            <w:tcW w:w="2680" w:type="dxa"/>
            <w:vAlign w:val="bottom"/>
          </w:tcPr>
          <w:p>
            <w:pPr>
              <w:jc w:val="center"/>
              <w:ind w:right="473"/>
              <w:spacing w:after="0"/>
              <w:rPr>
                <w:sz w:val="20"/>
                <w:szCs w:val="20"/>
                <w:color w:val="auto"/>
              </w:rPr>
            </w:pPr>
            <w:r>
              <w:rPr>
                <w:rFonts w:ascii="Arial" w:cs="Arial" w:eastAsia="Arial" w:hAnsi="Arial"/>
                <w:sz w:val="22"/>
                <w:szCs w:val="22"/>
                <w:color w:val="auto"/>
              </w:rPr>
              <w:t>~200</w:t>
            </w:r>
          </w:p>
        </w:tc>
        <w:tc>
          <w:tcPr>
            <w:tcW w:w="1420" w:type="dxa"/>
            <w:vAlign w:val="bottom"/>
          </w:tcPr>
          <w:p>
            <w:pPr>
              <w:jc w:val="center"/>
              <w:spacing w:after="0"/>
              <w:rPr>
                <w:sz w:val="20"/>
                <w:szCs w:val="20"/>
                <w:color w:val="auto"/>
              </w:rPr>
            </w:pPr>
            <w:r>
              <w:rPr>
                <w:rFonts w:ascii="Arial" w:cs="Arial" w:eastAsia="Arial" w:hAnsi="Arial"/>
                <w:sz w:val="22"/>
                <w:szCs w:val="22"/>
                <w:color w:val="auto"/>
                <w:w w:val="96"/>
              </w:rPr>
              <w:t>~90</w:t>
            </w:r>
          </w:p>
        </w:tc>
      </w:tr>
      <w:tr>
        <w:trPr>
          <w:trHeight w:val="557"/>
        </w:trPr>
        <w:tc>
          <w:tcPr>
            <w:tcW w:w="1340" w:type="dxa"/>
            <w:vAlign w:val="bottom"/>
          </w:tcPr>
          <w:p>
            <w:pPr>
              <w:jc w:val="right"/>
              <w:ind w:right="346"/>
              <w:spacing w:after="0"/>
              <w:rPr>
                <w:sz w:val="20"/>
                <w:szCs w:val="20"/>
                <w:color w:val="auto"/>
              </w:rPr>
            </w:pPr>
            <w:r>
              <w:rPr>
                <w:rFonts w:ascii="Arial" w:cs="Arial" w:eastAsia="Arial" w:hAnsi="Arial"/>
                <w:sz w:val="19"/>
                <w:szCs w:val="19"/>
                <w:b w:val="1"/>
                <w:bCs w:val="1"/>
                <w:color w:val="auto"/>
                <w:w w:val="95"/>
              </w:rPr>
              <w:t>U.S. Sales</w:t>
            </w:r>
          </w:p>
        </w:tc>
        <w:tc>
          <w:tcPr>
            <w:tcW w:w="3640" w:type="dxa"/>
            <w:vAlign w:val="bottom"/>
          </w:tcPr>
          <w:p>
            <w:pPr>
              <w:ind w:left="2100"/>
              <w:spacing w:after="0"/>
              <w:rPr>
                <w:sz w:val="20"/>
                <w:szCs w:val="20"/>
                <w:color w:val="auto"/>
              </w:rPr>
            </w:pPr>
            <w:r>
              <w:rPr>
                <w:rFonts w:ascii="Arial" w:cs="Arial" w:eastAsia="Arial" w:hAnsi="Arial"/>
                <w:sz w:val="19"/>
                <w:szCs w:val="19"/>
                <w:b w:val="1"/>
                <w:bCs w:val="1"/>
                <w:color w:val="auto"/>
              </w:rPr>
              <w:t>GM U.S. F/S</w:t>
            </w:r>
          </w:p>
        </w:tc>
        <w:tc>
          <w:tcPr>
            <w:tcW w:w="4100" w:type="dxa"/>
            <w:vAlign w:val="bottom"/>
            <w:gridSpan w:val="2"/>
          </w:tcPr>
          <w:p>
            <w:pPr>
              <w:ind w:left="800"/>
              <w:spacing w:after="0"/>
              <w:rPr>
                <w:sz w:val="20"/>
                <w:szCs w:val="20"/>
                <w:color w:val="auto"/>
              </w:rPr>
            </w:pPr>
            <w:r>
              <w:rPr>
                <w:rFonts w:ascii="Arial" w:cs="Arial" w:eastAsia="Arial" w:hAnsi="Arial"/>
                <w:sz w:val="19"/>
                <w:szCs w:val="19"/>
                <w:b w:val="1"/>
                <w:bCs w:val="1"/>
                <w:color w:val="auto"/>
              </w:rPr>
              <w:t>GM U.S. Country Of Sale</w:t>
            </w:r>
          </w:p>
        </w:tc>
      </w:tr>
      <w:tr>
        <w:trPr>
          <w:trHeight w:val="279"/>
        </w:trPr>
        <w:tc>
          <w:tcPr>
            <w:tcW w:w="1340" w:type="dxa"/>
            <w:vAlign w:val="bottom"/>
          </w:tcPr>
          <w:p>
            <w:pPr>
              <w:jc w:val="right"/>
              <w:ind w:right="346"/>
              <w:spacing w:after="0"/>
              <w:rPr>
                <w:sz w:val="20"/>
                <w:szCs w:val="20"/>
                <w:color w:val="auto"/>
              </w:rPr>
            </w:pPr>
            <w:r>
              <w:rPr>
                <w:rFonts w:ascii="Arial" w:cs="Arial" w:eastAsia="Arial" w:hAnsi="Arial"/>
                <w:sz w:val="19"/>
                <w:szCs w:val="19"/>
                <w:b w:val="1"/>
                <w:bCs w:val="1"/>
                <w:color w:val="auto"/>
              </w:rPr>
              <w:t>(000’s)</w:t>
            </w:r>
          </w:p>
        </w:tc>
        <w:tc>
          <w:tcPr>
            <w:tcW w:w="3640" w:type="dxa"/>
            <w:vAlign w:val="bottom"/>
          </w:tcPr>
          <w:p>
            <w:pPr>
              <w:ind w:left="2100"/>
              <w:spacing w:after="0"/>
              <w:rPr>
                <w:sz w:val="20"/>
                <w:szCs w:val="20"/>
                <w:color w:val="auto"/>
              </w:rPr>
            </w:pPr>
            <w:r>
              <w:rPr>
                <w:rFonts w:ascii="Arial" w:cs="Arial" w:eastAsia="Arial" w:hAnsi="Arial"/>
                <w:sz w:val="19"/>
                <w:szCs w:val="19"/>
                <w:b w:val="1"/>
                <w:bCs w:val="1"/>
                <w:color w:val="auto"/>
              </w:rPr>
              <w:t>Pickup Sales</w:t>
            </w:r>
          </w:p>
        </w:tc>
        <w:tc>
          <w:tcPr>
            <w:tcW w:w="2680" w:type="dxa"/>
            <w:vAlign w:val="bottom"/>
          </w:tcPr>
          <w:p>
            <w:pPr>
              <w:ind w:left="800"/>
              <w:spacing w:after="0"/>
              <w:rPr>
                <w:sz w:val="20"/>
                <w:szCs w:val="20"/>
                <w:color w:val="auto"/>
              </w:rPr>
            </w:pPr>
            <w:r>
              <w:rPr>
                <w:rFonts w:ascii="Arial" w:cs="Arial" w:eastAsia="Arial" w:hAnsi="Arial"/>
                <w:sz w:val="19"/>
                <w:szCs w:val="19"/>
                <w:b w:val="1"/>
                <w:bCs w:val="1"/>
                <w:color w:val="auto"/>
              </w:rPr>
              <w:t>F/S Pickup Capacity</w:t>
            </w: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U.S. Country of Sale Capacity* (000’s)</w:t>
      </w:r>
    </w:p>
    <w:p>
      <w:pPr>
        <w:spacing w:after="0" w:line="206" w:lineRule="exact"/>
        <w:rPr>
          <w:sz w:val="20"/>
          <w:szCs w:val="20"/>
          <w:color w:val="auto"/>
        </w:rPr>
      </w:pPr>
    </w:p>
    <w:p>
      <w:pPr>
        <w:ind w:left="200" w:right="420" w:firstLine="72"/>
        <w:spacing w:after="0" w:line="249" w:lineRule="auto"/>
        <w:tabs>
          <w:tab w:leader="none" w:pos="427" w:val="left"/>
        </w:tabs>
        <w:numPr>
          <w:ilvl w:val="0"/>
          <w:numId w:val="12"/>
        </w:numPr>
        <w:rPr>
          <w:rFonts w:ascii="Arial" w:cs="Arial" w:eastAsia="Arial" w:hAnsi="Arial"/>
          <w:sz w:val="19"/>
          <w:szCs w:val="19"/>
          <w:color w:val="auto"/>
        </w:rPr>
      </w:pPr>
      <w:r>
        <w:rPr>
          <w:rFonts w:ascii="Arial" w:cs="Arial" w:eastAsia="Arial" w:hAnsi="Arial"/>
          <w:sz w:val="19"/>
          <w:szCs w:val="19"/>
          <w:color w:val="auto"/>
        </w:rPr>
        <w:t>Plant Capacity 1,300</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9"/>
          <w:szCs w:val="19"/>
          <w:color w:val="auto"/>
        </w:rPr>
        <w:t>Normal</w:t>
      </w:r>
    </w:p>
    <w:p>
      <w:pPr>
        <w:spacing w:after="0" w:line="17" w:lineRule="exact"/>
        <w:rPr>
          <w:sz w:val="20"/>
          <w:szCs w:val="20"/>
          <w:color w:val="auto"/>
        </w:rPr>
      </w:pPr>
    </w:p>
    <w:p>
      <w:pPr>
        <w:ind w:left="200" w:right="420" w:firstLine="72"/>
        <w:spacing w:after="0" w:line="249" w:lineRule="auto"/>
        <w:tabs>
          <w:tab w:leader="none" w:pos="427" w:val="left"/>
        </w:tabs>
        <w:numPr>
          <w:ilvl w:val="0"/>
          <w:numId w:val="13"/>
        </w:numPr>
        <w:rPr>
          <w:rFonts w:ascii="Arial" w:cs="Arial" w:eastAsia="Arial" w:hAnsi="Arial"/>
          <w:sz w:val="19"/>
          <w:szCs w:val="19"/>
          <w:color w:val="auto"/>
        </w:rPr>
      </w:pPr>
      <w:r>
        <w:rPr>
          <w:rFonts w:ascii="Arial" w:cs="Arial" w:eastAsia="Arial" w:hAnsi="Arial"/>
          <w:sz w:val="19"/>
          <w:szCs w:val="19"/>
          <w:color w:val="auto"/>
        </w:rPr>
        <w:t>Plant Capacity ~780</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2012</w:t>
      </w:r>
    </w:p>
    <w:p>
      <w:pPr>
        <w:spacing w:after="0" w:line="5" w:lineRule="exact"/>
        <w:rPr>
          <w:sz w:val="20"/>
          <w:szCs w:val="20"/>
          <w:color w:val="auto"/>
        </w:rPr>
      </w:pPr>
    </w:p>
    <w:p>
      <w:pPr>
        <w:ind w:left="260" w:right="360" w:firstLine="48"/>
        <w:spacing w:after="0" w:line="256" w:lineRule="auto"/>
        <w:tabs>
          <w:tab w:leader="none" w:pos="464" w:val="left"/>
        </w:tabs>
        <w:numPr>
          <w:ilvl w:val="0"/>
          <w:numId w:val="14"/>
        </w:numPr>
        <w:rPr>
          <w:rFonts w:ascii="Arial" w:cs="Arial" w:eastAsia="Arial" w:hAnsi="Arial"/>
          <w:sz w:val="19"/>
          <w:szCs w:val="19"/>
          <w:color w:val="auto"/>
        </w:rPr>
      </w:pPr>
      <w:r>
        <w:rPr>
          <w:rFonts w:ascii="Arial" w:cs="Arial" w:eastAsia="Arial" w:hAnsi="Arial"/>
          <w:sz w:val="19"/>
          <w:szCs w:val="19"/>
          <w:color w:val="auto"/>
        </w:rPr>
        <w:t>Plant Capacity ~640</w:t>
      </w:r>
    </w:p>
    <w:p>
      <w:pPr>
        <w:spacing w:after="0" w:line="200" w:lineRule="exact"/>
        <w:rPr>
          <w:sz w:val="20"/>
          <w:szCs w:val="20"/>
          <w:color w:val="auto"/>
        </w:rPr>
      </w:pPr>
    </w:p>
    <w:p>
      <w:pPr>
        <w:sectPr>
          <w:pgSz w:w="11900" w:h="16838" w:orient="portrait"/>
          <w:cols w:equalWidth="0" w:num="2">
            <w:col w:w="9080" w:space="680"/>
            <w:col w:w="1360"/>
          </w:cols>
          <w:pgMar w:left="360" w:top="597" w:right="41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297"/>
        </w:trPr>
        <w:tc>
          <w:tcPr>
            <w:tcW w:w="6300" w:type="dxa"/>
            <w:vAlign w:val="bottom"/>
          </w:tcPr>
          <w:p>
            <w:pPr>
              <w:spacing w:after="0"/>
              <w:rPr>
                <w:sz w:val="20"/>
                <w:szCs w:val="20"/>
                <w:color w:val="auto"/>
              </w:rPr>
            </w:pPr>
            <w:r>
              <w:rPr>
                <w:rFonts w:ascii="Arial" w:cs="Arial" w:eastAsia="Arial" w:hAnsi="Arial"/>
                <w:sz w:val="19"/>
                <w:szCs w:val="19"/>
                <w:i w:val="1"/>
                <w:iCs w:val="1"/>
                <w:color w:val="auto"/>
              </w:rPr>
              <w:t>* Capacity on three-shift basis</w:t>
            </w:r>
          </w:p>
        </w:tc>
        <w:tc>
          <w:tcPr>
            <w:tcW w:w="400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bl>
    <w:p>
      <w:pPr>
        <w:sectPr>
          <w:pgSz w:w="11900" w:h="16838" w:orient="portrait"/>
          <w:cols w:equalWidth="0" w:num="1">
            <w:col w:w="11120"/>
          </w:cols>
          <w:pgMar w:left="360" w:top="597" w:right="419" w:bottom="1440" w:gutter="0" w:footer="0" w:header="0"/>
          <w:type w:val="continuous"/>
        </w:sectPr>
      </w:pPr>
    </w:p>
    <w:bookmarkStart w:id="32" w:name="page33"/>
    <w:bookmarkEnd w:id="32"/>
    <w:p>
      <w:pPr>
        <w:ind w:left="110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Info Item: GMNA EBIT-Adj (Sequential &amp; Y-o-Y)</w:t>
      </w:r>
    </w:p>
    <w:p>
      <w:pPr>
        <w:sectPr>
          <w:pgSz w:w="11900" w:h="16838" w:orient="portrait"/>
          <w:cols w:equalWidth="0" w:num="1">
            <w:col w:w="10440"/>
          </w:cols>
          <w:pgMar w:left="540" w:top="634"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EBIT-Adj.</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(prior period)</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$1.6B</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(Q2 2010)</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$2.1B</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(Q3 2010)</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$0.8B</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(Q4 2010)</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$1.3B</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(Q1 2011)</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$1.6B</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(Q2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jc w:val="right"/>
              <w:ind w:right="857"/>
              <w:spacing w:after="0"/>
              <w:rPr>
                <w:sz w:val="20"/>
                <w:szCs w:val="20"/>
                <w:color w:val="auto"/>
              </w:rPr>
            </w:pPr>
            <w:r>
              <w:rPr>
                <w:rFonts w:ascii="Arial" w:cs="Arial" w:eastAsia="Arial" w:hAnsi="Arial"/>
                <w:sz w:val="25"/>
                <w:szCs w:val="25"/>
                <w:color w:val="auto"/>
              </w:rPr>
              <w:t>($B)</w:t>
            </w:r>
          </w:p>
        </w:tc>
        <w:tc>
          <w:tcPr>
            <w:tcW w:w="1220" w:type="dxa"/>
            <w:vAlign w:val="bottom"/>
            <w:vMerge w:val="restart"/>
          </w:tcPr>
          <w:p>
            <w:pPr>
              <w:jc w:val="right"/>
              <w:ind w:right="317"/>
              <w:spacing w:after="0"/>
              <w:rPr>
                <w:sz w:val="20"/>
                <w:szCs w:val="20"/>
                <w:color w:val="auto"/>
              </w:rPr>
            </w:pPr>
            <w:r>
              <w:rPr>
                <w:rFonts w:ascii="Arial" w:cs="Arial" w:eastAsia="Arial" w:hAnsi="Arial"/>
                <w:sz w:val="25"/>
                <w:szCs w:val="25"/>
                <w:color w:val="auto"/>
              </w:rPr>
              <w:t>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120" w:type="dxa"/>
            <w:vAlign w:val="bottom"/>
          </w:tcPr>
          <w:p>
            <w:pPr>
              <w:jc w:val="center"/>
              <w:ind w:right="177"/>
              <w:spacing w:after="0"/>
              <w:rPr>
                <w:sz w:val="20"/>
                <w:szCs w:val="20"/>
                <w:color w:val="auto"/>
              </w:rPr>
            </w:pPr>
            <w:r>
              <w:rPr>
                <w:rFonts w:ascii="Arial" w:cs="Arial" w:eastAsia="Arial" w:hAnsi="Arial"/>
                <w:sz w:val="25"/>
                <w:szCs w:val="25"/>
                <w:color w:val="auto"/>
                <w:w w:val="96"/>
              </w:rPr>
              <w:t>Volume</w:t>
            </w:r>
          </w:p>
        </w:tc>
        <w:tc>
          <w:tcPr>
            <w:tcW w:w="1160" w:type="dxa"/>
            <w:vAlign w:val="bottom"/>
          </w:tcPr>
          <w:p>
            <w:pPr>
              <w:jc w:val="right"/>
              <w:ind w:right="277"/>
              <w:spacing w:after="0"/>
              <w:rPr>
                <w:sz w:val="20"/>
                <w:szCs w:val="20"/>
                <w:color w:val="auto"/>
              </w:rPr>
            </w:pPr>
            <w:r>
              <w:rPr>
                <w:rFonts w:ascii="Arial" w:cs="Arial" w:eastAsia="Arial" w:hAnsi="Arial"/>
                <w:sz w:val="25"/>
                <w:szCs w:val="25"/>
                <w:color w:val="auto"/>
              </w:rPr>
              <w:t>Mix</w:t>
            </w:r>
          </w:p>
        </w:tc>
        <w:tc>
          <w:tcPr>
            <w:tcW w:w="980" w:type="dxa"/>
            <w:vAlign w:val="bottom"/>
          </w:tcPr>
          <w:p>
            <w:pPr>
              <w:jc w:val="right"/>
              <w:spacing w:after="0"/>
              <w:rPr>
                <w:sz w:val="20"/>
                <w:szCs w:val="20"/>
                <w:color w:val="auto"/>
              </w:rPr>
            </w:pPr>
            <w:r>
              <w:rPr>
                <w:rFonts w:ascii="Arial" w:cs="Arial" w:eastAsia="Arial" w:hAnsi="Arial"/>
                <w:sz w:val="25"/>
                <w:szCs w:val="25"/>
                <w:color w:val="auto"/>
              </w:rPr>
              <w:t>Price</w:t>
            </w:r>
          </w:p>
        </w:tc>
        <w:tc>
          <w:tcPr>
            <w:tcW w:w="1520" w:type="dxa"/>
            <w:vAlign w:val="bottom"/>
          </w:tcPr>
          <w:p>
            <w:pPr>
              <w:jc w:val="right"/>
              <w:ind w:right="237"/>
              <w:spacing w:after="0"/>
              <w:rPr>
                <w:sz w:val="20"/>
                <w:szCs w:val="20"/>
                <w:color w:val="auto"/>
              </w:rPr>
            </w:pPr>
            <w:r>
              <w:rPr>
                <w:rFonts w:ascii="Arial" w:cs="Arial" w:eastAsia="Arial" w:hAnsi="Arial"/>
                <w:sz w:val="25"/>
                <w:szCs w:val="25"/>
                <w:color w:val="auto"/>
              </w:rPr>
              <w:t>Cost</w:t>
            </w:r>
          </w:p>
        </w:tc>
        <w:tc>
          <w:tcPr>
            <w:tcW w:w="1220" w:type="dxa"/>
            <w:vAlign w:val="bottom"/>
          </w:tcPr>
          <w:p>
            <w:pPr>
              <w:jc w:val="right"/>
              <w:ind w:right="217"/>
              <w:spacing w:after="0"/>
              <w:rPr>
                <w:sz w:val="20"/>
                <w:szCs w:val="20"/>
                <w:color w:val="auto"/>
              </w:rPr>
            </w:pPr>
            <w:r>
              <w:rPr>
                <w:rFonts w:ascii="Arial" w:cs="Arial" w:eastAsia="Arial" w:hAnsi="Arial"/>
                <w:sz w:val="25"/>
                <w:szCs w:val="25"/>
                <w:color w:val="auto"/>
              </w:rPr>
              <w:t>NML</w:t>
            </w:r>
          </w:p>
        </w:tc>
        <w:tc>
          <w:tcPr>
            <w:tcW w:w="940" w:type="dxa"/>
            <w:vAlign w:val="bottom"/>
          </w:tcPr>
          <w:p>
            <w:pPr>
              <w:jc w:val="right"/>
              <w:spacing w:after="0"/>
              <w:rPr>
                <w:sz w:val="20"/>
                <w:szCs w:val="20"/>
                <w:color w:val="auto"/>
              </w:rPr>
            </w:pPr>
            <w:r>
              <w:rPr>
                <w:rFonts w:ascii="Arial" w:cs="Arial" w:eastAsia="Arial" w:hAnsi="Arial"/>
                <w:sz w:val="25"/>
                <w:szCs w:val="25"/>
                <w:color w:val="auto"/>
              </w:rPr>
              <w:t>Other</w:t>
            </w:r>
          </w:p>
        </w:tc>
        <w:tc>
          <w:tcPr>
            <w:tcW w:w="0" w:type="dxa"/>
            <w:vAlign w:val="bottom"/>
          </w:tcPr>
          <w:p>
            <w:pPr>
              <w:spacing w:after="0"/>
              <w:rPr>
                <w:sz w:val="1"/>
                <w:szCs w:val="1"/>
                <w:color w:val="auto"/>
              </w:rPr>
            </w:pPr>
          </w:p>
        </w:tc>
      </w:tr>
      <w:tr>
        <w:trPr>
          <w:trHeight w:val="694"/>
        </w:trPr>
        <w:tc>
          <w:tcPr>
            <w:tcW w:w="1120" w:type="dxa"/>
            <w:vAlign w:val="bottom"/>
          </w:tcPr>
          <w:p>
            <w:pPr>
              <w:jc w:val="center"/>
              <w:ind w:right="177"/>
              <w:spacing w:after="0"/>
              <w:rPr>
                <w:sz w:val="20"/>
                <w:szCs w:val="20"/>
                <w:color w:val="auto"/>
              </w:rPr>
            </w:pPr>
            <w:r>
              <w:rPr>
                <w:rFonts w:ascii="Arial" w:cs="Arial" w:eastAsia="Arial" w:hAnsi="Arial"/>
                <w:sz w:val="25"/>
                <w:szCs w:val="25"/>
                <w:color w:val="auto"/>
                <w:w w:val="97"/>
              </w:rPr>
              <w:t>0.1</w:t>
            </w:r>
          </w:p>
        </w:tc>
        <w:tc>
          <w:tcPr>
            <w:tcW w:w="1160" w:type="dxa"/>
            <w:vAlign w:val="bottom"/>
          </w:tcPr>
          <w:p>
            <w:pPr>
              <w:jc w:val="right"/>
              <w:ind w:right="297"/>
              <w:spacing w:after="0"/>
              <w:rPr>
                <w:sz w:val="20"/>
                <w:szCs w:val="20"/>
                <w:color w:val="auto"/>
              </w:rPr>
            </w:pPr>
            <w:r>
              <w:rPr>
                <w:rFonts w:ascii="Arial" w:cs="Arial" w:eastAsia="Arial" w:hAnsi="Arial"/>
                <w:sz w:val="25"/>
                <w:szCs w:val="25"/>
                <w:color w:val="auto"/>
              </w:rPr>
              <w:t>0.2</w:t>
            </w:r>
          </w:p>
        </w:tc>
        <w:tc>
          <w:tcPr>
            <w:tcW w:w="980" w:type="dxa"/>
            <w:vAlign w:val="bottom"/>
          </w:tcPr>
          <w:p>
            <w:pPr>
              <w:jc w:val="right"/>
              <w:ind w:right="37"/>
              <w:spacing w:after="0"/>
              <w:rPr>
                <w:sz w:val="20"/>
                <w:szCs w:val="20"/>
                <w:color w:val="auto"/>
              </w:rPr>
            </w:pPr>
            <w:r>
              <w:rPr>
                <w:rFonts w:ascii="Arial" w:cs="Arial" w:eastAsia="Arial" w:hAnsi="Arial"/>
                <w:sz w:val="25"/>
                <w:szCs w:val="25"/>
                <w:color w:val="auto"/>
              </w:rPr>
              <w:t>0.6</w:t>
            </w:r>
          </w:p>
        </w:tc>
        <w:tc>
          <w:tcPr>
            <w:tcW w:w="1520" w:type="dxa"/>
            <w:vAlign w:val="bottom"/>
          </w:tcPr>
          <w:p>
            <w:pPr>
              <w:jc w:val="right"/>
              <w:ind w:right="317"/>
              <w:spacing w:after="0"/>
              <w:rPr>
                <w:sz w:val="20"/>
                <w:szCs w:val="20"/>
                <w:color w:val="auto"/>
              </w:rPr>
            </w:pPr>
            <w:r>
              <w:rPr>
                <w:rFonts w:ascii="Arial" w:cs="Arial" w:eastAsia="Arial" w:hAnsi="Arial"/>
                <w:sz w:val="25"/>
                <w:szCs w:val="25"/>
                <w:color w:val="auto"/>
              </w:rPr>
              <w:t>0.0</w:t>
            </w:r>
          </w:p>
        </w:tc>
        <w:tc>
          <w:tcPr>
            <w:tcW w:w="1220" w:type="dxa"/>
            <w:vAlign w:val="bottom"/>
          </w:tcPr>
          <w:p>
            <w:pPr>
              <w:jc w:val="right"/>
              <w:ind w:right="217"/>
              <w:spacing w:after="0"/>
              <w:rPr>
                <w:sz w:val="20"/>
                <w:szCs w:val="20"/>
                <w:color w:val="auto"/>
              </w:rPr>
            </w:pPr>
            <w:r>
              <w:rPr>
                <w:rFonts w:ascii="Arial" w:cs="Arial" w:eastAsia="Arial" w:hAnsi="Arial"/>
                <w:sz w:val="25"/>
                <w:szCs w:val="25"/>
                <w:color w:val="auto"/>
              </w:rPr>
              <w:t>(0.4)</w:t>
            </w:r>
          </w:p>
        </w:tc>
        <w:tc>
          <w:tcPr>
            <w:tcW w:w="940" w:type="dxa"/>
            <w:vAlign w:val="bottom"/>
          </w:tcPr>
          <w:p>
            <w:pPr>
              <w:jc w:val="right"/>
              <w:ind w:right="17"/>
              <w:spacing w:after="0"/>
              <w:rPr>
                <w:sz w:val="20"/>
                <w:szCs w:val="20"/>
                <w:color w:val="auto"/>
              </w:rPr>
            </w:pPr>
            <w:r>
              <w:rPr>
                <w:rFonts w:ascii="Arial" w:cs="Arial" w:eastAsia="Arial" w:hAnsi="Arial"/>
                <w:sz w:val="25"/>
                <w:szCs w:val="25"/>
                <w:color w:val="auto"/>
              </w:rPr>
              <w:t>0.0</w:t>
            </w:r>
          </w:p>
        </w:tc>
        <w:tc>
          <w:tcPr>
            <w:tcW w:w="0" w:type="dxa"/>
            <w:vAlign w:val="bottom"/>
          </w:tcPr>
          <w:p>
            <w:pPr>
              <w:spacing w:after="0"/>
              <w:rPr>
                <w:sz w:val="1"/>
                <w:szCs w:val="1"/>
                <w:color w:val="auto"/>
              </w:rPr>
            </w:pPr>
          </w:p>
        </w:tc>
      </w:tr>
      <w:tr>
        <w:trPr>
          <w:trHeight w:val="999"/>
        </w:trPr>
        <w:tc>
          <w:tcPr>
            <w:tcW w:w="1120" w:type="dxa"/>
            <w:vAlign w:val="bottom"/>
          </w:tcPr>
          <w:p>
            <w:pPr>
              <w:jc w:val="center"/>
              <w:ind w:right="177"/>
              <w:spacing w:after="0"/>
              <w:rPr>
                <w:sz w:val="20"/>
                <w:szCs w:val="20"/>
                <w:color w:val="auto"/>
              </w:rPr>
            </w:pPr>
            <w:r>
              <w:rPr>
                <w:rFonts w:ascii="Arial" w:cs="Arial" w:eastAsia="Arial" w:hAnsi="Arial"/>
                <w:sz w:val="25"/>
                <w:szCs w:val="25"/>
                <w:color w:val="auto"/>
                <w:w w:val="97"/>
              </w:rPr>
              <w:t>0.4</w:t>
            </w:r>
          </w:p>
        </w:tc>
        <w:tc>
          <w:tcPr>
            <w:tcW w:w="1160" w:type="dxa"/>
            <w:vAlign w:val="bottom"/>
          </w:tcPr>
          <w:p>
            <w:pPr>
              <w:jc w:val="right"/>
              <w:ind w:right="217"/>
              <w:spacing w:after="0"/>
              <w:rPr>
                <w:sz w:val="20"/>
                <w:szCs w:val="20"/>
                <w:color w:val="auto"/>
              </w:rPr>
            </w:pPr>
            <w:r>
              <w:rPr>
                <w:rFonts w:ascii="Arial" w:cs="Arial" w:eastAsia="Arial" w:hAnsi="Arial"/>
                <w:sz w:val="25"/>
                <w:szCs w:val="25"/>
                <w:color w:val="auto"/>
              </w:rPr>
              <w:t>(0.9)</w:t>
            </w:r>
          </w:p>
        </w:tc>
        <w:tc>
          <w:tcPr>
            <w:tcW w:w="980" w:type="dxa"/>
            <w:vAlign w:val="bottom"/>
          </w:tcPr>
          <w:p>
            <w:pPr>
              <w:jc w:val="right"/>
              <w:spacing w:after="0"/>
              <w:rPr>
                <w:sz w:val="20"/>
                <w:szCs w:val="20"/>
                <w:color w:val="auto"/>
              </w:rPr>
            </w:pPr>
            <w:r>
              <w:rPr>
                <w:rFonts w:ascii="Arial" w:cs="Arial" w:eastAsia="Arial" w:hAnsi="Arial"/>
                <w:sz w:val="25"/>
                <w:szCs w:val="25"/>
                <w:color w:val="auto"/>
              </w:rPr>
              <w:t>(0.3)</w:t>
            </w:r>
          </w:p>
        </w:tc>
        <w:tc>
          <w:tcPr>
            <w:tcW w:w="1520" w:type="dxa"/>
            <w:vAlign w:val="bottom"/>
          </w:tcPr>
          <w:p>
            <w:pPr>
              <w:jc w:val="right"/>
              <w:ind w:right="237"/>
              <w:spacing w:after="0"/>
              <w:rPr>
                <w:sz w:val="20"/>
                <w:szCs w:val="20"/>
                <w:color w:val="auto"/>
              </w:rPr>
            </w:pPr>
            <w:r>
              <w:rPr>
                <w:rFonts w:ascii="Arial" w:cs="Arial" w:eastAsia="Arial" w:hAnsi="Arial"/>
                <w:sz w:val="25"/>
                <w:szCs w:val="25"/>
                <w:color w:val="auto"/>
              </w:rPr>
              <w:t>(0.5)</w:t>
            </w:r>
          </w:p>
        </w:tc>
        <w:tc>
          <w:tcPr>
            <w:tcW w:w="1220" w:type="dxa"/>
            <w:vAlign w:val="bottom"/>
          </w:tcPr>
          <w:p>
            <w:pPr>
              <w:jc w:val="right"/>
              <w:ind w:right="317"/>
              <w:spacing w:after="0"/>
              <w:rPr>
                <w:sz w:val="20"/>
                <w:szCs w:val="20"/>
                <w:color w:val="auto"/>
              </w:rPr>
            </w:pPr>
            <w:r>
              <w:rPr>
                <w:rFonts w:ascii="Arial" w:cs="Arial" w:eastAsia="Arial" w:hAnsi="Arial"/>
                <w:sz w:val="25"/>
                <w:szCs w:val="25"/>
                <w:color w:val="auto"/>
              </w:rPr>
              <w:t>0.0</w:t>
            </w:r>
          </w:p>
        </w:tc>
        <w:tc>
          <w:tcPr>
            <w:tcW w:w="940" w:type="dxa"/>
            <w:vAlign w:val="bottom"/>
          </w:tcPr>
          <w:p>
            <w:pPr>
              <w:jc w:val="right"/>
              <w:ind w:right="17"/>
              <w:spacing w:after="0"/>
              <w:rPr>
                <w:sz w:val="20"/>
                <w:szCs w:val="20"/>
                <w:color w:val="auto"/>
              </w:rPr>
            </w:pPr>
            <w:r>
              <w:rPr>
                <w:rFonts w:ascii="Arial" w:cs="Arial" w:eastAsia="Arial" w:hAnsi="Arial"/>
                <w:sz w:val="25"/>
                <w:szCs w:val="25"/>
                <w:color w:val="auto"/>
              </w:rPr>
              <w:t>0.0</w:t>
            </w:r>
          </w:p>
        </w:tc>
        <w:tc>
          <w:tcPr>
            <w:tcW w:w="0" w:type="dxa"/>
            <w:vAlign w:val="bottom"/>
          </w:tcPr>
          <w:p>
            <w:pPr>
              <w:spacing w:after="0"/>
              <w:rPr>
                <w:sz w:val="1"/>
                <w:szCs w:val="1"/>
                <w:color w:val="auto"/>
              </w:rPr>
            </w:pPr>
          </w:p>
        </w:tc>
      </w:tr>
      <w:tr>
        <w:trPr>
          <w:trHeight w:val="988"/>
        </w:trPr>
        <w:tc>
          <w:tcPr>
            <w:tcW w:w="1120" w:type="dxa"/>
            <w:vAlign w:val="bottom"/>
          </w:tcPr>
          <w:p>
            <w:pPr>
              <w:jc w:val="center"/>
              <w:ind w:right="177"/>
              <w:spacing w:after="0"/>
              <w:rPr>
                <w:sz w:val="20"/>
                <w:szCs w:val="20"/>
                <w:color w:val="auto"/>
              </w:rPr>
            </w:pPr>
            <w:r>
              <w:rPr>
                <w:rFonts w:ascii="Arial" w:cs="Arial" w:eastAsia="Arial" w:hAnsi="Arial"/>
                <w:sz w:val="25"/>
                <w:szCs w:val="25"/>
                <w:color w:val="auto"/>
                <w:w w:val="97"/>
              </w:rPr>
              <w:t>0.2</w:t>
            </w:r>
          </w:p>
        </w:tc>
        <w:tc>
          <w:tcPr>
            <w:tcW w:w="1160" w:type="dxa"/>
            <w:vAlign w:val="bottom"/>
          </w:tcPr>
          <w:p>
            <w:pPr>
              <w:jc w:val="right"/>
              <w:ind w:right="297"/>
              <w:spacing w:after="0"/>
              <w:rPr>
                <w:sz w:val="20"/>
                <w:szCs w:val="20"/>
                <w:color w:val="auto"/>
              </w:rPr>
            </w:pPr>
            <w:r>
              <w:rPr>
                <w:rFonts w:ascii="Arial" w:cs="Arial" w:eastAsia="Arial" w:hAnsi="Arial"/>
                <w:sz w:val="25"/>
                <w:szCs w:val="25"/>
                <w:color w:val="auto"/>
              </w:rPr>
              <w:t>0.1</w:t>
            </w:r>
          </w:p>
        </w:tc>
        <w:tc>
          <w:tcPr>
            <w:tcW w:w="980" w:type="dxa"/>
            <w:vAlign w:val="bottom"/>
          </w:tcPr>
          <w:p>
            <w:pPr>
              <w:jc w:val="right"/>
              <w:spacing w:after="0"/>
              <w:rPr>
                <w:sz w:val="20"/>
                <w:szCs w:val="20"/>
                <w:color w:val="auto"/>
              </w:rPr>
            </w:pPr>
            <w:r>
              <w:rPr>
                <w:rFonts w:ascii="Arial" w:cs="Arial" w:eastAsia="Arial" w:hAnsi="Arial"/>
                <w:sz w:val="25"/>
                <w:szCs w:val="25"/>
                <w:color w:val="auto"/>
              </w:rPr>
              <w:t>(0.1)</w:t>
            </w:r>
          </w:p>
        </w:tc>
        <w:tc>
          <w:tcPr>
            <w:tcW w:w="1520" w:type="dxa"/>
            <w:vAlign w:val="bottom"/>
          </w:tcPr>
          <w:p>
            <w:pPr>
              <w:jc w:val="right"/>
              <w:ind w:right="317"/>
              <w:spacing w:after="0"/>
              <w:rPr>
                <w:sz w:val="20"/>
                <w:szCs w:val="20"/>
                <w:color w:val="auto"/>
              </w:rPr>
            </w:pPr>
            <w:r>
              <w:rPr>
                <w:rFonts w:ascii="Arial" w:cs="Arial" w:eastAsia="Arial" w:hAnsi="Arial"/>
                <w:sz w:val="25"/>
                <w:szCs w:val="25"/>
                <w:color w:val="auto"/>
              </w:rPr>
              <w:t>0.2</w:t>
            </w:r>
          </w:p>
        </w:tc>
        <w:tc>
          <w:tcPr>
            <w:tcW w:w="1220" w:type="dxa"/>
            <w:vAlign w:val="bottom"/>
          </w:tcPr>
          <w:p>
            <w:pPr>
              <w:jc w:val="right"/>
              <w:ind w:right="317"/>
              <w:spacing w:after="0"/>
              <w:rPr>
                <w:sz w:val="20"/>
                <w:szCs w:val="20"/>
                <w:color w:val="auto"/>
              </w:rPr>
            </w:pPr>
            <w:r>
              <w:rPr>
                <w:rFonts w:ascii="Arial" w:cs="Arial" w:eastAsia="Arial" w:hAnsi="Arial"/>
                <w:sz w:val="25"/>
                <w:szCs w:val="25"/>
                <w:color w:val="auto"/>
              </w:rPr>
              <w:t>0.0</w:t>
            </w:r>
          </w:p>
        </w:tc>
        <w:tc>
          <w:tcPr>
            <w:tcW w:w="940" w:type="dxa"/>
            <w:vAlign w:val="bottom"/>
          </w:tcPr>
          <w:p>
            <w:pPr>
              <w:jc w:val="right"/>
              <w:ind w:right="17"/>
              <w:spacing w:after="0"/>
              <w:rPr>
                <w:sz w:val="20"/>
                <w:szCs w:val="20"/>
                <w:color w:val="auto"/>
              </w:rPr>
            </w:pPr>
            <w:r>
              <w:rPr>
                <w:rFonts w:ascii="Arial" w:cs="Arial" w:eastAsia="Arial" w:hAnsi="Arial"/>
                <w:sz w:val="25"/>
                <w:szCs w:val="25"/>
                <w:color w:val="auto"/>
              </w:rPr>
              <w:t>0.1</w:t>
            </w:r>
          </w:p>
        </w:tc>
        <w:tc>
          <w:tcPr>
            <w:tcW w:w="0" w:type="dxa"/>
            <w:vAlign w:val="bottom"/>
          </w:tcPr>
          <w:p>
            <w:pPr>
              <w:spacing w:after="0"/>
              <w:rPr>
                <w:sz w:val="1"/>
                <w:szCs w:val="1"/>
                <w:color w:val="auto"/>
              </w:rPr>
            </w:pPr>
          </w:p>
        </w:tc>
      </w:tr>
      <w:tr>
        <w:trPr>
          <w:trHeight w:val="988"/>
        </w:trPr>
        <w:tc>
          <w:tcPr>
            <w:tcW w:w="1120" w:type="dxa"/>
            <w:vAlign w:val="bottom"/>
          </w:tcPr>
          <w:p>
            <w:pPr>
              <w:jc w:val="center"/>
              <w:ind w:right="177"/>
              <w:spacing w:after="0"/>
              <w:rPr>
                <w:sz w:val="20"/>
                <w:szCs w:val="20"/>
                <w:color w:val="auto"/>
              </w:rPr>
            </w:pPr>
            <w:r>
              <w:rPr>
                <w:rFonts w:ascii="Arial" w:cs="Arial" w:eastAsia="Arial" w:hAnsi="Arial"/>
                <w:sz w:val="25"/>
                <w:szCs w:val="25"/>
                <w:color w:val="auto"/>
                <w:w w:val="97"/>
              </w:rPr>
              <w:t>0.0</w:t>
            </w:r>
          </w:p>
        </w:tc>
        <w:tc>
          <w:tcPr>
            <w:tcW w:w="1160" w:type="dxa"/>
            <w:vAlign w:val="bottom"/>
          </w:tcPr>
          <w:p>
            <w:pPr>
              <w:jc w:val="right"/>
              <w:ind w:right="297"/>
              <w:spacing w:after="0"/>
              <w:rPr>
                <w:sz w:val="20"/>
                <w:szCs w:val="20"/>
                <w:color w:val="auto"/>
              </w:rPr>
            </w:pPr>
            <w:r>
              <w:rPr>
                <w:rFonts w:ascii="Arial" w:cs="Arial" w:eastAsia="Arial" w:hAnsi="Arial"/>
                <w:sz w:val="25"/>
                <w:szCs w:val="25"/>
                <w:color w:val="auto"/>
              </w:rPr>
              <w:t>0.2</w:t>
            </w:r>
          </w:p>
        </w:tc>
        <w:tc>
          <w:tcPr>
            <w:tcW w:w="980" w:type="dxa"/>
            <w:vAlign w:val="bottom"/>
          </w:tcPr>
          <w:p>
            <w:pPr>
              <w:jc w:val="right"/>
              <w:ind w:right="37"/>
              <w:spacing w:after="0"/>
              <w:rPr>
                <w:sz w:val="20"/>
                <w:szCs w:val="20"/>
                <w:color w:val="auto"/>
              </w:rPr>
            </w:pPr>
            <w:r>
              <w:rPr>
                <w:rFonts w:ascii="Arial" w:cs="Arial" w:eastAsia="Arial" w:hAnsi="Arial"/>
                <w:sz w:val="25"/>
                <w:szCs w:val="25"/>
                <w:color w:val="auto"/>
              </w:rPr>
              <w:t>0.6</w:t>
            </w:r>
          </w:p>
        </w:tc>
        <w:tc>
          <w:tcPr>
            <w:tcW w:w="1520" w:type="dxa"/>
            <w:vAlign w:val="bottom"/>
          </w:tcPr>
          <w:p>
            <w:pPr>
              <w:jc w:val="right"/>
              <w:ind w:right="317"/>
              <w:spacing w:after="0"/>
              <w:rPr>
                <w:sz w:val="20"/>
                <w:szCs w:val="20"/>
                <w:color w:val="auto"/>
              </w:rPr>
            </w:pPr>
            <w:r>
              <w:rPr>
                <w:rFonts w:ascii="Arial" w:cs="Arial" w:eastAsia="Arial" w:hAnsi="Arial"/>
                <w:sz w:val="25"/>
                <w:szCs w:val="25"/>
                <w:color w:val="auto"/>
              </w:rPr>
              <w:t>0.0</w:t>
            </w:r>
          </w:p>
        </w:tc>
        <w:tc>
          <w:tcPr>
            <w:tcW w:w="1220" w:type="dxa"/>
            <w:vAlign w:val="bottom"/>
          </w:tcPr>
          <w:p>
            <w:pPr>
              <w:jc w:val="right"/>
              <w:ind w:right="317"/>
              <w:spacing w:after="0"/>
              <w:rPr>
                <w:sz w:val="20"/>
                <w:szCs w:val="20"/>
                <w:color w:val="auto"/>
              </w:rPr>
            </w:pPr>
            <w:r>
              <w:rPr>
                <w:rFonts w:ascii="Arial" w:cs="Arial" w:eastAsia="Arial" w:hAnsi="Arial"/>
                <w:sz w:val="25"/>
                <w:szCs w:val="25"/>
                <w:color w:val="auto"/>
              </w:rPr>
              <w:t>0.2</w:t>
            </w:r>
          </w:p>
        </w:tc>
        <w:tc>
          <w:tcPr>
            <w:tcW w:w="940" w:type="dxa"/>
            <w:vAlign w:val="bottom"/>
          </w:tcPr>
          <w:p>
            <w:pPr>
              <w:jc w:val="right"/>
              <w:spacing w:after="0"/>
              <w:rPr>
                <w:sz w:val="20"/>
                <w:szCs w:val="20"/>
                <w:color w:val="auto"/>
              </w:rPr>
            </w:pPr>
            <w:r>
              <w:rPr>
                <w:rFonts w:ascii="Arial" w:cs="Arial" w:eastAsia="Arial" w:hAnsi="Arial"/>
                <w:sz w:val="25"/>
                <w:szCs w:val="25"/>
                <w:color w:val="auto"/>
              </w:rPr>
              <w:t>(0.1)</w:t>
            </w:r>
          </w:p>
        </w:tc>
        <w:tc>
          <w:tcPr>
            <w:tcW w:w="0" w:type="dxa"/>
            <w:vAlign w:val="bottom"/>
          </w:tcPr>
          <w:p>
            <w:pPr>
              <w:spacing w:after="0"/>
              <w:rPr>
                <w:sz w:val="1"/>
                <w:szCs w:val="1"/>
                <w:color w:val="auto"/>
              </w:rPr>
            </w:pPr>
          </w:p>
        </w:tc>
      </w:tr>
      <w:tr>
        <w:trPr>
          <w:trHeight w:val="999"/>
        </w:trPr>
        <w:tc>
          <w:tcPr>
            <w:tcW w:w="1120" w:type="dxa"/>
            <w:vAlign w:val="bottom"/>
          </w:tcPr>
          <w:p>
            <w:pPr>
              <w:jc w:val="center"/>
              <w:ind w:right="177"/>
              <w:spacing w:after="0"/>
              <w:rPr>
                <w:sz w:val="20"/>
                <w:szCs w:val="20"/>
                <w:color w:val="auto"/>
              </w:rPr>
            </w:pPr>
            <w:r>
              <w:rPr>
                <w:rFonts w:ascii="Arial" w:cs="Arial" w:eastAsia="Arial" w:hAnsi="Arial"/>
                <w:sz w:val="25"/>
                <w:szCs w:val="25"/>
                <w:color w:val="auto"/>
                <w:w w:val="97"/>
              </w:rPr>
              <w:t>0.6</w:t>
            </w:r>
          </w:p>
        </w:tc>
        <w:tc>
          <w:tcPr>
            <w:tcW w:w="1160" w:type="dxa"/>
            <w:vAlign w:val="bottom"/>
          </w:tcPr>
          <w:p>
            <w:pPr>
              <w:jc w:val="right"/>
              <w:ind w:right="217"/>
              <w:spacing w:after="0"/>
              <w:rPr>
                <w:sz w:val="20"/>
                <w:szCs w:val="20"/>
                <w:color w:val="auto"/>
              </w:rPr>
            </w:pPr>
            <w:r>
              <w:rPr>
                <w:rFonts w:ascii="Arial" w:cs="Arial" w:eastAsia="Arial" w:hAnsi="Arial"/>
                <w:sz w:val="25"/>
                <w:szCs w:val="25"/>
                <w:color w:val="auto"/>
              </w:rPr>
              <w:t>(0.3)</w:t>
            </w:r>
          </w:p>
        </w:tc>
        <w:tc>
          <w:tcPr>
            <w:tcW w:w="980" w:type="dxa"/>
            <w:vAlign w:val="bottom"/>
          </w:tcPr>
          <w:p>
            <w:pPr>
              <w:jc w:val="right"/>
              <w:ind w:right="37"/>
              <w:spacing w:after="0"/>
              <w:rPr>
                <w:sz w:val="20"/>
                <w:szCs w:val="20"/>
                <w:color w:val="auto"/>
              </w:rPr>
            </w:pPr>
            <w:r>
              <w:rPr>
                <w:rFonts w:ascii="Arial" w:cs="Arial" w:eastAsia="Arial" w:hAnsi="Arial"/>
                <w:sz w:val="25"/>
                <w:szCs w:val="25"/>
                <w:color w:val="auto"/>
              </w:rPr>
              <w:t>0.8</w:t>
            </w:r>
          </w:p>
        </w:tc>
        <w:tc>
          <w:tcPr>
            <w:tcW w:w="1520" w:type="dxa"/>
            <w:vAlign w:val="bottom"/>
          </w:tcPr>
          <w:p>
            <w:pPr>
              <w:jc w:val="right"/>
              <w:ind w:right="237"/>
              <w:spacing w:after="0"/>
              <w:rPr>
                <w:sz w:val="20"/>
                <w:szCs w:val="20"/>
                <w:color w:val="auto"/>
              </w:rPr>
            </w:pPr>
            <w:r>
              <w:rPr>
                <w:rFonts w:ascii="Arial" w:cs="Arial" w:eastAsia="Arial" w:hAnsi="Arial"/>
                <w:sz w:val="25"/>
                <w:szCs w:val="25"/>
                <w:color w:val="auto"/>
              </w:rPr>
              <w:t>(0.2)</w:t>
            </w:r>
          </w:p>
        </w:tc>
        <w:tc>
          <w:tcPr>
            <w:tcW w:w="1220" w:type="dxa"/>
            <w:vAlign w:val="bottom"/>
          </w:tcPr>
          <w:p>
            <w:pPr>
              <w:jc w:val="right"/>
              <w:ind w:right="217"/>
              <w:spacing w:after="0"/>
              <w:rPr>
                <w:sz w:val="20"/>
                <w:szCs w:val="20"/>
                <w:color w:val="auto"/>
              </w:rPr>
            </w:pPr>
            <w:r>
              <w:rPr>
                <w:rFonts w:ascii="Arial" w:cs="Arial" w:eastAsia="Arial" w:hAnsi="Arial"/>
                <w:sz w:val="25"/>
                <w:szCs w:val="25"/>
                <w:color w:val="auto"/>
              </w:rPr>
              <w:t>(0.2)</w:t>
            </w:r>
          </w:p>
        </w:tc>
        <w:tc>
          <w:tcPr>
            <w:tcW w:w="940" w:type="dxa"/>
            <w:vAlign w:val="bottom"/>
          </w:tcPr>
          <w:p>
            <w:pPr>
              <w:jc w:val="right"/>
              <w:spacing w:after="0"/>
              <w:rPr>
                <w:sz w:val="20"/>
                <w:szCs w:val="20"/>
                <w:color w:val="auto"/>
              </w:rPr>
            </w:pPr>
            <w:r>
              <w:rPr>
                <w:rFonts w:ascii="Arial" w:cs="Arial" w:eastAsia="Arial" w:hAnsi="Arial"/>
                <w:sz w:val="25"/>
                <w:szCs w:val="25"/>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EBIT-Adj.</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period)</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$2.1B</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(Q3 2010)</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$0.8B</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(Q4 2010)</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$1.3B</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(Q1 2011)</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$2.2B</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(Q2 2011)</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$2.2B</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(Q2 2011)</w:t>
      </w:r>
    </w:p>
    <w:p>
      <w:pPr>
        <w:spacing w:after="0" w:line="200" w:lineRule="exact"/>
        <w:rPr>
          <w:sz w:val="20"/>
          <w:szCs w:val="20"/>
          <w:color w:val="auto"/>
        </w:rPr>
      </w:pPr>
    </w:p>
    <w:p>
      <w:pPr>
        <w:sectPr>
          <w:pgSz w:w="11900" w:h="16838" w:orient="portrait"/>
          <w:cols w:equalWidth="0" w:num="3">
            <w:col w:w="1120" w:space="520"/>
            <w:col w:w="6940" w:space="560"/>
            <w:col w:w="1300"/>
          </w:cols>
          <w:pgMar w:left="540" w:top="634"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6840" w:type="dxa"/>
            <w:vAlign w:val="bottom"/>
          </w:tcPr>
          <w:p>
            <w:pPr>
              <w:spacing w:after="0"/>
              <w:rPr>
                <w:sz w:val="20"/>
                <w:szCs w:val="20"/>
                <w:color w:val="auto"/>
              </w:rPr>
            </w:pPr>
            <w:r>
              <w:rPr>
                <w:rFonts w:ascii="Arial" w:cs="Arial" w:eastAsia="Arial" w:hAnsi="Arial"/>
                <w:sz w:val="19"/>
                <w:szCs w:val="19"/>
                <w:i w:val="1"/>
                <w:iCs w:val="1"/>
                <w:color w:val="auto"/>
              </w:rPr>
              <w:t>Note: Results may not foot due to rounding</w:t>
            </w:r>
          </w:p>
        </w:tc>
        <w:tc>
          <w:tcPr>
            <w:tcW w:w="3460" w:type="dxa"/>
            <w:vAlign w:val="bottom"/>
          </w:tcPr>
          <w:p>
            <w:pPr>
              <w:jc w:val="right"/>
              <w:spacing w:after="0"/>
              <w:rPr>
                <w:sz w:val="20"/>
                <w:szCs w:val="20"/>
                <w:color w:val="auto"/>
              </w:rPr>
            </w:pPr>
            <w:r>
              <w:rPr>
                <w:rFonts w:ascii="Arial" w:cs="Arial" w:eastAsia="Arial" w:hAnsi="Arial"/>
                <w:sz w:val="19"/>
                <w:szCs w:val="19"/>
                <w:b w:val="1"/>
                <w:bCs w:val="1"/>
                <w:color w:val="auto"/>
              </w:rPr>
              <w:t>16</w:t>
            </w:r>
          </w:p>
        </w:tc>
      </w:tr>
    </w:tbl>
    <w:p>
      <w:pPr>
        <w:sectPr>
          <w:pgSz w:w="11900" w:h="16838" w:orient="portrait"/>
          <w:cols w:equalWidth="0" w:num="1">
            <w:col w:w="10440"/>
          </w:cols>
          <w:pgMar w:left="540" w:top="634" w:right="919" w:bottom="1440" w:gutter="0" w:footer="0" w:header="0"/>
          <w:type w:val="continuous"/>
        </w:sectPr>
      </w:pPr>
    </w:p>
    <w:bookmarkStart w:id="33" w:name="page34"/>
    <w:bookmarkEnd w:id="33"/>
    <w:p>
      <w:pPr>
        <w:ind w:left="11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67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367655"/>
                    </a:xfrm>
                    <a:prstGeom prst="rect">
                      <a:avLst/>
                    </a:prstGeom>
                    <a:noFill/>
                  </pic:spPr>
                </pic:pic>
              </a:graphicData>
            </a:graphic>
          </wp:anchor>
        </w:drawing>
        <w:t>GME Deliveries</w:t>
      </w:r>
    </w:p>
    <w:p>
      <w:pPr>
        <w:spacing w:after="0" w:line="382" w:lineRule="exact"/>
        <w:rPr>
          <w:sz w:val="20"/>
          <w:szCs w:val="20"/>
          <w:color w:val="auto"/>
        </w:rPr>
      </w:pPr>
    </w:p>
    <w:p>
      <w:pPr>
        <w:ind w:left="640"/>
        <w:spacing w:after="0"/>
        <w:rPr>
          <w:sz w:val="20"/>
          <w:szCs w:val="20"/>
          <w:color w:val="auto"/>
        </w:rPr>
      </w:pPr>
      <w:r>
        <w:rPr>
          <w:rFonts w:ascii="Arial" w:cs="Arial" w:eastAsia="Arial" w:hAnsi="Arial"/>
          <w:sz w:val="25"/>
          <w:szCs w:val="25"/>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400"/>
        <w:spacing w:after="0"/>
        <w:rPr>
          <w:sz w:val="20"/>
          <w:szCs w:val="20"/>
          <w:color w:val="auto"/>
        </w:rPr>
      </w:pPr>
      <w:r>
        <w:rPr>
          <w:rFonts w:ascii="Arial" w:cs="Arial" w:eastAsia="Arial" w:hAnsi="Arial"/>
          <w:sz w:val="22"/>
          <w:szCs w:val="22"/>
          <w:b w:val="1"/>
          <w:bCs w:val="1"/>
          <w:color w:val="auto"/>
        </w:rPr>
        <w:t>Chevrolet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GME Excl.</w:t>
      </w:r>
    </w:p>
    <w:p>
      <w:pPr>
        <w:spacing w:after="0" w:line="34" w:lineRule="exact"/>
        <w:rPr>
          <w:sz w:val="20"/>
          <w:szCs w:val="20"/>
          <w:color w:val="auto"/>
        </w:rPr>
      </w:pPr>
    </w:p>
    <w:p>
      <w:pPr>
        <w:ind w:left="9440"/>
        <w:spacing w:after="0"/>
        <w:rPr>
          <w:sz w:val="20"/>
          <w:szCs w:val="20"/>
          <w:color w:val="auto"/>
        </w:rPr>
      </w:pPr>
      <w:r>
        <w:rPr>
          <w:rFonts w:ascii="Arial" w:cs="Arial" w:eastAsia="Arial" w:hAnsi="Arial"/>
          <w:sz w:val="22"/>
          <w:szCs w:val="22"/>
          <w:b w:val="1"/>
          <w:bCs w:val="1"/>
          <w:color w:val="auto"/>
        </w:rPr>
        <w:t>Chevrolet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00" w:type="dxa"/>
            <w:vAlign w:val="bottom"/>
          </w:tcPr>
          <w:p>
            <w:pPr>
              <w:spacing w:after="0"/>
              <w:rPr>
                <w:sz w:val="20"/>
                <w:szCs w:val="20"/>
                <w:color w:val="auto"/>
              </w:rPr>
            </w:pPr>
            <w:r>
              <w:rPr>
                <w:rFonts w:ascii="Arial" w:cs="Arial" w:eastAsia="Arial" w:hAnsi="Arial"/>
                <w:sz w:val="22"/>
                <w:szCs w:val="22"/>
                <w:b w:val="1"/>
                <w:bCs w:val="1"/>
                <w:color w:val="auto"/>
              </w:rPr>
              <w:t>GME Share</w:t>
            </w:r>
          </w:p>
        </w:tc>
        <w:tc>
          <w:tcPr>
            <w:tcW w:w="1340" w:type="dxa"/>
            <w:vAlign w:val="bottom"/>
          </w:tcPr>
          <w:p>
            <w:pPr>
              <w:jc w:val="center"/>
              <w:ind w:right="128"/>
              <w:spacing w:after="0"/>
              <w:rPr>
                <w:sz w:val="20"/>
                <w:szCs w:val="20"/>
                <w:color w:val="auto"/>
              </w:rPr>
            </w:pPr>
            <w:r>
              <w:rPr>
                <w:rFonts w:ascii="Arial" w:cs="Arial" w:eastAsia="Arial" w:hAnsi="Arial"/>
                <w:sz w:val="22"/>
                <w:szCs w:val="22"/>
                <w:b w:val="1"/>
                <w:bCs w:val="1"/>
                <w:color w:val="auto"/>
                <w:w w:val="99"/>
              </w:rPr>
              <w:t>8.8%</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8.9%</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99"/>
              </w:rPr>
              <w:t>9.0%</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99"/>
              </w:rPr>
              <w:t>8.5%</w:t>
            </w:r>
          </w:p>
        </w:tc>
        <w:tc>
          <w:tcPr>
            <w:tcW w:w="1100" w:type="dxa"/>
            <w:vAlign w:val="bottom"/>
          </w:tcPr>
          <w:p>
            <w:pPr>
              <w:jc w:val="center"/>
              <w:ind w:left="348"/>
              <w:spacing w:after="0"/>
              <w:rPr>
                <w:sz w:val="20"/>
                <w:szCs w:val="20"/>
                <w:color w:val="auto"/>
              </w:rPr>
            </w:pPr>
            <w:r>
              <w:rPr>
                <w:rFonts w:ascii="Arial" w:cs="Arial" w:eastAsia="Arial" w:hAnsi="Arial"/>
                <w:sz w:val="22"/>
                <w:szCs w:val="22"/>
                <w:b w:val="1"/>
                <w:bCs w:val="1"/>
                <w:color w:val="auto"/>
              </w:rPr>
              <w:t>9.1%</w:t>
            </w:r>
          </w:p>
        </w:tc>
      </w:tr>
      <w:tr>
        <w:trPr>
          <w:trHeight w:val="376"/>
        </w:trPr>
        <w:tc>
          <w:tcPr>
            <w:tcW w:w="1800" w:type="dxa"/>
            <w:vAlign w:val="bottom"/>
          </w:tcPr>
          <w:p>
            <w:pPr>
              <w:spacing w:after="0"/>
              <w:rPr>
                <w:sz w:val="20"/>
                <w:szCs w:val="20"/>
                <w:color w:val="auto"/>
              </w:rPr>
            </w:pPr>
            <w:r>
              <w:rPr>
                <w:rFonts w:ascii="Arial" w:cs="Arial" w:eastAsia="Arial" w:hAnsi="Arial"/>
                <w:sz w:val="22"/>
                <w:szCs w:val="22"/>
                <w:color w:val="auto"/>
              </w:rPr>
              <w:t>Germany Share</w:t>
            </w:r>
          </w:p>
        </w:tc>
        <w:tc>
          <w:tcPr>
            <w:tcW w:w="1340" w:type="dxa"/>
            <w:vAlign w:val="bottom"/>
          </w:tcPr>
          <w:p>
            <w:pPr>
              <w:jc w:val="center"/>
              <w:ind w:right="128"/>
              <w:spacing w:after="0"/>
              <w:rPr>
                <w:sz w:val="20"/>
                <w:szCs w:val="20"/>
                <w:color w:val="auto"/>
              </w:rPr>
            </w:pPr>
            <w:r>
              <w:rPr>
                <w:rFonts w:ascii="Arial" w:cs="Arial" w:eastAsia="Arial" w:hAnsi="Arial"/>
                <w:sz w:val="22"/>
                <w:szCs w:val="22"/>
                <w:color w:val="auto"/>
                <w:w w:val="99"/>
              </w:rPr>
              <w:t>8.0%</w:t>
            </w:r>
          </w:p>
        </w:tc>
        <w:tc>
          <w:tcPr>
            <w:tcW w:w="1580" w:type="dxa"/>
            <w:vAlign w:val="bottom"/>
          </w:tcPr>
          <w:p>
            <w:pPr>
              <w:jc w:val="center"/>
              <w:spacing w:after="0"/>
              <w:rPr>
                <w:sz w:val="20"/>
                <w:szCs w:val="20"/>
                <w:color w:val="auto"/>
              </w:rPr>
            </w:pPr>
            <w:r>
              <w:rPr>
                <w:rFonts w:ascii="Arial" w:cs="Arial" w:eastAsia="Arial" w:hAnsi="Arial"/>
                <w:sz w:val="22"/>
                <w:szCs w:val="22"/>
                <w:color w:val="auto"/>
              </w:rPr>
              <w:t>8.5%</w:t>
            </w:r>
          </w:p>
        </w:tc>
        <w:tc>
          <w:tcPr>
            <w:tcW w:w="1580" w:type="dxa"/>
            <w:vAlign w:val="bottom"/>
          </w:tcPr>
          <w:p>
            <w:pPr>
              <w:jc w:val="center"/>
              <w:spacing w:after="0"/>
              <w:rPr>
                <w:sz w:val="20"/>
                <w:szCs w:val="20"/>
                <w:color w:val="auto"/>
              </w:rPr>
            </w:pPr>
            <w:r>
              <w:rPr>
                <w:rFonts w:ascii="Arial" w:cs="Arial" w:eastAsia="Arial" w:hAnsi="Arial"/>
                <w:sz w:val="22"/>
                <w:szCs w:val="22"/>
                <w:color w:val="auto"/>
                <w:w w:val="99"/>
              </w:rPr>
              <w:t>9.0%</w:t>
            </w:r>
          </w:p>
        </w:tc>
        <w:tc>
          <w:tcPr>
            <w:tcW w:w="1580" w:type="dxa"/>
            <w:vAlign w:val="bottom"/>
          </w:tcPr>
          <w:p>
            <w:pPr>
              <w:jc w:val="center"/>
              <w:spacing w:after="0"/>
              <w:rPr>
                <w:sz w:val="20"/>
                <w:szCs w:val="20"/>
                <w:color w:val="auto"/>
              </w:rPr>
            </w:pPr>
            <w:r>
              <w:rPr>
                <w:rFonts w:ascii="Arial" w:cs="Arial" w:eastAsia="Arial" w:hAnsi="Arial"/>
                <w:sz w:val="22"/>
                <w:szCs w:val="22"/>
                <w:color w:val="auto"/>
                <w:w w:val="99"/>
              </w:rPr>
              <w:t>8.2%</w:t>
            </w:r>
          </w:p>
        </w:tc>
        <w:tc>
          <w:tcPr>
            <w:tcW w:w="1100" w:type="dxa"/>
            <w:vAlign w:val="bottom"/>
          </w:tcPr>
          <w:p>
            <w:pPr>
              <w:jc w:val="center"/>
              <w:ind w:left="348"/>
              <w:spacing w:after="0"/>
              <w:rPr>
                <w:sz w:val="20"/>
                <w:szCs w:val="20"/>
                <w:color w:val="auto"/>
              </w:rPr>
            </w:pPr>
            <w:r>
              <w:rPr>
                <w:rFonts w:ascii="Arial" w:cs="Arial" w:eastAsia="Arial" w:hAnsi="Arial"/>
                <w:sz w:val="22"/>
                <w:szCs w:val="22"/>
                <w:color w:val="auto"/>
              </w:rPr>
              <w:t>8.9%</w:t>
            </w:r>
          </w:p>
        </w:tc>
      </w:tr>
      <w:tr>
        <w:trPr>
          <w:trHeight w:val="376"/>
        </w:trPr>
        <w:tc>
          <w:tcPr>
            <w:tcW w:w="1800" w:type="dxa"/>
            <w:vAlign w:val="bottom"/>
          </w:tcPr>
          <w:p>
            <w:pPr>
              <w:spacing w:after="0"/>
              <w:rPr>
                <w:sz w:val="20"/>
                <w:szCs w:val="20"/>
                <w:color w:val="auto"/>
              </w:rPr>
            </w:pPr>
            <w:r>
              <w:rPr>
                <w:rFonts w:ascii="Arial" w:cs="Arial" w:eastAsia="Arial" w:hAnsi="Arial"/>
                <w:sz w:val="22"/>
                <w:szCs w:val="22"/>
                <w:color w:val="auto"/>
              </w:rPr>
              <w:t>U.K. Share</w:t>
            </w:r>
          </w:p>
        </w:tc>
        <w:tc>
          <w:tcPr>
            <w:tcW w:w="1340" w:type="dxa"/>
            <w:vAlign w:val="bottom"/>
          </w:tcPr>
          <w:p>
            <w:pPr>
              <w:jc w:val="center"/>
              <w:ind w:right="148"/>
              <w:spacing w:after="0"/>
              <w:rPr>
                <w:sz w:val="20"/>
                <w:szCs w:val="20"/>
                <w:color w:val="auto"/>
              </w:rPr>
            </w:pPr>
            <w:r>
              <w:rPr>
                <w:rFonts w:ascii="Arial" w:cs="Arial" w:eastAsia="Arial" w:hAnsi="Arial"/>
                <w:sz w:val="22"/>
                <w:szCs w:val="22"/>
                <w:color w:val="auto"/>
              </w:rPr>
              <w:t>13.8%</w:t>
            </w:r>
          </w:p>
        </w:tc>
        <w:tc>
          <w:tcPr>
            <w:tcW w:w="1580" w:type="dxa"/>
            <w:vAlign w:val="bottom"/>
          </w:tcPr>
          <w:p>
            <w:pPr>
              <w:jc w:val="center"/>
              <w:spacing w:after="0"/>
              <w:rPr>
                <w:sz w:val="20"/>
                <w:szCs w:val="20"/>
                <w:color w:val="auto"/>
              </w:rPr>
            </w:pPr>
            <w:r>
              <w:rPr>
                <w:rFonts w:ascii="Arial" w:cs="Arial" w:eastAsia="Arial" w:hAnsi="Arial"/>
                <w:sz w:val="22"/>
                <w:szCs w:val="22"/>
                <w:color w:val="auto"/>
              </w:rPr>
              <w:t>12.6%</w:t>
            </w:r>
          </w:p>
        </w:tc>
        <w:tc>
          <w:tcPr>
            <w:tcW w:w="1580" w:type="dxa"/>
            <w:vAlign w:val="bottom"/>
          </w:tcPr>
          <w:p>
            <w:pPr>
              <w:jc w:val="center"/>
              <w:spacing w:after="0"/>
              <w:rPr>
                <w:sz w:val="20"/>
                <w:szCs w:val="20"/>
                <w:color w:val="auto"/>
              </w:rPr>
            </w:pPr>
            <w:r>
              <w:rPr>
                <w:rFonts w:ascii="Arial" w:cs="Arial" w:eastAsia="Arial" w:hAnsi="Arial"/>
                <w:sz w:val="22"/>
                <w:szCs w:val="22"/>
                <w:color w:val="auto"/>
              </w:rPr>
              <w:t>12.4%</w:t>
            </w:r>
          </w:p>
        </w:tc>
        <w:tc>
          <w:tcPr>
            <w:tcW w:w="1580" w:type="dxa"/>
            <w:vAlign w:val="bottom"/>
          </w:tcPr>
          <w:p>
            <w:pPr>
              <w:jc w:val="center"/>
              <w:spacing w:after="0"/>
              <w:rPr>
                <w:sz w:val="20"/>
                <w:szCs w:val="20"/>
                <w:color w:val="auto"/>
              </w:rPr>
            </w:pPr>
            <w:r>
              <w:rPr>
                <w:rFonts w:ascii="Arial" w:cs="Arial" w:eastAsia="Arial" w:hAnsi="Arial"/>
                <w:sz w:val="22"/>
                <w:szCs w:val="22"/>
                <w:color w:val="auto"/>
                <w:w w:val="99"/>
              </w:rPr>
              <w:t>12.6%</w:t>
            </w:r>
          </w:p>
        </w:tc>
        <w:tc>
          <w:tcPr>
            <w:tcW w:w="1100" w:type="dxa"/>
            <w:vAlign w:val="bottom"/>
          </w:tcPr>
          <w:p>
            <w:pPr>
              <w:jc w:val="center"/>
              <w:ind w:left="348"/>
              <w:spacing w:after="0"/>
              <w:rPr>
                <w:sz w:val="20"/>
                <w:szCs w:val="20"/>
                <w:color w:val="auto"/>
              </w:rPr>
            </w:pPr>
            <w:r>
              <w:rPr>
                <w:rFonts w:ascii="Arial" w:cs="Arial" w:eastAsia="Arial" w:hAnsi="Arial"/>
                <w:sz w:val="22"/>
                <w:szCs w:val="22"/>
                <w:color w:val="auto"/>
              </w:rPr>
              <w:t>13.3%</w:t>
            </w:r>
          </w:p>
        </w:tc>
      </w:tr>
    </w:tbl>
    <w:p>
      <w:pPr>
        <w:spacing w:after="0" w:line="191" w:lineRule="exact"/>
        <w:rPr>
          <w:sz w:val="20"/>
          <w:szCs w:val="20"/>
          <w:color w:val="auto"/>
        </w:rPr>
      </w:pPr>
    </w:p>
    <w:p>
      <w:pPr>
        <w:ind w:left="240" w:right="180"/>
        <w:spacing w:after="0" w:line="275" w:lineRule="auto"/>
        <w:rPr>
          <w:sz w:val="20"/>
          <w:szCs w:val="20"/>
          <w:color w:val="auto"/>
        </w:rPr>
      </w:pPr>
      <w:r>
        <w:rPr>
          <w:rFonts w:ascii="Arial" w:cs="Arial" w:eastAsia="Arial" w:hAnsi="Arial"/>
          <w:sz w:val="19"/>
          <w:szCs w:val="19"/>
          <w:i w:val="1"/>
          <w:iCs w:val="1"/>
          <w:color w:val="auto"/>
        </w:rPr>
        <w:t>GME deliveries and market share include unit sales of Chevrolets produced by GMIO and delivered to customers in GME. Revenue and associated costs of these unit sales are reported by GMIO</w:t>
      </w:r>
    </w:p>
    <w:p>
      <w:pPr>
        <w:spacing w:after="0" w:line="1" w:lineRule="exact"/>
        <w:rPr>
          <w:sz w:val="20"/>
          <w:szCs w:val="20"/>
          <w:color w:val="auto"/>
        </w:rPr>
      </w:pPr>
    </w:p>
    <w:p>
      <w:pPr>
        <w:ind w:left="10240"/>
        <w:spacing w:after="0"/>
        <w:rPr>
          <w:sz w:val="20"/>
          <w:szCs w:val="20"/>
          <w:color w:val="auto"/>
        </w:rPr>
      </w:pPr>
      <w:r>
        <w:rPr>
          <w:rFonts w:ascii="Arial" w:cs="Arial" w:eastAsia="Arial" w:hAnsi="Arial"/>
          <w:sz w:val="19"/>
          <w:szCs w:val="19"/>
          <w:b w:val="1"/>
          <w:bCs w:val="1"/>
          <w:color w:val="auto"/>
        </w:rPr>
        <w:t>17</w:t>
      </w:r>
    </w:p>
    <w:p>
      <w:pPr>
        <w:sectPr>
          <w:pgSz w:w="11900" w:h="16838" w:orient="portrait"/>
          <w:cols w:equalWidth="0" w:num="1">
            <w:col w:w="10540"/>
          </w:cols>
          <w:pgMar w:left="480" w:top="691" w:right="879" w:bottom="1440" w:gutter="0" w:footer="0" w:header="0"/>
        </w:sectPr>
      </w:pPr>
    </w:p>
    <w:bookmarkStart w:id="34" w:name="page35"/>
    <w:bookmarkEnd w:id="34"/>
    <w:p>
      <w:pPr>
        <w:ind w:left="96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GME Earnings Before Interest &amp; Taxes</w:t>
      </w:r>
    </w:p>
    <w:p>
      <w:pPr>
        <w:sectPr>
          <w:pgSz w:w="11900" w:h="16838" w:orient="portrait"/>
          <w:cols w:equalWidth="0" w:num="1">
            <w:col w:w="10220"/>
          </w:cols>
          <w:pgMar w:left="680" w:top="597" w:right="999" w:bottom="1440" w:gutter="0" w:footer="0" w:header="0"/>
        </w:sectPr>
      </w:pPr>
    </w:p>
    <w:p>
      <w:pPr>
        <w:spacing w:after="0" w:line="358" w:lineRule="exact"/>
        <w:rPr>
          <w:sz w:val="20"/>
          <w:szCs w:val="20"/>
          <w:color w:val="auto"/>
        </w:rPr>
      </w:pPr>
    </w:p>
    <w:p>
      <w:pPr>
        <w:ind w:left="1480"/>
        <w:spacing w:after="0"/>
        <w:rPr>
          <w:sz w:val="20"/>
          <w:szCs w:val="20"/>
          <w:color w:val="auto"/>
        </w:rPr>
      </w:pPr>
      <w:r>
        <w:rPr>
          <w:rFonts w:ascii="Arial" w:cs="Arial" w:eastAsia="Arial" w:hAnsi="Arial"/>
          <w:sz w:val="25"/>
          <w:szCs w:val="25"/>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300"/>
        <w:spacing w:after="0"/>
        <w:rPr>
          <w:sz w:val="20"/>
          <w:szCs w:val="20"/>
          <w:color w:val="auto"/>
        </w:rPr>
      </w:pPr>
      <w:r>
        <w:rPr>
          <w:rFonts w:ascii="Arial" w:cs="Arial" w:eastAsia="Arial" w:hAnsi="Arial"/>
          <w:sz w:val="25"/>
          <w:szCs w:val="25"/>
          <w:b w:val="1"/>
          <w:bCs w:val="1"/>
          <w:color w:val="auto"/>
        </w:rPr>
        <w:t>(0.2)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1040"/>
        <w:spacing w:after="0"/>
        <w:tabs>
          <w:tab w:leader="none" w:pos="320" w:val="left"/>
        </w:tabs>
        <w:rPr>
          <w:sz w:val="20"/>
          <w:szCs w:val="20"/>
          <w:color w:val="auto"/>
        </w:rPr>
      </w:pPr>
      <w:r>
        <w:rPr>
          <w:rFonts w:ascii="Arial" w:cs="Arial" w:eastAsia="Arial" w:hAnsi="Arial"/>
          <w:sz w:val="25"/>
          <w:szCs w:val="25"/>
          <w:b w:val="1"/>
          <w:bCs w:val="1"/>
          <w:color w:val="auto"/>
        </w:rPr>
        <w:t>0.0</w:t>
      </w:r>
      <w:r>
        <w:rPr>
          <w:sz w:val="20"/>
          <w:szCs w:val="20"/>
          <w:color w:val="auto"/>
        </w:rPr>
        <w:tab/>
      </w:r>
      <w:r>
        <w:rPr>
          <w:rFonts w:ascii="Arial" w:cs="Arial" w:eastAsia="Arial" w:hAnsi="Arial"/>
          <w:sz w:val="36"/>
          <w:szCs w:val="36"/>
          <w:b w:val="1"/>
          <w:bCs w:val="1"/>
          <w:color w:val="auto"/>
          <w:vertAlign w:val="subscript"/>
        </w:rPr>
        <w:t>0.1</w:t>
      </w:r>
    </w:p>
    <w:p>
      <w:pPr>
        <w:spacing w:after="0" w:line="10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EBIT-Adj.</w:t>
      </w:r>
    </w:p>
    <w:p>
      <w:pPr>
        <w:spacing w:after="0" w:line="335" w:lineRule="exact"/>
        <w:rPr>
          <w:sz w:val="20"/>
          <w:szCs w:val="20"/>
          <w:color w:val="auto"/>
        </w:rPr>
      </w:pPr>
    </w:p>
    <w:p>
      <w:pPr>
        <w:ind w:left="3100"/>
        <w:spacing w:after="0"/>
        <w:rPr>
          <w:sz w:val="20"/>
          <w:szCs w:val="20"/>
          <w:color w:val="auto"/>
        </w:rPr>
      </w:pPr>
      <w:r>
        <w:rPr>
          <w:rFonts w:ascii="Arial" w:cs="Arial" w:eastAsia="Arial" w:hAnsi="Arial"/>
          <w:sz w:val="25"/>
          <w:szCs w:val="25"/>
          <w:b w:val="1"/>
          <w:bCs w:val="1"/>
          <w:color w:val="auto"/>
        </w:rPr>
        <w:t>(0.4)</w:t>
      </w:r>
    </w:p>
    <w:p>
      <w:pPr>
        <w:spacing w:after="0"/>
        <w:tabs>
          <w:tab w:leader="none" w:pos="1520" w:val="left"/>
        </w:tabs>
        <w:rPr>
          <w:sz w:val="20"/>
          <w:szCs w:val="20"/>
          <w:color w:val="auto"/>
        </w:rPr>
      </w:pPr>
      <w:r>
        <w:rPr>
          <w:rFonts w:ascii="Arial" w:cs="Arial" w:eastAsia="Arial" w:hAnsi="Arial"/>
          <w:sz w:val="25"/>
          <w:szCs w:val="25"/>
          <w:b w:val="1"/>
          <w:bCs w:val="1"/>
          <w:color w:val="auto"/>
        </w:rPr>
        <w:t>(0.6)</w:t>
      </w:r>
      <w:r>
        <w:rPr>
          <w:sz w:val="20"/>
          <w:szCs w:val="20"/>
          <w:color w:val="auto"/>
        </w:rPr>
        <w:tab/>
      </w:r>
      <w:r>
        <w:rPr>
          <w:rFonts w:ascii="Arial" w:cs="Arial" w:eastAsia="Arial" w:hAnsi="Arial"/>
          <w:sz w:val="24"/>
          <w:szCs w:val="24"/>
          <w:b w:val="1"/>
          <w:bCs w:val="1"/>
          <w:color w:val="auto"/>
        </w:rPr>
        <w:t>(0.6)</w:t>
      </w:r>
    </w:p>
    <w:p>
      <w:pPr>
        <w:spacing w:after="0" w:line="200" w:lineRule="exact"/>
        <w:rPr>
          <w:sz w:val="20"/>
          <w:szCs w:val="20"/>
          <w:color w:val="auto"/>
        </w:rPr>
      </w:pPr>
    </w:p>
    <w:p>
      <w:pPr>
        <w:sectPr>
          <w:pgSz w:w="11900" w:h="16838" w:orient="portrait"/>
          <w:cols w:equalWidth="0" w:num="2">
            <w:col w:w="3420" w:space="720"/>
            <w:col w:w="6080"/>
          </w:cols>
          <w:pgMar w:left="680" w:top="59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60" w:type="dxa"/>
            <w:vAlign w:val="bottom"/>
          </w:tcPr>
          <w:p>
            <w:pPr>
              <w:spacing w:after="0"/>
              <w:rPr>
                <w:sz w:val="20"/>
                <w:szCs w:val="20"/>
                <w:color w:val="auto"/>
              </w:rPr>
            </w:pPr>
            <w:r>
              <w:rPr>
                <w:rFonts w:ascii="Arial" w:cs="Arial" w:eastAsia="Arial" w:hAnsi="Arial"/>
                <w:sz w:val="22"/>
                <w:szCs w:val="22"/>
                <w:b w:val="1"/>
                <w:bCs w:val="1"/>
                <w:color w:val="auto"/>
              </w:rPr>
              <w:t>Revenue ($B)</w:t>
            </w:r>
          </w:p>
        </w:tc>
        <w:tc>
          <w:tcPr>
            <w:tcW w:w="1400" w:type="dxa"/>
            <w:vAlign w:val="bottom"/>
          </w:tcPr>
          <w:p>
            <w:pPr>
              <w:jc w:val="right"/>
              <w:ind w:right="488"/>
              <w:spacing w:after="0"/>
              <w:rPr>
                <w:sz w:val="20"/>
                <w:szCs w:val="20"/>
                <w:color w:val="auto"/>
              </w:rPr>
            </w:pPr>
            <w:r>
              <w:rPr>
                <w:rFonts w:ascii="Arial" w:cs="Arial" w:eastAsia="Arial" w:hAnsi="Arial"/>
                <w:sz w:val="22"/>
                <w:szCs w:val="22"/>
                <w:b w:val="1"/>
                <w:bCs w:val="1"/>
                <w:color w:val="auto"/>
              </w:rPr>
              <w:t>6.0</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7"/>
              </w:rPr>
              <w:t>5.7</w:t>
            </w:r>
          </w:p>
        </w:tc>
        <w:tc>
          <w:tcPr>
            <w:tcW w:w="1580" w:type="dxa"/>
            <w:vAlign w:val="bottom"/>
          </w:tcPr>
          <w:p>
            <w:pPr>
              <w:jc w:val="right"/>
              <w:ind w:right="548"/>
              <w:spacing w:after="0"/>
              <w:rPr>
                <w:sz w:val="20"/>
                <w:szCs w:val="20"/>
                <w:color w:val="auto"/>
              </w:rPr>
            </w:pPr>
            <w:r>
              <w:rPr>
                <w:rFonts w:ascii="Arial" w:cs="Arial" w:eastAsia="Arial" w:hAnsi="Arial"/>
                <w:sz w:val="22"/>
                <w:szCs w:val="22"/>
                <w:b w:val="1"/>
                <w:bCs w:val="1"/>
                <w:color w:val="auto"/>
              </w:rPr>
              <w:t>6.9</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w w:val="97"/>
              </w:rPr>
              <w:t>6.9</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7.5</w:t>
            </w:r>
          </w:p>
        </w:tc>
      </w:tr>
      <w:tr>
        <w:trPr>
          <w:trHeight w:val="376"/>
        </w:trPr>
        <w:tc>
          <w:tcPr>
            <w:tcW w:w="2260" w:type="dxa"/>
            <w:vAlign w:val="bottom"/>
          </w:tcPr>
          <w:p>
            <w:pPr>
              <w:spacing w:after="0"/>
              <w:rPr>
                <w:sz w:val="20"/>
                <w:szCs w:val="20"/>
                <w:color w:val="auto"/>
              </w:rPr>
            </w:pPr>
            <w:r>
              <w:rPr>
                <w:rFonts w:ascii="Arial" w:cs="Arial" w:eastAsia="Arial" w:hAnsi="Arial"/>
                <w:sz w:val="22"/>
                <w:szCs w:val="22"/>
                <w:color w:val="auto"/>
              </w:rPr>
              <w:t>EBIT-Adj % Rev</w:t>
            </w:r>
          </w:p>
        </w:tc>
        <w:tc>
          <w:tcPr>
            <w:tcW w:w="1400" w:type="dxa"/>
            <w:vAlign w:val="bottom"/>
          </w:tcPr>
          <w:p>
            <w:pPr>
              <w:jc w:val="right"/>
              <w:ind w:right="308"/>
              <w:spacing w:after="0"/>
              <w:rPr>
                <w:sz w:val="20"/>
                <w:szCs w:val="20"/>
                <w:color w:val="auto"/>
              </w:rPr>
            </w:pPr>
            <w:r>
              <w:rPr>
                <w:rFonts w:ascii="Arial" w:cs="Arial" w:eastAsia="Arial" w:hAnsi="Arial"/>
                <w:sz w:val="22"/>
                <w:szCs w:val="22"/>
                <w:color w:val="auto"/>
              </w:rPr>
              <w:t>(2.6)%</w:t>
            </w:r>
          </w:p>
        </w:tc>
        <w:tc>
          <w:tcPr>
            <w:tcW w:w="1540" w:type="dxa"/>
            <w:vAlign w:val="bottom"/>
          </w:tcPr>
          <w:p>
            <w:pPr>
              <w:jc w:val="center"/>
              <w:spacing w:after="0"/>
              <w:rPr>
                <w:sz w:val="20"/>
                <w:szCs w:val="20"/>
                <w:color w:val="auto"/>
              </w:rPr>
            </w:pPr>
            <w:r>
              <w:rPr>
                <w:rFonts w:ascii="Arial" w:cs="Arial" w:eastAsia="Arial" w:hAnsi="Arial"/>
                <w:sz w:val="22"/>
                <w:szCs w:val="22"/>
                <w:color w:val="auto"/>
              </w:rPr>
              <w:t>(9.9)%</w:t>
            </w:r>
          </w:p>
        </w:tc>
        <w:tc>
          <w:tcPr>
            <w:tcW w:w="1580" w:type="dxa"/>
            <w:vAlign w:val="bottom"/>
          </w:tcPr>
          <w:p>
            <w:pPr>
              <w:jc w:val="right"/>
              <w:ind w:right="368"/>
              <w:spacing w:after="0"/>
              <w:rPr>
                <w:sz w:val="20"/>
                <w:szCs w:val="20"/>
                <w:color w:val="auto"/>
              </w:rPr>
            </w:pPr>
            <w:r>
              <w:rPr>
                <w:rFonts w:ascii="Arial" w:cs="Arial" w:eastAsia="Arial" w:hAnsi="Arial"/>
                <w:sz w:val="22"/>
                <w:szCs w:val="22"/>
                <w:color w:val="auto"/>
              </w:rPr>
              <w:t>(9.2)%</w:t>
            </w:r>
          </w:p>
        </w:tc>
        <w:tc>
          <w:tcPr>
            <w:tcW w:w="1480" w:type="dxa"/>
            <w:vAlign w:val="bottom"/>
          </w:tcPr>
          <w:p>
            <w:pPr>
              <w:jc w:val="center"/>
              <w:spacing w:after="0"/>
              <w:rPr>
                <w:sz w:val="20"/>
                <w:szCs w:val="20"/>
                <w:color w:val="auto"/>
              </w:rPr>
            </w:pPr>
            <w:r>
              <w:rPr>
                <w:rFonts w:ascii="Arial" w:cs="Arial" w:eastAsia="Arial" w:hAnsi="Arial"/>
                <w:sz w:val="22"/>
                <w:szCs w:val="22"/>
                <w:color w:val="auto"/>
              </w:rPr>
              <w:t>0.1%</w:t>
            </w:r>
          </w:p>
        </w:tc>
        <w:tc>
          <w:tcPr>
            <w:tcW w:w="10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76"/>
        </w:trPr>
        <w:tc>
          <w:tcPr>
            <w:tcW w:w="2260" w:type="dxa"/>
            <w:vAlign w:val="bottom"/>
          </w:tcPr>
          <w:p>
            <w:pPr>
              <w:spacing w:after="0"/>
              <w:rPr>
                <w:sz w:val="20"/>
                <w:szCs w:val="20"/>
                <w:color w:val="auto"/>
              </w:rPr>
            </w:pPr>
            <w:r>
              <w:rPr>
                <w:rFonts w:ascii="Arial" w:cs="Arial" w:eastAsia="Arial" w:hAnsi="Arial"/>
                <w:sz w:val="22"/>
                <w:szCs w:val="22"/>
                <w:b w:val="1"/>
                <w:bCs w:val="1"/>
                <w:color w:val="auto"/>
              </w:rPr>
              <w:t>Production (000’s)</w:t>
            </w:r>
          </w:p>
        </w:tc>
        <w:tc>
          <w:tcPr>
            <w:tcW w:w="1400" w:type="dxa"/>
            <w:vAlign w:val="bottom"/>
          </w:tcPr>
          <w:p>
            <w:pPr>
              <w:jc w:val="right"/>
              <w:ind w:right="468"/>
              <w:spacing w:after="0"/>
              <w:rPr>
                <w:sz w:val="20"/>
                <w:szCs w:val="20"/>
                <w:color w:val="auto"/>
              </w:rPr>
            </w:pPr>
            <w:r>
              <w:rPr>
                <w:rFonts w:ascii="Arial" w:cs="Arial" w:eastAsia="Arial" w:hAnsi="Arial"/>
                <w:sz w:val="22"/>
                <w:szCs w:val="22"/>
                <w:b w:val="1"/>
                <w:bCs w:val="1"/>
                <w:color w:val="auto"/>
              </w:rPr>
              <w:t>331</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rPr>
              <w:t>286</w:t>
            </w:r>
          </w:p>
        </w:tc>
        <w:tc>
          <w:tcPr>
            <w:tcW w:w="1580" w:type="dxa"/>
            <w:vAlign w:val="bottom"/>
          </w:tcPr>
          <w:p>
            <w:pPr>
              <w:jc w:val="right"/>
              <w:ind w:right="508"/>
              <w:spacing w:after="0"/>
              <w:rPr>
                <w:sz w:val="20"/>
                <w:szCs w:val="20"/>
                <w:color w:val="auto"/>
              </w:rPr>
            </w:pPr>
            <w:r>
              <w:rPr>
                <w:rFonts w:ascii="Arial" w:cs="Arial" w:eastAsia="Arial" w:hAnsi="Arial"/>
                <w:sz w:val="22"/>
                <w:szCs w:val="22"/>
                <w:b w:val="1"/>
                <w:bCs w:val="1"/>
                <w:color w:val="auto"/>
              </w:rPr>
              <w:t>313</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rPr>
              <w:t>344</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326</w:t>
            </w:r>
          </w:p>
        </w:tc>
      </w:tr>
    </w:tbl>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18</w:t>
      </w:r>
    </w:p>
    <w:p>
      <w:pPr>
        <w:sectPr>
          <w:pgSz w:w="11900" w:h="16838" w:orient="portrait"/>
          <w:cols w:equalWidth="0" w:num="1">
            <w:col w:w="10220"/>
          </w:cols>
          <w:pgMar w:left="680" w:top="597" w:right="999" w:bottom="1440" w:gutter="0" w:footer="0" w:header="0"/>
          <w:type w:val="continuous"/>
        </w:sectPr>
      </w:pPr>
    </w:p>
    <w:bookmarkStart w:id="35" w:name="page36"/>
    <w:bookmarkEnd w:id="35"/>
    <w:p>
      <w:pPr>
        <w:ind w:left="10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GME EBIT – Q2 2010 vs. Q2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412"/>
        </w:trPr>
        <w:tc>
          <w:tcPr>
            <w:tcW w:w="2280" w:type="dxa"/>
            <w:vAlign w:val="bottom"/>
          </w:tcPr>
          <w:p>
            <w:pPr>
              <w:jc w:val="center"/>
              <w:ind w:right="610"/>
              <w:spacing w:after="0"/>
              <w:rPr>
                <w:sz w:val="20"/>
                <w:szCs w:val="20"/>
                <w:color w:val="auto"/>
              </w:rPr>
            </w:pPr>
            <w:r>
              <w:rPr>
                <w:rFonts w:ascii="Arial" w:cs="Arial" w:eastAsia="Arial" w:hAnsi="Arial"/>
                <w:sz w:val="34"/>
                <w:szCs w:val="34"/>
                <w:b w:val="1"/>
                <w:bCs w:val="1"/>
                <w:color w:val="auto"/>
                <w:w w:val="99"/>
              </w:rPr>
              <w:t>Q2 2010</w:t>
            </w:r>
          </w:p>
        </w:tc>
        <w:tc>
          <w:tcPr>
            <w:tcW w:w="4700" w:type="dxa"/>
            <w:vAlign w:val="bottom"/>
            <w:vMerge w:val="restart"/>
          </w:tcPr>
          <w:p>
            <w:pPr>
              <w:ind w:left="780"/>
              <w:spacing w:after="0"/>
              <w:rPr>
                <w:sz w:val="20"/>
                <w:szCs w:val="20"/>
                <w:color w:val="auto"/>
              </w:rPr>
            </w:pPr>
            <w:r>
              <w:rPr>
                <w:rFonts w:ascii="Arial" w:cs="Arial" w:eastAsia="Arial" w:hAnsi="Arial"/>
                <w:sz w:val="34"/>
                <w:szCs w:val="34"/>
                <w:b w:val="1"/>
                <w:bCs w:val="1"/>
                <w:color w:val="auto"/>
              </w:rPr>
              <w:t>$0.3B Improvement</w:t>
            </w:r>
          </w:p>
        </w:tc>
        <w:tc>
          <w:tcPr>
            <w:tcW w:w="2340" w:type="dxa"/>
            <w:vAlign w:val="bottom"/>
          </w:tcPr>
          <w:p>
            <w:pPr>
              <w:jc w:val="center"/>
              <w:ind w:left="630"/>
              <w:spacing w:after="0"/>
              <w:rPr>
                <w:sz w:val="20"/>
                <w:szCs w:val="20"/>
                <w:color w:val="auto"/>
              </w:rPr>
            </w:pPr>
            <w:r>
              <w:rPr>
                <w:rFonts w:ascii="Arial" w:cs="Arial" w:eastAsia="Arial" w:hAnsi="Arial"/>
                <w:sz w:val="34"/>
                <w:szCs w:val="34"/>
                <w:b w:val="1"/>
                <w:bCs w:val="1"/>
                <w:color w:val="auto"/>
                <w:w w:val="99"/>
              </w:rPr>
              <w:t>Q2 2011</w:t>
            </w:r>
          </w:p>
        </w:tc>
        <w:tc>
          <w:tcPr>
            <w:tcW w:w="0" w:type="dxa"/>
            <w:vAlign w:val="bottom"/>
          </w:tcPr>
          <w:p>
            <w:pPr>
              <w:spacing w:after="0"/>
              <w:rPr>
                <w:sz w:val="1"/>
                <w:szCs w:val="1"/>
                <w:color w:val="auto"/>
              </w:rPr>
            </w:pPr>
          </w:p>
        </w:tc>
      </w:tr>
      <w:tr>
        <w:trPr>
          <w:trHeight w:val="217"/>
        </w:trPr>
        <w:tc>
          <w:tcPr>
            <w:tcW w:w="2280" w:type="dxa"/>
            <w:vAlign w:val="bottom"/>
            <w:vMerge w:val="restart"/>
          </w:tcPr>
          <w:p>
            <w:pPr>
              <w:jc w:val="center"/>
              <w:ind w:right="590"/>
              <w:spacing w:after="0"/>
              <w:rPr>
                <w:sz w:val="20"/>
                <w:szCs w:val="20"/>
                <w:color w:val="auto"/>
              </w:rPr>
            </w:pPr>
            <w:r>
              <w:rPr>
                <w:rFonts w:ascii="Arial" w:cs="Arial" w:eastAsia="Arial" w:hAnsi="Arial"/>
                <w:sz w:val="34"/>
                <w:szCs w:val="34"/>
                <w:b w:val="1"/>
                <w:bCs w:val="1"/>
                <w:color w:val="auto"/>
                <w:w w:val="99"/>
              </w:rPr>
              <w:t>EBIT ($B)</w:t>
            </w:r>
          </w:p>
        </w:tc>
        <w:tc>
          <w:tcPr>
            <w:tcW w:w="4700" w:type="dxa"/>
            <w:vAlign w:val="bottom"/>
            <w:vMerge w:val="continue"/>
          </w:tcPr>
          <w:p>
            <w:pPr>
              <w:spacing w:after="0"/>
              <w:rPr>
                <w:sz w:val="18"/>
                <w:szCs w:val="18"/>
                <w:color w:val="auto"/>
              </w:rPr>
            </w:pPr>
          </w:p>
        </w:tc>
        <w:tc>
          <w:tcPr>
            <w:tcW w:w="2340" w:type="dxa"/>
            <w:vAlign w:val="bottom"/>
            <w:vMerge w:val="restart"/>
          </w:tcPr>
          <w:p>
            <w:pPr>
              <w:jc w:val="center"/>
              <w:ind w:left="630"/>
              <w:spacing w:after="0"/>
              <w:rPr>
                <w:sz w:val="20"/>
                <w:szCs w:val="20"/>
                <w:color w:val="auto"/>
              </w:rPr>
            </w:pPr>
            <w:r>
              <w:rPr>
                <w:rFonts w:ascii="Arial" w:cs="Arial" w:eastAsia="Arial" w:hAnsi="Arial"/>
                <w:sz w:val="34"/>
                <w:szCs w:val="34"/>
                <w:b w:val="1"/>
                <w:bCs w:val="1"/>
                <w:color w:val="auto"/>
              </w:rPr>
              <w:t>EBIT ($B)</w:t>
            </w:r>
          </w:p>
        </w:tc>
        <w:tc>
          <w:tcPr>
            <w:tcW w:w="0" w:type="dxa"/>
            <w:vAlign w:val="bottom"/>
          </w:tcPr>
          <w:p>
            <w:pPr>
              <w:spacing w:after="0"/>
              <w:rPr>
                <w:sz w:val="1"/>
                <w:szCs w:val="1"/>
                <w:color w:val="auto"/>
              </w:rPr>
            </w:pPr>
          </w:p>
        </w:tc>
      </w:tr>
      <w:tr>
        <w:trPr>
          <w:trHeight w:val="235"/>
        </w:trPr>
        <w:tc>
          <w:tcPr>
            <w:tcW w:w="2280" w:type="dxa"/>
            <w:vAlign w:val="bottom"/>
            <w:vMerge w:val="continue"/>
          </w:tcPr>
          <w:p>
            <w:pPr>
              <w:spacing w:after="0"/>
              <w:rPr>
                <w:sz w:val="20"/>
                <w:szCs w:val="20"/>
                <w:color w:val="auto"/>
              </w:rPr>
            </w:pPr>
          </w:p>
        </w:tc>
        <w:tc>
          <w:tcPr>
            <w:tcW w:w="470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60" w:type="dxa"/>
            <w:vAlign w:val="bottom"/>
          </w:tcPr>
          <w:p>
            <w:pPr>
              <w:spacing w:after="0"/>
              <w:rPr>
                <w:sz w:val="24"/>
                <w:szCs w:val="24"/>
                <w:color w:val="auto"/>
              </w:rPr>
            </w:pPr>
          </w:p>
        </w:tc>
        <w:tc>
          <w:tcPr>
            <w:tcW w:w="2220" w:type="dxa"/>
            <w:vAlign w:val="bottom"/>
            <w:vMerge w:val="restart"/>
          </w:tcPr>
          <w:p>
            <w:pPr>
              <w:jc w:val="right"/>
              <w:ind w:right="257"/>
              <w:spacing w:after="0"/>
              <w:rPr>
                <w:sz w:val="20"/>
                <w:szCs w:val="20"/>
                <w:color w:val="auto"/>
              </w:rPr>
            </w:pPr>
            <w:r>
              <w:rPr>
                <w:rFonts w:ascii="Arial" w:cs="Arial" w:eastAsia="Arial" w:hAnsi="Arial"/>
                <w:sz w:val="25"/>
                <w:szCs w:val="25"/>
                <w:color w:val="auto"/>
              </w:rPr>
              <w:t>0.2</w:t>
            </w:r>
          </w:p>
        </w:tc>
        <w:tc>
          <w:tcPr>
            <w:tcW w:w="2120" w:type="dxa"/>
            <w:vAlign w:val="bottom"/>
          </w:tcPr>
          <w:p>
            <w:pPr>
              <w:jc w:val="right"/>
              <w:ind w:right="217"/>
              <w:spacing w:after="0"/>
              <w:rPr>
                <w:sz w:val="20"/>
                <w:szCs w:val="20"/>
                <w:color w:val="auto"/>
              </w:rPr>
            </w:pPr>
            <w:r>
              <w:rPr>
                <w:rFonts w:ascii="Arial" w:cs="Arial" w:eastAsia="Arial" w:hAnsi="Arial"/>
                <w:sz w:val="25"/>
                <w:szCs w:val="25"/>
                <w:color w:val="auto"/>
              </w:rPr>
              <w:t>0.2</w:t>
            </w:r>
          </w:p>
        </w:tc>
        <w:tc>
          <w:tcPr>
            <w:tcW w:w="1180" w:type="dxa"/>
            <w:vAlign w:val="bottom"/>
          </w:tcPr>
          <w:p>
            <w:pPr>
              <w:jc w:val="right"/>
              <w:ind w:right="242"/>
              <w:spacing w:after="0"/>
              <w:rPr>
                <w:sz w:val="20"/>
                <w:szCs w:val="20"/>
                <w:color w:val="auto"/>
              </w:rPr>
            </w:pPr>
            <w:r>
              <w:rPr>
                <w:rFonts w:ascii="Arial" w:cs="Arial" w:eastAsia="Arial" w:hAnsi="Arial"/>
                <w:sz w:val="24"/>
                <w:szCs w:val="24"/>
                <w:color w:val="auto"/>
              </w:rPr>
              <w:t>(0.1)</w:t>
            </w:r>
          </w:p>
        </w:tc>
        <w:tc>
          <w:tcPr>
            <w:tcW w:w="1060" w:type="dxa"/>
            <w:vAlign w:val="bottom"/>
            <w:vMerge w:val="restart"/>
          </w:tcPr>
          <w:p>
            <w:pPr>
              <w:jc w:val="right"/>
              <w:ind w:right="257"/>
              <w:spacing w:after="0"/>
              <w:rPr>
                <w:sz w:val="20"/>
                <w:szCs w:val="20"/>
                <w:color w:val="auto"/>
              </w:rPr>
            </w:pPr>
            <w:r>
              <w:rPr>
                <w:rFonts w:ascii="Arial" w:cs="Arial" w:eastAsia="Arial" w:hAnsi="Arial"/>
                <w:sz w:val="25"/>
                <w:szCs w:val="25"/>
                <w:color w:val="auto"/>
              </w:rPr>
              <w:t>0.1</w:t>
            </w:r>
          </w:p>
        </w:tc>
        <w:tc>
          <w:tcPr>
            <w:tcW w:w="10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25"/>
                <w:szCs w:val="25"/>
                <w:color w:val="auto"/>
              </w:rPr>
              <w:t>0.1</w:t>
            </w:r>
          </w:p>
        </w:tc>
        <w:tc>
          <w:tcPr>
            <w:tcW w:w="0" w:type="dxa"/>
            <w:vAlign w:val="bottom"/>
          </w:tcPr>
          <w:p>
            <w:pPr>
              <w:spacing w:after="0"/>
              <w:rPr>
                <w:sz w:val="1"/>
                <w:szCs w:val="1"/>
                <w:color w:val="auto"/>
              </w:rPr>
            </w:pPr>
          </w:p>
        </w:tc>
      </w:tr>
      <w:tr>
        <w:trPr>
          <w:trHeight w:val="192"/>
        </w:trPr>
        <w:tc>
          <w:tcPr>
            <w:tcW w:w="1860" w:type="dxa"/>
            <w:vAlign w:val="bottom"/>
            <w:vMerge w:val="restart"/>
          </w:tcPr>
          <w:p>
            <w:pPr>
              <w:jc w:val="right"/>
              <w:ind w:right="197"/>
              <w:spacing w:after="0"/>
              <w:rPr>
                <w:sz w:val="20"/>
                <w:szCs w:val="20"/>
                <w:color w:val="auto"/>
              </w:rPr>
            </w:pPr>
            <w:r>
              <w:rPr>
                <w:rFonts w:ascii="Arial" w:cs="Arial" w:eastAsia="Arial" w:hAnsi="Arial"/>
                <w:sz w:val="25"/>
                <w:szCs w:val="25"/>
                <w:color w:val="auto"/>
              </w:rPr>
              <w:t>0.0</w:t>
            </w:r>
          </w:p>
        </w:tc>
        <w:tc>
          <w:tcPr>
            <w:tcW w:w="2220" w:type="dxa"/>
            <w:vAlign w:val="bottom"/>
            <w:vMerge w:val="continue"/>
          </w:tcPr>
          <w:p>
            <w:pPr>
              <w:spacing w:after="0"/>
              <w:rPr>
                <w:sz w:val="16"/>
                <w:szCs w:val="16"/>
                <w:color w:val="auto"/>
              </w:rPr>
            </w:pPr>
          </w:p>
        </w:tc>
        <w:tc>
          <w:tcPr>
            <w:tcW w:w="2120" w:type="dxa"/>
            <w:vAlign w:val="bottom"/>
            <w:vMerge w:val="restart"/>
          </w:tcPr>
          <w:p>
            <w:pPr>
              <w:jc w:val="right"/>
              <w:ind w:right="1297"/>
              <w:spacing w:after="0"/>
              <w:rPr>
                <w:sz w:val="20"/>
                <w:szCs w:val="20"/>
                <w:color w:val="auto"/>
              </w:rPr>
            </w:pPr>
            <w:r>
              <w:rPr>
                <w:rFonts w:ascii="Arial" w:cs="Arial" w:eastAsia="Arial" w:hAnsi="Arial"/>
                <w:sz w:val="25"/>
                <w:szCs w:val="25"/>
                <w:color w:val="auto"/>
              </w:rPr>
              <w:t>0.0</w:t>
            </w:r>
          </w:p>
        </w:tc>
        <w:tc>
          <w:tcPr>
            <w:tcW w:w="1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80" w:type="dxa"/>
            <w:vAlign w:val="bottom"/>
            <w:vMerge w:val="restart"/>
          </w:tcPr>
          <w:p>
            <w:pPr>
              <w:jc w:val="right"/>
              <w:ind w:right="257"/>
              <w:spacing w:after="0"/>
              <w:rPr>
                <w:sz w:val="20"/>
                <w:szCs w:val="20"/>
                <w:color w:val="auto"/>
              </w:rPr>
            </w:pPr>
            <w:r>
              <w:rPr>
                <w:rFonts w:ascii="Arial" w:cs="Arial" w:eastAsia="Arial" w:hAnsi="Arial"/>
                <w:sz w:val="25"/>
                <w:szCs w:val="25"/>
                <w:color w:val="auto"/>
              </w:rPr>
              <w:t>0.0</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6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1860" w:type="dxa"/>
            <w:vAlign w:val="bottom"/>
          </w:tcPr>
          <w:p>
            <w:pPr>
              <w:jc w:val="right"/>
              <w:ind w:right="1237"/>
              <w:spacing w:after="0"/>
              <w:rPr>
                <w:sz w:val="20"/>
                <w:szCs w:val="20"/>
                <w:color w:val="auto"/>
              </w:rPr>
            </w:pPr>
            <w:r>
              <w:rPr>
                <w:rFonts w:ascii="Arial" w:cs="Arial" w:eastAsia="Arial" w:hAnsi="Arial"/>
                <w:sz w:val="25"/>
                <w:szCs w:val="25"/>
                <w:color w:val="auto"/>
                <w:w w:val="93"/>
              </w:rPr>
              <w:t>(0.2)</w:t>
            </w:r>
          </w:p>
        </w:tc>
        <w:tc>
          <w:tcPr>
            <w:tcW w:w="2220" w:type="dxa"/>
            <w:vAlign w:val="bottom"/>
          </w:tcPr>
          <w:p>
            <w:pPr>
              <w:jc w:val="right"/>
              <w:ind w:right="1277"/>
              <w:spacing w:after="0"/>
              <w:rPr>
                <w:sz w:val="20"/>
                <w:szCs w:val="20"/>
                <w:color w:val="auto"/>
              </w:rPr>
            </w:pPr>
            <w:r>
              <w:rPr>
                <w:rFonts w:ascii="Arial" w:cs="Arial" w:eastAsia="Arial" w:hAnsi="Arial"/>
                <w:sz w:val="25"/>
                <w:szCs w:val="25"/>
                <w:color w:val="auto"/>
              </w:rPr>
              <w:t>(0.2)</w:t>
            </w: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19"/>
                <w:szCs w:val="19"/>
                <w:b w:val="1"/>
                <w:bCs w:val="1"/>
                <w:color w:val="auto"/>
              </w:rPr>
              <w:t>EBIT</w:t>
            </w: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Less Special</w:t>
            </w:r>
          </w:p>
        </w:tc>
        <w:tc>
          <w:tcPr>
            <w:tcW w:w="1080" w:type="dxa"/>
            <w:vAlign w:val="bottom"/>
          </w:tcPr>
          <w:p>
            <w:pPr>
              <w:ind w:left="100"/>
              <w:spacing w:after="0"/>
              <w:rPr>
                <w:sz w:val="20"/>
                <w:szCs w:val="20"/>
                <w:color w:val="auto"/>
              </w:rPr>
            </w:pPr>
            <w:r>
              <w:rPr>
                <w:rFonts w:ascii="Arial" w:cs="Arial" w:eastAsia="Arial" w:hAnsi="Arial"/>
                <w:sz w:val="19"/>
                <w:szCs w:val="19"/>
                <w:b w:val="1"/>
                <w:bCs w:val="1"/>
                <w:color w:val="auto"/>
              </w:rPr>
              <w:t>EBIT-Adj.</w:t>
            </w:r>
          </w:p>
        </w:tc>
        <w:tc>
          <w:tcPr>
            <w:tcW w:w="1160" w:type="dxa"/>
            <w:vAlign w:val="bottom"/>
          </w:tcPr>
          <w:p>
            <w:pPr>
              <w:jc w:val="center"/>
              <w:ind w:right="46"/>
              <w:spacing w:after="0"/>
              <w:rPr>
                <w:sz w:val="20"/>
                <w:szCs w:val="20"/>
                <w:color w:val="auto"/>
              </w:rPr>
            </w:pPr>
            <w:r>
              <w:rPr>
                <w:rFonts w:ascii="Arial" w:cs="Arial" w:eastAsia="Arial" w:hAnsi="Arial"/>
                <w:sz w:val="19"/>
                <w:szCs w:val="19"/>
                <w:b w:val="1"/>
                <w:bCs w:val="1"/>
                <w:color w:val="auto"/>
                <w:w w:val="98"/>
              </w:rPr>
              <w:t>Volume /</w:t>
            </w:r>
          </w:p>
        </w:tc>
        <w:tc>
          <w:tcPr>
            <w:tcW w:w="1040" w:type="dxa"/>
            <w:vAlign w:val="bottom"/>
          </w:tcPr>
          <w:p>
            <w:pPr>
              <w:ind w:left="260"/>
              <w:spacing w:after="0"/>
              <w:rPr>
                <w:sz w:val="20"/>
                <w:szCs w:val="20"/>
                <w:color w:val="auto"/>
              </w:rPr>
            </w:pPr>
            <w:r>
              <w:rPr>
                <w:rFonts w:ascii="Arial" w:cs="Arial" w:eastAsia="Arial" w:hAnsi="Arial"/>
                <w:sz w:val="19"/>
                <w:szCs w:val="19"/>
                <w:b w:val="1"/>
                <w:bCs w:val="1"/>
                <w:color w:val="auto"/>
              </w:rPr>
              <w:t>Price</w:t>
            </w:r>
          </w:p>
        </w:tc>
        <w:tc>
          <w:tcPr>
            <w:tcW w:w="1060" w:type="dxa"/>
            <w:vAlign w:val="bottom"/>
          </w:tcPr>
          <w:p>
            <w:pPr>
              <w:ind w:left="340"/>
              <w:spacing w:after="0"/>
              <w:rPr>
                <w:sz w:val="20"/>
                <w:szCs w:val="20"/>
                <w:color w:val="auto"/>
              </w:rPr>
            </w:pPr>
            <w:r>
              <w:rPr>
                <w:rFonts w:ascii="Arial" w:cs="Arial" w:eastAsia="Arial" w:hAnsi="Arial"/>
                <w:sz w:val="19"/>
                <w:szCs w:val="19"/>
                <w:b w:val="1"/>
                <w:bCs w:val="1"/>
                <w:color w:val="auto"/>
              </w:rPr>
              <w:t>Cost</w:t>
            </w:r>
          </w:p>
        </w:tc>
        <w:tc>
          <w:tcPr>
            <w:tcW w:w="1100" w:type="dxa"/>
            <w:vAlign w:val="bottom"/>
          </w:tcPr>
          <w:p>
            <w:pPr>
              <w:ind w:left="320"/>
              <w:spacing w:after="0"/>
              <w:rPr>
                <w:sz w:val="20"/>
                <w:szCs w:val="20"/>
                <w:color w:val="auto"/>
              </w:rPr>
            </w:pPr>
            <w:r>
              <w:rPr>
                <w:rFonts w:ascii="Arial" w:cs="Arial" w:eastAsia="Arial" w:hAnsi="Arial"/>
                <w:sz w:val="19"/>
                <w:szCs w:val="19"/>
                <w:b w:val="1"/>
                <w:bCs w:val="1"/>
                <w:color w:val="auto"/>
              </w:rPr>
              <w:t>Other</w:t>
            </w:r>
          </w:p>
        </w:tc>
        <w:tc>
          <w:tcPr>
            <w:tcW w:w="1140" w:type="dxa"/>
            <w:vAlign w:val="bottom"/>
          </w:tcPr>
          <w:p>
            <w:pPr>
              <w:ind w:left="260"/>
              <w:spacing w:after="0"/>
              <w:rPr>
                <w:sz w:val="20"/>
                <w:szCs w:val="20"/>
                <w:color w:val="auto"/>
              </w:rPr>
            </w:pPr>
            <w:r>
              <w:rPr>
                <w:rFonts w:ascii="Arial" w:cs="Arial" w:eastAsia="Arial" w:hAnsi="Arial"/>
                <w:sz w:val="19"/>
                <w:szCs w:val="19"/>
                <w:b w:val="1"/>
                <w:bCs w:val="1"/>
                <w:color w:val="auto"/>
              </w:rPr>
              <w:t>EBIT-Adj.</w:t>
            </w:r>
          </w:p>
        </w:tc>
        <w:tc>
          <w:tcPr>
            <w:tcW w:w="1280" w:type="dxa"/>
            <w:vAlign w:val="bottom"/>
          </w:tcPr>
          <w:p>
            <w:pPr>
              <w:jc w:val="center"/>
              <w:ind w:right="66"/>
              <w:spacing w:after="0"/>
              <w:rPr>
                <w:sz w:val="20"/>
                <w:szCs w:val="20"/>
                <w:color w:val="auto"/>
              </w:rPr>
            </w:pPr>
            <w:r>
              <w:rPr>
                <w:rFonts w:ascii="Arial" w:cs="Arial" w:eastAsia="Arial" w:hAnsi="Arial"/>
                <w:sz w:val="19"/>
                <w:szCs w:val="19"/>
                <w:color w:val="auto"/>
                <w:w w:val="99"/>
              </w:rPr>
              <w:t>Plus Special</w:t>
            </w:r>
          </w:p>
        </w:tc>
        <w:tc>
          <w:tcPr>
            <w:tcW w:w="620" w:type="dxa"/>
            <w:vAlign w:val="bottom"/>
          </w:tcPr>
          <w:p>
            <w:pPr>
              <w:ind w:left="180"/>
              <w:spacing w:after="0"/>
              <w:rPr>
                <w:sz w:val="20"/>
                <w:szCs w:val="20"/>
                <w:color w:val="auto"/>
              </w:rPr>
            </w:pPr>
            <w:r>
              <w:rPr>
                <w:rFonts w:ascii="Arial" w:cs="Arial" w:eastAsia="Arial" w:hAnsi="Arial"/>
                <w:sz w:val="19"/>
                <w:szCs w:val="19"/>
                <w:b w:val="1"/>
                <w:bCs w:val="1"/>
                <w:color w:val="auto"/>
                <w:w w:val="96"/>
              </w:rPr>
              <w:t>EBIT</w:t>
            </w:r>
          </w:p>
        </w:tc>
      </w:tr>
      <w:tr>
        <w:trPr>
          <w:trHeight w:val="250"/>
        </w:trPr>
        <w:tc>
          <w:tcPr>
            <w:tcW w:w="5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Items</w:t>
            </w:r>
          </w:p>
        </w:tc>
        <w:tc>
          <w:tcPr>
            <w:tcW w:w="1080" w:type="dxa"/>
            <w:vAlign w:val="bottom"/>
          </w:tcPr>
          <w:p>
            <w:pPr>
              <w:spacing w:after="0"/>
              <w:rPr>
                <w:sz w:val="21"/>
                <w:szCs w:val="21"/>
                <w:color w:val="auto"/>
              </w:rPr>
            </w:pPr>
          </w:p>
        </w:tc>
        <w:tc>
          <w:tcPr>
            <w:tcW w:w="1160" w:type="dxa"/>
            <w:vAlign w:val="bottom"/>
          </w:tcPr>
          <w:p>
            <w:pPr>
              <w:jc w:val="center"/>
              <w:ind w:right="26"/>
              <w:spacing w:after="0"/>
              <w:rPr>
                <w:sz w:val="20"/>
                <w:szCs w:val="20"/>
                <w:color w:val="auto"/>
              </w:rPr>
            </w:pPr>
            <w:r>
              <w:rPr>
                <w:rFonts w:ascii="Arial" w:cs="Arial" w:eastAsia="Arial" w:hAnsi="Arial"/>
                <w:sz w:val="19"/>
                <w:szCs w:val="19"/>
                <w:b w:val="1"/>
                <w:bCs w:val="1"/>
                <w:color w:val="auto"/>
              </w:rPr>
              <w:t>Mix</w:t>
            </w: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jc w:val="center"/>
              <w:ind w:right="46"/>
              <w:spacing w:after="0"/>
              <w:rPr>
                <w:sz w:val="20"/>
                <w:szCs w:val="20"/>
                <w:color w:val="auto"/>
              </w:rPr>
            </w:pPr>
            <w:r>
              <w:rPr>
                <w:rFonts w:ascii="Arial" w:cs="Arial" w:eastAsia="Arial" w:hAnsi="Arial"/>
                <w:sz w:val="19"/>
                <w:szCs w:val="19"/>
                <w:color w:val="auto"/>
                <w:w w:val="98"/>
              </w:rPr>
              <w:t>Items</w:t>
            </w:r>
          </w:p>
        </w:tc>
        <w:tc>
          <w:tcPr>
            <w:tcW w:w="6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100"/>
        <w:spacing w:after="0"/>
        <w:rPr>
          <w:sz w:val="20"/>
          <w:szCs w:val="20"/>
          <w:color w:val="auto"/>
        </w:rPr>
      </w:pPr>
      <w:r>
        <w:rPr>
          <w:rFonts w:ascii="Arial" w:cs="Arial" w:eastAsia="Arial" w:hAnsi="Arial"/>
          <w:sz w:val="19"/>
          <w:szCs w:val="19"/>
          <w:b w:val="1"/>
          <w:bCs w:val="1"/>
          <w:color w:val="auto"/>
        </w:rPr>
        <w:t>19</w:t>
      </w:r>
    </w:p>
    <w:p>
      <w:pPr>
        <w:sectPr>
          <w:pgSz w:w="11900" w:h="16838" w:orient="portrait"/>
          <w:cols w:equalWidth="0" w:num="1">
            <w:col w:w="10380"/>
          </w:cols>
          <w:pgMar w:left="660" w:top="597" w:right="859" w:bottom="1440" w:gutter="0" w:footer="0" w:header="0"/>
        </w:sectPr>
      </w:pPr>
    </w:p>
    <w:bookmarkStart w:id="36" w:name="page37"/>
    <w:bookmarkEnd w:id="36"/>
    <w:p>
      <w:pPr>
        <w:ind w:left="9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68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368290"/>
                    </a:xfrm>
                    <a:prstGeom prst="rect">
                      <a:avLst/>
                    </a:prstGeom>
                    <a:noFill/>
                  </pic:spPr>
                </pic:pic>
              </a:graphicData>
            </a:graphic>
          </wp:anchor>
        </w:drawing>
        <w:t>GMIO Deliveries</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Arial" w:cs="Arial" w:eastAsia="Arial" w:hAnsi="Arial"/>
          <w:sz w:val="25"/>
          <w:szCs w:val="25"/>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200"/>
        <w:spacing w:after="0"/>
        <w:rPr>
          <w:sz w:val="20"/>
          <w:szCs w:val="20"/>
          <w:color w:val="auto"/>
        </w:rPr>
      </w:pPr>
      <w:r>
        <w:rPr>
          <w:rFonts w:ascii="Arial" w:cs="Arial" w:eastAsia="Arial" w:hAnsi="Arial"/>
          <w:sz w:val="22"/>
          <w:szCs w:val="22"/>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240"/>
        <w:spacing w:after="0"/>
        <w:rPr>
          <w:sz w:val="20"/>
          <w:szCs w:val="20"/>
          <w:color w:val="auto"/>
        </w:rPr>
      </w:pPr>
      <w:r>
        <w:rPr>
          <w:rFonts w:ascii="Arial" w:cs="Arial" w:eastAsia="Arial" w:hAnsi="Arial"/>
          <w:sz w:val="22"/>
          <w:szCs w:val="22"/>
          <w:b w:val="1"/>
          <w:bCs w:val="1"/>
          <w:color w:val="auto"/>
        </w:rPr>
        <w:t>GMIO Excl.</w:t>
      </w:r>
    </w:p>
    <w:p>
      <w:pPr>
        <w:spacing w:after="0" w:line="34" w:lineRule="exact"/>
        <w:rPr>
          <w:sz w:val="20"/>
          <w:szCs w:val="20"/>
          <w:color w:val="auto"/>
        </w:rPr>
      </w:pPr>
    </w:p>
    <w:p>
      <w:pPr>
        <w:ind w:left="9240"/>
        <w:spacing w:after="0"/>
        <w:rPr>
          <w:sz w:val="20"/>
          <w:szCs w:val="20"/>
          <w:color w:val="auto"/>
        </w:rPr>
      </w:pPr>
      <w:r>
        <w:rPr>
          <w:rFonts w:ascii="Arial" w:cs="Arial" w:eastAsia="Arial" w:hAnsi="Arial"/>
          <w:sz w:val="22"/>
          <w:szCs w:val="22"/>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20" w:type="dxa"/>
            <w:vAlign w:val="bottom"/>
          </w:tcPr>
          <w:p>
            <w:pPr>
              <w:spacing w:after="0"/>
              <w:rPr>
                <w:sz w:val="20"/>
                <w:szCs w:val="20"/>
                <w:color w:val="auto"/>
              </w:rPr>
            </w:pPr>
            <w:r>
              <w:rPr>
                <w:rFonts w:ascii="Arial" w:cs="Arial" w:eastAsia="Arial" w:hAnsi="Arial"/>
                <w:sz w:val="22"/>
                <w:szCs w:val="22"/>
                <w:b w:val="1"/>
                <w:bCs w:val="1"/>
                <w:color w:val="auto"/>
              </w:rPr>
              <w:t>GMIO Share</w:t>
            </w:r>
          </w:p>
        </w:tc>
        <w:tc>
          <w:tcPr>
            <w:tcW w:w="1360" w:type="dxa"/>
            <w:vAlign w:val="bottom"/>
          </w:tcPr>
          <w:p>
            <w:pPr>
              <w:jc w:val="center"/>
              <w:ind w:right="128"/>
              <w:spacing w:after="0"/>
              <w:rPr>
                <w:sz w:val="20"/>
                <w:szCs w:val="20"/>
                <w:color w:val="auto"/>
              </w:rPr>
            </w:pPr>
            <w:r>
              <w:rPr>
                <w:rFonts w:ascii="Arial" w:cs="Arial" w:eastAsia="Arial" w:hAnsi="Arial"/>
                <w:sz w:val="22"/>
                <w:szCs w:val="22"/>
                <w:b w:val="1"/>
                <w:bCs w:val="1"/>
                <w:color w:val="auto"/>
              </w:rPr>
              <w:t>8.9%</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8.7%</w:t>
            </w:r>
          </w:p>
        </w:tc>
        <w:tc>
          <w:tcPr>
            <w:tcW w:w="1600" w:type="dxa"/>
            <w:vAlign w:val="bottom"/>
          </w:tcPr>
          <w:p>
            <w:pPr>
              <w:jc w:val="center"/>
              <w:spacing w:after="0"/>
              <w:rPr>
                <w:sz w:val="20"/>
                <w:szCs w:val="20"/>
                <w:color w:val="auto"/>
              </w:rPr>
            </w:pPr>
            <w:r>
              <w:rPr>
                <w:rFonts w:ascii="Arial" w:cs="Arial" w:eastAsia="Arial" w:hAnsi="Arial"/>
                <w:sz w:val="22"/>
                <w:szCs w:val="22"/>
                <w:b w:val="1"/>
                <w:bCs w:val="1"/>
                <w:color w:val="auto"/>
                <w:w w:val="99"/>
              </w:rPr>
              <w:t>8.6%</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99"/>
              </w:rPr>
              <w:t>9.2%</w:t>
            </w:r>
          </w:p>
        </w:tc>
        <w:tc>
          <w:tcPr>
            <w:tcW w:w="1120" w:type="dxa"/>
            <w:vAlign w:val="bottom"/>
          </w:tcPr>
          <w:p>
            <w:pPr>
              <w:jc w:val="center"/>
              <w:ind w:left="368"/>
              <w:spacing w:after="0"/>
              <w:rPr>
                <w:sz w:val="20"/>
                <w:szCs w:val="20"/>
                <w:color w:val="auto"/>
              </w:rPr>
            </w:pPr>
            <w:r>
              <w:rPr>
                <w:rFonts w:ascii="Arial" w:cs="Arial" w:eastAsia="Arial" w:hAnsi="Arial"/>
                <w:sz w:val="22"/>
                <w:szCs w:val="22"/>
                <w:b w:val="1"/>
                <w:bCs w:val="1"/>
                <w:color w:val="auto"/>
              </w:rPr>
              <w:t>9.6%</w:t>
            </w:r>
          </w:p>
        </w:tc>
      </w:tr>
      <w:tr>
        <w:trPr>
          <w:trHeight w:val="459"/>
        </w:trPr>
        <w:tc>
          <w:tcPr>
            <w:tcW w:w="1520" w:type="dxa"/>
            <w:vAlign w:val="bottom"/>
          </w:tcPr>
          <w:p>
            <w:pPr>
              <w:spacing w:after="0"/>
              <w:rPr>
                <w:sz w:val="20"/>
                <w:szCs w:val="20"/>
                <w:color w:val="auto"/>
              </w:rPr>
            </w:pPr>
            <w:r>
              <w:rPr>
                <w:rFonts w:ascii="Arial" w:cs="Arial" w:eastAsia="Arial" w:hAnsi="Arial"/>
                <w:sz w:val="22"/>
                <w:szCs w:val="22"/>
                <w:color w:val="auto"/>
              </w:rPr>
              <w:t>China Share</w:t>
            </w:r>
          </w:p>
        </w:tc>
        <w:tc>
          <w:tcPr>
            <w:tcW w:w="1360" w:type="dxa"/>
            <w:vAlign w:val="bottom"/>
          </w:tcPr>
          <w:p>
            <w:pPr>
              <w:jc w:val="center"/>
              <w:ind w:right="108"/>
              <w:spacing w:after="0"/>
              <w:rPr>
                <w:sz w:val="20"/>
                <w:szCs w:val="20"/>
                <w:color w:val="auto"/>
              </w:rPr>
            </w:pPr>
            <w:r>
              <w:rPr>
                <w:rFonts w:ascii="Arial" w:cs="Arial" w:eastAsia="Arial" w:hAnsi="Arial"/>
                <w:sz w:val="22"/>
                <w:szCs w:val="22"/>
                <w:color w:val="auto"/>
                <w:w w:val="99"/>
              </w:rPr>
              <w:t>13.1%</w:t>
            </w:r>
          </w:p>
        </w:tc>
        <w:tc>
          <w:tcPr>
            <w:tcW w:w="1580" w:type="dxa"/>
            <w:vAlign w:val="bottom"/>
          </w:tcPr>
          <w:p>
            <w:pPr>
              <w:jc w:val="center"/>
              <w:spacing w:after="0"/>
              <w:rPr>
                <w:sz w:val="20"/>
                <w:szCs w:val="20"/>
                <w:color w:val="auto"/>
              </w:rPr>
            </w:pPr>
            <w:r>
              <w:rPr>
                <w:rFonts w:ascii="Arial" w:cs="Arial" w:eastAsia="Arial" w:hAnsi="Arial"/>
                <w:sz w:val="22"/>
                <w:szCs w:val="22"/>
                <w:color w:val="auto"/>
              </w:rPr>
              <w:t>13.6%</w:t>
            </w:r>
          </w:p>
        </w:tc>
        <w:tc>
          <w:tcPr>
            <w:tcW w:w="1600" w:type="dxa"/>
            <w:vAlign w:val="bottom"/>
          </w:tcPr>
          <w:p>
            <w:pPr>
              <w:jc w:val="center"/>
              <w:spacing w:after="0"/>
              <w:rPr>
                <w:sz w:val="20"/>
                <w:szCs w:val="20"/>
                <w:color w:val="auto"/>
              </w:rPr>
            </w:pPr>
            <w:r>
              <w:rPr>
                <w:rFonts w:ascii="Arial" w:cs="Arial" w:eastAsia="Arial" w:hAnsi="Arial"/>
                <w:sz w:val="22"/>
                <w:szCs w:val="22"/>
                <w:color w:val="auto"/>
              </w:rPr>
              <w:t>11.6%</w:t>
            </w:r>
          </w:p>
        </w:tc>
        <w:tc>
          <w:tcPr>
            <w:tcW w:w="1580" w:type="dxa"/>
            <w:vAlign w:val="bottom"/>
          </w:tcPr>
          <w:p>
            <w:pPr>
              <w:jc w:val="center"/>
              <w:spacing w:after="0"/>
              <w:rPr>
                <w:sz w:val="20"/>
                <w:szCs w:val="20"/>
                <w:color w:val="auto"/>
              </w:rPr>
            </w:pPr>
            <w:r>
              <w:rPr>
                <w:rFonts w:ascii="Arial" w:cs="Arial" w:eastAsia="Arial" w:hAnsi="Arial"/>
                <w:sz w:val="22"/>
                <w:szCs w:val="22"/>
                <w:color w:val="auto"/>
                <w:w w:val="99"/>
              </w:rPr>
              <w:t>13.6%</w:t>
            </w:r>
          </w:p>
        </w:tc>
        <w:tc>
          <w:tcPr>
            <w:tcW w:w="1120" w:type="dxa"/>
            <w:vAlign w:val="bottom"/>
          </w:tcPr>
          <w:p>
            <w:pPr>
              <w:jc w:val="center"/>
              <w:ind w:left="388"/>
              <w:spacing w:after="0"/>
              <w:rPr>
                <w:sz w:val="20"/>
                <w:szCs w:val="20"/>
                <w:color w:val="auto"/>
              </w:rPr>
            </w:pPr>
            <w:r>
              <w:rPr>
                <w:rFonts w:ascii="Arial" w:cs="Arial" w:eastAsia="Arial" w:hAnsi="Arial"/>
                <w:sz w:val="22"/>
                <w:szCs w:val="22"/>
                <w:color w:val="auto"/>
                <w:w w:val="99"/>
              </w:rPr>
              <w:t>13.3%</w:t>
            </w:r>
          </w:p>
        </w:tc>
      </w:tr>
      <w:tr>
        <w:trPr>
          <w:trHeight w:val="459"/>
        </w:trPr>
        <w:tc>
          <w:tcPr>
            <w:tcW w:w="1520" w:type="dxa"/>
            <w:vAlign w:val="bottom"/>
          </w:tcPr>
          <w:p>
            <w:pPr>
              <w:spacing w:after="0"/>
              <w:rPr>
                <w:sz w:val="20"/>
                <w:szCs w:val="20"/>
                <w:color w:val="auto"/>
              </w:rPr>
            </w:pPr>
            <w:r>
              <w:rPr>
                <w:rFonts w:ascii="Arial" w:cs="Arial" w:eastAsia="Arial" w:hAnsi="Arial"/>
                <w:sz w:val="22"/>
                <w:szCs w:val="22"/>
                <w:color w:val="auto"/>
              </w:rPr>
              <w:t>India Share</w:t>
            </w:r>
          </w:p>
        </w:tc>
        <w:tc>
          <w:tcPr>
            <w:tcW w:w="1360" w:type="dxa"/>
            <w:vAlign w:val="bottom"/>
          </w:tcPr>
          <w:p>
            <w:pPr>
              <w:jc w:val="center"/>
              <w:ind w:right="128"/>
              <w:spacing w:after="0"/>
              <w:rPr>
                <w:sz w:val="20"/>
                <w:szCs w:val="20"/>
                <w:color w:val="auto"/>
              </w:rPr>
            </w:pPr>
            <w:r>
              <w:rPr>
                <w:rFonts w:ascii="Arial" w:cs="Arial" w:eastAsia="Arial" w:hAnsi="Arial"/>
                <w:sz w:val="22"/>
                <w:szCs w:val="22"/>
                <w:color w:val="auto"/>
              </w:rPr>
              <w:t>4.0%</w:t>
            </w:r>
          </w:p>
        </w:tc>
        <w:tc>
          <w:tcPr>
            <w:tcW w:w="1580" w:type="dxa"/>
            <w:vAlign w:val="bottom"/>
          </w:tcPr>
          <w:p>
            <w:pPr>
              <w:jc w:val="center"/>
              <w:spacing w:after="0"/>
              <w:rPr>
                <w:sz w:val="20"/>
                <w:szCs w:val="20"/>
                <w:color w:val="auto"/>
              </w:rPr>
            </w:pPr>
            <w:r>
              <w:rPr>
                <w:rFonts w:ascii="Arial" w:cs="Arial" w:eastAsia="Arial" w:hAnsi="Arial"/>
                <w:sz w:val="22"/>
                <w:szCs w:val="22"/>
                <w:color w:val="auto"/>
              </w:rPr>
              <w:t>3.0%</w:t>
            </w:r>
          </w:p>
        </w:tc>
        <w:tc>
          <w:tcPr>
            <w:tcW w:w="1600" w:type="dxa"/>
            <w:vAlign w:val="bottom"/>
          </w:tcPr>
          <w:p>
            <w:pPr>
              <w:jc w:val="center"/>
              <w:spacing w:after="0"/>
              <w:rPr>
                <w:sz w:val="20"/>
                <w:szCs w:val="20"/>
                <w:color w:val="auto"/>
              </w:rPr>
            </w:pPr>
            <w:r>
              <w:rPr>
                <w:rFonts w:ascii="Arial" w:cs="Arial" w:eastAsia="Arial" w:hAnsi="Arial"/>
                <w:sz w:val="22"/>
                <w:szCs w:val="22"/>
                <w:color w:val="auto"/>
                <w:w w:val="99"/>
              </w:rPr>
              <w:t>3.4%</w:t>
            </w:r>
          </w:p>
        </w:tc>
        <w:tc>
          <w:tcPr>
            <w:tcW w:w="1580" w:type="dxa"/>
            <w:vAlign w:val="bottom"/>
          </w:tcPr>
          <w:p>
            <w:pPr>
              <w:jc w:val="center"/>
              <w:spacing w:after="0"/>
              <w:rPr>
                <w:sz w:val="20"/>
                <w:szCs w:val="20"/>
                <w:color w:val="auto"/>
              </w:rPr>
            </w:pPr>
            <w:r>
              <w:rPr>
                <w:rFonts w:ascii="Arial" w:cs="Arial" w:eastAsia="Arial" w:hAnsi="Arial"/>
                <w:sz w:val="22"/>
                <w:szCs w:val="22"/>
                <w:color w:val="auto"/>
                <w:w w:val="99"/>
              </w:rPr>
              <w:t>3.1%</w:t>
            </w:r>
          </w:p>
        </w:tc>
        <w:tc>
          <w:tcPr>
            <w:tcW w:w="1120" w:type="dxa"/>
            <w:vAlign w:val="bottom"/>
          </w:tcPr>
          <w:p>
            <w:pPr>
              <w:jc w:val="center"/>
              <w:ind w:left="368"/>
              <w:spacing w:after="0"/>
              <w:rPr>
                <w:sz w:val="20"/>
                <w:szCs w:val="20"/>
                <w:color w:val="auto"/>
              </w:rPr>
            </w:pPr>
            <w:r>
              <w:rPr>
                <w:rFonts w:ascii="Arial" w:cs="Arial" w:eastAsia="Arial" w:hAnsi="Arial"/>
                <w:sz w:val="22"/>
                <w:szCs w:val="22"/>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00"/>
        <w:spacing w:after="0"/>
        <w:rPr>
          <w:sz w:val="20"/>
          <w:szCs w:val="20"/>
          <w:color w:val="auto"/>
        </w:rPr>
      </w:pPr>
      <w:r>
        <w:rPr>
          <w:rFonts w:ascii="Arial" w:cs="Arial" w:eastAsia="Arial" w:hAnsi="Arial"/>
          <w:sz w:val="19"/>
          <w:szCs w:val="19"/>
          <w:b w:val="1"/>
          <w:bCs w:val="1"/>
          <w:color w:val="auto"/>
        </w:rPr>
        <w:t>20</w:t>
      </w:r>
    </w:p>
    <w:p>
      <w:pPr>
        <w:sectPr>
          <w:pgSz w:w="11900" w:h="16838" w:orient="portrait"/>
          <w:cols w:equalWidth="0" w:num="1">
            <w:col w:w="10420"/>
          </w:cols>
          <w:pgMar w:left="580" w:top="691" w:right="899" w:bottom="1440" w:gutter="0" w:footer="0" w:header="0"/>
        </w:sectPr>
      </w:pPr>
    </w:p>
    <w:bookmarkStart w:id="37" w:name="page38"/>
    <w:bookmarkEnd w:id="37"/>
    <w:p>
      <w:pPr>
        <w:ind w:left="136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9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099050"/>
                    </a:xfrm>
                    <a:prstGeom prst="rect">
                      <a:avLst/>
                    </a:prstGeom>
                    <a:noFill/>
                  </pic:spPr>
                </pic:pic>
              </a:graphicData>
            </a:graphic>
          </wp:anchor>
        </w:drawing>
        <w:t>GMIO Earnings Before Interest &amp; Taxes</w:t>
      </w:r>
    </w:p>
    <w:p>
      <w:pPr>
        <w:sectPr>
          <w:pgSz w:w="11900" w:h="16838" w:orient="portrait"/>
          <w:cols w:equalWidth="0" w:num="1">
            <w:col w:w="10620"/>
          </w:cols>
          <w:pgMar w:left="460" w:top="52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0" w:type="dxa"/>
            <w:vAlign w:val="bottom"/>
          </w:tcPr>
          <w:p>
            <w:pPr>
              <w:spacing w:after="0"/>
              <w:rPr>
                <w:sz w:val="20"/>
                <w:szCs w:val="20"/>
                <w:color w:val="auto"/>
              </w:rPr>
            </w:pPr>
            <w:r>
              <w:rPr>
                <w:rFonts w:ascii="Arial" w:cs="Arial" w:eastAsia="Arial" w:hAnsi="Arial"/>
                <w:sz w:val="22"/>
                <w:szCs w:val="22"/>
                <w:b w:val="1"/>
                <w:bCs w:val="1"/>
                <w:color w:val="auto"/>
              </w:rPr>
              <w:t>Revenue ($B)</w:t>
            </w:r>
          </w:p>
        </w:tc>
        <w:tc>
          <w:tcPr>
            <w:tcW w:w="1240" w:type="dxa"/>
            <w:vAlign w:val="bottom"/>
          </w:tcPr>
          <w:p>
            <w:pPr>
              <w:jc w:val="center"/>
              <w:ind w:right="188"/>
              <w:spacing w:after="0"/>
              <w:rPr>
                <w:sz w:val="20"/>
                <w:szCs w:val="20"/>
                <w:color w:val="auto"/>
              </w:rPr>
            </w:pPr>
            <w:r>
              <w:rPr>
                <w:rFonts w:ascii="Arial" w:cs="Arial" w:eastAsia="Arial" w:hAnsi="Arial"/>
                <w:sz w:val="22"/>
                <w:szCs w:val="22"/>
                <w:b w:val="1"/>
                <w:bCs w:val="1"/>
                <w:color w:val="auto"/>
                <w:w w:val="97"/>
              </w:rPr>
              <w:t>5.3</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5.1</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rPr>
              <w:t>6.1</w:t>
            </w:r>
          </w:p>
        </w:tc>
        <w:tc>
          <w:tcPr>
            <w:tcW w:w="1100" w:type="dxa"/>
            <w:vAlign w:val="bottom"/>
          </w:tcPr>
          <w:p>
            <w:pPr>
              <w:jc w:val="center"/>
              <w:ind w:left="348"/>
              <w:spacing w:after="0"/>
              <w:rPr>
                <w:sz w:val="20"/>
                <w:szCs w:val="20"/>
                <w:color w:val="auto"/>
              </w:rPr>
            </w:pPr>
            <w:r>
              <w:rPr>
                <w:rFonts w:ascii="Arial" w:cs="Arial" w:eastAsia="Arial" w:hAnsi="Arial"/>
                <w:sz w:val="22"/>
                <w:szCs w:val="22"/>
                <w:b w:val="1"/>
                <w:bCs w:val="1"/>
                <w:color w:val="auto"/>
              </w:rPr>
              <w:t>5.4</w:t>
            </w:r>
          </w:p>
        </w:tc>
        <w:tc>
          <w:tcPr>
            <w:tcW w:w="0" w:type="dxa"/>
            <w:vAlign w:val="bottom"/>
          </w:tcPr>
          <w:p>
            <w:pPr>
              <w:spacing w:after="0"/>
              <w:rPr>
                <w:sz w:val="1"/>
                <w:szCs w:val="1"/>
                <w:color w:val="auto"/>
              </w:rPr>
            </w:pPr>
          </w:p>
        </w:tc>
      </w:tr>
      <w:tr>
        <w:trPr>
          <w:trHeight w:val="296"/>
        </w:trPr>
        <w:tc>
          <w:tcPr>
            <w:tcW w:w="2800" w:type="dxa"/>
            <w:vAlign w:val="bottom"/>
          </w:tcPr>
          <w:p>
            <w:pPr>
              <w:ind w:left="120"/>
              <w:spacing w:after="0"/>
              <w:rPr>
                <w:sz w:val="20"/>
                <w:szCs w:val="20"/>
                <w:color w:val="auto"/>
              </w:rPr>
            </w:pPr>
            <w:r>
              <w:rPr>
                <w:rFonts w:ascii="Arial" w:cs="Arial" w:eastAsia="Arial" w:hAnsi="Arial"/>
                <w:sz w:val="22"/>
                <w:szCs w:val="22"/>
                <w:color w:val="auto"/>
              </w:rPr>
              <w:t>EBIT margin from</w:t>
            </w:r>
          </w:p>
        </w:tc>
        <w:tc>
          <w:tcPr>
            <w:tcW w:w="1240" w:type="dxa"/>
            <w:vAlign w:val="bottom"/>
            <w:vMerge w:val="restart"/>
          </w:tcPr>
          <w:p>
            <w:pPr>
              <w:jc w:val="center"/>
              <w:ind w:right="188"/>
              <w:spacing w:after="0"/>
              <w:rPr>
                <w:sz w:val="20"/>
                <w:szCs w:val="20"/>
                <w:color w:val="auto"/>
              </w:rPr>
            </w:pPr>
            <w:r>
              <w:rPr>
                <w:rFonts w:ascii="Arial" w:cs="Arial" w:eastAsia="Arial" w:hAnsi="Arial"/>
                <w:sz w:val="22"/>
                <w:szCs w:val="22"/>
                <w:color w:val="auto"/>
                <w:w w:val="99"/>
              </w:rPr>
              <w:t>3.7%</w:t>
            </w:r>
          </w:p>
        </w:tc>
        <w:tc>
          <w:tcPr>
            <w:tcW w:w="1580" w:type="dxa"/>
            <w:vAlign w:val="bottom"/>
            <w:vMerge w:val="restart"/>
          </w:tcPr>
          <w:p>
            <w:pPr>
              <w:jc w:val="right"/>
              <w:ind w:right="428"/>
              <w:spacing w:after="0"/>
              <w:rPr>
                <w:sz w:val="20"/>
                <w:szCs w:val="20"/>
                <w:color w:val="auto"/>
              </w:rPr>
            </w:pPr>
            <w:r>
              <w:rPr>
                <w:rFonts w:ascii="Arial" w:cs="Arial" w:eastAsia="Arial" w:hAnsi="Arial"/>
                <w:sz w:val="22"/>
                <w:szCs w:val="22"/>
                <w:color w:val="auto"/>
              </w:rPr>
              <w:t>4.5%</w:t>
            </w:r>
          </w:p>
        </w:tc>
        <w:tc>
          <w:tcPr>
            <w:tcW w:w="1480" w:type="dxa"/>
            <w:vAlign w:val="bottom"/>
            <w:vMerge w:val="restart"/>
          </w:tcPr>
          <w:p>
            <w:pPr>
              <w:jc w:val="center"/>
              <w:spacing w:after="0"/>
              <w:rPr>
                <w:sz w:val="20"/>
                <w:szCs w:val="20"/>
                <w:color w:val="auto"/>
              </w:rPr>
            </w:pPr>
            <w:r>
              <w:rPr>
                <w:rFonts w:ascii="Arial" w:cs="Arial" w:eastAsia="Arial" w:hAnsi="Arial"/>
                <w:sz w:val="22"/>
                <w:szCs w:val="22"/>
                <w:color w:val="auto"/>
                <w:w w:val="99"/>
              </w:rPr>
              <w:t>2.0%</w:t>
            </w:r>
          </w:p>
        </w:tc>
        <w:tc>
          <w:tcPr>
            <w:tcW w:w="1100" w:type="dxa"/>
            <w:vAlign w:val="bottom"/>
            <w:vMerge w:val="restart"/>
          </w:tcPr>
          <w:p>
            <w:pPr>
              <w:jc w:val="center"/>
              <w:ind w:left="348"/>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127"/>
        </w:trPr>
        <w:tc>
          <w:tcPr>
            <w:tcW w:w="2800" w:type="dxa"/>
            <w:vAlign w:val="bottom"/>
            <w:vMerge w:val="restart"/>
          </w:tcPr>
          <w:p>
            <w:pPr>
              <w:ind w:left="120"/>
              <w:spacing w:after="0"/>
              <w:rPr>
                <w:sz w:val="20"/>
                <w:szCs w:val="20"/>
                <w:color w:val="auto"/>
              </w:rPr>
            </w:pPr>
            <w:r>
              <w:rPr>
                <w:rFonts w:ascii="Arial" w:cs="Arial" w:eastAsia="Arial" w:hAnsi="Arial"/>
                <w:sz w:val="22"/>
                <w:szCs w:val="22"/>
                <w:color w:val="auto"/>
              </w:rPr>
              <w:t>consolidated operations*</w:t>
            </w:r>
          </w:p>
        </w:tc>
        <w:tc>
          <w:tcPr>
            <w:tcW w:w="124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0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2800" w:type="dxa"/>
            <w:vAlign w:val="bottom"/>
          </w:tcPr>
          <w:p>
            <w:pPr>
              <w:ind w:left="120"/>
              <w:spacing w:after="0"/>
              <w:rPr>
                <w:sz w:val="20"/>
                <w:szCs w:val="20"/>
                <w:color w:val="auto"/>
              </w:rPr>
            </w:pPr>
            <w:r>
              <w:rPr>
                <w:rFonts w:ascii="Arial" w:cs="Arial" w:eastAsia="Arial" w:hAnsi="Arial"/>
                <w:sz w:val="22"/>
                <w:szCs w:val="22"/>
                <w:color w:val="auto"/>
              </w:rPr>
              <w:t>Total China JV NI/Rev**</w:t>
            </w:r>
          </w:p>
        </w:tc>
        <w:tc>
          <w:tcPr>
            <w:tcW w:w="1240" w:type="dxa"/>
            <w:vAlign w:val="bottom"/>
          </w:tcPr>
          <w:p>
            <w:pPr>
              <w:jc w:val="center"/>
              <w:ind w:right="168"/>
              <w:spacing w:after="0"/>
              <w:rPr>
                <w:sz w:val="20"/>
                <w:szCs w:val="20"/>
                <w:color w:val="auto"/>
              </w:rPr>
            </w:pPr>
            <w:r>
              <w:rPr>
                <w:rFonts w:ascii="Arial" w:cs="Arial" w:eastAsia="Arial" w:hAnsi="Arial"/>
                <w:sz w:val="22"/>
                <w:szCs w:val="22"/>
                <w:color w:val="auto"/>
              </w:rPr>
              <w:t>12.6%</w:t>
            </w:r>
          </w:p>
        </w:tc>
        <w:tc>
          <w:tcPr>
            <w:tcW w:w="1580" w:type="dxa"/>
            <w:vAlign w:val="bottom"/>
          </w:tcPr>
          <w:p>
            <w:pPr>
              <w:jc w:val="center"/>
              <w:spacing w:after="0"/>
              <w:rPr>
                <w:sz w:val="20"/>
                <w:szCs w:val="20"/>
                <w:color w:val="auto"/>
              </w:rPr>
            </w:pPr>
            <w:r>
              <w:rPr>
                <w:rFonts w:ascii="Arial" w:cs="Arial" w:eastAsia="Arial" w:hAnsi="Arial"/>
                <w:sz w:val="22"/>
                <w:szCs w:val="22"/>
                <w:color w:val="auto"/>
              </w:rPr>
              <w:t>11.9%</w:t>
            </w:r>
          </w:p>
        </w:tc>
        <w:tc>
          <w:tcPr>
            <w:tcW w:w="1480" w:type="dxa"/>
            <w:vAlign w:val="bottom"/>
          </w:tcPr>
          <w:p>
            <w:pPr>
              <w:jc w:val="center"/>
              <w:spacing w:after="0"/>
              <w:rPr>
                <w:sz w:val="20"/>
                <w:szCs w:val="20"/>
                <w:color w:val="auto"/>
              </w:rPr>
            </w:pPr>
            <w:r>
              <w:rPr>
                <w:rFonts w:ascii="Arial" w:cs="Arial" w:eastAsia="Arial" w:hAnsi="Arial"/>
                <w:sz w:val="22"/>
                <w:szCs w:val="22"/>
                <w:color w:val="auto"/>
                <w:w w:val="99"/>
              </w:rPr>
              <w:t>7.7%</w:t>
            </w:r>
          </w:p>
        </w:tc>
        <w:tc>
          <w:tcPr>
            <w:tcW w:w="1100" w:type="dxa"/>
            <w:vAlign w:val="bottom"/>
          </w:tcPr>
          <w:p>
            <w:pPr>
              <w:jc w:val="center"/>
              <w:ind w:left="348"/>
              <w:spacing w:after="0"/>
              <w:rPr>
                <w:sz w:val="20"/>
                <w:szCs w:val="20"/>
                <w:color w:val="auto"/>
              </w:rPr>
            </w:pPr>
            <w:r>
              <w:rPr>
                <w:rFonts w:ascii="Arial" w:cs="Arial" w:eastAsia="Arial" w:hAnsi="Arial"/>
                <w:sz w:val="22"/>
                <w:szCs w:val="22"/>
                <w:color w:val="auto"/>
              </w:rPr>
              <w:t>12.0%</w:t>
            </w: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0"/>
                <w:szCs w:val="20"/>
                <w:color w:val="auto"/>
              </w:rPr>
            </w:pPr>
            <w:r>
              <w:rPr>
                <w:rFonts w:ascii="Arial" w:cs="Arial" w:eastAsia="Arial" w:hAnsi="Arial"/>
                <w:sz w:val="22"/>
                <w:szCs w:val="22"/>
                <w:color w:val="auto"/>
              </w:rPr>
              <w:t>Consolidated Prod. (000’s)</w:t>
            </w:r>
          </w:p>
        </w:tc>
        <w:tc>
          <w:tcPr>
            <w:tcW w:w="1240" w:type="dxa"/>
            <w:vAlign w:val="bottom"/>
          </w:tcPr>
          <w:p>
            <w:pPr>
              <w:jc w:val="center"/>
              <w:ind w:right="188"/>
              <w:spacing w:after="0"/>
              <w:rPr>
                <w:sz w:val="20"/>
                <w:szCs w:val="20"/>
                <w:color w:val="auto"/>
              </w:rPr>
            </w:pPr>
            <w:r>
              <w:rPr>
                <w:rFonts w:ascii="Arial" w:cs="Arial" w:eastAsia="Arial" w:hAnsi="Arial"/>
                <w:sz w:val="22"/>
                <w:szCs w:val="22"/>
                <w:color w:val="auto"/>
              </w:rPr>
              <w:t>268</w:t>
            </w:r>
          </w:p>
        </w:tc>
        <w:tc>
          <w:tcPr>
            <w:tcW w:w="1580" w:type="dxa"/>
            <w:vAlign w:val="bottom"/>
          </w:tcPr>
          <w:p>
            <w:pPr>
              <w:jc w:val="center"/>
              <w:spacing w:after="0"/>
              <w:rPr>
                <w:sz w:val="20"/>
                <w:szCs w:val="20"/>
                <w:color w:val="auto"/>
              </w:rPr>
            </w:pPr>
            <w:r>
              <w:rPr>
                <w:rFonts w:ascii="Arial" w:cs="Arial" w:eastAsia="Arial" w:hAnsi="Arial"/>
                <w:sz w:val="22"/>
                <w:szCs w:val="22"/>
                <w:color w:val="auto"/>
              </w:rPr>
              <w:t>235</w:t>
            </w:r>
          </w:p>
        </w:tc>
        <w:tc>
          <w:tcPr>
            <w:tcW w:w="1480" w:type="dxa"/>
            <w:vAlign w:val="bottom"/>
          </w:tcPr>
          <w:p>
            <w:pPr>
              <w:jc w:val="center"/>
              <w:spacing w:after="0"/>
              <w:rPr>
                <w:sz w:val="20"/>
                <w:szCs w:val="20"/>
                <w:color w:val="auto"/>
              </w:rPr>
            </w:pPr>
            <w:r>
              <w:rPr>
                <w:rFonts w:ascii="Arial" w:cs="Arial" w:eastAsia="Arial" w:hAnsi="Arial"/>
                <w:sz w:val="22"/>
                <w:szCs w:val="22"/>
                <w:color w:val="auto"/>
              </w:rPr>
              <w:t>265</w:t>
            </w:r>
          </w:p>
        </w:tc>
        <w:tc>
          <w:tcPr>
            <w:tcW w:w="1100" w:type="dxa"/>
            <w:vAlign w:val="bottom"/>
          </w:tcPr>
          <w:p>
            <w:pPr>
              <w:jc w:val="center"/>
              <w:ind w:left="368"/>
              <w:spacing w:after="0"/>
              <w:rPr>
                <w:sz w:val="20"/>
                <w:szCs w:val="20"/>
                <w:color w:val="auto"/>
              </w:rPr>
            </w:pPr>
            <w:r>
              <w:rPr>
                <w:rFonts w:ascii="Arial" w:cs="Arial" w:eastAsia="Arial" w:hAnsi="Arial"/>
                <w:sz w:val="22"/>
                <w:szCs w:val="22"/>
                <w:color w:val="auto"/>
              </w:rPr>
              <w:t>257</w:t>
            </w:r>
          </w:p>
        </w:tc>
        <w:tc>
          <w:tcPr>
            <w:tcW w:w="0" w:type="dxa"/>
            <w:vAlign w:val="bottom"/>
          </w:tcPr>
          <w:p>
            <w:pPr>
              <w:spacing w:after="0"/>
              <w:rPr>
                <w:sz w:val="1"/>
                <w:szCs w:val="1"/>
                <w:color w:val="auto"/>
              </w:rPr>
            </w:pPr>
          </w:p>
        </w:tc>
      </w:tr>
      <w:tr>
        <w:trPr>
          <w:trHeight w:val="231"/>
        </w:trPr>
        <w:tc>
          <w:tcPr>
            <w:tcW w:w="2800" w:type="dxa"/>
            <w:vAlign w:val="bottom"/>
          </w:tcPr>
          <w:p>
            <w:pPr>
              <w:spacing w:after="0" w:line="230" w:lineRule="exact"/>
              <w:rPr>
                <w:sz w:val="20"/>
                <w:szCs w:val="20"/>
                <w:color w:val="auto"/>
              </w:rPr>
            </w:pPr>
            <w:r>
              <w:rPr>
                <w:rFonts w:ascii="Arial" w:cs="Arial" w:eastAsia="Arial" w:hAnsi="Arial"/>
                <w:sz w:val="22"/>
                <w:szCs w:val="22"/>
                <w:color w:val="auto"/>
              </w:rPr>
              <w:t>Joint Venture Prod. (000’s)</w:t>
            </w:r>
          </w:p>
        </w:tc>
        <w:tc>
          <w:tcPr>
            <w:tcW w:w="1240" w:type="dxa"/>
            <w:vAlign w:val="bottom"/>
          </w:tcPr>
          <w:p>
            <w:pPr>
              <w:jc w:val="center"/>
              <w:ind w:right="188"/>
              <w:spacing w:after="0" w:line="230" w:lineRule="exact"/>
              <w:rPr>
                <w:sz w:val="20"/>
                <w:szCs w:val="20"/>
                <w:color w:val="auto"/>
              </w:rPr>
            </w:pPr>
            <w:r>
              <w:rPr>
                <w:rFonts w:ascii="Arial" w:cs="Arial" w:eastAsia="Arial" w:hAnsi="Arial"/>
                <w:sz w:val="22"/>
                <w:szCs w:val="22"/>
                <w:color w:val="auto"/>
              </w:rPr>
              <w:t>697</w:t>
            </w:r>
          </w:p>
        </w:tc>
        <w:tc>
          <w:tcPr>
            <w:tcW w:w="1580" w:type="dxa"/>
            <w:vAlign w:val="bottom"/>
          </w:tcPr>
          <w:p>
            <w:pPr>
              <w:jc w:val="center"/>
              <w:spacing w:after="0" w:line="230" w:lineRule="exact"/>
              <w:rPr>
                <w:sz w:val="20"/>
                <w:szCs w:val="20"/>
                <w:color w:val="auto"/>
              </w:rPr>
            </w:pPr>
            <w:r>
              <w:rPr>
                <w:rFonts w:ascii="Arial" w:cs="Arial" w:eastAsia="Arial" w:hAnsi="Arial"/>
                <w:sz w:val="22"/>
                <w:szCs w:val="22"/>
                <w:color w:val="auto"/>
              </w:rPr>
              <w:t>631</w:t>
            </w:r>
          </w:p>
        </w:tc>
        <w:tc>
          <w:tcPr>
            <w:tcW w:w="1480" w:type="dxa"/>
            <w:vAlign w:val="bottom"/>
          </w:tcPr>
          <w:p>
            <w:pPr>
              <w:jc w:val="center"/>
              <w:spacing w:after="0" w:line="230" w:lineRule="exact"/>
              <w:rPr>
                <w:sz w:val="20"/>
                <w:szCs w:val="20"/>
                <w:color w:val="auto"/>
              </w:rPr>
            </w:pPr>
            <w:r>
              <w:rPr>
                <w:rFonts w:ascii="Arial" w:cs="Arial" w:eastAsia="Arial" w:hAnsi="Arial"/>
                <w:sz w:val="22"/>
                <w:szCs w:val="22"/>
                <w:color w:val="auto"/>
              </w:rPr>
              <w:t>747</w:t>
            </w:r>
          </w:p>
        </w:tc>
        <w:tc>
          <w:tcPr>
            <w:tcW w:w="1100" w:type="dxa"/>
            <w:vAlign w:val="bottom"/>
          </w:tcPr>
          <w:p>
            <w:pPr>
              <w:jc w:val="center"/>
              <w:ind w:left="368"/>
              <w:spacing w:after="0" w:line="230" w:lineRule="exact"/>
              <w:rPr>
                <w:sz w:val="20"/>
                <w:szCs w:val="20"/>
                <w:color w:val="auto"/>
              </w:rPr>
            </w:pPr>
            <w:r>
              <w:rPr>
                <w:rFonts w:ascii="Arial" w:cs="Arial" w:eastAsia="Arial" w:hAnsi="Arial"/>
                <w:sz w:val="22"/>
                <w:szCs w:val="22"/>
                <w:color w:val="auto"/>
              </w:rPr>
              <w:t>709</w:t>
            </w:r>
          </w:p>
        </w:tc>
        <w:tc>
          <w:tcPr>
            <w:tcW w:w="0" w:type="dxa"/>
            <w:vAlign w:val="bottom"/>
          </w:tcPr>
          <w:p>
            <w:pPr>
              <w:spacing w:after="0"/>
              <w:rPr>
                <w:sz w:val="1"/>
                <w:szCs w:val="1"/>
                <w:color w:val="auto"/>
              </w:rPr>
            </w:pPr>
          </w:p>
        </w:tc>
      </w:tr>
      <w:tr>
        <w:trPr>
          <w:trHeight w:val="296"/>
        </w:trPr>
        <w:tc>
          <w:tcPr>
            <w:tcW w:w="2800" w:type="dxa"/>
            <w:vAlign w:val="bottom"/>
          </w:tcPr>
          <w:p>
            <w:pPr>
              <w:ind w:left="120"/>
              <w:spacing w:after="0"/>
              <w:rPr>
                <w:sz w:val="20"/>
                <w:szCs w:val="20"/>
                <w:color w:val="auto"/>
              </w:rPr>
            </w:pPr>
            <w:r>
              <w:rPr>
                <w:rFonts w:ascii="Arial" w:cs="Arial" w:eastAsia="Arial" w:hAnsi="Arial"/>
                <w:sz w:val="22"/>
                <w:szCs w:val="22"/>
                <w:b w:val="1"/>
                <w:bCs w:val="1"/>
                <w:color w:val="auto"/>
              </w:rPr>
              <w:t>Total Production (000’s)</w:t>
            </w:r>
          </w:p>
        </w:tc>
        <w:tc>
          <w:tcPr>
            <w:tcW w:w="1240" w:type="dxa"/>
            <w:vAlign w:val="bottom"/>
          </w:tcPr>
          <w:p>
            <w:pPr>
              <w:jc w:val="center"/>
              <w:ind w:right="188"/>
              <w:spacing w:after="0"/>
              <w:rPr>
                <w:sz w:val="20"/>
                <w:szCs w:val="20"/>
                <w:color w:val="auto"/>
              </w:rPr>
            </w:pPr>
            <w:r>
              <w:rPr>
                <w:rFonts w:ascii="Arial" w:cs="Arial" w:eastAsia="Arial" w:hAnsi="Arial"/>
                <w:sz w:val="22"/>
                <w:szCs w:val="22"/>
                <w:b w:val="1"/>
                <w:bCs w:val="1"/>
                <w:color w:val="auto"/>
              </w:rPr>
              <w:t>965</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866</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rPr>
              <w:t>1,012</w:t>
            </w:r>
          </w:p>
        </w:tc>
        <w:tc>
          <w:tcPr>
            <w:tcW w:w="1100" w:type="dxa"/>
            <w:vAlign w:val="bottom"/>
          </w:tcPr>
          <w:p>
            <w:pPr>
              <w:jc w:val="center"/>
              <w:ind w:left="368"/>
              <w:spacing w:after="0"/>
              <w:rPr>
                <w:sz w:val="20"/>
                <w:szCs w:val="20"/>
                <w:color w:val="auto"/>
              </w:rPr>
            </w:pPr>
            <w:r>
              <w:rPr>
                <w:rFonts w:ascii="Arial" w:cs="Arial" w:eastAsia="Arial" w:hAnsi="Arial"/>
                <w:sz w:val="22"/>
                <w:szCs w:val="22"/>
                <w:b w:val="1"/>
                <w:bCs w:val="1"/>
                <w:color w:val="auto"/>
              </w:rPr>
              <w:t>966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80" w:hanging="6"/>
        <w:spacing w:after="0" w:line="300" w:lineRule="auto"/>
        <w:tabs>
          <w:tab w:leader="none" w:pos="525"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Excludes equity income and non-controlling interest adjustment. See supplementary schedule S9 for additional details. ** Revenue not consolidated in GM results, pro-rata share of earnings reported as equity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6.6</w:t>
      </w:r>
    </w:p>
    <w:p>
      <w:pPr>
        <w:spacing w:after="0" w:line="198" w:lineRule="exact"/>
        <w:rPr>
          <w:sz w:val="20"/>
          <w:szCs w:val="20"/>
          <w:color w:val="auto"/>
        </w:rPr>
      </w:pPr>
    </w:p>
    <w:p>
      <w:pPr>
        <w:jc w:val="center"/>
        <w:ind w:right="840"/>
        <w:spacing w:after="0"/>
        <w:rPr>
          <w:sz w:val="20"/>
          <w:szCs w:val="20"/>
          <w:color w:val="auto"/>
        </w:rPr>
      </w:pPr>
      <w:r>
        <w:rPr>
          <w:rFonts w:ascii="Arial" w:cs="Arial" w:eastAsia="Arial" w:hAnsi="Arial"/>
          <w:sz w:val="22"/>
          <w:szCs w:val="22"/>
          <w:color w:val="auto"/>
        </w:rPr>
        <w:t>3.4%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11.1%</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310</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693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1,003</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21</w:t>
      </w:r>
    </w:p>
    <w:p>
      <w:pPr>
        <w:sectPr>
          <w:pgSz w:w="11900" w:h="16838" w:orient="portrait"/>
          <w:cols w:equalWidth="0" w:num="2">
            <w:col w:w="8520" w:space="600"/>
            <w:col w:w="1500"/>
          </w:cols>
          <w:pgMar w:left="460" w:top="527" w:right="819" w:bottom="1440" w:gutter="0" w:footer="0" w:header="0"/>
          <w:type w:val="continuous"/>
        </w:sectPr>
      </w:pPr>
    </w:p>
    <w:bookmarkStart w:id="38" w:name="page39"/>
    <w:bookmarkEnd w:id="38"/>
    <w:p>
      <w:pPr>
        <w:ind w:left="10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GMIO EBIT – Q2 2010 vs. Q2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520" w:type="dxa"/>
        <w:tblCellMar>
          <w:top w:w="0" w:type="dxa"/>
          <w:left w:w="0" w:type="dxa"/>
          <w:bottom w:w="0" w:type="dxa"/>
          <w:right w:w="0" w:type="dxa"/>
        </w:tblCellMar>
      </w:tblPr>
      <w:tr>
        <w:trPr>
          <w:trHeight w:val="412"/>
        </w:trPr>
        <w:tc>
          <w:tcPr>
            <w:tcW w:w="2300" w:type="dxa"/>
            <w:vAlign w:val="bottom"/>
          </w:tcPr>
          <w:p>
            <w:pPr>
              <w:jc w:val="center"/>
              <w:ind w:right="590"/>
              <w:spacing w:after="0"/>
              <w:rPr>
                <w:sz w:val="20"/>
                <w:szCs w:val="20"/>
                <w:color w:val="auto"/>
              </w:rPr>
            </w:pPr>
            <w:r>
              <w:rPr>
                <w:rFonts w:ascii="Arial" w:cs="Arial" w:eastAsia="Arial" w:hAnsi="Arial"/>
                <w:sz w:val="34"/>
                <w:szCs w:val="34"/>
                <w:b w:val="1"/>
                <w:bCs w:val="1"/>
                <w:color w:val="auto"/>
                <w:w w:val="99"/>
              </w:rPr>
              <w:t>Q2 2010</w:t>
            </w:r>
          </w:p>
        </w:tc>
        <w:tc>
          <w:tcPr>
            <w:tcW w:w="4720" w:type="dxa"/>
            <w:vAlign w:val="bottom"/>
            <w:vMerge w:val="restart"/>
          </w:tcPr>
          <w:p>
            <w:pPr>
              <w:ind w:left="780"/>
              <w:spacing w:after="0"/>
              <w:rPr>
                <w:sz w:val="20"/>
                <w:szCs w:val="20"/>
                <w:color w:val="auto"/>
              </w:rPr>
            </w:pPr>
            <w:r>
              <w:rPr>
                <w:rFonts w:ascii="Arial" w:cs="Arial" w:eastAsia="Arial" w:hAnsi="Arial"/>
                <w:sz w:val="34"/>
                <w:szCs w:val="34"/>
                <w:b w:val="1"/>
                <w:bCs w:val="1"/>
                <w:color w:val="auto"/>
              </w:rPr>
              <w:t>$0.1B Improvement</w:t>
            </w:r>
          </w:p>
        </w:tc>
        <w:tc>
          <w:tcPr>
            <w:tcW w:w="2340" w:type="dxa"/>
            <w:vAlign w:val="bottom"/>
          </w:tcPr>
          <w:p>
            <w:pPr>
              <w:jc w:val="center"/>
              <w:ind w:left="630"/>
              <w:spacing w:after="0"/>
              <w:rPr>
                <w:sz w:val="20"/>
                <w:szCs w:val="20"/>
                <w:color w:val="auto"/>
              </w:rPr>
            </w:pPr>
            <w:r>
              <w:rPr>
                <w:rFonts w:ascii="Arial" w:cs="Arial" w:eastAsia="Arial" w:hAnsi="Arial"/>
                <w:sz w:val="34"/>
                <w:szCs w:val="34"/>
                <w:b w:val="1"/>
                <w:bCs w:val="1"/>
                <w:color w:val="auto"/>
                <w:w w:val="99"/>
              </w:rPr>
              <w:t>Q2 2011</w:t>
            </w:r>
          </w:p>
        </w:tc>
        <w:tc>
          <w:tcPr>
            <w:tcW w:w="0" w:type="dxa"/>
            <w:vAlign w:val="bottom"/>
          </w:tcPr>
          <w:p>
            <w:pPr>
              <w:spacing w:after="0"/>
              <w:rPr>
                <w:sz w:val="1"/>
                <w:szCs w:val="1"/>
                <w:color w:val="auto"/>
              </w:rPr>
            </w:pPr>
          </w:p>
        </w:tc>
      </w:tr>
      <w:tr>
        <w:trPr>
          <w:trHeight w:val="288"/>
        </w:trPr>
        <w:tc>
          <w:tcPr>
            <w:tcW w:w="2300" w:type="dxa"/>
            <w:vAlign w:val="bottom"/>
            <w:vMerge w:val="restart"/>
          </w:tcPr>
          <w:p>
            <w:pPr>
              <w:jc w:val="center"/>
              <w:ind w:right="590"/>
              <w:spacing w:after="0"/>
              <w:rPr>
                <w:sz w:val="20"/>
                <w:szCs w:val="20"/>
                <w:color w:val="auto"/>
              </w:rPr>
            </w:pPr>
            <w:r>
              <w:rPr>
                <w:rFonts w:ascii="Arial" w:cs="Arial" w:eastAsia="Arial" w:hAnsi="Arial"/>
                <w:sz w:val="34"/>
                <w:szCs w:val="34"/>
                <w:b w:val="1"/>
                <w:bCs w:val="1"/>
                <w:color w:val="auto"/>
              </w:rPr>
              <w:t>EBIT ($B)</w:t>
            </w:r>
          </w:p>
        </w:tc>
        <w:tc>
          <w:tcPr>
            <w:tcW w:w="4720" w:type="dxa"/>
            <w:vAlign w:val="bottom"/>
            <w:vMerge w:val="continue"/>
          </w:tcPr>
          <w:p>
            <w:pPr>
              <w:spacing w:after="0"/>
              <w:rPr>
                <w:sz w:val="24"/>
                <w:szCs w:val="24"/>
                <w:color w:val="auto"/>
              </w:rPr>
            </w:pPr>
          </w:p>
        </w:tc>
        <w:tc>
          <w:tcPr>
            <w:tcW w:w="2340" w:type="dxa"/>
            <w:vAlign w:val="bottom"/>
            <w:vMerge w:val="restart"/>
          </w:tcPr>
          <w:p>
            <w:pPr>
              <w:jc w:val="center"/>
              <w:ind w:left="630"/>
              <w:spacing w:after="0"/>
              <w:rPr>
                <w:sz w:val="20"/>
                <w:szCs w:val="20"/>
                <w:color w:val="auto"/>
              </w:rPr>
            </w:pPr>
            <w:r>
              <w:rPr>
                <w:rFonts w:ascii="Arial" w:cs="Arial" w:eastAsia="Arial" w:hAnsi="Arial"/>
                <w:sz w:val="34"/>
                <w:szCs w:val="34"/>
                <w:b w:val="1"/>
                <w:bCs w:val="1"/>
                <w:color w:val="auto"/>
              </w:rPr>
              <w:t>EBIT ($B)</w:t>
            </w: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47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80" w:type="dxa"/>
            <w:vAlign w:val="bottom"/>
            <w:vMerge w:val="restart"/>
          </w:tcPr>
          <w:p>
            <w:pPr>
              <w:ind w:left="20"/>
              <w:spacing w:after="0"/>
              <w:rPr>
                <w:sz w:val="20"/>
                <w:szCs w:val="20"/>
                <w:color w:val="auto"/>
              </w:rPr>
            </w:pPr>
            <w:r>
              <w:rPr>
                <w:rFonts w:ascii="Arial" w:cs="Arial" w:eastAsia="Arial" w:hAnsi="Arial"/>
                <w:sz w:val="25"/>
                <w:szCs w:val="25"/>
                <w:color w:val="auto"/>
              </w:rPr>
              <w:t>0.5</w:t>
            </w:r>
          </w:p>
        </w:tc>
        <w:tc>
          <w:tcPr>
            <w:tcW w:w="1320" w:type="dxa"/>
            <w:vAlign w:val="bottom"/>
          </w:tcPr>
          <w:p>
            <w:pPr>
              <w:spacing w:after="0"/>
              <w:rPr>
                <w:sz w:val="24"/>
                <w:szCs w:val="24"/>
                <w:color w:val="auto"/>
              </w:rPr>
            </w:pPr>
          </w:p>
        </w:tc>
        <w:tc>
          <w:tcPr>
            <w:tcW w:w="1060" w:type="dxa"/>
            <w:vAlign w:val="bottom"/>
            <w:vMerge w:val="restart"/>
          </w:tcPr>
          <w:p>
            <w:pPr>
              <w:jc w:val="right"/>
              <w:ind w:right="291"/>
              <w:spacing w:after="0"/>
              <w:rPr>
                <w:sz w:val="20"/>
                <w:szCs w:val="20"/>
                <w:color w:val="auto"/>
              </w:rPr>
            </w:pPr>
            <w:r>
              <w:rPr>
                <w:rFonts w:ascii="Arial" w:cs="Arial" w:eastAsia="Arial" w:hAnsi="Arial"/>
                <w:sz w:val="25"/>
                <w:szCs w:val="25"/>
                <w:color w:val="auto"/>
              </w:rPr>
              <w:t>0.5</w:t>
            </w:r>
          </w:p>
        </w:tc>
        <w:tc>
          <w:tcPr>
            <w:tcW w:w="1140" w:type="dxa"/>
            <w:vAlign w:val="bottom"/>
            <w:vMerge w:val="restart"/>
          </w:tcPr>
          <w:p>
            <w:pPr>
              <w:ind w:left="340"/>
              <w:spacing w:after="0"/>
              <w:rPr>
                <w:sz w:val="20"/>
                <w:szCs w:val="20"/>
                <w:color w:val="auto"/>
              </w:rPr>
            </w:pPr>
            <w:r>
              <w:rPr>
                <w:rFonts w:ascii="Arial" w:cs="Arial" w:eastAsia="Arial" w:hAnsi="Arial"/>
                <w:sz w:val="25"/>
                <w:szCs w:val="25"/>
                <w:color w:val="auto"/>
              </w:rPr>
              <w:t>0.1</w:t>
            </w:r>
          </w:p>
        </w:tc>
        <w:tc>
          <w:tcPr>
            <w:tcW w:w="1020" w:type="dxa"/>
            <w:vAlign w:val="bottom"/>
          </w:tcPr>
          <w:p>
            <w:pPr>
              <w:jc w:val="right"/>
              <w:ind w:right="271"/>
              <w:spacing w:after="0"/>
              <w:rPr>
                <w:sz w:val="20"/>
                <w:szCs w:val="20"/>
                <w:color w:val="auto"/>
              </w:rPr>
            </w:pPr>
            <w:r>
              <w:rPr>
                <w:rFonts w:ascii="Arial" w:cs="Arial" w:eastAsia="Arial" w:hAnsi="Arial"/>
                <w:sz w:val="25"/>
                <w:szCs w:val="25"/>
                <w:color w:val="auto"/>
              </w:rPr>
              <w:t>0.1</w:t>
            </w:r>
          </w:p>
        </w:tc>
        <w:tc>
          <w:tcPr>
            <w:tcW w:w="1100" w:type="dxa"/>
            <w:vAlign w:val="bottom"/>
          </w:tcPr>
          <w:p>
            <w:pPr>
              <w:jc w:val="right"/>
              <w:ind w:right="191"/>
              <w:spacing w:after="0"/>
              <w:rPr>
                <w:sz w:val="20"/>
                <w:szCs w:val="20"/>
                <w:color w:val="auto"/>
              </w:rPr>
            </w:pPr>
            <w:r>
              <w:rPr>
                <w:rFonts w:ascii="Arial" w:cs="Arial" w:eastAsia="Arial" w:hAnsi="Arial"/>
                <w:sz w:val="25"/>
                <w:szCs w:val="25"/>
                <w:color w:val="auto"/>
              </w:rPr>
              <w:t>(0.2)</w:t>
            </w:r>
          </w:p>
        </w:tc>
        <w:tc>
          <w:tcPr>
            <w:tcW w:w="1020" w:type="dxa"/>
            <w:vAlign w:val="bottom"/>
            <w:vMerge w:val="restart"/>
          </w:tcPr>
          <w:p>
            <w:pPr>
              <w:jc w:val="right"/>
              <w:ind w:right="231"/>
              <w:spacing w:after="0"/>
              <w:rPr>
                <w:sz w:val="20"/>
                <w:szCs w:val="20"/>
                <w:color w:val="auto"/>
              </w:rPr>
            </w:pPr>
            <w:r>
              <w:rPr>
                <w:rFonts w:ascii="Arial" w:cs="Arial" w:eastAsia="Arial" w:hAnsi="Arial"/>
                <w:sz w:val="25"/>
                <w:szCs w:val="25"/>
                <w:color w:val="auto"/>
              </w:rPr>
              <w:t>0.1</w:t>
            </w:r>
          </w:p>
        </w:tc>
        <w:tc>
          <w:tcPr>
            <w:tcW w:w="1140" w:type="dxa"/>
            <w:vAlign w:val="bottom"/>
            <w:vMerge w:val="restart"/>
          </w:tcPr>
          <w:p>
            <w:pPr>
              <w:jc w:val="right"/>
              <w:ind w:right="251"/>
              <w:spacing w:after="0"/>
              <w:rPr>
                <w:sz w:val="20"/>
                <w:szCs w:val="20"/>
                <w:color w:val="auto"/>
              </w:rPr>
            </w:pPr>
            <w:r>
              <w:rPr>
                <w:rFonts w:ascii="Arial" w:cs="Arial" w:eastAsia="Arial" w:hAnsi="Arial"/>
                <w:sz w:val="25"/>
                <w:szCs w:val="25"/>
                <w:color w:val="auto"/>
              </w:rPr>
              <w:t>0.6</w:t>
            </w:r>
          </w:p>
        </w:tc>
        <w:tc>
          <w:tcPr>
            <w:tcW w:w="1300" w:type="dxa"/>
            <w:vAlign w:val="bottom"/>
          </w:tcPr>
          <w:p>
            <w:pPr>
              <w:spacing w:after="0"/>
              <w:rPr>
                <w:sz w:val="24"/>
                <w:szCs w:val="24"/>
                <w:color w:val="auto"/>
              </w:rPr>
            </w:pPr>
          </w:p>
        </w:tc>
        <w:tc>
          <w:tcPr>
            <w:tcW w:w="600" w:type="dxa"/>
            <w:vAlign w:val="bottom"/>
            <w:vMerge w:val="restart"/>
          </w:tcPr>
          <w:p>
            <w:pPr>
              <w:ind w:left="160"/>
              <w:spacing w:after="0"/>
              <w:rPr>
                <w:sz w:val="20"/>
                <w:szCs w:val="20"/>
                <w:color w:val="auto"/>
              </w:rPr>
            </w:pPr>
            <w:r>
              <w:rPr>
                <w:rFonts w:ascii="Arial" w:cs="Arial" w:eastAsia="Arial" w:hAnsi="Arial"/>
                <w:sz w:val="25"/>
                <w:szCs w:val="25"/>
                <w:color w:val="auto"/>
              </w:rPr>
              <w:t>0.6</w:t>
            </w:r>
          </w:p>
        </w:tc>
        <w:tc>
          <w:tcPr>
            <w:tcW w:w="0" w:type="dxa"/>
            <w:vAlign w:val="bottom"/>
          </w:tcPr>
          <w:p>
            <w:pPr>
              <w:spacing w:after="0"/>
              <w:rPr>
                <w:sz w:val="1"/>
                <w:szCs w:val="1"/>
                <w:color w:val="auto"/>
              </w:rPr>
            </w:pPr>
          </w:p>
        </w:tc>
      </w:tr>
      <w:tr>
        <w:trPr>
          <w:trHeight w:val="129"/>
        </w:trPr>
        <w:tc>
          <w:tcPr>
            <w:tcW w:w="58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0"/>
        </w:trPr>
        <w:tc>
          <w:tcPr>
            <w:tcW w:w="5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5"/>
                <w:szCs w:val="25"/>
                <w:color w:val="auto"/>
                <w:w w:val="97"/>
              </w:rPr>
              <w:t>0.0</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ind w:left="400"/>
              <w:spacing w:after="0"/>
              <w:rPr>
                <w:sz w:val="20"/>
                <w:szCs w:val="20"/>
                <w:color w:val="auto"/>
              </w:rPr>
            </w:pPr>
            <w:r>
              <w:rPr>
                <w:rFonts w:ascii="Arial" w:cs="Arial" w:eastAsia="Arial" w:hAnsi="Arial"/>
                <w:sz w:val="25"/>
                <w:szCs w:val="25"/>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80" w:type="dxa"/>
            <w:vAlign w:val="bottom"/>
          </w:tcPr>
          <w:p>
            <w:pPr>
              <w:spacing w:after="0"/>
              <w:rPr>
                <w:sz w:val="20"/>
                <w:szCs w:val="20"/>
                <w:color w:val="auto"/>
              </w:rPr>
            </w:pPr>
            <w:r>
              <w:rPr>
                <w:rFonts w:ascii="Arial" w:cs="Arial" w:eastAsia="Arial" w:hAnsi="Arial"/>
                <w:sz w:val="19"/>
                <w:szCs w:val="19"/>
                <w:b w:val="1"/>
                <w:bCs w:val="1"/>
                <w:color w:val="auto"/>
              </w:rPr>
              <w:t>EBIT</w:t>
            </w: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Less Special</w:t>
            </w:r>
          </w:p>
        </w:tc>
        <w:tc>
          <w:tcPr>
            <w:tcW w:w="1060" w:type="dxa"/>
            <w:vAlign w:val="bottom"/>
          </w:tcPr>
          <w:p>
            <w:pPr>
              <w:jc w:val="center"/>
              <w:spacing w:after="0"/>
              <w:rPr>
                <w:sz w:val="20"/>
                <w:szCs w:val="20"/>
                <w:color w:val="auto"/>
              </w:rPr>
            </w:pPr>
            <w:r>
              <w:rPr>
                <w:rFonts w:ascii="Arial" w:cs="Arial" w:eastAsia="Arial" w:hAnsi="Arial"/>
                <w:sz w:val="19"/>
                <w:szCs w:val="19"/>
                <w:b w:val="1"/>
                <w:bCs w:val="1"/>
                <w:color w:val="auto"/>
                <w:w w:val="98"/>
              </w:rPr>
              <w:t>EBIT-Adj.</w:t>
            </w:r>
          </w:p>
        </w:tc>
        <w:tc>
          <w:tcPr>
            <w:tcW w:w="1140" w:type="dxa"/>
            <w:vAlign w:val="bottom"/>
          </w:tcPr>
          <w:p>
            <w:pPr>
              <w:ind w:left="100"/>
              <w:spacing w:after="0"/>
              <w:rPr>
                <w:sz w:val="20"/>
                <w:szCs w:val="20"/>
                <w:color w:val="auto"/>
              </w:rPr>
            </w:pPr>
            <w:r>
              <w:rPr>
                <w:rFonts w:ascii="Arial" w:cs="Arial" w:eastAsia="Arial" w:hAnsi="Arial"/>
                <w:sz w:val="19"/>
                <w:szCs w:val="19"/>
                <w:b w:val="1"/>
                <w:bCs w:val="1"/>
                <w:color w:val="auto"/>
              </w:rPr>
              <w:t>Volume /</w:t>
            </w:r>
          </w:p>
        </w:tc>
        <w:tc>
          <w:tcPr>
            <w:tcW w:w="1020" w:type="dxa"/>
            <w:vAlign w:val="bottom"/>
          </w:tcPr>
          <w:p>
            <w:pPr>
              <w:jc w:val="center"/>
              <w:spacing w:after="0"/>
              <w:rPr>
                <w:sz w:val="20"/>
                <w:szCs w:val="20"/>
                <w:color w:val="auto"/>
              </w:rPr>
            </w:pPr>
            <w:r>
              <w:rPr>
                <w:rFonts w:ascii="Arial" w:cs="Arial" w:eastAsia="Arial" w:hAnsi="Arial"/>
                <w:sz w:val="19"/>
                <w:szCs w:val="19"/>
                <w:b w:val="1"/>
                <w:bCs w:val="1"/>
                <w:color w:val="auto"/>
                <w:w w:val="98"/>
              </w:rPr>
              <w:t>Price</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w w:val="94"/>
              </w:rPr>
              <w:t>Cost</w:t>
            </w:r>
          </w:p>
        </w:tc>
        <w:tc>
          <w:tcPr>
            <w:tcW w:w="1020" w:type="dxa"/>
            <w:vAlign w:val="bottom"/>
          </w:tcPr>
          <w:p>
            <w:pPr>
              <w:jc w:val="right"/>
              <w:ind w:right="111"/>
              <w:spacing w:after="0"/>
              <w:rPr>
                <w:sz w:val="20"/>
                <w:szCs w:val="20"/>
                <w:color w:val="auto"/>
              </w:rPr>
            </w:pPr>
            <w:r>
              <w:rPr>
                <w:rFonts w:ascii="Arial" w:cs="Arial" w:eastAsia="Arial" w:hAnsi="Arial"/>
                <w:sz w:val="19"/>
                <w:szCs w:val="19"/>
                <w:b w:val="1"/>
                <w:bCs w:val="1"/>
                <w:color w:val="auto"/>
              </w:rPr>
              <w:t>Other</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EBIT-Adj.</w:t>
            </w:r>
          </w:p>
        </w:tc>
        <w:tc>
          <w:tcPr>
            <w:tcW w:w="1300" w:type="dxa"/>
            <w:vAlign w:val="bottom"/>
          </w:tcPr>
          <w:p>
            <w:pPr>
              <w:ind w:left="100"/>
              <w:spacing w:after="0"/>
              <w:rPr>
                <w:sz w:val="20"/>
                <w:szCs w:val="20"/>
                <w:color w:val="auto"/>
              </w:rPr>
            </w:pPr>
            <w:r>
              <w:rPr>
                <w:rFonts w:ascii="Arial" w:cs="Arial" w:eastAsia="Arial" w:hAnsi="Arial"/>
                <w:sz w:val="19"/>
                <w:szCs w:val="19"/>
                <w:color w:val="auto"/>
              </w:rPr>
              <w:t>Plus Special</w:t>
            </w:r>
          </w:p>
        </w:tc>
        <w:tc>
          <w:tcPr>
            <w:tcW w:w="600" w:type="dxa"/>
            <w:vAlign w:val="bottom"/>
          </w:tcPr>
          <w:p>
            <w:pPr>
              <w:ind w:left="160"/>
              <w:spacing w:after="0"/>
              <w:rPr>
                <w:sz w:val="20"/>
                <w:szCs w:val="20"/>
                <w:color w:val="auto"/>
              </w:rPr>
            </w:pPr>
            <w:r>
              <w:rPr>
                <w:rFonts w:ascii="Arial" w:cs="Arial" w:eastAsia="Arial" w:hAnsi="Arial"/>
                <w:sz w:val="19"/>
                <w:szCs w:val="19"/>
                <w:b w:val="1"/>
                <w:bCs w:val="1"/>
                <w:color w:val="auto"/>
                <w:w w:val="96"/>
              </w:rPr>
              <w:t>EBIT</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Items</w:t>
            </w:r>
          </w:p>
        </w:tc>
        <w:tc>
          <w:tcPr>
            <w:tcW w:w="106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9"/>
                <w:szCs w:val="19"/>
                <w:b w:val="1"/>
                <w:bCs w:val="1"/>
                <w:color w:val="auto"/>
              </w:rPr>
              <w:t>Mix</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ind w:left="400"/>
              <w:spacing w:after="0"/>
              <w:rPr>
                <w:sz w:val="20"/>
                <w:szCs w:val="20"/>
                <w:color w:val="auto"/>
              </w:rPr>
            </w:pPr>
            <w:r>
              <w:rPr>
                <w:rFonts w:ascii="Arial" w:cs="Arial" w:eastAsia="Arial" w:hAnsi="Arial"/>
                <w:sz w:val="19"/>
                <w:szCs w:val="19"/>
                <w:color w:val="auto"/>
              </w:rPr>
              <w:t>Items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22</w:t>
      </w:r>
    </w:p>
    <w:p>
      <w:pPr>
        <w:sectPr>
          <w:pgSz w:w="11900" w:h="16838" w:orient="portrait"/>
          <w:cols w:equalWidth="0" w:num="1">
            <w:col w:w="10280"/>
          </w:cols>
          <w:pgMar w:left="700" w:top="597" w:right="919" w:bottom="1440" w:gutter="0" w:footer="0" w:header="0"/>
        </w:sectPr>
      </w:pPr>
    </w:p>
    <w:bookmarkStart w:id="39" w:name="page40"/>
    <w:bookmarkEnd w:id="39"/>
    <w:p>
      <w:pPr>
        <w:ind w:left="11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GMSA Deliveries</w:t>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25"/>
          <w:szCs w:val="25"/>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Brazil</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GMSA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660" w:type="dxa"/>
            <w:vAlign w:val="bottom"/>
          </w:tcPr>
          <w:p>
            <w:pPr>
              <w:spacing w:after="0"/>
              <w:rPr>
                <w:sz w:val="20"/>
                <w:szCs w:val="20"/>
                <w:color w:val="auto"/>
              </w:rPr>
            </w:pPr>
            <w:r>
              <w:rPr>
                <w:rFonts w:ascii="Arial" w:cs="Arial" w:eastAsia="Arial" w:hAnsi="Arial"/>
                <w:sz w:val="22"/>
                <w:szCs w:val="22"/>
                <w:b w:val="1"/>
                <w:bCs w:val="1"/>
                <w:color w:val="auto"/>
              </w:rPr>
              <w:t>GMSA Share</w:t>
            </w:r>
          </w:p>
        </w:tc>
        <w:tc>
          <w:tcPr>
            <w:tcW w:w="1420" w:type="dxa"/>
            <w:vAlign w:val="bottom"/>
          </w:tcPr>
          <w:p>
            <w:pPr>
              <w:jc w:val="right"/>
              <w:ind w:right="368"/>
              <w:spacing w:after="0"/>
              <w:rPr>
                <w:sz w:val="20"/>
                <w:szCs w:val="20"/>
                <w:color w:val="auto"/>
              </w:rPr>
            </w:pPr>
            <w:r>
              <w:rPr>
                <w:rFonts w:ascii="Arial" w:cs="Arial" w:eastAsia="Arial" w:hAnsi="Arial"/>
                <w:sz w:val="22"/>
                <w:szCs w:val="22"/>
                <w:b w:val="1"/>
                <w:bCs w:val="1"/>
                <w:color w:val="auto"/>
              </w:rPr>
              <w:t>19.5%</w:t>
            </w:r>
          </w:p>
        </w:tc>
        <w:tc>
          <w:tcPr>
            <w:tcW w:w="1600" w:type="dxa"/>
            <w:vAlign w:val="bottom"/>
          </w:tcPr>
          <w:p>
            <w:pPr>
              <w:jc w:val="right"/>
              <w:ind w:right="368"/>
              <w:spacing w:after="0"/>
              <w:rPr>
                <w:sz w:val="20"/>
                <w:szCs w:val="20"/>
                <w:color w:val="auto"/>
              </w:rPr>
            </w:pPr>
            <w:r>
              <w:rPr>
                <w:rFonts w:ascii="Arial" w:cs="Arial" w:eastAsia="Arial" w:hAnsi="Arial"/>
                <w:sz w:val="22"/>
                <w:szCs w:val="22"/>
                <w:b w:val="1"/>
                <w:bCs w:val="1"/>
                <w:color w:val="auto"/>
              </w:rPr>
              <w:t>19.8%</w:t>
            </w:r>
          </w:p>
        </w:tc>
        <w:tc>
          <w:tcPr>
            <w:tcW w:w="1600" w:type="dxa"/>
            <w:vAlign w:val="bottom"/>
          </w:tcPr>
          <w:p>
            <w:pPr>
              <w:jc w:val="right"/>
              <w:ind w:right="368"/>
              <w:spacing w:after="0"/>
              <w:rPr>
                <w:sz w:val="20"/>
                <w:szCs w:val="20"/>
                <w:color w:val="auto"/>
              </w:rPr>
            </w:pPr>
            <w:r>
              <w:rPr>
                <w:rFonts w:ascii="Arial" w:cs="Arial" w:eastAsia="Arial" w:hAnsi="Arial"/>
                <w:sz w:val="22"/>
                <w:szCs w:val="22"/>
                <w:b w:val="1"/>
                <w:bCs w:val="1"/>
                <w:color w:val="auto"/>
              </w:rPr>
              <w:t>19.6%</w:t>
            </w:r>
          </w:p>
        </w:tc>
        <w:tc>
          <w:tcPr>
            <w:tcW w:w="1580" w:type="dxa"/>
            <w:vAlign w:val="bottom"/>
          </w:tcPr>
          <w:p>
            <w:pPr>
              <w:jc w:val="right"/>
              <w:ind w:right="368"/>
              <w:spacing w:after="0"/>
              <w:rPr>
                <w:sz w:val="20"/>
                <w:szCs w:val="20"/>
                <w:color w:val="auto"/>
              </w:rPr>
            </w:pPr>
            <w:r>
              <w:rPr>
                <w:rFonts w:ascii="Arial" w:cs="Arial" w:eastAsia="Arial" w:hAnsi="Arial"/>
                <w:sz w:val="22"/>
                <w:szCs w:val="22"/>
                <w:b w:val="1"/>
                <w:bCs w:val="1"/>
                <w:color w:val="auto"/>
              </w:rPr>
              <w:t>18.7%</w:t>
            </w: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rPr>
              <w:t>19.2%</w:t>
            </w:r>
          </w:p>
        </w:tc>
      </w:tr>
      <w:tr>
        <w:trPr>
          <w:trHeight w:val="459"/>
        </w:trPr>
        <w:tc>
          <w:tcPr>
            <w:tcW w:w="1660" w:type="dxa"/>
            <w:vAlign w:val="bottom"/>
          </w:tcPr>
          <w:p>
            <w:pPr>
              <w:spacing w:after="0"/>
              <w:rPr>
                <w:sz w:val="20"/>
                <w:szCs w:val="20"/>
                <w:color w:val="auto"/>
              </w:rPr>
            </w:pPr>
            <w:r>
              <w:rPr>
                <w:rFonts w:ascii="Arial" w:cs="Arial" w:eastAsia="Arial" w:hAnsi="Arial"/>
                <w:sz w:val="22"/>
                <w:szCs w:val="22"/>
                <w:color w:val="auto"/>
              </w:rPr>
              <w:t>Brazil Share</w:t>
            </w:r>
          </w:p>
        </w:tc>
        <w:tc>
          <w:tcPr>
            <w:tcW w:w="1420" w:type="dxa"/>
            <w:vAlign w:val="bottom"/>
          </w:tcPr>
          <w:p>
            <w:pPr>
              <w:jc w:val="right"/>
              <w:ind w:right="368"/>
              <w:spacing w:after="0"/>
              <w:rPr>
                <w:sz w:val="20"/>
                <w:szCs w:val="20"/>
                <w:color w:val="auto"/>
              </w:rPr>
            </w:pPr>
            <w:r>
              <w:rPr>
                <w:rFonts w:ascii="Arial" w:cs="Arial" w:eastAsia="Arial" w:hAnsi="Arial"/>
                <w:sz w:val="22"/>
                <w:szCs w:val="22"/>
                <w:color w:val="auto"/>
              </w:rPr>
              <w:t>18.4%</w:t>
            </w:r>
          </w:p>
        </w:tc>
        <w:tc>
          <w:tcPr>
            <w:tcW w:w="1600" w:type="dxa"/>
            <w:vAlign w:val="bottom"/>
          </w:tcPr>
          <w:p>
            <w:pPr>
              <w:jc w:val="right"/>
              <w:ind w:right="368"/>
              <w:spacing w:after="0"/>
              <w:rPr>
                <w:sz w:val="20"/>
                <w:szCs w:val="20"/>
                <w:color w:val="auto"/>
              </w:rPr>
            </w:pPr>
            <w:r>
              <w:rPr>
                <w:rFonts w:ascii="Arial" w:cs="Arial" w:eastAsia="Arial" w:hAnsi="Arial"/>
                <w:sz w:val="22"/>
                <w:szCs w:val="22"/>
                <w:color w:val="auto"/>
              </w:rPr>
              <w:t>18.3%</w:t>
            </w:r>
          </w:p>
        </w:tc>
        <w:tc>
          <w:tcPr>
            <w:tcW w:w="1600" w:type="dxa"/>
            <w:vAlign w:val="bottom"/>
          </w:tcPr>
          <w:p>
            <w:pPr>
              <w:jc w:val="right"/>
              <w:ind w:right="368"/>
              <w:spacing w:after="0"/>
              <w:rPr>
                <w:sz w:val="20"/>
                <w:szCs w:val="20"/>
                <w:color w:val="auto"/>
              </w:rPr>
            </w:pPr>
            <w:r>
              <w:rPr>
                <w:rFonts w:ascii="Arial" w:cs="Arial" w:eastAsia="Arial" w:hAnsi="Arial"/>
                <w:sz w:val="22"/>
                <w:szCs w:val="22"/>
                <w:color w:val="auto"/>
              </w:rPr>
              <w:t>18.4%</w:t>
            </w:r>
          </w:p>
        </w:tc>
        <w:tc>
          <w:tcPr>
            <w:tcW w:w="1580" w:type="dxa"/>
            <w:vAlign w:val="bottom"/>
          </w:tcPr>
          <w:p>
            <w:pPr>
              <w:jc w:val="right"/>
              <w:ind w:right="368"/>
              <w:spacing w:after="0"/>
              <w:rPr>
                <w:sz w:val="20"/>
                <w:szCs w:val="20"/>
                <w:color w:val="auto"/>
              </w:rPr>
            </w:pPr>
            <w:r>
              <w:rPr>
                <w:rFonts w:ascii="Arial" w:cs="Arial" w:eastAsia="Arial" w:hAnsi="Arial"/>
                <w:sz w:val="22"/>
                <w:szCs w:val="22"/>
                <w:color w:val="auto"/>
              </w:rPr>
              <w:t>17.3%</w:t>
            </w:r>
          </w:p>
        </w:tc>
        <w:tc>
          <w:tcPr>
            <w:tcW w:w="1120" w:type="dxa"/>
            <w:vAlign w:val="bottom"/>
          </w:tcPr>
          <w:p>
            <w:pPr>
              <w:jc w:val="right"/>
              <w:spacing w:after="0"/>
              <w:rPr>
                <w:sz w:val="20"/>
                <w:szCs w:val="20"/>
                <w:color w:val="auto"/>
              </w:rPr>
            </w:pPr>
            <w:r>
              <w:rPr>
                <w:rFonts w:ascii="Arial" w:cs="Arial" w:eastAsia="Arial" w:hAnsi="Arial"/>
                <w:sz w:val="22"/>
                <w:szCs w:val="22"/>
                <w:color w:val="auto"/>
              </w:rPr>
              <w:t>17.6%</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0"/>
        <w:spacing w:after="0"/>
        <w:rPr>
          <w:sz w:val="20"/>
          <w:szCs w:val="20"/>
          <w:color w:val="auto"/>
        </w:rPr>
      </w:pPr>
      <w:r>
        <w:rPr>
          <w:rFonts w:ascii="Arial" w:cs="Arial" w:eastAsia="Arial" w:hAnsi="Arial"/>
          <w:sz w:val="19"/>
          <w:szCs w:val="19"/>
          <w:b w:val="1"/>
          <w:bCs w:val="1"/>
          <w:color w:val="auto"/>
        </w:rPr>
        <w:t>23</w:t>
      </w:r>
    </w:p>
    <w:p>
      <w:pPr>
        <w:sectPr>
          <w:pgSz w:w="11900" w:h="16838" w:orient="portrait"/>
          <w:cols w:equalWidth="0" w:num="1">
            <w:col w:w="10620"/>
          </w:cols>
          <w:pgMar w:left="480" w:top="597" w:right="799" w:bottom="1440" w:gutter="0" w:footer="0" w:header="0"/>
        </w:sectPr>
      </w:pPr>
    </w:p>
    <w:bookmarkStart w:id="40" w:name="page41"/>
    <w:bookmarkEnd w:id="40"/>
    <w:p>
      <w:pPr>
        <w:jc w:val="center"/>
        <w:ind w:right="1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GMSA Earnings Before Interest &amp; Taxes</w:t>
      </w:r>
    </w:p>
    <w:p>
      <w:pPr>
        <w:spacing w:after="0" w:line="323"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700" w:type="dxa"/>
        <w:tblCellMar>
          <w:top w:w="0" w:type="dxa"/>
          <w:left w:w="0" w:type="dxa"/>
          <w:bottom w:w="0" w:type="dxa"/>
          <w:right w:w="0" w:type="dxa"/>
        </w:tblCellMar>
      </w:tblPr>
      <w:tr>
        <w:trPr>
          <w:trHeight w:val="327"/>
        </w:trPr>
        <w:tc>
          <w:tcPr>
            <w:tcW w:w="920" w:type="dxa"/>
            <w:vAlign w:val="bottom"/>
          </w:tcPr>
          <w:p>
            <w:pPr>
              <w:jc w:val="right"/>
              <w:ind w:right="457"/>
              <w:spacing w:after="0"/>
              <w:rPr>
                <w:sz w:val="20"/>
                <w:szCs w:val="20"/>
                <w:color w:val="auto"/>
              </w:rPr>
            </w:pPr>
            <w:r>
              <w:rPr>
                <w:rFonts w:ascii="Arial" w:cs="Arial" w:eastAsia="Arial" w:hAnsi="Arial"/>
                <w:sz w:val="25"/>
                <w:szCs w:val="25"/>
                <w:b w:val="1"/>
                <w:bCs w:val="1"/>
                <w:color w:val="auto"/>
                <w:w w:val="91"/>
              </w:rPr>
              <w:t>0.2</w:t>
            </w:r>
          </w:p>
        </w:tc>
        <w:tc>
          <w:tcPr>
            <w:tcW w:w="1540" w:type="dxa"/>
            <w:vAlign w:val="bottom"/>
          </w:tcPr>
          <w:p>
            <w:pPr>
              <w:jc w:val="right"/>
              <w:ind w:right="477"/>
              <w:spacing w:after="0"/>
              <w:rPr>
                <w:sz w:val="20"/>
                <w:szCs w:val="20"/>
                <w:color w:val="auto"/>
              </w:rPr>
            </w:pPr>
            <w:r>
              <w:rPr>
                <w:rFonts w:ascii="Arial" w:cs="Arial" w:eastAsia="Arial" w:hAnsi="Arial"/>
                <w:sz w:val="25"/>
                <w:szCs w:val="25"/>
                <w:b w:val="1"/>
                <w:bCs w:val="1"/>
                <w:color w:val="auto"/>
              </w:rPr>
              <w:t>0.2</w:t>
            </w:r>
          </w:p>
        </w:tc>
        <w:tc>
          <w:tcPr>
            <w:tcW w:w="1540" w:type="dxa"/>
            <w:vAlign w:val="bottom"/>
          </w:tcPr>
          <w:p>
            <w:pPr>
              <w:jc w:val="right"/>
              <w:ind w:right="477"/>
              <w:spacing w:after="0"/>
              <w:rPr>
                <w:sz w:val="20"/>
                <w:szCs w:val="20"/>
                <w:color w:val="auto"/>
              </w:rPr>
            </w:pPr>
            <w:r>
              <w:rPr>
                <w:rFonts w:ascii="Arial" w:cs="Arial" w:eastAsia="Arial" w:hAnsi="Arial"/>
                <w:sz w:val="25"/>
                <w:szCs w:val="25"/>
                <w:b w:val="1"/>
                <w:bCs w:val="1"/>
                <w:color w:val="auto"/>
              </w:rPr>
              <w:t>0.2</w:t>
            </w:r>
          </w:p>
        </w:tc>
        <w:tc>
          <w:tcPr>
            <w:tcW w:w="1520" w:type="dxa"/>
            <w:vAlign w:val="bottom"/>
            <w:vMerge w:val="restart"/>
          </w:tcPr>
          <w:p>
            <w:pPr>
              <w:jc w:val="right"/>
              <w:ind w:right="457"/>
              <w:spacing w:after="0"/>
              <w:rPr>
                <w:sz w:val="20"/>
                <w:szCs w:val="20"/>
                <w:color w:val="auto"/>
              </w:rPr>
            </w:pPr>
            <w:r>
              <w:rPr>
                <w:rFonts w:ascii="Arial" w:cs="Arial" w:eastAsia="Arial" w:hAnsi="Arial"/>
                <w:sz w:val="25"/>
                <w:szCs w:val="25"/>
                <w:b w:val="1"/>
                <w:bCs w:val="1"/>
                <w:color w:val="auto"/>
              </w:rPr>
              <w:t>0.1</w:t>
            </w:r>
          </w:p>
        </w:tc>
        <w:tc>
          <w:tcPr>
            <w:tcW w:w="940" w:type="dxa"/>
            <w:vAlign w:val="bottom"/>
            <w:vMerge w:val="restart"/>
          </w:tcPr>
          <w:p>
            <w:pPr>
              <w:jc w:val="right"/>
              <w:spacing w:after="0"/>
              <w:rPr>
                <w:sz w:val="20"/>
                <w:szCs w:val="20"/>
                <w:color w:val="auto"/>
              </w:rPr>
            </w:pPr>
            <w:r>
              <w:rPr>
                <w:rFonts w:ascii="Arial" w:cs="Arial" w:eastAsia="Arial" w:hAnsi="Arial"/>
                <w:sz w:val="25"/>
                <w:szCs w:val="25"/>
                <w:b w:val="1"/>
                <w:bCs w:val="1"/>
                <w:color w:val="auto"/>
              </w:rPr>
              <w:t>0.1</w:t>
            </w: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80" w:type="dxa"/>
            <w:vAlign w:val="bottom"/>
          </w:tcPr>
          <w:p>
            <w:pPr>
              <w:spacing w:after="0"/>
              <w:rPr>
                <w:sz w:val="20"/>
                <w:szCs w:val="20"/>
                <w:color w:val="auto"/>
              </w:rPr>
            </w:pPr>
            <w:r>
              <w:rPr>
                <w:rFonts w:ascii="Arial" w:cs="Arial" w:eastAsia="Arial" w:hAnsi="Arial"/>
                <w:sz w:val="22"/>
                <w:szCs w:val="22"/>
                <w:b w:val="1"/>
                <w:bCs w:val="1"/>
                <w:color w:val="auto"/>
              </w:rPr>
              <w:t>Revenue ($B)</w:t>
            </w:r>
          </w:p>
        </w:tc>
        <w:tc>
          <w:tcPr>
            <w:tcW w:w="1380" w:type="dxa"/>
            <w:vAlign w:val="bottom"/>
          </w:tcPr>
          <w:p>
            <w:pPr>
              <w:jc w:val="right"/>
              <w:ind w:right="528"/>
              <w:spacing w:after="0"/>
              <w:rPr>
                <w:sz w:val="20"/>
                <w:szCs w:val="20"/>
                <w:color w:val="auto"/>
              </w:rPr>
            </w:pPr>
            <w:r>
              <w:rPr>
                <w:rFonts w:ascii="Arial" w:cs="Arial" w:eastAsia="Arial" w:hAnsi="Arial"/>
                <w:sz w:val="22"/>
                <w:szCs w:val="22"/>
                <w:b w:val="1"/>
                <w:bCs w:val="1"/>
                <w:color w:val="auto"/>
              </w:rPr>
              <w:t>3.6</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rPr>
              <w:t>4.0</w:t>
            </w:r>
          </w:p>
        </w:tc>
        <w:tc>
          <w:tcPr>
            <w:tcW w:w="1520" w:type="dxa"/>
            <w:vAlign w:val="bottom"/>
          </w:tcPr>
          <w:p>
            <w:pPr>
              <w:jc w:val="right"/>
              <w:ind w:right="488"/>
              <w:spacing w:after="0"/>
              <w:rPr>
                <w:sz w:val="20"/>
                <w:szCs w:val="20"/>
                <w:color w:val="auto"/>
              </w:rPr>
            </w:pPr>
            <w:r>
              <w:rPr>
                <w:rFonts w:ascii="Arial" w:cs="Arial" w:eastAsia="Arial" w:hAnsi="Arial"/>
                <w:sz w:val="22"/>
                <w:szCs w:val="22"/>
                <w:b w:val="1"/>
                <w:bCs w:val="1"/>
                <w:color w:val="auto"/>
              </w:rPr>
              <w:t>4.5</w:t>
            </w:r>
          </w:p>
        </w:tc>
        <w:tc>
          <w:tcPr>
            <w:tcW w:w="1540" w:type="dxa"/>
            <w:vAlign w:val="bottom"/>
          </w:tcPr>
          <w:p>
            <w:pPr>
              <w:jc w:val="right"/>
              <w:ind w:right="528"/>
              <w:spacing w:after="0"/>
              <w:rPr>
                <w:sz w:val="20"/>
                <w:szCs w:val="20"/>
                <w:color w:val="auto"/>
              </w:rPr>
            </w:pPr>
            <w:r>
              <w:rPr>
                <w:rFonts w:ascii="Arial" w:cs="Arial" w:eastAsia="Arial" w:hAnsi="Arial"/>
                <w:sz w:val="22"/>
                <w:szCs w:val="22"/>
                <w:b w:val="1"/>
                <w:bCs w:val="1"/>
                <w:color w:val="auto"/>
              </w:rPr>
              <w:t>3.9</w:t>
            </w:r>
          </w:p>
        </w:tc>
        <w:tc>
          <w:tcPr>
            <w:tcW w:w="1040" w:type="dxa"/>
            <w:vAlign w:val="bottom"/>
          </w:tcPr>
          <w:p>
            <w:pPr>
              <w:jc w:val="center"/>
              <w:ind w:left="388"/>
              <w:spacing w:after="0"/>
              <w:rPr>
                <w:sz w:val="20"/>
                <w:szCs w:val="20"/>
                <w:color w:val="auto"/>
              </w:rPr>
            </w:pPr>
            <w:r>
              <w:rPr>
                <w:rFonts w:ascii="Arial" w:cs="Arial" w:eastAsia="Arial" w:hAnsi="Arial"/>
                <w:sz w:val="22"/>
                <w:szCs w:val="22"/>
                <w:b w:val="1"/>
                <w:bCs w:val="1"/>
                <w:color w:val="auto"/>
                <w:w w:val="97"/>
              </w:rPr>
              <w:t>4.4</w:t>
            </w:r>
          </w:p>
        </w:tc>
      </w:tr>
      <w:tr>
        <w:trPr>
          <w:trHeight w:val="376"/>
        </w:trPr>
        <w:tc>
          <w:tcPr>
            <w:tcW w:w="2280" w:type="dxa"/>
            <w:vAlign w:val="bottom"/>
          </w:tcPr>
          <w:p>
            <w:pPr>
              <w:spacing w:after="0"/>
              <w:rPr>
                <w:sz w:val="20"/>
                <w:szCs w:val="20"/>
                <w:color w:val="auto"/>
              </w:rPr>
            </w:pPr>
            <w:r>
              <w:rPr>
                <w:rFonts w:ascii="Arial" w:cs="Arial" w:eastAsia="Arial" w:hAnsi="Arial"/>
                <w:sz w:val="22"/>
                <w:szCs w:val="22"/>
                <w:color w:val="auto"/>
              </w:rPr>
              <w:t>EBIT-Adj % Rev</w:t>
            </w:r>
          </w:p>
        </w:tc>
        <w:tc>
          <w:tcPr>
            <w:tcW w:w="1380" w:type="dxa"/>
            <w:vAlign w:val="bottom"/>
          </w:tcPr>
          <w:p>
            <w:pPr>
              <w:jc w:val="right"/>
              <w:ind w:right="408"/>
              <w:spacing w:after="0"/>
              <w:rPr>
                <w:sz w:val="20"/>
                <w:szCs w:val="20"/>
                <w:color w:val="auto"/>
              </w:rPr>
            </w:pPr>
            <w:r>
              <w:rPr>
                <w:rFonts w:ascii="Arial" w:cs="Arial" w:eastAsia="Arial" w:hAnsi="Arial"/>
                <w:sz w:val="22"/>
                <w:szCs w:val="22"/>
                <w:color w:val="auto"/>
              </w:rPr>
              <w:t>5.4%</w:t>
            </w:r>
          </w:p>
        </w:tc>
        <w:tc>
          <w:tcPr>
            <w:tcW w:w="1540" w:type="dxa"/>
            <w:vAlign w:val="bottom"/>
          </w:tcPr>
          <w:p>
            <w:pPr>
              <w:jc w:val="center"/>
              <w:spacing w:after="0"/>
              <w:rPr>
                <w:sz w:val="20"/>
                <w:szCs w:val="20"/>
                <w:color w:val="auto"/>
              </w:rPr>
            </w:pPr>
            <w:r>
              <w:rPr>
                <w:rFonts w:ascii="Arial" w:cs="Arial" w:eastAsia="Arial" w:hAnsi="Arial"/>
                <w:sz w:val="22"/>
                <w:szCs w:val="22"/>
                <w:color w:val="auto"/>
              </w:rPr>
              <w:t>4.1%</w:t>
            </w:r>
          </w:p>
        </w:tc>
        <w:tc>
          <w:tcPr>
            <w:tcW w:w="1520" w:type="dxa"/>
            <w:vAlign w:val="bottom"/>
          </w:tcPr>
          <w:p>
            <w:pPr>
              <w:jc w:val="right"/>
              <w:ind w:right="388"/>
              <w:spacing w:after="0"/>
              <w:rPr>
                <w:sz w:val="20"/>
                <w:szCs w:val="20"/>
                <w:color w:val="auto"/>
              </w:rPr>
            </w:pPr>
            <w:r>
              <w:rPr>
                <w:rFonts w:ascii="Arial" w:cs="Arial" w:eastAsia="Arial" w:hAnsi="Arial"/>
                <w:sz w:val="22"/>
                <w:szCs w:val="22"/>
                <w:color w:val="auto"/>
              </w:rPr>
              <w:t>4.4%</w:t>
            </w:r>
          </w:p>
        </w:tc>
        <w:tc>
          <w:tcPr>
            <w:tcW w:w="1540" w:type="dxa"/>
            <w:vAlign w:val="bottom"/>
          </w:tcPr>
          <w:p>
            <w:pPr>
              <w:jc w:val="right"/>
              <w:ind w:right="428"/>
              <w:spacing w:after="0"/>
              <w:rPr>
                <w:sz w:val="20"/>
                <w:szCs w:val="20"/>
                <w:color w:val="auto"/>
              </w:rPr>
            </w:pPr>
            <w:r>
              <w:rPr>
                <w:rFonts w:ascii="Arial" w:cs="Arial" w:eastAsia="Arial" w:hAnsi="Arial"/>
                <w:sz w:val="22"/>
                <w:szCs w:val="22"/>
                <w:color w:val="auto"/>
              </w:rPr>
              <w:t>2.3%</w:t>
            </w:r>
          </w:p>
        </w:tc>
        <w:tc>
          <w:tcPr>
            <w:tcW w:w="1040" w:type="dxa"/>
            <w:vAlign w:val="bottom"/>
          </w:tcPr>
          <w:p>
            <w:pPr>
              <w:jc w:val="center"/>
              <w:ind w:left="408"/>
              <w:spacing w:after="0"/>
              <w:rPr>
                <w:sz w:val="20"/>
                <w:szCs w:val="20"/>
                <w:color w:val="auto"/>
              </w:rPr>
            </w:pPr>
            <w:r>
              <w:rPr>
                <w:rFonts w:ascii="Arial" w:cs="Arial" w:eastAsia="Arial" w:hAnsi="Arial"/>
                <w:sz w:val="22"/>
                <w:szCs w:val="22"/>
                <w:color w:val="auto"/>
              </w:rPr>
              <w:t>1.3%</w:t>
            </w:r>
          </w:p>
        </w:tc>
      </w:tr>
      <w:tr>
        <w:trPr>
          <w:trHeight w:val="447"/>
        </w:trPr>
        <w:tc>
          <w:tcPr>
            <w:tcW w:w="2280" w:type="dxa"/>
            <w:vAlign w:val="bottom"/>
          </w:tcPr>
          <w:p>
            <w:pPr>
              <w:spacing w:after="0"/>
              <w:rPr>
                <w:sz w:val="20"/>
                <w:szCs w:val="20"/>
                <w:color w:val="auto"/>
              </w:rPr>
            </w:pPr>
            <w:r>
              <w:rPr>
                <w:rFonts w:ascii="Arial" w:cs="Arial" w:eastAsia="Arial" w:hAnsi="Arial"/>
                <w:sz w:val="22"/>
                <w:szCs w:val="22"/>
                <w:b w:val="1"/>
                <w:bCs w:val="1"/>
                <w:color w:val="auto"/>
              </w:rPr>
              <w:t>Production (000’s)</w:t>
            </w:r>
          </w:p>
        </w:tc>
        <w:tc>
          <w:tcPr>
            <w:tcW w:w="1380" w:type="dxa"/>
            <w:vAlign w:val="bottom"/>
          </w:tcPr>
          <w:p>
            <w:pPr>
              <w:jc w:val="right"/>
              <w:ind w:right="488"/>
              <w:spacing w:after="0"/>
              <w:rPr>
                <w:sz w:val="20"/>
                <w:szCs w:val="20"/>
                <w:color w:val="auto"/>
              </w:rPr>
            </w:pPr>
            <w:r>
              <w:rPr>
                <w:rFonts w:ascii="Arial" w:cs="Arial" w:eastAsia="Arial" w:hAnsi="Arial"/>
                <w:sz w:val="22"/>
                <w:szCs w:val="22"/>
                <w:b w:val="1"/>
                <w:bCs w:val="1"/>
                <w:color w:val="auto"/>
              </w:rPr>
              <w:t>230</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rPr>
              <w:t>245</w:t>
            </w:r>
          </w:p>
        </w:tc>
        <w:tc>
          <w:tcPr>
            <w:tcW w:w="1520" w:type="dxa"/>
            <w:vAlign w:val="bottom"/>
          </w:tcPr>
          <w:p>
            <w:pPr>
              <w:jc w:val="right"/>
              <w:ind w:right="448"/>
              <w:spacing w:after="0"/>
              <w:rPr>
                <w:sz w:val="20"/>
                <w:szCs w:val="20"/>
                <w:color w:val="auto"/>
              </w:rPr>
            </w:pPr>
            <w:r>
              <w:rPr>
                <w:rFonts w:ascii="Arial" w:cs="Arial" w:eastAsia="Arial" w:hAnsi="Arial"/>
                <w:sz w:val="22"/>
                <w:szCs w:val="22"/>
                <w:b w:val="1"/>
                <w:bCs w:val="1"/>
                <w:color w:val="auto"/>
              </w:rPr>
              <w:t>241</w:t>
            </w:r>
          </w:p>
        </w:tc>
        <w:tc>
          <w:tcPr>
            <w:tcW w:w="1540" w:type="dxa"/>
            <w:vAlign w:val="bottom"/>
          </w:tcPr>
          <w:p>
            <w:pPr>
              <w:jc w:val="right"/>
              <w:ind w:right="488"/>
              <w:spacing w:after="0"/>
              <w:rPr>
                <w:sz w:val="20"/>
                <w:szCs w:val="20"/>
                <w:color w:val="auto"/>
              </w:rPr>
            </w:pPr>
            <w:r>
              <w:rPr>
                <w:rFonts w:ascii="Arial" w:cs="Arial" w:eastAsia="Arial" w:hAnsi="Arial"/>
                <w:sz w:val="22"/>
                <w:szCs w:val="22"/>
                <w:b w:val="1"/>
                <w:bCs w:val="1"/>
                <w:color w:val="auto"/>
              </w:rPr>
              <w:t>231</w:t>
            </w:r>
          </w:p>
        </w:tc>
        <w:tc>
          <w:tcPr>
            <w:tcW w:w="1040" w:type="dxa"/>
            <w:vAlign w:val="bottom"/>
          </w:tcPr>
          <w:p>
            <w:pPr>
              <w:jc w:val="center"/>
              <w:ind w:left="388"/>
              <w:spacing w:after="0"/>
              <w:rPr>
                <w:sz w:val="20"/>
                <w:szCs w:val="20"/>
                <w:color w:val="auto"/>
              </w:rPr>
            </w:pPr>
            <w:r>
              <w:rPr>
                <w:rFonts w:ascii="Arial" w:cs="Arial" w:eastAsia="Arial" w:hAnsi="Arial"/>
                <w:sz w:val="22"/>
                <w:szCs w:val="22"/>
                <w:b w:val="1"/>
                <w:bCs w:val="1"/>
                <w:color w:val="auto"/>
              </w:rPr>
              <w:t>247</w:t>
            </w: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24</w:t>
      </w:r>
    </w:p>
    <w:p>
      <w:pPr>
        <w:sectPr>
          <w:pgSz w:w="11900" w:h="16838" w:orient="portrait"/>
          <w:cols w:equalWidth="0" w:num="1">
            <w:col w:w="10220"/>
          </w:cols>
          <w:pgMar w:left="680" w:top="597" w:right="999" w:bottom="1440" w:gutter="0" w:footer="0" w:header="0"/>
        </w:sectPr>
      </w:pPr>
    </w:p>
    <w:bookmarkStart w:id="41" w:name="page42"/>
    <w:bookmarkEnd w:id="41"/>
    <w:p>
      <w:pPr>
        <w:ind w:left="10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GMSA EBIT – Q2 2010 vs. Q2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0" w:type="dxa"/>
        <w:tblCellMar>
          <w:top w:w="0" w:type="dxa"/>
          <w:left w:w="0" w:type="dxa"/>
          <w:bottom w:w="0" w:type="dxa"/>
          <w:right w:w="0" w:type="dxa"/>
        </w:tblCellMar>
      </w:tblPr>
      <w:tr>
        <w:trPr>
          <w:trHeight w:val="412"/>
        </w:trPr>
        <w:tc>
          <w:tcPr>
            <w:tcW w:w="2420" w:type="dxa"/>
            <w:vAlign w:val="bottom"/>
          </w:tcPr>
          <w:p>
            <w:pPr>
              <w:jc w:val="center"/>
              <w:ind w:right="730"/>
              <w:spacing w:after="0"/>
              <w:rPr>
                <w:sz w:val="20"/>
                <w:szCs w:val="20"/>
                <w:color w:val="auto"/>
              </w:rPr>
            </w:pPr>
            <w:r>
              <w:rPr>
                <w:rFonts w:ascii="Arial" w:cs="Arial" w:eastAsia="Arial" w:hAnsi="Arial"/>
                <w:sz w:val="34"/>
                <w:szCs w:val="34"/>
                <w:b w:val="1"/>
                <w:bCs w:val="1"/>
                <w:color w:val="auto"/>
              </w:rPr>
              <w:t>Q2 2010</w:t>
            </w:r>
          </w:p>
        </w:tc>
        <w:tc>
          <w:tcPr>
            <w:tcW w:w="4480" w:type="dxa"/>
            <w:vAlign w:val="bottom"/>
            <w:vMerge w:val="restart"/>
          </w:tcPr>
          <w:p>
            <w:pPr>
              <w:ind w:left="900"/>
              <w:spacing w:after="0"/>
              <w:rPr>
                <w:sz w:val="20"/>
                <w:szCs w:val="20"/>
                <w:color w:val="auto"/>
              </w:rPr>
            </w:pPr>
            <w:r>
              <w:rPr>
                <w:rFonts w:ascii="Arial" w:cs="Arial" w:eastAsia="Arial" w:hAnsi="Arial"/>
                <w:sz w:val="34"/>
                <w:szCs w:val="34"/>
                <w:b w:val="1"/>
                <w:bCs w:val="1"/>
                <w:color w:val="auto"/>
              </w:rPr>
              <w:t>$0.1B Reduction</w:t>
            </w:r>
          </w:p>
        </w:tc>
        <w:tc>
          <w:tcPr>
            <w:tcW w:w="2420" w:type="dxa"/>
            <w:vAlign w:val="bottom"/>
          </w:tcPr>
          <w:p>
            <w:pPr>
              <w:jc w:val="center"/>
              <w:ind w:left="710"/>
              <w:spacing w:after="0"/>
              <w:rPr>
                <w:sz w:val="20"/>
                <w:szCs w:val="20"/>
                <w:color w:val="auto"/>
              </w:rPr>
            </w:pPr>
            <w:r>
              <w:rPr>
                <w:rFonts w:ascii="Arial" w:cs="Arial" w:eastAsia="Arial" w:hAnsi="Arial"/>
                <w:sz w:val="34"/>
                <w:szCs w:val="34"/>
                <w:b w:val="1"/>
                <w:bCs w:val="1"/>
                <w:color w:val="auto"/>
                <w:w w:val="99"/>
              </w:rPr>
              <w:t>Q2 2011</w:t>
            </w:r>
          </w:p>
        </w:tc>
        <w:tc>
          <w:tcPr>
            <w:tcW w:w="0" w:type="dxa"/>
            <w:vAlign w:val="bottom"/>
          </w:tcPr>
          <w:p>
            <w:pPr>
              <w:spacing w:after="0"/>
              <w:rPr>
                <w:sz w:val="1"/>
                <w:szCs w:val="1"/>
                <w:color w:val="auto"/>
              </w:rPr>
            </w:pPr>
          </w:p>
        </w:tc>
      </w:tr>
      <w:tr>
        <w:trPr>
          <w:trHeight w:val="182"/>
        </w:trPr>
        <w:tc>
          <w:tcPr>
            <w:tcW w:w="2420" w:type="dxa"/>
            <w:vAlign w:val="bottom"/>
            <w:vMerge w:val="restart"/>
          </w:tcPr>
          <w:p>
            <w:pPr>
              <w:jc w:val="center"/>
              <w:ind w:right="730"/>
              <w:spacing w:after="0"/>
              <w:rPr>
                <w:sz w:val="20"/>
                <w:szCs w:val="20"/>
                <w:color w:val="auto"/>
              </w:rPr>
            </w:pPr>
            <w:r>
              <w:rPr>
                <w:rFonts w:ascii="Arial" w:cs="Arial" w:eastAsia="Arial" w:hAnsi="Arial"/>
                <w:sz w:val="34"/>
                <w:szCs w:val="34"/>
                <w:b w:val="1"/>
                <w:bCs w:val="1"/>
                <w:color w:val="auto"/>
                <w:w w:val="99"/>
              </w:rPr>
              <w:t>EBIT ($B)</w:t>
            </w:r>
          </w:p>
        </w:tc>
        <w:tc>
          <w:tcPr>
            <w:tcW w:w="4480" w:type="dxa"/>
            <w:vAlign w:val="bottom"/>
            <w:vMerge w:val="continue"/>
          </w:tcPr>
          <w:p>
            <w:pPr>
              <w:spacing w:after="0"/>
              <w:rPr>
                <w:sz w:val="15"/>
                <w:szCs w:val="15"/>
                <w:color w:val="auto"/>
              </w:rPr>
            </w:pPr>
          </w:p>
        </w:tc>
        <w:tc>
          <w:tcPr>
            <w:tcW w:w="2420" w:type="dxa"/>
            <w:vAlign w:val="bottom"/>
            <w:vMerge w:val="restart"/>
          </w:tcPr>
          <w:p>
            <w:pPr>
              <w:jc w:val="center"/>
              <w:ind w:left="710"/>
              <w:spacing w:after="0"/>
              <w:rPr>
                <w:sz w:val="20"/>
                <w:szCs w:val="20"/>
                <w:color w:val="auto"/>
              </w:rPr>
            </w:pPr>
            <w:r>
              <w:rPr>
                <w:rFonts w:ascii="Arial" w:cs="Arial" w:eastAsia="Arial" w:hAnsi="Arial"/>
                <w:sz w:val="34"/>
                <w:szCs w:val="34"/>
                <w:b w:val="1"/>
                <w:bCs w:val="1"/>
                <w:color w:val="auto"/>
              </w:rPr>
              <w:t>EBIT ($B)</w:t>
            </w:r>
          </w:p>
        </w:tc>
        <w:tc>
          <w:tcPr>
            <w:tcW w:w="0" w:type="dxa"/>
            <w:vAlign w:val="bottom"/>
          </w:tcPr>
          <w:p>
            <w:pPr>
              <w:spacing w:after="0"/>
              <w:rPr>
                <w:sz w:val="1"/>
                <w:szCs w:val="1"/>
                <w:color w:val="auto"/>
              </w:rPr>
            </w:pPr>
          </w:p>
        </w:tc>
      </w:tr>
      <w:tr>
        <w:trPr>
          <w:trHeight w:val="282"/>
        </w:trPr>
        <w:tc>
          <w:tcPr>
            <w:tcW w:w="2420" w:type="dxa"/>
            <w:vAlign w:val="bottom"/>
            <w:vMerge w:val="continue"/>
          </w:tcPr>
          <w:p>
            <w:pPr>
              <w:spacing w:after="0"/>
              <w:rPr>
                <w:sz w:val="24"/>
                <w:szCs w:val="24"/>
                <w:color w:val="auto"/>
              </w:rPr>
            </w:pPr>
          </w:p>
        </w:tc>
        <w:tc>
          <w:tcPr>
            <w:tcW w:w="44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80" w:type="dxa"/>
            <w:vAlign w:val="bottom"/>
            <w:vMerge w:val="restart"/>
          </w:tcPr>
          <w:p>
            <w:pPr>
              <w:jc w:val="right"/>
              <w:ind w:right="91"/>
              <w:spacing w:after="0"/>
              <w:rPr>
                <w:sz w:val="20"/>
                <w:szCs w:val="20"/>
                <w:color w:val="auto"/>
              </w:rPr>
            </w:pPr>
            <w:r>
              <w:rPr>
                <w:rFonts w:ascii="Arial" w:cs="Arial" w:eastAsia="Arial" w:hAnsi="Arial"/>
                <w:sz w:val="25"/>
                <w:szCs w:val="25"/>
                <w:color w:val="auto"/>
              </w:rPr>
              <w:t>0.2</w:t>
            </w:r>
          </w:p>
        </w:tc>
        <w:tc>
          <w:tcPr>
            <w:tcW w:w="1320" w:type="dxa"/>
            <w:vAlign w:val="bottom"/>
          </w:tcPr>
          <w:p>
            <w:pPr>
              <w:spacing w:after="0"/>
              <w:rPr>
                <w:sz w:val="24"/>
                <w:szCs w:val="24"/>
                <w:color w:val="auto"/>
              </w:rPr>
            </w:pPr>
          </w:p>
        </w:tc>
        <w:tc>
          <w:tcPr>
            <w:tcW w:w="1040" w:type="dxa"/>
            <w:vAlign w:val="bottom"/>
            <w:vMerge w:val="restart"/>
          </w:tcPr>
          <w:p>
            <w:pPr>
              <w:jc w:val="right"/>
              <w:ind w:right="291"/>
              <w:spacing w:after="0"/>
              <w:rPr>
                <w:sz w:val="20"/>
                <w:szCs w:val="20"/>
                <w:color w:val="auto"/>
              </w:rPr>
            </w:pPr>
            <w:r>
              <w:rPr>
                <w:rFonts w:ascii="Arial" w:cs="Arial" w:eastAsia="Arial" w:hAnsi="Arial"/>
                <w:sz w:val="25"/>
                <w:szCs w:val="25"/>
                <w:color w:val="auto"/>
              </w:rPr>
              <w:t>0.2</w:t>
            </w:r>
          </w:p>
        </w:tc>
        <w:tc>
          <w:tcPr>
            <w:tcW w:w="1140" w:type="dxa"/>
            <w:vAlign w:val="bottom"/>
          </w:tcPr>
          <w:p>
            <w:pPr>
              <w:spacing w:after="0"/>
              <w:rPr>
                <w:sz w:val="24"/>
                <w:szCs w:val="24"/>
                <w:color w:val="auto"/>
              </w:rPr>
            </w:pPr>
          </w:p>
        </w:tc>
        <w:tc>
          <w:tcPr>
            <w:tcW w:w="1020" w:type="dxa"/>
            <w:vAlign w:val="bottom"/>
          </w:tcPr>
          <w:p>
            <w:pPr>
              <w:jc w:val="right"/>
              <w:ind w:right="251"/>
              <w:spacing w:after="0"/>
              <w:rPr>
                <w:sz w:val="20"/>
                <w:szCs w:val="20"/>
                <w:color w:val="auto"/>
              </w:rPr>
            </w:pPr>
            <w:r>
              <w:rPr>
                <w:rFonts w:ascii="Arial" w:cs="Arial" w:eastAsia="Arial" w:hAnsi="Arial"/>
                <w:sz w:val="25"/>
                <w:szCs w:val="25"/>
                <w:color w:val="auto"/>
              </w:rPr>
              <w:t>0.1</w:t>
            </w:r>
          </w:p>
        </w:tc>
        <w:tc>
          <w:tcPr>
            <w:tcW w:w="1100" w:type="dxa"/>
            <w:vAlign w:val="bottom"/>
          </w:tcPr>
          <w:p>
            <w:pPr>
              <w:jc w:val="right"/>
              <w:ind w:right="191"/>
              <w:spacing w:after="0"/>
              <w:rPr>
                <w:sz w:val="20"/>
                <w:szCs w:val="20"/>
                <w:color w:val="auto"/>
              </w:rPr>
            </w:pPr>
            <w:r>
              <w:rPr>
                <w:rFonts w:ascii="Arial" w:cs="Arial" w:eastAsia="Arial" w:hAnsi="Arial"/>
                <w:sz w:val="25"/>
                <w:szCs w:val="25"/>
                <w:color w:val="auto"/>
              </w:rPr>
              <w:t>(0.2)</w:t>
            </w:r>
          </w:p>
        </w:tc>
        <w:tc>
          <w:tcPr>
            <w:tcW w:w="1040" w:type="dxa"/>
            <w:vAlign w:val="bottom"/>
          </w:tcPr>
          <w:p>
            <w:pPr>
              <w:spacing w:after="0"/>
              <w:rPr>
                <w:sz w:val="24"/>
                <w:szCs w:val="24"/>
                <w:color w:val="auto"/>
              </w:rPr>
            </w:pPr>
          </w:p>
        </w:tc>
        <w:tc>
          <w:tcPr>
            <w:tcW w:w="1140" w:type="dxa"/>
            <w:vAlign w:val="bottom"/>
            <w:vMerge w:val="restart"/>
          </w:tcPr>
          <w:p>
            <w:pPr>
              <w:jc w:val="right"/>
              <w:ind w:right="271"/>
              <w:spacing w:after="0"/>
              <w:rPr>
                <w:sz w:val="20"/>
                <w:szCs w:val="20"/>
                <w:color w:val="auto"/>
              </w:rPr>
            </w:pPr>
            <w:r>
              <w:rPr>
                <w:rFonts w:ascii="Arial" w:cs="Arial" w:eastAsia="Arial" w:hAnsi="Arial"/>
                <w:sz w:val="25"/>
                <w:szCs w:val="25"/>
                <w:color w:val="auto"/>
              </w:rPr>
              <w:t>0.1</w:t>
            </w:r>
          </w:p>
        </w:tc>
        <w:tc>
          <w:tcPr>
            <w:tcW w:w="1280" w:type="dxa"/>
            <w:vAlign w:val="bottom"/>
          </w:tcPr>
          <w:p>
            <w:pPr>
              <w:spacing w:after="0"/>
              <w:rPr>
                <w:sz w:val="24"/>
                <w:szCs w:val="24"/>
                <w:color w:val="auto"/>
              </w:rPr>
            </w:pPr>
          </w:p>
        </w:tc>
        <w:tc>
          <w:tcPr>
            <w:tcW w:w="580" w:type="dxa"/>
            <w:vAlign w:val="bottom"/>
            <w:vMerge w:val="restart"/>
          </w:tcPr>
          <w:p>
            <w:pPr>
              <w:ind w:left="160"/>
              <w:spacing w:after="0"/>
              <w:rPr>
                <w:sz w:val="20"/>
                <w:szCs w:val="20"/>
                <w:color w:val="auto"/>
              </w:rPr>
            </w:pPr>
            <w:r>
              <w:rPr>
                <w:rFonts w:ascii="Arial" w:cs="Arial" w:eastAsia="Arial" w:hAnsi="Arial"/>
                <w:sz w:val="25"/>
                <w:szCs w:val="25"/>
                <w:color w:val="auto"/>
              </w:rPr>
              <w:t>0.1</w:t>
            </w:r>
          </w:p>
        </w:tc>
        <w:tc>
          <w:tcPr>
            <w:tcW w:w="0" w:type="dxa"/>
            <w:vAlign w:val="bottom"/>
          </w:tcPr>
          <w:p>
            <w:pPr>
              <w:spacing w:after="0"/>
              <w:rPr>
                <w:sz w:val="1"/>
                <w:szCs w:val="1"/>
                <w:color w:val="auto"/>
              </w:rPr>
            </w:pPr>
          </w:p>
        </w:tc>
      </w:tr>
      <w:tr>
        <w:trPr>
          <w:trHeight w:val="141"/>
        </w:trPr>
        <w:tc>
          <w:tcPr>
            <w:tcW w:w="580" w:type="dxa"/>
            <w:vAlign w:val="bottom"/>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25"/>
                <w:szCs w:val="25"/>
                <w:color w:val="auto"/>
                <w:w w:val="97"/>
              </w:rPr>
              <w:t>0.0</w:t>
            </w:r>
          </w:p>
        </w:tc>
        <w:tc>
          <w:tcPr>
            <w:tcW w:w="1040" w:type="dxa"/>
            <w:vAlign w:val="bottom"/>
            <w:vMerge w:val="continue"/>
          </w:tcPr>
          <w:p>
            <w:pPr>
              <w:spacing w:after="0"/>
              <w:rPr>
                <w:sz w:val="12"/>
                <w:szCs w:val="12"/>
                <w:color w:val="auto"/>
              </w:rPr>
            </w:pPr>
          </w:p>
        </w:tc>
        <w:tc>
          <w:tcPr>
            <w:tcW w:w="1140" w:type="dxa"/>
            <w:vAlign w:val="bottom"/>
            <w:vMerge w:val="restart"/>
          </w:tcPr>
          <w:p>
            <w:pPr>
              <w:jc w:val="center"/>
              <w:ind w:right="16"/>
              <w:spacing w:after="0"/>
              <w:rPr>
                <w:sz w:val="20"/>
                <w:szCs w:val="20"/>
                <w:color w:val="auto"/>
              </w:rPr>
            </w:pPr>
            <w:r>
              <w:rPr>
                <w:rFonts w:ascii="Arial" w:cs="Arial" w:eastAsia="Arial" w:hAnsi="Arial"/>
                <w:sz w:val="25"/>
                <w:szCs w:val="25"/>
                <w:color w:val="auto"/>
                <w:w w:val="97"/>
              </w:rPr>
              <w:t>0.0</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vMerge w:val="restart"/>
          </w:tcPr>
          <w:p>
            <w:pPr>
              <w:jc w:val="right"/>
              <w:ind w:right="211"/>
              <w:spacing w:after="0"/>
              <w:rPr>
                <w:sz w:val="20"/>
                <w:szCs w:val="20"/>
                <w:color w:val="auto"/>
              </w:rPr>
            </w:pPr>
            <w:r>
              <w:rPr>
                <w:rFonts w:ascii="Arial" w:cs="Arial" w:eastAsia="Arial" w:hAnsi="Arial"/>
                <w:sz w:val="25"/>
                <w:szCs w:val="25"/>
                <w:color w:val="auto"/>
              </w:rPr>
              <w:t>0.0</w:t>
            </w:r>
          </w:p>
        </w:tc>
        <w:tc>
          <w:tcPr>
            <w:tcW w:w="1140" w:type="dxa"/>
            <w:vAlign w:val="bottom"/>
            <w:vMerge w:val="continue"/>
          </w:tcPr>
          <w:p>
            <w:pPr>
              <w:spacing w:after="0"/>
              <w:rPr>
                <w:sz w:val="12"/>
                <w:szCs w:val="12"/>
                <w:color w:val="auto"/>
              </w:rPr>
            </w:pPr>
          </w:p>
        </w:tc>
        <w:tc>
          <w:tcPr>
            <w:tcW w:w="1280" w:type="dxa"/>
            <w:vAlign w:val="bottom"/>
            <w:vMerge w:val="restart"/>
          </w:tcPr>
          <w:p>
            <w:pPr>
              <w:ind w:left="380"/>
              <w:spacing w:after="0"/>
              <w:rPr>
                <w:sz w:val="20"/>
                <w:szCs w:val="20"/>
                <w:color w:val="auto"/>
              </w:rPr>
            </w:pPr>
            <w:r>
              <w:rPr>
                <w:rFonts w:ascii="Arial" w:cs="Arial" w:eastAsia="Arial" w:hAnsi="Arial"/>
                <w:sz w:val="25"/>
                <w:szCs w:val="25"/>
                <w:color w:val="auto"/>
              </w:rPr>
              <w:t>0.0</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5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580" w:type="dxa"/>
            <w:vAlign w:val="bottom"/>
          </w:tcPr>
          <w:p>
            <w:pPr>
              <w:jc w:val="center"/>
              <w:ind w:right="51"/>
              <w:spacing w:after="0"/>
              <w:rPr>
                <w:sz w:val="20"/>
                <w:szCs w:val="20"/>
                <w:color w:val="auto"/>
              </w:rPr>
            </w:pPr>
            <w:r>
              <w:rPr>
                <w:rFonts w:ascii="Arial" w:cs="Arial" w:eastAsia="Arial" w:hAnsi="Arial"/>
                <w:sz w:val="19"/>
                <w:szCs w:val="19"/>
                <w:b w:val="1"/>
                <w:bCs w:val="1"/>
                <w:color w:val="auto"/>
                <w:w w:val="96"/>
              </w:rPr>
              <w:t>EBIT</w:t>
            </w:r>
          </w:p>
        </w:tc>
        <w:tc>
          <w:tcPr>
            <w:tcW w:w="1320" w:type="dxa"/>
            <w:vAlign w:val="bottom"/>
          </w:tcPr>
          <w:p>
            <w:pPr>
              <w:jc w:val="center"/>
              <w:spacing w:after="0"/>
              <w:rPr>
                <w:sz w:val="20"/>
                <w:szCs w:val="20"/>
                <w:color w:val="auto"/>
              </w:rPr>
            </w:pPr>
            <w:r>
              <w:rPr>
                <w:rFonts w:ascii="Arial" w:cs="Arial" w:eastAsia="Arial" w:hAnsi="Arial"/>
                <w:sz w:val="19"/>
                <w:szCs w:val="19"/>
                <w:color w:val="auto"/>
              </w:rPr>
              <w:t>Less Special</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EBIT-Adj.</w:t>
            </w:r>
          </w:p>
        </w:tc>
        <w:tc>
          <w:tcPr>
            <w:tcW w:w="1140" w:type="dxa"/>
            <w:vAlign w:val="bottom"/>
          </w:tcPr>
          <w:p>
            <w:pPr>
              <w:jc w:val="center"/>
              <w:ind w:right="36"/>
              <w:spacing w:after="0"/>
              <w:rPr>
                <w:sz w:val="20"/>
                <w:szCs w:val="20"/>
                <w:color w:val="auto"/>
              </w:rPr>
            </w:pPr>
            <w:r>
              <w:rPr>
                <w:rFonts w:ascii="Arial" w:cs="Arial" w:eastAsia="Arial" w:hAnsi="Arial"/>
                <w:sz w:val="19"/>
                <w:szCs w:val="19"/>
                <w:b w:val="1"/>
                <w:bCs w:val="1"/>
                <w:color w:val="auto"/>
                <w:w w:val="95"/>
              </w:rPr>
              <w:t>Volume /</w:t>
            </w:r>
          </w:p>
        </w:tc>
        <w:tc>
          <w:tcPr>
            <w:tcW w:w="1020" w:type="dxa"/>
            <w:vAlign w:val="bottom"/>
          </w:tcPr>
          <w:p>
            <w:pPr>
              <w:jc w:val="center"/>
              <w:spacing w:after="0"/>
              <w:rPr>
                <w:sz w:val="20"/>
                <w:szCs w:val="20"/>
                <w:color w:val="auto"/>
              </w:rPr>
            </w:pPr>
            <w:r>
              <w:rPr>
                <w:rFonts w:ascii="Arial" w:cs="Arial" w:eastAsia="Arial" w:hAnsi="Arial"/>
                <w:sz w:val="19"/>
                <w:szCs w:val="19"/>
                <w:b w:val="1"/>
                <w:bCs w:val="1"/>
                <w:color w:val="auto"/>
                <w:w w:val="98"/>
              </w:rPr>
              <w:t>Price</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w w:val="99"/>
              </w:rPr>
              <w:t>Cost</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Other</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EBIT-Adj.</w:t>
            </w:r>
          </w:p>
        </w:tc>
        <w:tc>
          <w:tcPr>
            <w:tcW w:w="1280" w:type="dxa"/>
            <w:vAlign w:val="bottom"/>
          </w:tcPr>
          <w:p>
            <w:pPr>
              <w:ind w:left="100"/>
              <w:spacing w:after="0"/>
              <w:rPr>
                <w:sz w:val="20"/>
                <w:szCs w:val="20"/>
                <w:color w:val="auto"/>
              </w:rPr>
            </w:pPr>
            <w:r>
              <w:rPr>
                <w:rFonts w:ascii="Arial" w:cs="Arial" w:eastAsia="Arial" w:hAnsi="Arial"/>
                <w:sz w:val="19"/>
                <w:szCs w:val="19"/>
                <w:color w:val="auto"/>
              </w:rPr>
              <w:t>Plus Special</w:t>
            </w:r>
          </w:p>
        </w:tc>
        <w:tc>
          <w:tcPr>
            <w:tcW w:w="580" w:type="dxa"/>
            <w:vAlign w:val="bottom"/>
          </w:tcPr>
          <w:p>
            <w:pPr>
              <w:ind w:left="160"/>
              <w:spacing w:after="0"/>
              <w:rPr>
                <w:sz w:val="20"/>
                <w:szCs w:val="20"/>
                <w:color w:val="auto"/>
              </w:rPr>
            </w:pPr>
            <w:r>
              <w:rPr>
                <w:rFonts w:ascii="Arial" w:cs="Arial" w:eastAsia="Arial" w:hAnsi="Arial"/>
                <w:sz w:val="19"/>
                <w:szCs w:val="19"/>
                <w:b w:val="1"/>
                <w:bCs w:val="1"/>
                <w:color w:val="auto"/>
                <w:w w:val="92"/>
              </w:rPr>
              <w:t>EBIT</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98"/>
              </w:rPr>
              <w:t>Items</w:t>
            </w:r>
          </w:p>
        </w:tc>
        <w:tc>
          <w:tcPr>
            <w:tcW w:w="1040" w:type="dxa"/>
            <w:vAlign w:val="bottom"/>
          </w:tcPr>
          <w:p>
            <w:pPr>
              <w:spacing w:after="0"/>
              <w:rPr>
                <w:sz w:val="21"/>
                <w:szCs w:val="21"/>
                <w:color w:val="auto"/>
              </w:rPr>
            </w:pPr>
          </w:p>
        </w:tc>
        <w:tc>
          <w:tcPr>
            <w:tcW w:w="1140" w:type="dxa"/>
            <w:vAlign w:val="bottom"/>
          </w:tcPr>
          <w:p>
            <w:pPr>
              <w:jc w:val="center"/>
              <w:ind w:right="36"/>
              <w:spacing w:after="0"/>
              <w:rPr>
                <w:sz w:val="20"/>
                <w:szCs w:val="20"/>
                <w:color w:val="auto"/>
              </w:rPr>
            </w:pPr>
            <w:r>
              <w:rPr>
                <w:rFonts w:ascii="Arial" w:cs="Arial" w:eastAsia="Arial" w:hAnsi="Arial"/>
                <w:sz w:val="19"/>
                <w:szCs w:val="19"/>
                <w:b w:val="1"/>
                <w:bCs w:val="1"/>
                <w:color w:val="auto"/>
              </w:rPr>
              <w:t>Mix</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ind w:left="380"/>
              <w:spacing w:after="0"/>
              <w:rPr>
                <w:sz w:val="20"/>
                <w:szCs w:val="20"/>
                <w:color w:val="auto"/>
              </w:rPr>
            </w:pPr>
            <w:r>
              <w:rPr>
                <w:rFonts w:ascii="Arial" w:cs="Arial" w:eastAsia="Arial" w:hAnsi="Arial"/>
                <w:sz w:val="19"/>
                <w:szCs w:val="19"/>
                <w:color w:val="auto"/>
              </w:rPr>
              <w:t>Items</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25</w:t>
      </w:r>
    </w:p>
    <w:p>
      <w:pPr>
        <w:sectPr>
          <w:pgSz w:w="11900" w:h="16838" w:orient="portrait"/>
          <w:cols w:equalWidth="0" w:num="1">
            <w:col w:w="10260"/>
          </w:cols>
          <w:pgMar w:left="720" w:top="597" w:right="919" w:bottom="1440" w:gutter="0" w:footer="0" w:header="0"/>
        </w:sectPr>
      </w:pPr>
    </w:p>
    <w:bookmarkStart w:id="42" w:name="page43"/>
    <w:bookmarkEnd w:id="42"/>
    <w:p>
      <w:pPr>
        <w:jc w:val="right"/>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Automotive Free Cash Flow</w:t>
      </w: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($B)</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Net Income to Common Stockholders</w:t>
      </w:r>
    </w:p>
    <w:p>
      <w:pPr>
        <w:spacing w:after="0" w:line="193" w:lineRule="exact"/>
        <w:rPr>
          <w:sz w:val="20"/>
          <w:szCs w:val="20"/>
          <w:color w:val="auto"/>
        </w:rPr>
      </w:pPr>
    </w:p>
    <w:p>
      <w:pPr>
        <w:ind w:left="300" w:right="60"/>
        <w:spacing w:after="0" w:line="263" w:lineRule="auto"/>
        <w:rPr>
          <w:sz w:val="20"/>
          <w:szCs w:val="20"/>
          <w:color w:val="auto"/>
        </w:rPr>
      </w:pPr>
      <w:r>
        <w:rPr>
          <w:rFonts w:ascii="Arial" w:cs="Arial" w:eastAsia="Arial" w:hAnsi="Arial"/>
          <w:sz w:val="25"/>
          <w:szCs w:val="25"/>
          <w:color w:val="auto"/>
        </w:rPr>
        <w:t>Add-back Non-Controlling Interests, Preferred Dividends &amp; undistributed earnings allocated to Series B</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Deduct Non-Auto (GM Financial)</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Automotive Net Income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5"/>
          <w:szCs w:val="25"/>
          <w:color w:val="auto"/>
        </w:rPr>
        <w:t>Depreciation / Amortization</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5"/>
          <w:szCs w:val="25"/>
          <w:color w:val="auto"/>
        </w:rPr>
        <w:t>Working Capital</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25"/>
          <w:szCs w:val="25"/>
          <w:color w:val="auto"/>
        </w:rPr>
        <w:t>Pension / OPEB – Cash in Excess of Expense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25"/>
          <w:szCs w:val="25"/>
          <w:color w:val="auto"/>
        </w:rPr>
        <w:t>Other</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Automotive Net Cash Provided/(Used)</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Operating Activities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5"/>
          <w:szCs w:val="25"/>
          <w:color w:val="auto"/>
        </w:rPr>
        <w:t>Capital Expenditures</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Automotive Free Cash Flow</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Note: Results may not foot due to rounding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60"/>
        <w:spacing w:after="0"/>
        <w:tabs>
          <w:tab w:leader="none" w:pos="440" w:val="left"/>
        </w:tabs>
        <w:rPr>
          <w:sz w:val="20"/>
          <w:szCs w:val="20"/>
          <w:color w:val="auto"/>
        </w:rPr>
      </w:pPr>
      <w:r>
        <w:rPr>
          <w:rFonts w:ascii="Arial" w:cs="Arial" w:eastAsia="Arial" w:hAnsi="Arial"/>
          <w:sz w:val="28"/>
          <w:szCs w:val="28"/>
          <w:b w:val="1"/>
          <w:bCs w:val="1"/>
          <w:color w:val="auto"/>
        </w:rPr>
        <w:t>Q2 2010</w:t>
        <w:tab/>
        <w:t>Q2 2011</w:t>
      </w:r>
    </w:p>
    <w:p>
      <w:pPr>
        <w:spacing w:after="0" w:line="137"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28"/>
          <w:szCs w:val="28"/>
          <w:b w:val="1"/>
          <w:bCs w:val="1"/>
          <w:color w:val="auto"/>
        </w:rPr>
        <w:t>1.3</w:t>
      </w:r>
      <w:r>
        <w:rPr>
          <w:sz w:val="20"/>
          <w:szCs w:val="20"/>
          <w:color w:val="auto"/>
        </w:rPr>
        <w:tab/>
      </w:r>
      <w:r>
        <w:rPr>
          <w:rFonts w:ascii="Arial" w:cs="Arial" w:eastAsia="Arial" w:hAnsi="Arial"/>
          <w:sz w:val="28"/>
          <w:szCs w:val="28"/>
          <w:b w:val="1"/>
          <w:bCs w:val="1"/>
          <w:color w:val="auto"/>
        </w:rPr>
        <w:t>2.5</w:t>
      </w:r>
    </w:p>
    <w:p>
      <w:pPr>
        <w:spacing w:after="0" w:line="346"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25"/>
          <w:szCs w:val="25"/>
          <w:color w:val="auto"/>
        </w:rPr>
        <w:t>0.3</w:t>
      </w:r>
      <w:r>
        <w:rPr>
          <w:sz w:val="20"/>
          <w:szCs w:val="20"/>
          <w:color w:val="auto"/>
        </w:rPr>
        <w:tab/>
      </w:r>
      <w:r>
        <w:rPr>
          <w:rFonts w:ascii="Arial" w:cs="Arial" w:eastAsia="Arial" w:hAnsi="Arial"/>
          <w:sz w:val="24"/>
          <w:szCs w:val="24"/>
          <w:color w:val="auto"/>
        </w:rPr>
        <w:t>0.5</w:t>
      </w:r>
    </w:p>
    <w:p>
      <w:pPr>
        <w:spacing w:after="0" w:line="289"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25"/>
          <w:szCs w:val="25"/>
          <w:color w:val="auto"/>
        </w:rPr>
        <w:t>n/a</w:t>
      </w:r>
      <w:r>
        <w:rPr>
          <w:sz w:val="20"/>
          <w:szCs w:val="20"/>
          <w:color w:val="auto"/>
        </w:rPr>
        <w:tab/>
      </w:r>
      <w:r>
        <w:rPr>
          <w:rFonts w:ascii="Arial" w:cs="Arial" w:eastAsia="Arial" w:hAnsi="Arial"/>
          <w:sz w:val="25"/>
          <w:szCs w:val="25"/>
          <w:color w:val="auto"/>
        </w:rPr>
        <w:t>(0.2)</w:t>
      </w:r>
    </w:p>
    <w:p>
      <w:pPr>
        <w:spacing w:after="0" w:line="9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28"/>
          <w:szCs w:val="28"/>
          <w:b w:val="1"/>
          <w:bCs w:val="1"/>
          <w:color w:val="auto"/>
        </w:rPr>
        <w:t>1.6</w:t>
      </w:r>
      <w:r>
        <w:rPr>
          <w:sz w:val="20"/>
          <w:szCs w:val="20"/>
          <w:color w:val="auto"/>
        </w:rPr>
        <w:tab/>
      </w:r>
      <w:r>
        <w:rPr>
          <w:rFonts w:ascii="Arial" w:cs="Arial" w:eastAsia="Arial" w:hAnsi="Arial"/>
          <w:sz w:val="28"/>
          <w:szCs w:val="28"/>
          <w:b w:val="1"/>
          <w:bCs w:val="1"/>
          <w:color w:val="auto"/>
        </w:rPr>
        <w:t>2.9</w:t>
      </w:r>
    </w:p>
    <w:p>
      <w:pPr>
        <w:spacing w:after="0" w:line="204"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25"/>
          <w:szCs w:val="25"/>
          <w:color w:val="auto"/>
        </w:rPr>
        <w:t>1.7</w:t>
      </w:r>
      <w:r>
        <w:rPr>
          <w:sz w:val="20"/>
          <w:szCs w:val="20"/>
          <w:color w:val="auto"/>
        </w:rPr>
        <w:tab/>
      </w:r>
      <w:r>
        <w:rPr>
          <w:rFonts w:ascii="Arial" w:cs="Arial" w:eastAsia="Arial" w:hAnsi="Arial"/>
          <w:sz w:val="24"/>
          <w:szCs w:val="24"/>
          <w:color w:val="auto"/>
        </w:rPr>
        <w:t>1.6</w:t>
      </w:r>
    </w:p>
    <w:p>
      <w:pPr>
        <w:spacing w:after="0" w:line="136"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25"/>
          <w:szCs w:val="25"/>
          <w:color w:val="auto"/>
        </w:rPr>
        <w:t>0.0</w:t>
      </w:r>
      <w:r>
        <w:rPr>
          <w:sz w:val="20"/>
          <w:szCs w:val="20"/>
          <w:color w:val="auto"/>
        </w:rPr>
        <w:tab/>
      </w:r>
      <w:r>
        <w:rPr>
          <w:rFonts w:ascii="Arial" w:cs="Arial" w:eastAsia="Arial" w:hAnsi="Arial"/>
          <w:sz w:val="24"/>
          <w:szCs w:val="24"/>
          <w:color w:val="auto"/>
        </w:rPr>
        <w:t>0.1</w:t>
      </w:r>
    </w:p>
    <w:p>
      <w:pPr>
        <w:spacing w:after="0" w:line="148" w:lineRule="exact"/>
        <w:rPr>
          <w:sz w:val="20"/>
          <w:szCs w:val="20"/>
          <w:color w:val="auto"/>
        </w:rPr>
      </w:pPr>
    </w:p>
    <w:p>
      <w:pPr>
        <w:ind w:left="280"/>
        <w:spacing w:after="0"/>
        <w:tabs>
          <w:tab w:leader="none" w:pos="1800" w:val="left"/>
        </w:tabs>
        <w:rPr>
          <w:sz w:val="20"/>
          <w:szCs w:val="20"/>
          <w:color w:val="auto"/>
        </w:rPr>
      </w:pPr>
      <w:r>
        <w:rPr>
          <w:rFonts w:ascii="Arial" w:cs="Arial" w:eastAsia="Arial" w:hAnsi="Arial"/>
          <w:sz w:val="25"/>
          <w:szCs w:val="25"/>
          <w:color w:val="auto"/>
        </w:rPr>
        <w:t>(0.2)</w:t>
      </w:r>
      <w:r>
        <w:rPr>
          <w:sz w:val="20"/>
          <w:szCs w:val="20"/>
          <w:color w:val="auto"/>
        </w:rPr>
        <w:tab/>
      </w:r>
      <w:r>
        <w:rPr>
          <w:rFonts w:ascii="Arial" w:cs="Arial" w:eastAsia="Arial" w:hAnsi="Arial"/>
          <w:sz w:val="24"/>
          <w:szCs w:val="24"/>
          <w:color w:val="auto"/>
        </w:rPr>
        <w:t>(0.4)</w:t>
      </w:r>
    </w:p>
    <w:p>
      <w:pPr>
        <w:spacing w:after="0" w:line="148"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25"/>
          <w:szCs w:val="25"/>
          <w:color w:val="auto"/>
        </w:rPr>
        <w:t>0.7</w:t>
      </w:r>
      <w:r>
        <w:rPr>
          <w:sz w:val="20"/>
          <w:szCs w:val="20"/>
          <w:color w:val="auto"/>
        </w:rPr>
        <w:tab/>
      </w:r>
      <w:r>
        <w:rPr>
          <w:rFonts w:ascii="Arial" w:cs="Arial" w:eastAsia="Arial" w:hAnsi="Arial"/>
          <w:sz w:val="24"/>
          <w:szCs w:val="24"/>
          <w:color w:val="auto"/>
        </w:rPr>
        <w:t>0.7</w:t>
      </w:r>
    </w:p>
    <w:p>
      <w:pPr>
        <w:spacing w:after="0" w:line="268"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28"/>
          <w:szCs w:val="28"/>
          <w:b w:val="1"/>
          <w:bCs w:val="1"/>
          <w:color w:val="auto"/>
        </w:rPr>
        <w:t>3.8</w:t>
      </w:r>
      <w:r>
        <w:rPr>
          <w:sz w:val="20"/>
          <w:szCs w:val="20"/>
          <w:color w:val="auto"/>
        </w:rPr>
        <w:tab/>
      </w:r>
      <w:r>
        <w:rPr>
          <w:rFonts w:ascii="Arial" w:cs="Arial" w:eastAsia="Arial" w:hAnsi="Arial"/>
          <w:sz w:val="28"/>
          <w:szCs w:val="28"/>
          <w:b w:val="1"/>
          <w:bCs w:val="1"/>
          <w:color w:val="auto"/>
        </w:rPr>
        <w:t>5.0</w:t>
      </w:r>
    </w:p>
    <w:p>
      <w:pPr>
        <w:spacing w:after="0" w:line="381" w:lineRule="exact"/>
        <w:rPr>
          <w:sz w:val="20"/>
          <w:szCs w:val="20"/>
          <w:color w:val="auto"/>
        </w:rPr>
      </w:pPr>
    </w:p>
    <w:p>
      <w:pPr>
        <w:ind w:left="280"/>
        <w:spacing w:after="0"/>
        <w:tabs>
          <w:tab w:leader="none" w:pos="1800" w:val="left"/>
        </w:tabs>
        <w:rPr>
          <w:sz w:val="20"/>
          <w:szCs w:val="20"/>
          <w:color w:val="auto"/>
        </w:rPr>
      </w:pPr>
      <w:r>
        <w:rPr>
          <w:rFonts w:ascii="Arial" w:cs="Arial" w:eastAsia="Arial" w:hAnsi="Arial"/>
          <w:sz w:val="25"/>
          <w:szCs w:val="25"/>
          <w:color w:val="auto"/>
        </w:rPr>
        <w:t>(1.0)</w:t>
      </w:r>
      <w:r>
        <w:rPr>
          <w:sz w:val="20"/>
          <w:szCs w:val="20"/>
          <w:color w:val="auto"/>
        </w:rPr>
        <w:tab/>
      </w:r>
      <w:r>
        <w:rPr>
          <w:rFonts w:ascii="Arial" w:cs="Arial" w:eastAsia="Arial" w:hAnsi="Arial"/>
          <w:sz w:val="24"/>
          <w:szCs w:val="24"/>
          <w:color w:val="auto"/>
        </w:rPr>
        <w:t>(1.2)</w:t>
      </w:r>
    </w:p>
    <w:p>
      <w:pPr>
        <w:spacing w:after="0" w:line="9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28"/>
          <w:szCs w:val="28"/>
          <w:b w:val="1"/>
          <w:bCs w:val="1"/>
          <w:color w:val="auto"/>
        </w:rPr>
        <w:t>2.8</w:t>
      </w:r>
      <w:r>
        <w:rPr>
          <w:sz w:val="20"/>
          <w:szCs w:val="20"/>
          <w:color w:val="auto"/>
        </w:rPr>
        <w:tab/>
      </w:r>
      <w:r>
        <w:rPr>
          <w:rFonts w:ascii="Arial" w:cs="Arial" w:eastAsia="Arial" w:hAnsi="Arial"/>
          <w:sz w:val="28"/>
          <w:szCs w:val="28"/>
          <w:b w:val="1"/>
          <w:bCs w:val="1"/>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26</w:t>
      </w:r>
    </w:p>
    <w:p>
      <w:pPr>
        <w:sectPr>
          <w:pgSz w:w="11900" w:h="16838" w:orient="portrait"/>
          <w:cols w:equalWidth="0" w:num="2">
            <w:col w:w="6760" w:space="660"/>
            <w:col w:w="2880"/>
          </w:cols>
          <w:pgMar w:left="600" w:top="597" w:right="999" w:bottom="1440" w:gutter="0" w:footer="0" w:header="0"/>
        </w:sectPr>
      </w:pPr>
    </w:p>
    <w:bookmarkStart w:id="43" w:name="page44"/>
    <w:bookmarkEnd w:id="43"/>
    <w:p>
      <w:pPr>
        <w:ind w:left="13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Key Automotive Balance Sheet Items</w:t>
      </w:r>
    </w:p>
    <w:p>
      <w:pPr>
        <w:spacing w:after="0" w:line="200" w:lineRule="exact"/>
        <w:rPr>
          <w:sz w:val="20"/>
          <w:szCs w:val="20"/>
          <w:color w:val="auto"/>
        </w:rPr>
      </w:pP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376"/>
        </w:trPr>
        <w:tc>
          <w:tcPr>
            <w:tcW w:w="53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32"/>
                <w:szCs w:val="32"/>
                <w:b w:val="1"/>
                <w:bCs w:val="1"/>
                <w:color w:val="auto"/>
                <w:w w:val="97"/>
              </w:rPr>
              <w:t>Jun. 30</w:t>
            </w:r>
          </w:p>
        </w:tc>
        <w:tc>
          <w:tcPr>
            <w:tcW w:w="1720" w:type="dxa"/>
            <w:vAlign w:val="bottom"/>
          </w:tcPr>
          <w:p>
            <w:pPr>
              <w:jc w:val="right"/>
              <w:ind w:right="201"/>
              <w:spacing w:after="0"/>
              <w:rPr>
                <w:sz w:val="20"/>
                <w:szCs w:val="20"/>
                <w:color w:val="auto"/>
              </w:rPr>
            </w:pPr>
            <w:r>
              <w:rPr>
                <w:rFonts w:ascii="Arial" w:cs="Arial" w:eastAsia="Arial" w:hAnsi="Arial"/>
                <w:sz w:val="32"/>
                <w:szCs w:val="32"/>
                <w:b w:val="1"/>
                <w:bCs w:val="1"/>
                <w:color w:val="auto"/>
              </w:rPr>
              <w:t>Mar. 31</w:t>
            </w:r>
          </w:p>
        </w:tc>
        <w:tc>
          <w:tcPr>
            <w:tcW w:w="1480" w:type="dxa"/>
            <w:vAlign w:val="bottom"/>
          </w:tcPr>
          <w:p>
            <w:pPr>
              <w:ind w:left="260"/>
              <w:spacing w:after="0"/>
              <w:rPr>
                <w:sz w:val="20"/>
                <w:szCs w:val="20"/>
                <w:color w:val="auto"/>
              </w:rPr>
            </w:pPr>
            <w:r>
              <w:rPr>
                <w:rFonts w:ascii="Arial" w:cs="Arial" w:eastAsia="Arial" w:hAnsi="Arial"/>
                <w:sz w:val="32"/>
                <w:szCs w:val="32"/>
                <w:b w:val="1"/>
                <w:bCs w:val="1"/>
                <w:color w:val="auto"/>
              </w:rPr>
              <w:t>Jun. 30</w:t>
            </w:r>
          </w:p>
        </w:tc>
      </w:tr>
      <w:tr>
        <w:trPr>
          <w:trHeight w:val="421"/>
        </w:trPr>
        <w:tc>
          <w:tcPr>
            <w:tcW w:w="5320" w:type="dxa"/>
            <w:vAlign w:val="bottom"/>
          </w:tcPr>
          <w:p>
            <w:pPr>
              <w:spacing w:after="0"/>
              <w:rPr>
                <w:sz w:val="20"/>
                <w:szCs w:val="20"/>
                <w:color w:val="auto"/>
              </w:rPr>
            </w:pPr>
            <w:r>
              <w:rPr>
                <w:rFonts w:ascii="Arial" w:cs="Arial" w:eastAsia="Arial" w:hAnsi="Arial"/>
                <w:sz w:val="32"/>
                <w:szCs w:val="32"/>
                <w:b w:val="1"/>
                <w:bCs w:val="1"/>
                <w:color w:val="auto"/>
              </w:rPr>
              <w:t>($B)</w:t>
            </w:r>
          </w:p>
        </w:tc>
        <w:tc>
          <w:tcPr>
            <w:tcW w:w="1560" w:type="dxa"/>
            <w:vAlign w:val="bottom"/>
          </w:tcPr>
          <w:p>
            <w:pPr>
              <w:jc w:val="center"/>
              <w:spacing w:after="0"/>
              <w:rPr>
                <w:sz w:val="20"/>
                <w:szCs w:val="20"/>
                <w:color w:val="auto"/>
              </w:rPr>
            </w:pPr>
            <w:r>
              <w:rPr>
                <w:rFonts w:ascii="Arial" w:cs="Arial" w:eastAsia="Arial" w:hAnsi="Arial"/>
                <w:sz w:val="32"/>
                <w:szCs w:val="32"/>
                <w:b w:val="1"/>
                <w:bCs w:val="1"/>
                <w:color w:val="auto"/>
                <w:w w:val="98"/>
              </w:rPr>
              <w:t>2010</w:t>
            </w:r>
          </w:p>
        </w:tc>
        <w:tc>
          <w:tcPr>
            <w:tcW w:w="1720" w:type="dxa"/>
            <w:vAlign w:val="bottom"/>
          </w:tcPr>
          <w:p>
            <w:pPr>
              <w:jc w:val="center"/>
              <w:spacing w:after="0"/>
              <w:rPr>
                <w:sz w:val="20"/>
                <w:szCs w:val="20"/>
                <w:color w:val="auto"/>
              </w:rPr>
            </w:pPr>
            <w:r>
              <w:rPr>
                <w:rFonts w:ascii="Arial" w:cs="Arial" w:eastAsia="Arial" w:hAnsi="Arial"/>
                <w:sz w:val="32"/>
                <w:szCs w:val="32"/>
                <w:b w:val="1"/>
                <w:bCs w:val="1"/>
                <w:color w:val="auto"/>
                <w:w w:val="98"/>
              </w:rPr>
              <w:t>2011</w:t>
            </w:r>
          </w:p>
        </w:tc>
        <w:tc>
          <w:tcPr>
            <w:tcW w:w="1480" w:type="dxa"/>
            <w:vAlign w:val="bottom"/>
          </w:tcPr>
          <w:p>
            <w:pPr>
              <w:jc w:val="center"/>
              <w:spacing w:after="0"/>
              <w:rPr>
                <w:sz w:val="20"/>
                <w:szCs w:val="20"/>
                <w:color w:val="auto"/>
              </w:rPr>
            </w:pPr>
            <w:r>
              <w:rPr>
                <w:rFonts w:ascii="Arial" w:cs="Arial" w:eastAsia="Arial" w:hAnsi="Arial"/>
                <w:sz w:val="32"/>
                <w:szCs w:val="32"/>
                <w:b w:val="1"/>
                <w:bCs w:val="1"/>
                <w:color w:val="auto"/>
              </w:rPr>
              <w:t>2011</w:t>
            </w:r>
          </w:p>
        </w:tc>
      </w:tr>
      <w:tr>
        <w:trPr>
          <w:trHeight w:val="564"/>
        </w:trPr>
        <w:tc>
          <w:tcPr>
            <w:tcW w:w="5320" w:type="dxa"/>
            <w:vAlign w:val="bottom"/>
          </w:tcPr>
          <w:p>
            <w:pPr>
              <w:spacing w:after="0"/>
              <w:rPr>
                <w:sz w:val="20"/>
                <w:szCs w:val="20"/>
                <w:color w:val="auto"/>
              </w:rPr>
            </w:pPr>
            <w:r>
              <w:rPr>
                <w:rFonts w:ascii="Arial" w:cs="Arial" w:eastAsia="Arial" w:hAnsi="Arial"/>
                <w:sz w:val="32"/>
                <w:szCs w:val="32"/>
                <w:color w:val="auto"/>
              </w:rPr>
              <w:t>Cash &amp; marketable securities*</w:t>
            </w:r>
          </w:p>
        </w:tc>
        <w:tc>
          <w:tcPr>
            <w:tcW w:w="1560" w:type="dxa"/>
            <w:vAlign w:val="bottom"/>
          </w:tcPr>
          <w:p>
            <w:pPr>
              <w:jc w:val="center"/>
              <w:spacing w:after="0"/>
              <w:rPr>
                <w:sz w:val="20"/>
                <w:szCs w:val="20"/>
                <w:color w:val="auto"/>
              </w:rPr>
            </w:pPr>
            <w:r>
              <w:rPr>
                <w:rFonts w:ascii="Arial" w:cs="Arial" w:eastAsia="Arial" w:hAnsi="Arial"/>
                <w:sz w:val="32"/>
                <w:szCs w:val="32"/>
                <w:color w:val="auto"/>
                <w:w w:val="99"/>
              </w:rPr>
              <w:t>32.5</w:t>
            </w:r>
          </w:p>
        </w:tc>
        <w:tc>
          <w:tcPr>
            <w:tcW w:w="1720" w:type="dxa"/>
            <w:vAlign w:val="bottom"/>
          </w:tcPr>
          <w:p>
            <w:pPr>
              <w:jc w:val="center"/>
              <w:spacing w:after="0"/>
              <w:rPr>
                <w:sz w:val="20"/>
                <w:szCs w:val="20"/>
                <w:color w:val="auto"/>
              </w:rPr>
            </w:pPr>
            <w:r>
              <w:rPr>
                <w:rFonts w:ascii="Arial" w:cs="Arial" w:eastAsia="Arial" w:hAnsi="Arial"/>
                <w:sz w:val="32"/>
                <w:szCs w:val="32"/>
                <w:color w:val="auto"/>
                <w:w w:val="99"/>
              </w:rPr>
              <w:t>30.6</w:t>
            </w:r>
          </w:p>
        </w:tc>
        <w:tc>
          <w:tcPr>
            <w:tcW w:w="1480" w:type="dxa"/>
            <w:vAlign w:val="bottom"/>
          </w:tcPr>
          <w:p>
            <w:pPr>
              <w:ind w:left="480"/>
              <w:spacing w:after="0"/>
              <w:rPr>
                <w:sz w:val="20"/>
                <w:szCs w:val="20"/>
                <w:color w:val="auto"/>
              </w:rPr>
            </w:pPr>
            <w:r>
              <w:rPr>
                <w:rFonts w:ascii="Arial" w:cs="Arial" w:eastAsia="Arial" w:hAnsi="Arial"/>
                <w:sz w:val="32"/>
                <w:szCs w:val="32"/>
                <w:color w:val="auto"/>
              </w:rPr>
              <w:t>33.8</w:t>
            </w:r>
          </w:p>
        </w:tc>
      </w:tr>
      <w:tr>
        <w:trPr>
          <w:trHeight w:val="635"/>
        </w:trPr>
        <w:tc>
          <w:tcPr>
            <w:tcW w:w="5320" w:type="dxa"/>
            <w:vAlign w:val="bottom"/>
          </w:tcPr>
          <w:p>
            <w:pPr>
              <w:spacing w:after="0"/>
              <w:rPr>
                <w:sz w:val="20"/>
                <w:szCs w:val="20"/>
                <w:color w:val="auto"/>
              </w:rPr>
            </w:pPr>
            <w:r>
              <w:rPr>
                <w:rFonts w:ascii="Arial" w:cs="Arial" w:eastAsia="Arial" w:hAnsi="Arial"/>
                <w:sz w:val="32"/>
                <w:szCs w:val="32"/>
                <w:color w:val="auto"/>
              </w:rPr>
              <w:t>Available Credit Facilities</w:t>
            </w:r>
          </w:p>
        </w:tc>
        <w:tc>
          <w:tcPr>
            <w:tcW w:w="1560" w:type="dxa"/>
            <w:vAlign w:val="bottom"/>
          </w:tcPr>
          <w:p>
            <w:pPr>
              <w:jc w:val="center"/>
              <w:spacing w:after="0"/>
              <w:rPr>
                <w:sz w:val="20"/>
                <w:szCs w:val="20"/>
                <w:color w:val="auto"/>
              </w:rPr>
            </w:pPr>
            <w:r>
              <w:rPr>
                <w:rFonts w:ascii="Arial" w:cs="Arial" w:eastAsia="Arial" w:hAnsi="Arial"/>
                <w:sz w:val="32"/>
                <w:szCs w:val="32"/>
                <w:color w:val="auto"/>
                <w:w w:val="98"/>
              </w:rPr>
              <w:t>1.1</w:t>
            </w:r>
          </w:p>
        </w:tc>
        <w:tc>
          <w:tcPr>
            <w:tcW w:w="1720" w:type="dxa"/>
            <w:vAlign w:val="bottom"/>
          </w:tcPr>
          <w:p>
            <w:pPr>
              <w:jc w:val="center"/>
              <w:spacing w:after="0"/>
              <w:rPr>
                <w:sz w:val="20"/>
                <w:szCs w:val="20"/>
                <w:color w:val="auto"/>
              </w:rPr>
            </w:pPr>
            <w:r>
              <w:rPr>
                <w:rFonts w:ascii="Arial" w:cs="Arial" w:eastAsia="Arial" w:hAnsi="Arial"/>
                <w:sz w:val="32"/>
                <w:szCs w:val="32"/>
                <w:color w:val="auto"/>
                <w:w w:val="98"/>
              </w:rPr>
              <w:t>5.9</w:t>
            </w:r>
          </w:p>
        </w:tc>
        <w:tc>
          <w:tcPr>
            <w:tcW w:w="1480" w:type="dxa"/>
            <w:vAlign w:val="bottom"/>
          </w:tcPr>
          <w:p>
            <w:pPr>
              <w:jc w:val="center"/>
              <w:spacing w:after="0"/>
              <w:rPr>
                <w:sz w:val="20"/>
                <w:szCs w:val="20"/>
                <w:color w:val="auto"/>
              </w:rPr>
            </w:pPr>
            <w:r>
              <w:rPr>
                <w:rFonts w:ascii="Arial" w:cs="Arial" w:eastAsia="Arial" w:hAnsi="Arial"/>
                <w:sz w:val="32"/>
                <w:szCs w:val="32"/>
                <w:color w:val="auto"/>
                <w:w w:val="98"/>
              </w:rPr>
              <w:t>5.9</w:t>
            </w:r>
          </w:p>
        </w:tc>
      </w:tr>
      <w:tr>
        <w:trPr>
          <w:trHeight w:val="576"/>
        </w:trPr>
        <w:tc>
          <w:tcPr>
            <w:tcW w:w="5320" w:type="dxa"/>
            <w:vAlign w:val="bottom"/>
          </w:tcPr>
          <w:p>
            <w:pPr>
              <w:ind w:left="260"/>
              <w:spacing w:after="0"/>
              <w:rPr>
                <w:sz w:val="20"/>
                <w:szCs w:val="20"/>
                <w:color w:val="auto"/>
              </w:rPr>
            </w:pPr>
            <w:r>
              <w:rPr>
                <w:rFonts w:ascii="Arial" w:cs="Arial" w:eastAsia="Arial" w:hAnsi="Arial"/>
                <w:sz w:val="32"/>
                <w:szCs w:val="32"/>
                <w:b w:val="1"/>
                <w:bCs w:val="1"/>
                <w:color w:val="auto"/>
              </w:rPr>
              <w:t>Available Liquidity*</w:t>
            </w:r>
          </w:p>
        </w:tc>
        <w:tc>
          <w:tcPr>
            <w:tcW w:w="1560" w:type="dxa"/>
            <w:vAlign w:val="bottom"/>
          </w:tcPr>
          <w:p>
            <w:pPr>
              <w:jc w:val="center"/>
              <w:spacing w:after="0"/>
              <w:rPr>
                <w:sz w:val="20"/>
                <w:szCs w:val="20"/>
                <w:color w:val="auto"/>
              </w:rPr>
            </w:pPr>
            <w:r>
              <w:rPr>
                <w:rFonts w:ascii="Arial" w:cs="Arial" w:eastAsia="Arial" w:hAnsi="Arial"/>
                <w:sz w:val="32"/>
                <w:szCs w:val="32"/>
                <w:b w:val="1"/>
                <w:bCs w:val="1"/>
                <w:color w:val="auto"/>
                <w:w w:val="99"/>
              </w:rPr>
              <w:t>33.6</w:t>
            </w:r>
          </w:p>
        </w:tc>
        <w:tc>
          <w:tcPr>
            <w:tcW w:w="1720" w:type="dxa"/>
            <w:vAlign w:val="bottom"/>
          </w:tcPr>
          <w:p>
            <w:pPr>
              <w:jc w:val="center"/>
              <w:spacing w:after="0"/>
              <w:rPr>
                <w:sz w:val="20"/>
                <w:szCs w:val="20"/>
                <w:color w:val="auto"/>
              </w:rPr>
            </w:pPr>
            <w:r>
              <w:rPr>
                <w:rFonts w:ascii="Arial" w:cs="Arial" w:eastAsia="Arial" w:hAnsi="Arial"/>
                <w:sz w:val="32"/>
                <w:szCs w:val="32"/>
                <w:b w:val="1"/>
                <w:bCs w:val="1"/>
                <w:color w:val="auto"/>
                <w:w w:val="99"/>
              </w:rPr>
              <w:t>36.5</w:t>
            </w:r>
          </w:p>
        </w:tc>
        <w:tc>
          <w:tcPr>
            <w:tcW w:w="1480" w:type="dxa"/>
            <w:vAlign w:val="bottom"/>
          </w:tcPr>
          <w:p>
            <w:pPr>
              <w:ind w:left="480"/>
              <w:spacing w:after="0"/>
              <w:rPr>
                <w:sz w:val="20"/>
                <w:szCs w:val="20"/>
                <w:color w:val="auto"/>
              </w:rPr>
            </w:pPr>
            <w:r>
              <w:rPr>
                <w:rFonts w:ascii="Arial" w:cs="Arial" w:eastAsia="Arial" w:hAnsi="Arial"/>
                <w:sz w:val="32"/>
                <w:szCs w:val="32"/>
                <w:b w:val="1"/>
                <w:bCs w:val="1"/>
                <w:color w:val="auto"/>
              </w:rPr>
              <w:t>39.7</w:t>
            </w:r>
          </w:p>
        </w:tc>
      </w:tr>
      <w:tr>
        <w:trPr>
          <w:trHeight w:val="929"/>
        </w:trPr>
        <w:tc>
          <w:tcPr>
            <w:tcW w:w="5320" w:type="dxa"/>
            <w:vAlign w:val="bottom"/>
          </w:tcPr>
          <w:p>
            <w:pPr>
              <w:spacing w:after="0"/>
              <w:rPr>
                <w:sz w:val="20"/>
                <w:szCs w:val="20"/>
                <w:color w:val="auto"/>
              </w:rPr>
            </w:pPr>
            <w:r>
              <w:rPr>
                <w:rFonts w:ascii="Arial" w:cs="Arial" w:eastAsia="Arial" w:hAnsi="Arial"/>
                <w:sz w:val="32"/>
                <w:szCs w:val="32"/>
                <w:b w:val="1"/>
                <w:bCs w:val="1"/>
                <w:color w:val="auto"/>
              </w:rPr>
              <w:t>Key Obligations:</w:t>
            </w: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6"/>
        </w:trPr>
        <w:tc>
          <w:tcPr>
            <w:tcW w:w="5320" w:type="dxa"/>
            <w:vAlign w:val="bottom"/>
          </w:tcPr>
          <w:p>
            <w:pPr>
              <w:ind w:left="140"/>
              <w:spacing w:after="0"/>
              <w:rPr>
                <w:sz w:val="20"/>
                <w:szCs w:val="20"/>
                <w:color w:val="auto"/>
              </w:rPr>
            </w:pPr>
            <w:r>
              <w:rPr>
                <w:rFonts w:ascii="Arial" w:cs="Arial" w:eastAsia="Arial" w:hAnsi="Arial"/>
                <w:sz w:val="32"/>
                <w:szCs w:val="32"/>
                <w:color w:val="auto"/>
              </w:rPr>
              <w:t>Debt</w:t>
            </w:r>
          </w:p>
        </w:tc>
        <w:tc>
          <w:tcPr>
            <w:tcW w:w="1560" w:type="dxa"/>
            <w:vAlign w:val="bottom"/>
          </w:tcPr>
          <w:p>
            <w:pPr>
              <w:jc w:val="center"/>
              <w:spacing w:after="0"/>
              <w:rPr>
                <w:sz w:val="20"/>
                <w:szCs w:val="20"/>
                <w:color w:val="auto"/>
              </w:rPr>
            </w:pPr>
            <w:r>
              <w:rPr>
                <w:rFonts w:ascii="Arial" w:cs="Arial" w:eastAsia="Arial" w:hAnsi="Arial"/>
                <w:sz w:val="32"/>
                <w:szCs w:val="32"/>
                <w:color w:val="auto"/>
                <w:w w:val="98"/>
              </w:rPr>
              <w:t>8.2</w:t>
            </w:r>
          </w:p>
        </w:tc>
        <w:tc>
          <w:tcPr>
            <w:tcW w:w="1720" w:type="dxa"/>
            <w:vAlign w:val="bottom"/>
          </w:tcPr>
          <w:p>
            <w:pPr>
              <w:jc w:val="center"/>
              <w:spacing w:after="0"/>
              <w:rPr>
                <w:sz w:val="20"/>
                <w:szCs w:val="20"/>
                <w:color w:val="auto"/>
              </w:rPr>
            </w:pPr>
            <w:r>
              <w:rPr>
                <w:rFonts w:ascii="Arial" w:cs="Arial" w:eastAsia="Arial" w:hAnsi="Arial"/>
                <w:sz w:val="32"/>
                <w:szCs w:val="32"/>
                <w:color w:val="auto"/>
                <w:w w:val="98"/>
              </w:rPr>
              <w:t>5.0</w:t>
            </w:r>
          </w:p>
        </w:tc>
        <w:tc>
          <w:tcPr>
            <w:tcW w:w="1480" w:type="dxa"/>
            <w:vAlign w:val="bottom"/>
          </w:tcPr>
          <w:p>
            <w:pPr>
              <w:jc w:val="center"/>
              <w:spacing w:after="0"/>
              <w:rPr>
                <w:sz w:val="20"/>
                <w:szCs w:val="20"/>
                <w:color w:val="auto"/>
              </w:rPr>
            </w:pPr>
            <w:r>
              <w:rPr>
                <w:rFonts w:ascii="Arial" w:cs="Arial" w:eastAsia="Arial" w:hAnsi="Arial"/>
                <w:sz w:val="32"/>
                <w:szCs w:val="32"/>
                <w:color w:val="auto"/>
                <w:w w:val="98"/>
              </w:rPr>
              <w:t>4.7</w:t>
            </w:r>
          </w:p>
        </w:tc>
      </w:tr>
      <w:tr>
        <w:trPr>
          <w:trHeight w:val="564"/>
        </w:trPr>
        <w:tc>
          <w:tcPr>
            <w:tcW w:w="5320" w:type="dxa"/>
            <w:vAlign w:val="bottom"/>
          </w:tcPr>
          <w:p>
            <w:pPr>
              <w:ind w:left="140"/>
              <w:spacing w:after="0"/>
              <w:rPr>
                <w:sz w:val="20"/>
                <w:szCs w:val="20"/>
                <w:color w:val="auto"/>
              </w:rPr>
            </w:pPr>
            <w:r>
              <w:rPr>
                <w:rFonts w:ascii="Arial" w:cs="Arial" w:eastAsia="Arial" w:hAnsi="Arial"/>
                <w:sz w:val="32"/>
                <w:szCs w:val="32"/>
                <w:color w:val="auto"/>
              </w:rPr>
              <w:t>Series A Preferred Stock</w:t>
            </w:r>
          </w:p>
        </w:tc>
        <w:tc>
          <w:tcPr>
            <w:tcW w:w="1560" w:type="dxa"/>
            <w:vAlign w:val="bottom"/>
          </w:tcPr>
          <w:p>
            <w:pPr>
              <w:jc w:val="center"/>
              <w:spacing w:after="0"/>
              <w:rPr>
                <w:sz w:val="20"/>
                <w:szCs w:val="20"/>
                <w:color w:val="auto"/>
              </w:rPr>
            </w:pPr>
            <w:r>
              <w:rPr>
                <w:rFonts w:ascii="Arial" w:cs="Arial" w:eastAsia="Arial" w:hAnsi="Arial"/>
                <w:sz w:val="32"/>
                <w:szCs w:val="32"/>
                <w:color w:val="auto"/>
                <w:w w:val="98"/>
              </w:rPr>
              <w:t>7.0</w:t>
            </w:r>
          </w:p>
        </w:tc>
        <w:tc>
          <w:tcPr>
            <w:tcW w:w="1720" w:type="dxa"/>
            <w:vAlign w:val="bottom"/>
          </w:tcPr>
          <w:p>
            <w:pPr>
              <w:jc w:val="center"/>
              <w:spacing w:after="0"/>
              <w:rPr>
                <w:sz w:val="20"/>
                <w:szCs w:val="20"/>
                <w:color w:val="auto"/>
              </w:rPr>
            </w:pPr>
            <w:r>
              <w:rPr>
                <w:rFonts w:ascii="Arial" w:cs="Arial" w:eastAsia="Arial" w:hAnsi="Arial"/>
                <w:sz w:val="32"/>
                <w:szCs w:val="32"/>
                <w:color w:val="auto"/>
                <w:w w:val="98"/>
              </w:rPr>
              <w:t>5.5</w:t>
            </w:r>
          </w:p>
        </w:tc>
        <w:tc>
          <w:tcPr>
            <w:tcW w:w="1480" w:type="dxa"/>
            <w:vAlign w:val="bottom"/>
          </w:tcPr>
          <w:p>
            <w:pPr>
              <w:jc w:val="center"/>
              <w:spacing w:after="0"/>
              <w:rPr>
                <w:sz w:val="20"/>
                <w:szCs w:val="20"/>
                <w:color w:val="auto"/>
              </w:rPr>
            </w:pPr>
            <w:r>
              <w:rPr>
                <w:rFonts w:ascii="Arial" w:cs="Arial" w:eastAsia="Arial" w:hAnsi="Arial"/>
                <w:sz w:val="32"/>
                <w:szCs w:val="32"/>
                <w:color w:val="auto"/>
                <w:w w:val="98"/>
              </w:rPr>
              <w:t>5.5</w:t>
            </w:r>
          </w:p>
        </w:tc>
      </w:tr>
      <w:tr>
        <w:trPr>
          <w:trHeight w:val="705"/>
        </w:trPr>
        <w:tc>
          <w:tcPr>
            <w:tcW w:w="5320" w:type="dxa"/>
            <w:vAlign w:val="bottom"/>
          </w:tcPr>
          <w:p>
            <w:pPr>
              <w:ind w:left="140"/>
              <w:spacing w:after="0"/>
              <w:rPr>
                <w:sz w:val="20"/>
                <w:szCs w:val="20"/>
                <w:color w:val="auto"/>
              </w:rPr>
            </w:pPr>
            <w:r>
              <w:rPr>
                <w:rFonts w:ascii="Arial" w:cs="Arial" w:eastAsia="Arial" w:hAnsi="Arial"/>
                <w:sz w:val="32"/>
                <w:szCs w:val="32"/>
                <w:color w:val="auto"/>
              </w:rPr>
              <w:t>U.S. Pension Underfunded Status**</w:t>
            </w:r>
          </w:p>
        </w:tc>
        <w:tc>
          <w:tcPr>
            <w:tcW w:w="1560" w:type="dxa"/>
            <w:vAlign w:val="bottom"/>
          </w:tcPr>
          <w:p>
            <w:pPr>
              <w:jc w:val="center"/>
              <w:spacing w:after="0"/>
              <w:rPr>
                <w:sz w:val="20"/>
                <w:szCs w:val="20"/>
                <w:color w:val="auto"/>
              </w:rPr>
            </w:pPr>
            <w:r>
              <w:rPr>
                <w:rFonts w:ascii="Arial" w:cs="Arial" w:eastAsia="Arial" w:hAnsi="Arial"/>
                <w:sz w:val="32"/>
                <w:szCs w:val="32"/>
                <w:color w:val="auto"/>
                <w:w w:val="99"/>
              </w:rPr>
              <w:t>15.8</w:t>
            </w:r>
          </w:p>
        </w:tc>
        <w:tc>
          <w:tcPr>
            <w:tcW w:w="1720" w:type="dxa"/>
            <w:vAlign w:val="bottom"/>
          </w:tcPr>
          <w:p>
            <w:pPr>
              <w:jc w:val="right"/>
              <w:ind w:right="81"/>
              <w:spacing w:after="0"/>
              <w:rPr>
                <w:sz w:val="20"/>
                <w:szCs w:val="20"/>
                <w:color w:val="auto"/>
              </w:rPr>
            </w:pPr>
            <w:r>
              <w:rPr>
                <w:rFonts w:ascii="Arial" w:cs="Arial" w:eastAsia="Arial" w:hAnsi="Arial"/>
                <w:sz w:val="32"/>
                <w:szCs w:val="32"/>
                <w:color w:val="auto"/>
              </w:rPr>
              <w:t>11.2</w:t>
            </w:r>
            <w:r>
              <w:rPr>
                <w:rFonts w:ascii="Arial" w:cs="Arial" w:eastAsia="Arial" w:hAnsi="Arial"/>
                <w:sz w:val="32"/>
                <w:szCs w:val="32"/>
                <w:i w:val="1"/>
                <w:iCs w:val="1"/>
                <w:color w:val="auto"/>
              </w:rPr>
              <w:t>***</w:t>
            </w:r>
          </w:p>
        </w:tc>
        <w:tc>
          <w:tcPr>
            <w:tcW w:w="1480" w:type="dxa"/>
            <w:vAlign w:val="bottom"/>
          </w:tcPr>
          <w:p>
            <w:pPr>
              <w:ind w:left="480"/>
              <w:spacing w:after="0"/>
              <w:rPr>
                <w:sz w:val="20"/>
                <w:szCs w:val="20"/>
                <w:color w:val="auto"/>
              </w:rPr>
            </w:pPr>
            <w:r>
              <w:rPr>
                <w:rFonts w:ascii="Arial" w:cs="Arial" w:eastAsia="Arial" w:hAnsi="Arial"/>
                <w:sz w:val="32"/>
                <w:szCs w:val="32"/>
                <w:color w:val="auto"/>
                <w:w w:val="98"/>
              </w:rPr>
              <w:t>10.8</w:t>
            </w:r>
            <w:r>
              <w:rPr>
                <w:rFonts w:ascii="Arial" w:cs="Arial" w:eastAsia="Arial" w:hAnsi="Arial"/>
                <w:sz w:val="32"/>
                <w:szCs w:val="32"/>
                <w:i w:val="1"/>
                <w:iCs w:val="1"/>
                <w:color w:val="auto"/>
                <w:w w:val="98"/>
              </w:rPr>
              <w:t>***</w:t>
            </w:r>
          </w:p>
        </w:tc>
      </w:tr>
      <w:tr>
        <w:trPr>
          <w:trHeight w:val="705"/>
        </w:trPr>
        <w:tc>
          <w:tcPr>
            <w:tcW w:w="5320" w:type="dxa"/>
            <w:vAlign w:val="bottom"/>
          </w:tcPr>
          <w:p>
            <w:pPr>
              <w:ind w:left="140"/>
              <w:spacing w:after="0"/>
              <w:rPr>
                <w:sz w:val="20"/>
                <w:szCs w:val="20"/>
                <w:color w:val="auto"/>
              </w:rPr>
            </w:pPr>
            <w:r>
              <w:rPr>
                <w:rFonts w:ascii="Arial" w:cs="Arial" w:eastAsia="Arial" w:hAnsi="Arial"/>
                <w:sz w:val="32"/>
                <w:szCs w:val="32"/>
                <w:color w:val="auto"/>
              </w:rPr>
              <w:t>Unfunded OPEB</w:t>
            </w:r>
          </w:p>
        </w:tc>
        <w:tc>
          <w:tcPr>
            <w:tcW w:w="1560" w:type="dxa"/>
            <w:vAlign w:val="bottom"/>
          </w:tcPr>
          <w:p>
            <w:pPr>
              <w:jc w:val="center"/>
              <w:spacing w:after="0"/>
              <w:rPr>
                <w:sz w:val="20"/>
                <w:szCs w:val="20"/>
                <w:color w:val="auto"/>
              </w:rPr>
            </w:pPr>
            <w:r>
              <w:rPr>
                <w:rFonts w:ascii="Arial" w:cs="Arial" w:eastAsia="Arial" w:hAnsi="Arial"/>
                <w:sz w:val="32"/>
                <w:szCs w:val="32"/>
                <w:color w:val="auto"/>
                <w:w w:val="98"/>
              </w:rPr>
              <w:t>9.3</w:t>
            </w:r>
          </w:p>
        </w:tc>
        <w:tc>
          <w:tcPr>
            <w:tcW w:w="1720" w:type="dxa"/>
            <w:vAlign w:val="bottom"/>
          </w:tcPr>
          <w:p>
            <w:pPr>
              <w:jc w:val="center"/>
              <w:spacing w:after="0"/>
              <w:rPr>
                <w:sz w:val="20"/>
                <w:szCs w:val="20"/>
                <w:color w:val="auto"/>
              </w:rPr>
            </w:pPr>
            <w:r>
              <w:rPr>
                <w:rFonts w:ascii="Arial" w:cs="Arial" w:eastAsia="Arial" w:hAnsi="Arial"/>
                <w:sz w:val="32"/>
                <w:szCs w:val="32"/>
                <w:color w:val="auto"/>
                <w:w w:val="99"/>
              </w:rPr>
              <w:t>10.0</w:t>
            </w:r>
          </w:p>
        </w:tc>
        <w:tc>
          <w:tcPr>
            <w:tcW w:w="1480" w:type="dxa"/>
            <w:vAlign w:val="bottom"/>
          </w:tcPr>
          <w:p>
            <w:pPr>
              <w:ind w:left="480"/>
              <w:spacing w:after="0"/>
              <w:rPr>
                <w:sz w:val="20"/>
                <w:szCs w:val="20"/>
                <w:color w:val="auto"/>
              </w:rPr>
            </w:pPr>
            <w:r>
              <w:rPr>
                <w:rFonts w:ascii="Arial" w:cs="Arial" w:eastAsia="Arial" w:hAnsi="Arial"/>
                <w:sz w:val="32"/>
                <w:szCs w:val="32"/>
                <w:color w:val="auto"/>
              </w:rPr>
              <w:t>10.0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20" w:type="dxa"/>
            <w:vAlign w:val="bottom"/>
          </w:tcPr>
          <w:p>
            <w:pPr>
              <w:ind w:left="40"/>
              <w:spacing w:after="0"/>
              <w:rPr>
                <w:sz w:val="20"/>
                <w:szCs w:val="20"/>
                <w:color w:val="auto"/>
              </w:rPr>
            </w:pPr>
            <w:r>
              <w:rPr>
                <w:rFonts w:ascii="Arial" w:cs="Arial" w:eastAsia="Arial" w:hAnsi="Arial"/>
                <w:sz w:val="19"/>
                <w:szCs w:val="19"/>
                <w:i w:val="1"/>
                <w:iCs w:val="1"/>
                <w:color w:val="auto"/>
              </w:rPr>
              <w:t>*  Includes Canadian HC Trust restricted cash</w:t>
            </w:r>
          </w:p>
        </w:tc>
        <w:tc>
          <w:tcPr>
            <w:tcW w:w="700" w:type="dxa"/>
            <w:vAlign w:val="bottom"/>
          </w:tcPr>
          <w:p>
            <w:pPr>
              <w:spacing w:after="0"/>
              <w:rPr>
                <w:sz w:val="21"/>
                <w:szCs w:val="21"/>
                <w:color w:val="auto"/>
              </w:rPr>
            </w:pPr>
          </w:p>
        </w:tc>
      </w:tr>
      <w:tr>
        <w:trPr>
          <w:trHeight w:val="259"/>
        </w:trPr>
        <w:tc>
          <w:tcPr>
            <w:tcW w:w="9920" w:type="dxa"/>
            <w:vAlign w:val="bottom"/>
          </w:tcPr>
          <w:p>
            <w:pPr>
              <w:ind w:left="20"/>
              <w:spacing w:after="0"/>
              <w:rPr>
                <w:sz w:val="20"/>
                <w:szCs w:val="20"/>
                <w:color w:val="auto"/>
              </w:rPr>
            </w:pPr>
            <w:r>
              <w:rPr>
                <w:rFonts w:ascii="Arial" w:cs="Arial" w:eastAsia="Arial" w:hAnsi="Arial"/>
                <w:sz w:val="19"/>
                <w:szCs w:val="19"/>
                <w:i w:val="1"/>
                <w:iCs w:val="1"/>
                <w:color w:val="auto"/>
              </w:rPr>
              <w:t>** Excludes U.S. non-qualified plan PBO of ~$0.9 billion</w:t>
            </w:r>
          </w:p>
        </w:tc>
        <w:tc>
          <w:tcPr>
            <w:tcW w:w="700" w:type="dxa"/>
            <w:vAlign w:val="bottom"/>
          </w:tcPr>
          <w:p>
            <w:pPr>
              <w:spacing w:after="0"/>
              <w:rPr>
                <w:sz w:val="22"/>
                <w:szCs w:val="22"/>
                <w:color w:val="auto"/>
              </w:rPr>
            </w:pPr>
          </w:p>
        </w:tc>
      </w:tr>
      <w:tr>
        <w:trPr>
          <w:trHeight w:val="306"/>
        </w:trPr>
        <w:tc>
          <w:tcPr>
            <w:tcW w:w="9920" w:type="dxa"/>
            <w:vAlign w:val="bottom"/>
          </w:tcPr>
          <w:p>
            <w:pPr>
              <w:spacing w:after="0"/>
              <w:rPr>
                <w:sz w:val="20"/>
                <w:szCs w:val="20"/>
                <w:color w:val="auto"/>
              </w:rPr>
            </w:pPr>
            <w:r>
              <w:rPr>
                <w:rFonts w:ascii="Arial" w:cs="Arial" w:eastAsia="Arial" w:hAnsi="Arial"/>
                <w:sz w:val="19"/>
                <w:szCs w:val="19"/>
                <w:i w:val="1"/>
                <w:iCs w:val="1"/>
                <w:color w:val="auto"/>
              </w:rPr>
              <w:t>*** Excludes ~$2B stock contribution completed 1/13/11 that will be counted as a plan asset starting in July 2011</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rPr>
              <w:t>27</w:t>
            </w:r>
          </w:p>
        </w:tc>
      </w:tr>
    </w:tbl>
    <w:p>
      <w:pPr>
        <w:sectPr>
          <w:pgSz w:w="11900" w:h="16838" w:orient="portrait"/>
          <w:cols w:equalWidth="0" w:num="1">
            <w:col w:w="10620"/>
          </w:cols>
          <w:pgMar w:left="340" w:top="597" w:right="939" w:bottom="1440" w:gutter="0" w:footer="0" w:header="0"/>
        </w:sectPr>
      </w:pPr>
    </w:p>
    <w:bookmarkStart w:id="44" w:name="page45"/>
    <w:bookmarkEnd w:id="44"/>
    <w:p>
      <w:pPr>
        <w:ind w:left="10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 Financial</w:t>
      </w:r>
    </w:p>
    <w:p>
      <w:pPr>
        <w:spacing w:after="0" w:line="382" w:lineRule="exact"/>
        <w:rPr>
          <w:sz w:val="20"/>
          <w:szCs w:val="20"/>
          <w:color w:val="auto"/>
        </w:rPr>
      </w:pPr>
    </w:p>
    <w:p>
      <w:pPr>
        <w:ind w:left="7400"/>
        <w:spacing w:after="0"/>
        <w:rPr>
          <w:sz w:val="20"/>
          <w:szCs w:val="20"/>
          <w:color w:val="auto"/>
        </w:rPr>
      </w:pPr>
      <w:r>
        <w:rPr>
          <w:rFonts w:ascii="Arial" w:cs="Arial" w:eastAsia="Arial" w:hAnsi="Arial"/>
          <w:sz w:val="25"/>
          <w:szCs w:val="25"/>
          <w:b w:val="1"/>
          <w:bCs w:val="1"/>
          <w:color w:val="auto"/>
        </w:rPr>
        <w:t xml:space="preserve">Industry Avg. </w:t>
      </w:r>
      <w:r>
        <w:rPr>
          <w:rFonts w:ascii="Arial" w:cs="Arial" w:eastAsia="Arial" w:hAnsi="Arial"/>
          <w:sz w:val="18"/>
          <w:szCs w:val="18"/>
          <w:b w:val="1"/>
          <w:bCs w:val="1"/>
          <w:color w:val="auto"/>
        </w:rPr>
        <w:t>(Excl. GM)</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45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8"/>
                <w:szCs w:val="28"/>
                <w:b w:val="1"/>
                <w:bCs w:val="1"/>
                <w:color w:val="auto"/>
              </w:rPr>
              <w:t>Q2</w:t>
            </w:r>
          </w:p>
        </w:tc>
        <w:tc>
          <w:tcPr>
            <w:tcW w:w="1400" w:type="dxa"/>
            <w:vAlign w:val="bottom"/>
          </w:tcPr>
          <w:p>
            <w:pPr>
              <w:jc w:val="center"/>
              <w:spacing w:after="0"/>
              <w:rPr>
                <w:sz w:val="20"/>
                <w:szCs w:val="20"/>
                <w:color w:val="auto"/>
              </w:rPr>
            </w:pPr>
            <w:r>
              <w:rPr>
                <w:rFonts w:ascii="Arial" w:cs="Arial" w:eastAsia="Arial" w:hAnsi="Arial"/>
                <w:sz w:val="28"/>
                <w:szCs w:val="28"/>
                <w:b w:val="1"/>
                <w:bCs w:val="1"/>
                <w:color w:val="auto"/>
              </w:rPr>
              <w:t>Q2</w:t>
            </w:r>
          </w:p>
        </w:tc>
        <w:tc>
          <w:tcPr>
            <w:tcW w:w="1980" w:type="dxa"/>
            <w:vAlign w:val="bottom"/>
          </w:tcPr>
          <w:p>
            <w:pPr>
              <w:jc w:val="center"/>
              <w:ind w:right="404"/>
              <w:spacing w:after="0"/>
              <w:rPr>
                <w:sz w:val="20"/>
                <w:szCs w:val="20"/>
                <w:color w:val="auto"/>
              </w:rPr>
            </w:pPr>
            <w:r>
              <w:rPr>
                <w:rFonts w:ascii="Arial" w:cs="Arial" w:eastAsia="Arial" w:hAnsi="Arial"/>
                <w:sz w:val="25"/>
                <w:szCs w:val="25"/>
                <w:color w:val="auto"/>
              </w:rPr>
              <w:t>Q2</w:t>
            </w:r>
          </w:p>
        </w:tc>
        <w:tc>
          <w:tcPr>
            <w:tcW w:w="1160" w:type="dxa"/>
            <w:vAlign w:val="bottom"/>
          </w:tcPr>
          <w:p>
            <w:pPr>
              <w:jc w:val="center"/>
              <w:ind w:right="187"/>
              <w:spacing w:after="0"/>
              <w:rPr>
                <w:sz w:val="20"/>
                <w:szCs w:val="20"/>
                <w:color w:val="auto"/>
              </w:rPr>
            </w:pPr>
            <w:r>
              <w:rPr>
                <w:rFonts w:ascii="Arial" w:cs="Arial" w:eastAsia="Arial" w:hAnsi="Arial"/>
                <w:sz w:val="25"/>
                <w:szCs w:val="25"/>
                <w:color w:val="auto"/>
              </w:rPr>
              <w:t>Q2</w:t>
            </w:r>
          </w:p>
        </w:tc>
      </w:tr>
      <w:tr>
        <w:trPr>
          <w:trHeight w:val="380"/>
        </w:trPr>
        <w:tc>
          <w:tcPr>
            <w:tcW w:w="45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8"/>
                <w:szCs w:val="28"/>
                <w:b w:val="1"/>
                <w:bCs w:val="1"/>
                <w:color w:val="auto"/>
                <w:w w:val="99"/>
              </w:rPr>
              <w:t>2010</w:t>
            </w:r>
          </w:p>
        </w:tc>
        <w:tc>
          <w:tcPr>
            <w:tcW w:w="1400" w:type="dxa"/>
            <w:vAlign w:val="bottom"/>
          </w:tcPr>
          <w:p>
            <w:pPr>
              <w:jc w:val="right"/>
              <w:ind w:right="293"/>
              <w:spacing w:after="0"/>
              <w:rPr>
                <w:sz w:val="20"/>
                <w:szCs w:val="20"/>
                <w:color w:val="auto"/>
              </w:rPr>
            </w:pPr>
            <w:r>
              <w:rPr>
                <w:rFonts w:ascii="Arial" w:cs="Arial" w:eastAsia="Arial" w:hAnsi="Arial"/>
                <w:sz w:val="28"/>
                <w:szCs w:val="28"/>
                <w:b w:val="1"/>
                <w:bCs w:val="1"/>
                <w:color w:val="auto"/>
              </w:rPr>
              <w:t>2011</w:t>
            </w:r>
          </w:p>
        </w:tc>
        <w:tc>
          <w:tcPr>
            <w:tcW w:w="1980" w:type="dxa"/>
            <w:vAlign w:val="bottom"/>
          </w:tcPr>
          <w:p>
            <w:pPr>
              <w:jc w:val="center"/>
              <w:ind w:right="424"/>
              <w:spacing w:after="0"/>
              <w:rPr>
                <w:sz w:val="20"/>
                <w:szCs w:val="20"/>
                <w:color w:val="auto"/>
              </w:rPr>
            </w:pPr>
            <w:r>
              <w:rPr>
                <w:rFonts w:ascii="Arial" w:cs="Arial" w:eastAsia="Arial" w:hAnsi="Arial"/>
                <w:sz w:val="25"/>
                <w:szCs w:val="25"/>
                <w:color w:val="auto"/>
              </w:rPr>
              <w:t>2010</w:t>
            </w:r>
          </w:p>
        </w:tc>
        <w:tc>
          <w:tcPr>
            <w:tcW w:w="1160" w:type="dxa"/>
            <w:vAlign w:val="bottom"/>
          </w:tcPr>
          <w:p>
            <w:pPr>
              <w:jc w:val="center"/>
              <w:ind w:right="207"/>
              <w:spacing w:after="0"/>
              <w:rPr>
                <w:sz w:val="20"/>
                <w:szCs w:val="20"/>
                <w:color w:val="auto"/>
              </w:rPr>
            </w:pPr>
            <w:r>
              <w:rPr>
                <w:rFonts w:ascii="Arial" w:cs="Arial" w:eastAsia="Arial" w:hAnsi="Arial"/>
                <w:sz w:val="25"/>
                <w:szCs w:val="25"/>
                <w:color w:val="auto"/>
              </w:rPr>
              <w:t>2011</w:t>
            </w:r>
          </w:p>
        </w:tc>
      </w:tr>
      <w:tr>
        <w:trPr>
          <w:trHeight w:val="423"/>
        </w:trPr>
        <w:tc>
          <w:tcPr>
            <w:tcW w:w="4560" w:type="dxa"/>
            <w:vAlign w:val="bottom"/>
          </w:tcPr>
          <w:p>
            <w:pPr>
              <w:ind w:left="360"/>
              <w:spacing w:after="0"/>
              <w:rPr>
                <w:sz w:val="20"/>
                <w:szCs w:val="20"/>
                <w:color w:val="auto"/>
              </w:rPr>
            </w:pPr>
            <w:r>
              <w:rPr>
                <w:rFonts w:ascii="Arial" w:cs="Arial" w:eastAsia="Arial" w:hAnsi="Arial"/>
                <w:sz w:val="25"/>
                <w:szCs w:val="25"/>
                <w:b w:val="1"/>
                <w:bCs w:val="1"/>
                <w:color w:val="auto"/>
              </w:rPr>
              <w:t>GM Sales Penetrations</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3"/>
        </w:trPr>
        <w:tc>
          <w:tcPr>
            <w:tcW w:w="4560" w:type="dxa"/>
            <w:vAlign w:val="bottom"/>
          </w:tcPr>
          <w:p>
            <w:pPr>
              <w:ind w:left="360"/>
              <w:spacing w:after="0"/>
              <w:rPr>
                <w:sz w:val="20"/>
                <w:szCs w:val="20"/>
                <w:color w:val="auto"/>
              </w:rPr>
            </w:pPr>
            <w:r>
              <w:rPr>
                <w:rFonts w:ascii="Arial" w:cs="Arial" w:eastAsia="Arial" w:hAnsi="Arial"/>
                <w:sz w:val="25"/>
                <w:szCs w:val="25"/>
                <w:color w:val="auto"/>
              </w:rPr>
              <w:t>U.S. Subprime (&lt;=620)</w:t>
            </w:r>
          </w:p>
        </w:tc>
        <w:tc>
          <w:tcPr>
            <w:tcW w:w="1240" w:type="dxa"/>
            <w:vAlign w:val="bottom"/>
          </w:tcPr>
          <w:p>
            <w:pPr>
              <w:jc w:val="center"/>
              <w:spacing w:after="0"/>
              <w:rPr>
                <w:sz w:val="20"/>
                <w:szCs w:val="20"/>
                <w:color w:val="auto"/>
              </w:rPr>
            </w:pPr>
            <w:r>
              <w:rPr>
                <w:rFonts w:ascii="Arial" w:cs="Arial" w:eastAsia="Arial" w:hAnsi="Arial"/>
                <w:sz w:val="25"/>
                <w:szCs w:val="25"/>
                <w:color w:val="auto"/>
                <w:w w:val="98"/>
              </w:rPr>
              <w:t>4.9%</w:t>
            </w:r>
          </w:p>
        </w:tc>
        <w:tc>
          <w:tcPr>
            <w:tcW w:w="1400" w:type="dxa"/>
            <w:vAlign w:val="bottom"/>
          </w:tcPr>
          <w:p>
            <w:pPr>
              <w:jc w:val="center"/>
              <w:spacing w:after="0"/>
              <w:rPr>
                <w:sz w:val="20"/>
                <w:szCs w:val="20"/>
                <w:color w:val="auto"/>
              </w:rPr>
            </w:pPr>
            <w:r>
              <w:rPr>
                <w:rFonts w:ascii="Arial" w:cs="Arial" w:eastAsia="Arial" w:hAnsi="Arial"/>
                <w:sz w:val="25"/>
                <w:szCs w:val="25"/>
                <w:color w:val="auto"/>
                <w:w w:val="98"/>
              </w:rPr>
              <w:t>6.8%</w:t>
            </w:r>
          </w:p>
        </w:tc>
        <w:tc>
          <w:tcPr>
            <w:tcW w:w="1980" w:type="dxa"/>
            <w:vAlign w:val="bottom"/>
          </w:tcPr>
          <w:p>
            <w:pPr>
              <w:jc w:val="center"/>
              <w:ind w:right="424"/>
              <w:spacing w:after="0"/>
              <w:rPr>
                <w:sz w:val="20"/>
                <w:szCs w:val="20"/>
                <w:color w:val="auto"/>
              </w:rPr>
            </w:pPr>
            <w:r>
              <w:rPr>
                <w:rFonts w:ascii="Arial" w:cs="Arial" w:eastAsia="Arial" w:hAnsi="Arial"/>
                <w:sz w:val="22"/>
                <w:szCs w:val="22"/>
                <w:color w:val="auto"/>
              </w:rPr>
              <w:t>4.2%</w:t>
            </w:r>
          </w:p>
        </w:tc>
        <w:tc>
          <w:tcPr>
            <w:tcW w:w="1160" w:type="dxa"/>
            <w:vAlign w:val="bottom"/>
          </w:tcPr>
          <w:p>
            <w:pPr>
              <w:jc w:val="center"/>
              <w:ind w:right="187"/>
              <w:spacing w:after="0"/>
              <w:rPr>
                <w:sz w:val="20"/>
                <w:szCs w:val="20"/>
                <w:color w:val="auto"/>
              </w:rPr>
            </w:pPr>
            <w:r>
              <w:rPr>
                <w:rFonts w:ascii="Arial" w:cs="Arial" w:eastAsia="Arial" w:hAnsi="Arial"/>
                <w:sz w:val="22"/>
                <w:szCs w:val="22"/>
                <w:color w:val="auto"/>
                <w:w w:val="99"/>
              </w:rPr>
              <w:t>5.1%</w:t>
            </w:r>
          </w:p>
        </w:tc>
      </w:tr>
      <w:tr>
        <w:trPr>
          <w:trHeight w:val="423"/>
        </w:trPr>
        <w:tc>
          <w:tcPr>
            <w:tcW w:w="4560" w:type="dxa"/>
            <w:vAlign w:val="bottom"/>
          </w:tcPr>
          <w:p>
            <w:pPr>
              <w:ind w:left="360"/>
              <w:spacing w:after="0"/>
              <w:rPr>
                <w:sz w:val="20"/>
                <w:szCs w:val="20"/>
                <w:color w:val="auto"/>
              </w:rPr>
            </w:pPr>
            <w:r>
              <w:rPr>
                <w:rFonts w:ascii="Arial" w:cs="Arial" w:eastAsia="Arial" w:hAnsi="Arial"/>
                <w:sz w:val="25"/>
                <w:szCs w:val="25"/>
                <w:color w:val="auto"/>
              </w:rPr>
              <w:t>U.S. Lease</w:t>
            </w:r>
          </w:p>
        </w:tc>
        <w:tc>
          <w:tcPr>
            <w:tcW w:w="1240" w:type="dxa"/>
            <w:vAlign w:val="bottom"/>
          </w:tcPr>
          <w:p>
            <w:pPr>
              <w:jc w:val="center"/>
              <w:spacing w:after="0"/>
              <w:rPr>
                <w:sz w:val="20"/>
                <w:szCs w:val="20"/>
                <w:color w:val="auto"/>
              </w:rPr>
            </w:pPr>
            <w:r>
              <w:rPr>
                <w:rFonts w:ascii="Arial" w:cs="Arial" w:eastAsia="Arial" w:hAnsi="Arial"/>
                <w:sz w:val="25"/>
                <w:szCs w:val="25"/>
                <w:color w:val="auto"/>
                <w:w w:val="98"/>
              </w:rPr>
              <w:t>6.5%</w:t>
            </w:r>
          </w:p>
        </w:tc>
        <w:tc>
          <w:tcPr>
            <w:tcW w:w="1400" w:type="dxa"/>
            <w:vAlign w:val="bottom"/>
          </w:tcPr>
          <w:p>
            <w:pPr>
              <w:jc w:val="center"/>
              <w:spacing w:after="0"/>
              <w:rPr>
                <w:sz w:val="20"/>
                <w:szCs w:val="20"/>
                <w:color w:val="auto"/>
              </w:rPr>
            </w:pPr>
            <w:r>
              <w:rPr>
                <w:rFonts w:ascii="Arial" w:cs="Arial" w:eastAsia="Arial" w:hAnsi="Arial"/>
                <w:sz w:val="25"/>
                <w:szCs w:val="25"/>
                <w:color w:val="auto"/>
                <w:w w:val="98"/>
              </w:rPr>
              <w:t>13.3%</w:t>
            </w:r>
          </w:p>
        </w:tc>
        <w:tc>
          <w:tcPr>
            <w:tcW w:w="1980" w:type="dxa"/>
            <w:vAlign w:val="bottom"/>
          </w:tcPr>
          <w:p>
            <w:pPr>
              <w:jc w:val="center"/>
              <w:ind w:right="404"/>
              <w:spacing w:after="0"/>
              <w:rPr>
                <w:sz w:val="20"/>
                <w:szCs w:val="20"/>
                <w:color w:val="auto"/>
              </w:rPr>
            </w:pPr>
            <w:r>
              <w:rPr>
                <w:rFonts w:ascii="Arial" w:cs="Arial" w:eastAsia="Arial" w:hAnsi="Arial"/>
                <w:sz w:val="22"/>
                <w:szCs w:val="22"/>
                <w:color w:val="auto"/>
                <w:w w:val="99"/>
              </w:rPr>
              <w:t>20.9%</w:t>
            </w:r>
          </w:p>
        </w:tc>
        <w:tc>
          <w:tcPr>
            <w:tcW w:w="1160" w:type="dxa"/>
            <w:vAlign w:val="bottom"/>
          </w:tcPr>
          <w:p>
            <w:pPr>
              <w:jc w:val="center"/>
              <w:ind w:right="187"/>
              <w:spacing w:after="0"/>
              <w:rPr>
                <w:sz w:val="20"/>
                <w:szCs w:val="20"/>
                <w:color w:val="auto"/>
              </w:rPr>
            </w:pPr>
            <w:r>
              <w:rPr>
                <w:rFonts w:ascii="Arial" w:cs="Arial" w:eastAsia="Arial" w:hAnsi="Arial"/>
                <w:sz w:val="22"/>
                <w:szCs w:val="22"/>
                <w:color w:val="auto"/>
                <w:w w:val="99"/>
              </w:rPr>
              <w:t>21.2%</w:t>
            </w:r>
          </w:p>
        </w:tc>
      </w:tr>
      <w:tr>
        <w:trPr>
          <w:trHeight w:val="423"/>
        </w:trPr>
        <w:tc>
          <w:tcPr>
            <w:tcW w:w="4560" w:type="dxa"/>
            <w:vAlign w:val="bottom"/>
          </w:tcPr>
          <w:p>
            <w:pPr>
              <w:ind w:left="360"/>
              <w:spacing w:after="0"/>
              <w:rPr>
                <w:sz w:val="20"/>
                <w:szCs w:val="20"/>
                <w:color w:val="auto"/>
              </w:rPr>
            </w:pPr>
            <w:r>
              <w:rPr>
                <w:rFonts w:ascii="Arial" w:cs="Arial" w:eastAsia="Arial" w:hAnsi="Arial"/>
                <w:sz w:val="25"/>
                <w:szCs w:val="25"/>
                <w:color w:val="auto"/>
              </w:rPr>
              <w:t>Canada Lease</w:t>
            </w:r>
          </w:p>
        </w:tc>
        <w:tc>
          <w:tcPr>
            <w:tcW w:w="1240" w:type="dxa"/>
            <w:vAlign w:val="bottom"/>
          </w:tcPr>
          <w:p>
            <w:pPr>
              <w:jc w:val="center"/>
              <w:spacing w:after="0"/>
              <w:rPr>
                <w:sz w:val="20"/>
                <w:szCs w:val="20"/>
                <w:color w:val="auto"/>
              </w:rPr>
            </w:pPr>
            <w:r>
              <w:rPr>
                <w:rFonts w:ascii="Arial" w:cs="Arial" w:eastAsia="Arial" w:hAnsi="Arial"/>
                <w:sz w:val="25"/>
                <w:szCs w:val="25"/>
                <w:color w:val="auto"/>
                <w:w w:val="98"/>
              </w:rPr>
              <w:t>2.7%</w:t>
            </w:r>
          </w:p>
        </w:tc>
        <w:tc>
          <w:tcPr>
            <w:tcW w:w="1400" w:type="dxa"/>
            <w:vAlign w:val="bottom"/>
          </w:tcPr>
          <w:p>
            <w:pPr>
              <w:jc w:val="center"/>
              <w:spacing w:after="0"/>
              <w:rPr>
                <w:sz w:val="20"/>
                <w:szCs w:val="20"/>
                <w:color w:val="auto"/>
              </w:rPr>
            </w:pPr>
            <w:r>
              <w:rPr>
                <w:rFonts w:ascii="Arial" w:cs="Arial" w:eastAsia="Arial" w:hAnsi="Arial"/>
                <w:sz w:val="25"/>
                <w:szCs w:val="25"/>
                <w:color w:val="auto"/>
                <w:w w:val="98"/>
              </w:rPr>
              <w:t>8.4%</w:t>
            </w:r>
          </w:p>
        </w:tc>
        <w:tc>
          <w:tcPr>
            <w:tcW w:w="1980" w:type="dxa"/>
            <w:vAlign w:val="bottom"/>
          </w:tcPr>
          <w:p>
            <w:pPr>
              <w:jc w:val="center"/>
              <w:ind w:right="404"/>
              <w:spacing w:after="0"/>
              <w:rPr>
                <w:sz w:val="20"/>
                <w:szCs w:val="20"/>
                <w:color w:val="auto"/>
              </w:rPr>
            </w:pPr>
            <w:r>
              <w:rPr>
                <w:rFonts w:ascii="Arial" w:cs="Arial" w:eastAsia="Arial" w:hAnsi="Arial"/>
                <w:sz w:val="22"/>
                <w:szCs w:val="22"/>
                <w:color w:val="auto"/>
                <w:w w:val="99"/>
              </w:rPr>
              <w:t>15.8%</w:t>
            </w:r>
          </w:p>
        </w:tc>
        <w:tc>
          <w:tcPr>
            <w:tcW w:w="1160" w:type="dxa"/>
            <w:vAlign w:val="bottom"/>
          </w:tcPr>
          <w:p>
            <w:pPr>
              <w:jc w:val="center"/>
              <w:ind w:right="187"/>
              <w:spacing w:after="0"/>
              <w:rPr>
                <w:sz w:val="20"/>
                <w:szCs w:val="20"/>
                <w:color w:val="auto"/>
              </w:rPr>
            </w:pPr>
            <w:r>
              <w:rPr>
                <w:rFonts w:ascii="Arial" w:cs="Arial" w:eastAsia="Arial" w:hAnsi="Arial"/>
                <w:sz w:val="22"/>
                <w:szCs w:val="22"/>
                <w:color w:val="auto"/>
                <w:w w:val="99"/>
              </w:rPr>
              <w:t>19.0%</w:t>
            </w:r>
          </w:p>
        </w:tc>
      </w:tr>
      <w:tr>
        <w:trPr>
          <w:trHeight w:val="670"/>
        </w:trPr>
        <w:tc>
          <w:tcPr>
            <w:tcW w:w="4560" w:type="dxa"/>
            <w:vAlign w:val="bottom"/>
          </w:tcPr>
          <w:p>
            <w:pPr>
              <w:ind w:left="360"/>
              <w:spacing w:after="0"/>
              <w:rPr>
                <w:sz w:val="20"/>
                <w:szCs w:val="20"/>
                <w:color w:val="auto"/>
              </w:rPr>
            </w:pPr>
            <w:r>
              <w:rPr>
                <w:rFonts w:ascii="Arial" w:cs="Arial" w:eastAsia="Arial" w:hAnsi="Arial"/>
                <w:sz w:val="25"/>
                <w:szCs w:val="25"/>
                <w:b w:val="1"/>
                <w:bCs w:val="1"/>
                <w:color w:val="auto"/>
              </w:rPr>
              <w:t>GM / GMF Linkage</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3"/>
        </w:trPr>
        <w:tc>
          <w:tcPr>
            <w:tcW w:w="4560" w:type="dxa"/>
            <w:vAlign w:val="bottom"/>
          </w:tcPr>
          <w:p>
            <w:pPr>
              <w:ind w:left="360"/>
              <w:spacing w:after="0"/>
              <w:rPr>
                <w:sz w:val="20"/>
                <w:szCs w:val="20"/>
                <w:color w:val="auto"/>
              </w:rPr>
            </w:pPr>
            <w:r>
              <w:rPr>
                <w:rFonts w:ascii="Arial" w:cs="Arial" w:eastAsia="Arial" w:hAnsi="Arial"/>
                <w:sz w:val="25"/>
                <w:szCs w:val="25"/>
                <w:color w:val="auto"/>
              </w:rPr>
              <w:t>GM as % of GMF Originations</w:t>
            </w:r>
          </w:p>
        </w:tc>
        <w:tc>
          <w:tcPr>
            <w:tcW w:w="1240" w:type="dxa"/>
            <w:vAlign w:val="bottom"/>
          </w:tcPr>
          <w:p>
            <w:pPr>
              <w:jc w:val="center"/>
              <w:spacing w:after="0"/>
              <w:rPr>
                <w:sz w:val="20"/>
                <w:szCs w:val="20"/>
                <w:color w:val="auto"/>
              </w:rPr>
            </w:pPr>
            <w:r>
              <w:rPr>
                <w:rFonts w:ascii="Arial" w:cs="Arial" w:eastAsia="Arial" w:hAnsi="Arial"/>
                <w:sz w:val="25"/>
                <w:szCs w:val="25"/>
                <w:color w:val="auto"/>
                <w:w w:val="98"/>
              </w:rPr>
              <w:t>14.0%</w:t>
            </w:r>
          </w:p>
        </w:tc>
        <w:tc>
          <w:tcPr>
            <w:tcW w:w="1400" w:type="dxa"/>
            <w:vAlign w:val="bottom"/>
          </w:tcPr>
          <w:p>
            <w:pPr>
              <w:jc w:val="center"/>
              <w:spacing w:after="0"/>
              <w:rPr>
                <w:sz w:val="20"/>
                <w:szCs w:val="20"/>
                <w:color w:val="auto"/>
              </w:rPr>
            </w:pPr>
            <w:r>
              <w:rPr>
                <w:rFonts w:ascii="Arial" w:cs="Arial" w:eastAsia="Arial" w:hAnsi="Arial"/>
                <w:sz w:val="25"/>
                <w:szCs w:val="25"/>
                <w:color w:val="auto"/>
                <w:w w:val="98"/>
              </w:rPr>
              <w:t>38.0%</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3"/>
        </w:trPr>
        <w:tc>
          <w:tcPr>
            <w:tcW w:w="4560" w:type="dxa"/>
            <w:vAlign w:val="bottom"/>
          </w:tcPr>
          <w:p>
            <w:pPr>
              <w:ind w:left="360"/>
              <w:spacing w:after="0"/>
              <w:rPr>
                <w:sz w:val="20"/>
                <w:szCs w:val="20"/>
                <w:color w:val="auto"/>
              </w:rPr>
            </w:pPr>
            <w:r>
              <w:rPr>
                <w:rFonts w:ascii="Arial" w:cs="Arial" w:eastAsia="Arial" w:hAnsi="Arial"/>
                <w:sz w:val="18"/>
                <w:szCs w:val="18"/>
                <w:color w:val="auto"/>
              </w:rPr>
              <w:t>(GM New / GMF Loan &amp; Lease)</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4"/>
        </w:trPr>
        <w:tc>
          <w:tcPr>
            <w:tcW w:w="4560" w:type="dxa"/>
            <w:vAlign w:val="bottom"/>
          </w:tcPr>
          <w:p>
            <w:pPr>
              <w:ind w:left="360"/>
              <w:spacing w:after="0"/>
              <w:rPr>
                <w:sz w:val="20"/>
                <w:szCs w:val="20"/>
                <w:color w:val="auto"/>
              </w:rPr>
            </w:pPr>
            <w:r>
              <w:rPr>
                <w:rFonts w:ascii="Arial" w:cs="Arial" w:eastAsia="Arial" w:hAnsi="Arial"/>
                <w:sz w:val="25"/>
                <w:szCs w:val="25"/>
                <w:color w:val="auto"/>
              </w:rPr>
              <w:t>GMF as % of GM U.S. S/P &amp; Lease</w:t>
            </w:r>
          </w:p>
        </w:tc>
        <w:tc>
          <w:tcPr>
            <w:tcW w:w="1240" w:type="dxa"/>
            <w:vAlign w:val="bottom"/>
          </w:tcPr>
          <w:p>
            <w:pPr>
              <w:jc w:val="center"/>
              <w:spacing w:after="0"/>
              <w:rPr>
                <w:sz w:val="20"/>
                <w:szCs w:val="20"/>
                <w:color w:val="auto"/>
              </w:rPr>
            </w:pPr>
            <w:r>
              <w:rPr>
                <w:rFonts w:ascii="Arial" w:cs="Arial" w:eastAsia="Arial" w:hAnsi="Arial"/>
                <w:sz w:val="25"/>
                <w:szCs w:val="25"/>
                <w:color w:val="auto"/>
                <w:w w:val="98"/>
              </w:rPr>
              <w:t>11.1%</w:t>
            </w:r>
          </w:p>
        </w:tc>
        <w:tc>
          <w:tcPr>
            <w:tcW w:w="1400" w:type="dxa"/>
            <w:vAlign w:val="bottom"/>
          </w:tcPr>
          <w:p>
            <w:pPr>
              <w:jc w:val="center"/>
              <w:spacing w:after="0"/>
              <w:rPr>
                <w:sz w:val="20"/>
                <w:szCs w:val="20"/>
                <w:color w:val="auto"/>
              </w:rPr>
            </w:pPr>
            <w:r>
              <w:rPr>
                <w:rFonts w:ascii="Arial" w:cs="Arial" w:eastAsia="Arial" w:hAnsi="Arial"/>
                <w:sz w:val="25"/>
                <w:szCs w:val="25"/>
                <w:color w:val="auto"/>
                <w:w w:val="98"/>
              </w:rPr>
              <w:t>18.1%</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47"/>
        </w:trPr>
        <w:tc>
          <w:tcPr>
            <w:tcW w:w="4560" w:type="dxa"/>
            <w:vAlign w:val="bottom"/>
          </w:tcPr>
          <w:p>
            <w:pPr>
              <w:ind w:left="360"/>
              <w:spacing w:after="0"/>
              <w:rPr>
                <w:sz w:val="20"/>
                <w:szCs w:val="20"/>
                <w:color w:val="auto"/>
              </w:rPr>
            </w:pPr>
            <w:r>
              <w:rPr>
                <w:rFonts w:ascii="Arial" w:cs="Arial" w:eastAsia="Arial" w:hAnsi="Arial"/>
                <w:sz w:val="25"/>
                <w:szCs w:val="25"/>
                <w:b w:val="1"/>
                <w:bCs w:val="1"/>
                <w:color w:val="auto"/>
              </w:rPr>
              <w:t>GMF Performance</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3"/>
        </w:trPr>
        <w:tc>
          <w:tcPr>
            <w:tcW w:w="4560" w:type="dxa"/>
            <w:vAlign w:val="bottom"/>
          </w:tcPr>
          <w:p>
            <w:pPr>
              <w:ind w:left="360"/>
              <w:spacing w:after="0"/>
              <w:rPr>
                <w:sz w:val="20"/>
                <w:szCs w:val="20"/>
                <w:color w:val="auto"/>
              </w:rPr>
            </w:pPr>
            <w:r>
              <w:rPr>
                <w:rFonts w:ascii="Arial" w:cs="Arial" w:eastAsia="Arial" w:hAnsi="Arial"/>
                <w:sz w:val="25"/>
                <w:szCs w:val="25"/>
                <w:color w:val="auto"/>
              </w:rPr>
              <w:t>GMF Credit Losses</w:t>
            </w:r>
          </w:p>
        </w:tc>
        <w:tc>
          <w:tcPr>
            <w:tcW w:w="1240" w:type="dxa"/>
            <w:vAlign w:val="bottom"/>
          </w:tcPr>
          <w:p>
            <w:pPr>
              <w:jc w:val="center"/>
              <w:spacing w:after="0"/>
              <w:rPr>
                <w:sz w:val="20"/>
                <w:szCs w:val="20"/>
                <w:color w:val="auto"/>
              </w:rPr>
            </w:pPr>
            <w:r>
              <w:rPr>
                <w:rFonts w:ascii="Arial" w:cs="Arial" w:eastAsia="Arial" w:hAnsi="Arial"/>
                <w:sz w:val="25"/>
                <w:szCs w:val="25"/>
                <w:color w:val="auto"/>
                <w:w w:val="98"/>
              </w:rPr>
              <w:t>4.5%</w:t>
            </w:r>
          </w:p>
        </w:tc>
        <w:tc>
          <w:tcPr>
            <w:tcW w:w="1400" w:type="dxa"/>
            <w:vAlign w:val="bottom"/>
          </w:tcPr>
          <w:p>
            <w:pPr>
              <w:jc w:val="center"/>
              <w:spacing w:after="0"/>
              <w:rPr>
                <w:sz w:val="20"/>
                <w:szCs w:val="20"/>
                <w:color w:val="auto"/>
              </w:rPr>
            </w:pPr>
            <w:r>
              <w:rPr>
                <w:rFonts w:ascii="Arial" w:cs="Arial" w:eastAsia="Arial" w:hAnsi="Arial"/>
                <w:sz w:val="25"/>
                <w:szCs w:val="25"/>
                <w:color w:val="auto"/>
                <w:w w:val="98"/>
              </w:rPr>
              <w:t>2.4%</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3"/>
        </w:trPr>
        <w:tc>
          <w:tcPr>
            <w:tcW w:w="4560" w:type="dxa"/>
            <w:vAlign w:val="bottom"/>
          </w:tcPr>
          <w:p>
            <w:pPr>
              <w:ind w:left="360"/>
              <w:spacing w:after="0"/>
              <w:rPr>
                <w:sz w:val="20"/>
                <w:szCs w:val="20"/>
                <w:color w:val="auto"/>
              </w:rPr>
            </w:pPr>
            <w:r>
              <w:rPr>
                <w:rFonts w:ascii="Arial" w:cs="Arial" w:eastAsia="Arial" w:hAnsi="Arial"/>
                <w:sz w:val="18"/>
                <w:szCs w:val="18"/>
                <w:color w:val="auto"/>
              </w:rPr>
              <w:t>(annualized net charge-offs as % avg. receivables)</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04"/>
        </w:trPr>
        <w:tc>
          <w:tcPr>
            <w:tcW w:w="4560" w:type="dxa"/>
            <w:vAlign w:val="bottom"/>
          </w:tcPr>
          <w:p>
            <w:pPr>
              <w:ind w:left="360"/>
              <w:spacing w:after="0"/>
              <w:rPr>
                <w:sz w:val="20"/>
                <w:szCs w:val="20"/>
                <w:color w:val="auto"/>
              </w:rPr>
            </w:pPr>
            <w:r>
              <w:rPr>
                <w:rFonts w:ascii="Arial" w:cs="Arial" w:eastAsia="Arial" w:hAnsi="Arial"/>
                <w:sz w:val="25"/>
                <w:szCs w:val="25"/>
                <w:color w:val="auto"/>
              </w:rPr>
              <w:t>EBT ($M)</w:t>
            </w:r>
          </w:p>
        </w:tc>
        <w:tc>
          <w:tcPr>
            <w:tcW w:w="1240" w:type="dxa"/>
            <w:vAlign w:val="bottom"/>
          </w:tcPr>
          <w:p>
            <w:pPr>
              <w:jc w:val="center"/>
              <w:spacing w:after="0"/>
              <w:rPr>
                <w:sz w:val="20"/>
                <w:szCs w:val="20"/>
                <w:color w:val="auto"/>
              </w:rPr>
            </w:pPr>
            <w:r>
              <w:rPr>
                <w:rFonts w:ascii="Arial" w:cs="Arial" w:eastAsia="Arial" w:hAnsi="Arial"/>
                <w:sz w:val="25"/>
                <w:szCs w:val="25"/>
                <w:color w:val="auto"/>
                <w:w w:val="97"/>
              </w:rPr>
              <w:t>139*</w:t>
            </w:r>
          </w:p>
        </w:tc>
        <w:tc>
          <w:tcPr>
            <w:tcW w:w="1400" w:type="dxa"/>
            <w:vAlign w:val="bottom"/>
          </w:tcPr>
          <w:p>
            <w:pPr>
              <w:jc w:val="center"/>
              <w:spacing w:after="0"/>
              <w:rPr>
                <w:sz w:val="20"/>
                <w:szCs w:val="20"/>
                <w:color w:val="auto"/>
              </w:rPr>
            </w:pPr>
            <w:r>
              <w:rPr>
                <w:rFonts w:ascii="Arial" w:cs="Arial" w:eastAsia="Arial" w:hAnsi="Arial"/>
                <w:sz w:val="25"/>
                <w:szCs w:val="25"/>
                <w:color w:val="auto"/>
              </w:rPr>
              <w:t>144</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4"/>
        </w:trPr>
        <w:tc>
          <w:tcPr>
            <w:tcW w:w="4560" w:type="dxa"/>
            <w:vAlign w:val="bottom"/>
          </w:tcPr>
          <w:p>
            <w:pPr>
              <w:spacing w:after="0"/>
              <w:rPr>
                <w:sz w:val="20"/>
                <w:szCs w:val="20"/>
                <w:color w:val="auto"/>
              </w:rPr>
            </w:pPr>
            <w:r>
              <w:rPr>
                <w:rFonts w:ascii="Arial" w:cs="Arial" w:eastAsia="Arial" w:hAnsi="Arial"/>
                <w:sz w:val="15"/>
                <w:szCs w:val="15"/>
                <w:color w:val="auto"/>
              </w:rPr>
              <w:t>GM Sales Penetrations based on JD Power PIN</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2"/>
        </w:trPr>
        <w:tc>
          <w:tcPr>
            <w:tcW w:w="9180" w:type="dxa"/>
            <w:vAlign w:val="bottom"/>
            <w:gridSpan w:val="4"/>
          </w:tcPr>
          <w:p>
            <w:pPr>
              <w:spacing w:after="0"/>
              <w:rPr>
                <w:sz w:val="20"/>
                <w:szCs w:val="20"/>
                <w:color w:val="auto"/>
              </w:rPr>
            </w:pPr>
            <w:r>
              <w:rPr>
                <w:rFonts w:ascii="Arial" w:cs="Arial" w:eastAsia="Arial" w:hAnsi="Arial"/>
                <w:sz w:val="15"/>
                <w:szCs w:val="15"/>
                <w:color w:val="auto"/>
              </w:rPr>
              <w:t>* GM acquired GMF in Oct. 2010, prior to this GMF was an independent entity and not consolidated into GM results. Q2 2010 does not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28</w:t>
            </w:r>
          </w:p>
        </w:tc>
      </w:tr>
      <w:tr>
        <w:trPr>
          <w:trHeight w:val="184"/>
        </w:trPr>
        <w:tc>
          <w:tcPr>
            <w:tcW w:w="4560" w:type="dxa"/>
            <w:vAlign w:val="bottom"/>
          </w:tcPr>
          <w:p>
            <w:pPr>
              <w:ind w:left="140"/>
              <w:spacing w:after="0"/>
              <w:rPr>
                <w:sz w:val="20"/>
                <w:szCs w:val="20"/>
                <w:color w:val="auto"/>
              </w:rPr>
            </w:pPr>
            <w:r>
              <w:rPr>
                <w:rFonts w:ascii="Arial" w:cs="Arial" w:eastAsia="Arial" w:hAnsi="Arial"/>
                <w:sz w:val="15"/>
                <w:szCs w:val="15"/>
                <w:color w:val="auto"/>
              </w:rPr>
              <w:t>reflect purchase accounting and is not directly comparable to Q2</w:t>
            </w:r>
          </w:p>
        </w:tc>
        <w:tc>
          <w:tcPr>
            <w:tcW w:w="1240" w:type="dxa"/>
            <w:vAlign w:val="bottom"/>
          </w:tcPr>
          <w:p>
            <w:pPr>
              <w:jc w:val="right"/>
              <w:ind w:right="718"/>
              <w:spacing w:after="0"/>
              <w:rPr>
                <w:sz w:val="20"/>
                <w:szCs w:val="20"/>
                <w:color w:val="auto"/>
              </w:rPr>
            </w:pPr>
            <w:r>
              <w:rPr>
                <w:rFonts w:ascii="Arial" w:cs="Arial" w:eastAsia="Arial" w:hAnsi="Arial"/>
                <w:sz w:val="15"/>
                <w:szCs w:val="15"/>
                <w:color w:val="auto"/>
              </w:rPr>
              <w:t>2011</w:t>
            </w:r>
          </w:p>
        </w:tc>
        <w:tc>
          <w:tcPr>
            <w:tcW w:w="1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ectPr>
          <w:pgSz w:w="11900" w:h="16838" w:orient="portrait"/>
          <w:cols w:equalWidth="0" w:num="1">
            <w:col w:w="10340"/>
          </w:cols>
          <w:pgMar w:left="560" w:top="597" w:right="999" w:bottom="1440" w:gutter="0" w:footer="0" w:header="0"/>
        </w:sectPr>
      </w:pPr>
    </w:p>
    <w:bookmarkStart w:id="45" w:name="page46"/>
    <w:bookmarkEnd w:id="45"/>
    <w:p>
      <w:pPr>
        <w:ind w:left="9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Second Quarter Summary</w:t>
      </w:r>
    </w:p>
    <w:p>
      <w:pPr>
        <w:spacing w:after="0" w:line="200" w:lineRule="exact"/>
        <w:rPr>
          <w:sz w:val="20"/>
          <w:szCs w:val="20"/>
          <w:color w:val="auto"/>
        </w:rPr>
      </w:pPr>
    </w:p>
    <w:p>
      <w:pPr>
        <w:spacing w:after="0" w:line="261" w:lineRule="exact"/>
        <w:rPr>
          <w:sz w:val="20"/>
          <w:szCs w:val="20"/>
          <w:color w:val="auto"/>
        </w:rPr>
      </w:pPr>
    </w:p>
    <w:p>
      <w:pPr>
        <w:ind w:left="340" w:hanging="336"/>
        <w:spacing w:after="0"/>
        <w:tabs>
          <w:tab w:leader="none" w:pos="340" w:val="left"/>
        </w:tabs>
        <w:numPr>
          <w:ilvl w:val="0"/>
          <w:numId w:val="16"/>
        </w:numPr>
        <w:rPr>
          <w:rFonts w:ascii="Arial" w:cs="Arial" w:eastAsia="Arial" w:hAnsi="Arial"/>
          <w:sz w:val="41"/>
          <w:szCs w:val="41"/>
          <w:color w:val="auto"/>
        </w:rPr>
      </w:pPr>
      <w:r>
        <w:rPr>
          <w:rFonts w:ascii="Arial" w:cs="Arial" w:eastAsia="Arial" w:hAnsi="Arial"/>
          <w:sz w:val="41"/>
          <w:szCs w:val="41"/>
          <w:color w:val="auto"/>
        </w:rPr>
        <w:t>Solid second quarter results</w:t>
      </w:r>
    </w:p>
    <w:p>
      <w:pPr>
        <w:spacing w:after="0" w:line="71" w:lineRule="exact"/>
        <w:rPr>
          <w:rFonts w:ascii="Arial" w:cs="Arial" w:eastAsia="Arial" w:hAnsi="Arial"/>
          <w:sz w:val="41"/>
          <w:szCs w:val="41"/>
          <w:color w:val="auto"/>
        </w:rPr>
      </w:pPr>
    </w:p>
    <w:p>
      <w:pPr>
        <w:ind w:left="900" w:hanging="331"/>
        <w:spacing w:after="0"/>
        <w:tabs>
          <w:tab w:leader="none" w:pos="900" w:val="left"/>
        </w:tabs>
        <w:numPr>
          <w:ilvl w:val="1"/>
          <w:numId w:val="16"/>
        </w:numPr>
        <w:rPr>
          <w:rFonts w:ascii="Courier New" w:cs="Courier New" w:eastAsia="Courier New" w:hAnsi="Courier New"/>
          <w:sz w:val="32"/>
          <w:szCs w:val="32"/>
          <w:color w:val="auto"/>
        </w:rPr>
      </w:pPr>
      <w:r>
        <w:rPr>
          <w:rFonts w:ascii="Arial" w:cs="Arial" w:eastAsia="Arial" w:hAnsi="Arial"/>
          <w:sz w:val="32"/>
          <w:szCs w:val="32"/>
          <w:color w:val="auto"/>
        </w:rPr>
        <w:t>Continued success in the marketplace</w:t>
      </w:r>
    </w:p>
    <w:p>
      <w:pPr>
        <w:spacing w:after="0" w:line="74" w:lineRule="exact"/>
        <w:rPr>
          <w:rFonts w:ascii="Courier New" w:cs="Courier New" w:eastAsia="Courier New" w:hAnsi="Courier New"/>
          <w:sz w:val="32"/>
          <w:szCs w:val="32"/>
          <w:color w:val="auto"/>
        </w:rPr>
      </w:pPr>
    </w:p>
    <w:p>
      <w:pPr>
        <w:ind w:left="900" w:hanging="331"/>
        <w:spacing w:after="0"/>
        <w:tabs>
          <w:tab w:leader="none" w:pos="900" w:val="left"/>
        </w:tabs>
        <w:numPr>
          <w:ilvl w:val="1"/>
          <w:numId w:val="16"/>
        </w:numPr>
        <w:rPr>
          <w:rFonts w:ascii="Courier New" w:cs="Courier New" w:eastAsia="Courier New" w:hAnsi="Courier New"/>
          <w:sz w:val="32"/>
          <w:szCs w:val="32"/>
          <w:color w:val="auto"/>
        </w:rPr>
      </w:pPr>
      <w:r>
        <w:rPr>
          <w:rFonts w:ascii="Arial" w:cs="Arial" w:eastAsia="Arial" w:hAnsi="Arial"/>
          <w:sz w:val="32"/>
          <w:szCs w:val="32"/>
          <w:color w:val="auto"/>
        </w:rPr>
        <w:t>Improved GMNA margins</w:t>
      </w:r>
    </w:p>
    <w:p>
      <w:pPr>
        <w:spacing w:after="0" w:line="74" w:lineRule="exact"/>
        <w:rPr>
          <w:rFonts w:ascii="Courier New" w:cs="Courier New" w:eastAsia="Courier New" w:hAnsi="Courier New"/>
          <w:sz w:val="32"/>
          <w:szCs w:val="32"/>
          <w:color w:val="auto"/>
        </w:rPr>
      </w:pPr>
    </w:p>
    <w:p>
      <w:pPr>
        <w:ind w:left="900" w:hanging="331"/>
        <w:spacing w:after="0"/>
        <w:tabs>
          <w:tab w:leader="none" w:pos="900" w:val="left"/>
        </w:tabs>
        <w:numPr>
          <w:ilvl w:val="1"/>
          <w:numId w:val="16"/>
        </w:numPr>
        <w:rPr>
          <w:rFonts w:ascii="Courier New" w:cs="Courier New" w:eastAsia="Courier New" w:hAnsi="Courier New"/>
          <w:sz w:val="32"/>
          <w:szCs w:val="32"/>
          <w:color w:val="auto"/>
        </w:rPr>
      </w:pPr>
      <w:r>
        <w:rPr>
          <w:rFonts w:ascii="Arial" w:cs="Arial" w:eastAsia="Arial" w:hAnsi="Arial"/>
          <w:sz w:val="32"/>
          <w:szCs w:val="32"/>
          <w:color w:val="auto"/>
        </w:rPr>
        <w:t>Continued progress in Europe</w:t>
      </w:r>
    </w:p>
    <w:p>
      <w:pPr>
        <w:spacing w:after="0" w:line="200" w:lineRule="exact"/>
        <w:rPr>
          <w:rFonts w:ascii="Courier New" w:cs="Courier New" w:eastAsia="Courier New" w:hAnsi="Courier New"/>
          <w:sz w:val="32"/>
          <w:szCs w:val="32"/>
          <w:color w:val="auto"/>
        </w:rPr>
      </w:pPr>
    </w:p>
    <w:p>
      <w:pPr>
        <w:spacing w:after="0" w:line="201" w:lineRule="exact"/>
        <w:rPr>
          <w:rFonts w:ascii="Courier New" w:cs="Courier New" w:eastAsia="Courier New" w:hAnsi="Courier New"/>
          <w:sz w:val="32"/>
          <w:szCs w:val="32"/>
          <w:color w:val="auto"/>
        </w:rPr>
      </w:pPr>
    </w:p>
    <w:p>
      <w:pPr>
        <w:ind w:left="340" w:hanging="336"/>
        <w:spacing w:after="0"/>
        <w:tabs>
          <w:tab w:leader="none" w:pos="340" w:val="left"/>
        </w:tabs>
        <w:numPr>
          <w:ilvl w:val="0"/>
          <w:numId w:val="16"/>
        </w:numPr>
        <w:rPr>
          <w:rFonts w:ascii="Arial" w:cs="Arial" w:eastAsia="Arial" w:hAnsi="Arial"/>
          <w:sz w:val="41"/>
          <w:szCs w:val="41"/>
          <w:color w:val="auto"/>
        </w:rPr>
      </w:pPr>
      <w:r>
        <w:rPr>
          <w:rFonts w:ascii="Arial" w:cs="Arial" w:eastAsia="Arial" w:hAnsi="Arial"/>
          <w:sz w:val="41"/>
          <w:szCs w:val="41"/>
          <w:color w:val="auto"/>
        </w:rPr>
        <w:t>Good progress, but more to do</w:t>
      </w:r>
    </w:p>
    <w:p>
      <w:pPr>
        <w:spacing w:after="0" w:line="71" w:lineRule="exact"/>
        <w:rPr>
          <w:rFonts w:ascii="Arial" w:cs="Arial" w:eastAsia="Arial" w:hAnsi="Arial"/>
          <w:sz w:val="41"/>
          <w:szCs w:val="41"/>
          <w:color w:val="auto"/>
        </w:rPr>
      </w:pPr>
    </w:p>
    <w:p>
      <w:pPr>
        <w:ind w:left="900" w:hanging="331"/>
        <w:spacing w:after="0"/>
        <w:tabs>
          <w:tab w:leader="none" w:pos="900" w:val="left"/>
        </w:tabs>
        <w:numPr>
          <w:ilvl w:val="1"/>
          <w:numId w:val="16"/>
        </w:numPr>
        <w:rPr>
          <w:rFonts w:ascii="Courier New" w:cs="Courier New" w:eastAsia="Courier New" w:hAnsi="Courier New"/>
          <w:sz w:val="32"/>
          <w:szCs w:val="32"/>
          <w:color w:val="auto"/>
        </w:rPr>
      </w:pPr>
      <w:r>
        <w:rPr>
          <w:rFonts w:ascii="Arial" w:cs="Arial" w:eastAsia="Arial" w:hAnsi="Arial"/>
          <w:sz w:val="32"/>
          <w:szCs w:val="32"/>
          <w:color w:val="auto"/>
        </w:rPr>
        <w:t>Flawless execution of H2 production launches</w:t>
      </w:r>
    </w:p>
    <w:p>
      <w:pPr>
        <w:spacing w:after="0" w:line="74" w:lineRule="exact"/>
        <w:rPr>
          <w:rFonts w:ascii="Courier New" w:cs="Courier New" w:eastAsia="Courier New" w:hAnsi="Courier New"/>
          <w:sz w:val="32"/>
          <w:szCs w:val="32"/>
          <w:color w:val="auto"/>
        </w:rPr>
      </w:pPr>
    </w:p>
    <w:p>
      <w:pPr>
        <w:ind w:left="900" w:hanging="331"/>
        <w:spacing w:after="0"/>
        <w:tabs>
          <w:tab w:leader="none" w:pos="900" w:val="left"/>
        </w:tabs>
        <w:numPr>
          <w:ilvl w:val="1"/>
          <w:numId w:val="16"/>
        </w:numPr>
        <w:rPr>
          <w:rFonts w:ascii="Courier New" w:cs="Courier New" w:eastAsia="Courier New" w:hAnsi="Courier New"/>
          <w:sz w:val="32"/>
          <w:szCs w:val="32"/>
          <w:color w:val="auto"/>
        </w:rPr>
      </w:pPr>
      <w:r>
        <w:rPr>
          <w:rFonts w:ascii="Arial" w:cs="Arial" w:eastAsia="Arial" w:hAnsi="Arial"/>
          <w:sz w:val="32"/>
          <w:szCs w:val="32"/>
          <w:color w:val="auto"/>
        </w:rPr>
        <w:t>Focus on cost containment</w:t>
      </w:r>
    </w:p>
    <w:p>
      <w:pPr>
        <w:spacing w:after="0" w:line="74" w:lineRule="exact"/>
        <w:rPr>
          <w:rFonts w:ascii="Courier New" w:cs="Courier New" w:eastAsia="Courier New" w:hAnsi="Courier New"/>
          <w:sz w:val="32"/>
          <w:szCs w:val="32"/>
          <w:color w:val="auto"/>
        </w:rPr>
      </w:pPr>
    </w:p>
    <w:p>
      <w:pPr>
        <w:ind w:left="900" w:hanging="331"/>
        <w:spacing w:after="0"/>
        <w:tabs>
          <w:tab w:leader="none" w:pos="900" w:val="left"/>
        </w:tabs>
        <w:numPr>
          <w:ilvl w:val="1"/>
          <w:numId w:val="16"/>
        </w:numPr>
        <w:rPr>
          <w:rFonts w:ascii="Courier New" w:cs="Courier New" w:eastAsia="Courier New" w:hAnsi="Courier New"/>
          <w:sz w:val="32"/>
          <w:szCs w:val="32"/>
          <w:color w:val="auto"/>
        </w:rPr>
      </w:pPr>
      <w:r>
        <w:rPr>
          <w:rFonts w:ascii="Arial" w:cs="Arial" w:eastAsia="Arial" w:hAnsi="Arial"/>
          <w:sz w:val="32"/>
          <w:szCs w:val="32"/>
          <w:color w:val="auto"/>
        </w:rPr>
        <w:t>Leverage global growth</w:t>
      </w:r>
    </w:p>
    <w:p>
      <w:pPr>
        <w:spacing w:after="0" w:line="200" w:lineRule="exact"/>
        <w:rPr>
          <w:rFonts w:ascii="Courier New" w:cs="Courier New" w:eastAsia="Courier New" w:hAnsi="Courier New"/>
          <w:sz w:val="32"/>
          <w:szCs w:val="32"/>
          <w:color w:val="auto"/>
        </w:rPr>
      </w:pPr>
    </w:p>
    <w:p>
      <w:pPr>
        <w:spacing w:after="0" w:line="377" w:lineRule="exact"/>
        <w:rPr>
          <w:rFonts w:ascii="Courier New" w:cs="Courier New" w:eastAsia="Courier New" w:hAnsi="Courier New"/>
          <w:sz w:val="32"/>
          <w:szCs w:val="32"/>
          <w:color w:val="auto"/>
        </w:rPr>
      </w:pPr>
    </w:p>
    <w:p>
      <w:pPr>
        <w:ind w:left="340" w:right="160" w:hanging="336"/>
        <w:spacing w:after="0" w:line="258" w:lineRule="auto"/>
        <w:tabs>
          <w:tab w:leader="none" w:pos="340" w:val="left"/>
        </w:tabs>
        <w:numPr>
          <w:ilvl w:val="0"/>
          <w:numId w:val="16"/>
        </w:numPr>
        <w:rPr>
          <w:rFonts w:ascii="Arial" w:cs="Arial" w:eastAsia="Arial" w:hAnsi="Arial"/>
          <w:sz w:val="41"/>
          <w:szCs w:val="41"/>
          <w:color w:val="auto"/>
        </w:rPr>
      </w:pPr>
      <w:r>
        <w:rPr>
          <w:rFonts w:ascii="Arial" w:cs="Arial" w:eastAsia="Arial" w:hAnsi="Arial"/>
          <w:sz w:val="41"/>
          <w:szCs w:val="41"/>
          <w:color w:val="auto"/>
        </w:rPr>
        <w:t>Based on current industry outlook, expect H2 2011 EBIT-Adj. to be modestly lower than H1, and full-year 2011 EBIT-Adj. to show solid improvement over 2010</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29</w:t>
      </w:r>
    </w:p>
    <w:p>
      <w:pPr>
        <w:sectPr>
          <w:pgSz w:w="11900" w:h="16838" w:orient="portrait"/>
          <w:cols w:equalWidth="0" w:num="1">
            <w:col w:w="10200"/>
          </w:cols>
          <w:pgMar w:left="700" w:top="597" w:right="999" w:bottom="1440" w:gutter="0" w:footer="0" w:header="0"/>
        </w:sectPr>
      </w:pPr>
    </w:p>
    <w:bookmarkStart w:id="46" w:name="page47"/>
    <w:bookmarkEnd w:id="46"/>
    <w:p>
      <w:pPr>
        <w:ind w:left="2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New 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40"/>
        <w:spacing w:after="0"/>
        <w:rPr>
          <w:sz w:val="20"/>
          <w:szCs w:val="20"/>
          <w:color w:val="auto"/>
        </w:rPr>
      </w:pPr>
      <w:r>
        <w:rPr>
          <w:rFonts w:ascii="Arial" w:cs="Arial" w:eastAsia="Arial" w:hAnsi="Arial"/>
          <w:sz w:val="44"/>
          <w:szCs w:val="44"/>
          <w:b w:val="1"/>
          <w:bCs w:val="1"/>
          <w:color w:val="FFFFFF"/>
        </w:rPr>
        <w:t>New</w:t>
      </w:r>
    </w:p>
    <w:p>
      <w:pPr>
        <w:jc w:val="center"/>
        <w:ind w:right="1460"/>
        <w:spacing w:after="0" w:line="211" w:lineRule="auto"/>
        <w:rPr>
          <w:sz w:val="20"/>
          <w:szCs w:val="20"/>
          <w:color w:val="auto"/>
        </w:rPr>
      </w:pPr>
      <w:r>
        <w:rPr>
          <w:rFonts w:ascii="Arial" w:cs="Arial" w:eastAsia="Arial" w:hAnsi="Arial"/>
          <w:sz w:val="44"/>
          <w:szCs w:val="44"/>
          <w:b w:val="1"/>
          <w:bCs w:val="1"/>
          <w:color w:val="FFFFFF"/>
        </w:rPr>
        <w:t>Business</w:t>
      </w:r>
    </w:p>
    <w:p>
      <w:pPr>
        <w:spacing w:after="0" w:line="2" w:lineRule="exact"/>
        <w:rPr>
          <w:sz w:val="20"/>
          <w:szCs w:val="20"/>
          <w:color w:val="auto"/>
        </w:rPr>
      </w:pPr>
    </w:p>
    <w:p>
      <w:pPr>
        <w:jc w:val="center"/>
        <w:ind w:right="1460"/>
        <w:spacing w:after="0"/>
        <w:rPr>
          <w:sz w:val="20"/>
          <w:szCs w:val="20"/>
          <w:color w:val="auto"/>
        </w:rPr>
      </w:pPr>
      <w:r>
        <w:rPr>
          <w:rFonts w:ascii="Arial" w:cs="Arial" w:eastAsia="Arial" w:hAnsi="Arial"/>
          <w:sz w:val="44"/>
          <w:szCs w:val="44"/>
          <w:b w:val="1"/>
          <w:bCs w:val="1"/>
          <w:color w:val="FFFFFF"/>
        </w:rPr>
        <w:t>Model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20"/>
        <w:spacing w:after="0"/>
        <w:rPr>
          <w:sz w:val="20"/>
          <w:szCs w:val="20"/>
          <w:color w:val="auto"/>
        </w:rPr>
      </w:pPr>
      <w:r>
        <w:rPr>
          <w:rFonts w:ascii="Arial" w:cs="Arial" w:eastAsia="Arial" w:hAnsi="Arial"/>
          <w:sz w:val="44"/>
          <w:szCs w:val="44"/>
          <w:b w:val="1"/>
          <w:bCs w:val="1"/>
          <w:color w:val="FFFFFF"/>
        </w:rPr>
        <w:t>Leverage</w:t>
      </w:r>
    </w:p>
    <w:p>
      <w:pPr>
        <w:jc w:val="center"/>
        <w:ind w:right="1400"/>
        <w:spacing w:after="0"/>
        <w:rPr>
          <w:sz w:val="20"/>
          <w:szCs w:val="20"/>
          <w:color w:val="auto"/>
        </w:rPr>
      </w:pPr>
      <w:r>
        <w:rPr>
          <w:rFonts w:ascii="Arial" w:cs="Arial" w:eastAsia="Arial" w:hAnsi="Arial"/>
          <w:sz w:val="44"/>
          <w:szCs w:val="44"/>
          <w:b w:val="1"/>
          <w:bCs w:val="1"/>
          <w:color w:val="FFFFFF"/>
        </w:rPr>
        <w:t>to Global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0"/>
        <w:spacing w:after="0"/>
        <w:rPr>
          <w:sz w:val="20"/>
          <w:szCs w:val="20"/>
          <w:color w:val="auto"/>
        </w:rPr>
      </w:pPr>
      <w:r>
        <w:rPr>
          <w:rFonts w:ascii="Arial" w:cs="Arial" w:eastAsia="Arial" w:hAnsi="Arial"/>
          <w:sz w:val="44"/>
          <w:szCs w:val="44"/>
          <w:b w:val="1"/>
          <w:bCs w:val="1"/>
          <w:color w:val="FFFFFF"/>
        </w:rPr>
        <w:t>Significantly Lower Risk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30</w:t>
      </w:r>
    </w:p>
    <w:p>
      <w:pPr>
        <w:sectPr>
          <w:pgSz w:w="11900" w:h="16838" w:orient="portrait"/>
          <w:cols w:equalWidth="0" w:num="1">
            <w:col w:w="9520"/>
          </w:cols>
          <w:pgMar w:left="1440" w:top="597" w:right="939" w:bottom="1440" w:gutter="0" w:footer="0" w:header="0"/>
        </w:sectPr>
      </w:pPr>
    </w:p>
    <w:bookmarkStart w:id="47" w:name="page48"/>
    <w:bookmarkEnd w:id="47"/>
    <w:p>
      <w:pPr>
        <w:ind w:left="1060"/>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Success in Marketplace</w:t>
      </w:r>
    </w:p>
    <w:p>
      <w:pPr>
        <w:sectPr>
          <w:pgSz w:w="11900" w:h="16838" w:orient="portrait"/>
          <w:cols w:equalWidth="0" w:num="1">
            <w:col w:w="10320"/>
          </w:cols>
          <w:pgMar w:left="580" w:top="559" w:right="9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1340"/>
        <w:spacing w:after="0"/>
        <w:tabs>
          <w:tab w:leader="none" w:pos="4200" w:val="left"/>
        </w:tabs>
        <w:rPr>
          <w:sz w:val="20"/>
          <w:szCs w:val="20"/>
          <w:color w:val="auto"/>
        </w:rPr>
      </w:pPr>
      <w:r>
        <w:rPr>
          <w:rFonts w:ascii="Arial" w:cs="Arial" w:eastAsia="Arial" w:hAnsi="Arial"/>
          <w:sz w:val="32"/>
          <w:szCs w:val="32"/>
          <w:b w:val="1"/>
          <w:bCs w:val="1"/>
          <w:color w:val="auto"/>
        </w:rPr>
        <w:t>Prior</w:t>
      </w:r>
      <w:r>
        <w:rPr>
          <w:sz w:val="20"/>
          <w:szCs w:val="20"/>
          <w:color w:val="auto"/>
        </w:rPr>
        <w:tab/>
      </w:r>
      <w:r>
        <w:rPr>
          <w:rFonts w:ascii="Arial" w:cs="Arial" w:eastAsia="Arial" w:hAnsi="Arial"/>
          <w:sz w:val="32"/>
          <w:szCs w:val="32"/>
          <w:b w:val="1"/>
          <w:bCs w:val="1"/>
          <w:color w:val="auto"/>
        </w:rPr>
        <w:t>Current</w:t>
      </w:r>
    </w:p>
    <w:p>
      <w:pPr>
        <w:spacing w:after="0" w:line="248"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9"/>
          <w:szCs w:val="19"/>
          <w:color w:val="FFFFFF"/>
        </w:rPr>
        <w:t>Chevrolet Equinox, Q2 2009</w:t>
      </w:r>
      <w:r>
        <w:rPr>
          <w:sz w:val="20"/>
          <w:szCs w:val="20"/>
          <w:color w:val="auto"/>
        </w:rPr>
        <w:tab/>
      </w:r>
      <w:r>
        <w:rPr>
          <w:rFonts w:ascii="Arial" w:cs="Arial" w:eastAsia="Arial" w:hAnsi="Arial"/>
          <w:sz w:val="18"/>
          <w:szCs w:val="18"/>
          <w:color w:val="FFFFFF"/>
        </w:rPr>
        <w:t>Chevrolet Equinox, Q2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9"/>
          <w:szCs w:val="19"/>
          <w:color w:val="FFFFFF"/>
        </w:rPr>
        <w:t>Buick LaCrosse, Q2 2009</w:t>
      </w:r>
      <w:r>
        <w:rPr>
          <w:sz w:val="20"/>
          <w:szCs w:val="20"/>
          <w:color w:val="auto"/>
        </w:rPr>
        <w:tab/>
      </w:r>
      <w:r>
        <w:rPr>
          <w:rFonts w:ascii="Arial" w:cs="Arial" w:eastAsia="Arial" w:hAnsi="Arial"/>
          <w:sz w:val="18"/>
          <w:szCs w:val="18"/>
          <w:color w:val="FFFFFF"/>
        </w:rPr>
        <w:t>Buick LaCrosse, Q2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3380" w:val="left"/>
        </w:tabs>
        <w:rPr>
          <w:sz w:val="20"/>
          <w:szCs w:val="20"/>
          <w:color w:val="auto"/>
        </w:rPr>
      </w:pPr>
      <w:r>
        <w:rPr>
          <w:rFonts w:ascii="Arial" w:cs="Arial" w:eastAsia="Arial" w:hAnsi="Arial"/>
          <w:sz w:val="19"/>
          <w:szCs w:val="19"/>
          <w:b w:val="1"/>
          <w:bCs w:val="1"/>
          <w:color w:val="000B40"/>
        </w:rPr>
        <w:t>Chevrolet Cobalt, Q2 2010</w:t>
      </w:r>
      <w:r>
        <w:rPr>
          <w:sz w:val="20"/>
          <w:szCs w:val="20"/>
          <w:color w:val="auto"/>
        </w:rPr>
        <w:tab/>
      </w:r>
      <w:r>
        <w:rPr>
          <w:rFonts w:ascii="Arial" w:cs="Arial" w:eastAsia="Arial" w:hAnsi="Arial"/>
          <w:sz w:val="18"/>
          <w:szCs w:val="18"/>
          <w:b w:val="1"/>
          <w:bCs w:val="1"/>
          <w:color w:val="000B40"/>
        </w:rPr>
        <w:t>Chevrolet Cruze, Q2 2011</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Segment</w:t>
            </w:r>
          </w:p>
        </w:tc>
        <w:tc>
          <w:tcPr>
            <w:tcW w:w="1460" w:type="dxa"/>
            <w:vAlign w:val="bottom"/>
          </w:tcPr>
          <w:p>
            <w:pPr>
              <w:jc w:val="right"/>
              <w:ind w:right="131"/>
              <w:spacing w:after="0"/>
              <w:rPr>
                <w:sz w:val="20"/>
                <w:szCs w:val="20"/>
                <w:color w:val="auto"/>
              </w:rPr>
            </w:pPr>
            <w:r>
              <w:rPr>
                <w:rFonts w:ascii="Arial" w:cs="Arial" w:eastAsia="Arial" w:hAnsi="Arial"/>
                <w:sz w:val="22"/>
                <w:szCs w:val="22"/>
                <w:b w:val="1"/>
                <w:bCs w:val="1"/>
                <w:color w:val="auto"/>
              </w:rPr>
              <w:t>Average</w:t>
            </w:r>
          </w:p>
        </w:tc>
        <w:tc>
          <w:tcPr>
            <w:tcW w:w="1040" w:type="dxa"/>
            <w:vAlign w:val="bottom"/>
          </w:tcPr>
          <w:p>
            <w:pPr>
              <w:jc w:val="right"/>
              <w:spacing w:after="0"/>
              <w:rPr>
                <w:sz w:val="20"/>
                <w:szCs w:val="20"/>
                <w:color w:val="auto"/>
              </w:rPr>
            </w:pPr>
            <w:r>
              <w:rPr>
                <w:rFonts w:ascii="Arial" w:cs="Arial" w:eastAsia="Arial" w:hAnsi="Arial"/>
                <w:sz w:val="22"/>
                <w:szCs w:val="22"/>
                <w:b w:val="1"/>
                <w:bCs w:val="1"/>
                <w:color w:val="auto"/>
              </w:rPr>
              <w:t>36 month</w:t>
            </w:r>
          </w:p>
        </w:tc>
      </w:tr>
      <w:tr>
        <w:trPr>
          <w:trHeight w:val="223"/>
        </w:trPr>
        <w:tc>
          <w:tcPr>
            <w:tcW w:w="386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auto"/>
              </w:rPr>
              <w:t>Retail Market Transaction Residual</w:t>
            </w:r>
          </w:p>
        </w:tc>
      </w:tr>
      <w:tr>
        <w:trPr>
          <w:trHeight w:val="296"/>
        </w:trPr>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Share</w:t>
            </w:r>
          </w:p>
        </w:tc>
        <w:tc>
          <w:tcPr>
            <w:tcW w:w="1460" w:type="dxa"/>
            <w:vAlign w:val="bottom"/>
          </w:tcPr>
          <w:p>
            <w:pPr>
              <w:jc w:val="right"/>
              <w:spacing w:after="0"/>
              <w:rPr>
                <w:sz w:val="20"/>
                <w:szCs w:val="20"/>
                <w:color w:val="auto"/>
              </w:rPr>
            </w:pPr>
            <w:r>
              <w:rPr>
                <w:rFonts w:ascii="Arial" w:cs="Arial" w:eastAsia="Arial" w:hAnsi="Arial"/>
                <w:sz w:val="22"/>
                <w:szCs w:val="22"/>
                <w:b w:val="1"/>
                <w:bCs w:val="1"/>
                <w:color w:val="auto"/>
              </w:rPr>
              <w:t>Price (ATP)</w:t>
            </w:r>
          </w:p>
        </w:tc>
        <w:tc>
          <w:tcPr>
            <w:tcW w:w="1040" w:type="dxa"/>
            <w:vAlign w:val="bottom"/>
          </w:tcPr>
          <w:p>
            <w:pPr>
              <w:jc w:val="right"/>
              <w:ind w:right="106"/>
              <w:spacing w:after="0"/>
              <w:rPr>
                <w:sz w:val="20"/>
                <w:szCs w:val="20"/>
                <w:color w:val="auto"/>
              </w:rPr>
            </w:pPr>
            <w:r>
              <w:rPr>
                <w:rFonts w:ascii="Arial" w:cs="Arial" w:eastAsia="Arial" w:hAnsi="Arial"/>
                <w:sz w:val="22"/>
                <w:szCs w:val="22"/>
                <w:b w:val="1"/>
                <w:bCs w:val="1"/>
                <w:color w:val="auto"/>
              </w:rPr>
              <w:t>Value</w:t>
            </w:r>
          </w:p>
        </w:tc>
      </w:tr>
      <w:tr>
        <w:trPr>
          <w:trHeight w:val="564"/>
        </w:trPr>
        <w:tc>
          <w:tcPr>
            <w:tcW w:w="1360" w:type="dxa"/>
            <w:vAlign w:val="bottom"/>
          </w:tcPr>
          <w:p>
            <w:pPr>
              <w:jc w:val="center"/>
              <w:spacing w:after="0"/>
              <w:rPr>
                <w:sz w:val="20"/>
                <w:szCs w:val="20"/>
                <w:color w:val="auto"/>
              </w:rPr>
            </w:pPr>
            <w:r>
              <w:rPr>
                <w:rFonts w:ascii="Arial" w:cs="Arial" w:eastAsia="Arial" w:hAnsi="Arial"/>
                <w:sz w:val="28"/>
                <w:szCs w:val="28"/>
                <w:b w:val="1"/>
                <w:bCs w:val="1"/>
                <w:color w:val="auto"/>
              </w:rPr>
              <w:t>14.6%</w:t>
            </w:r>
          </w:p>
        </w:tc>
        <w:tc>
          <w:tcPr>
            <w:tcW w:w="146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28"/>
                <w:szCs w:val="28"/>
                <w:b w:val="1"/>
                <w:bCs w:val="1"/>
                <w:color w:val="auto"/>
              </w:rPr>
              <w:t>49%</w:t>
            </w:r>
          </w:p>
        </w:tc>
      </w:tr>
      <w:tr>
        <w:trPr>
          <w:trHeight w:val="506"/>
        </w:trPr>
        <w:tc>
          <w:tcPr>
            <w:tcW w:w="1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8"/>
                <w:szCs w:val="28"/>
                <w:b w:val="1"/>
                <w:bCs w:val="1"/>
                <w:color w:val="auto"/>
              </w:rPr>
              <w:t>+ $3,800</w:t>
            </w:r>
          </w:p>
        </w:tc>
        <w:tc>
          <w:tcPr>
            <w:tcW w:w="1040" w:type="dxa"/>
            <w:vAlign w:val="bottom"/>
          </w:tcPr>
          <w:p>
            <w:pPr>
              <w:spacing w:after="0"/>
              <w:rPr>
                <w:sz w:val="24"/>
                <w:szCs w:val="24"/>
                <w:color w:val="auto"/>
              </w:rPr>
            </w:pPr>
          </w:p>
        </w:tc>
      </w:tr>
      <w:tr>
        <w:trPr>
          <w:trHeight w:val="517"/>
        </w:trPr>
        <w:tc>
          <w:tcPr>
            <w:tcW w:w="1360" w:type="dxa"/>
            <w:vAlign w:val="bottom"/>
          </w:tcPr>
          <w:p>
            <w:pPr>
              <w:jc w:val="center"/>
              <w:spacing w:after="0"/>
              <w:rPr>
                <w:sz w:val="20"/>
                <w:szCs w:val="20"/>
                <w:color w:val="auto"/>
              </w:rPr>
            </w:pPr>
            <w:r>
              <w:rPr>
                <w:rFonts w:ascii="Arial" w:cs="Arial" w:eastAsia="Arial" w:hAnsi="Arial"/>
                <w:sz w:val="28"/>
                <w:szCs w:val="28"/>
                <w:b w:val="1"/>
                <w:bCs w:val="1"/>
                <w:color w:val="auto"/>
              </w:rPr>
              <w:t>4.7%</w:t>
            </w:r>
          </w:p>
        </w:tc>
        <w:tc>
          <w:tcPr>
            <w:tcW w:w="146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28"/>
                <w:szCs w:val="28"/>
                <w:b w:val="1"/>
                <w:bCs w:val="1"/>
                <w:color w:val="auto"/>
              </w:rPr>
              <w:t>31%</w:t>
            </w:r>
          </w:p>
        </w:tc>
      </w:tr>
      <w:tr>
        <w:trPr>
          <w:trHeight w:val="647"/>
        </w:trPr>
        <w:tc>
          <w:tcPr>
            <w:tcW w:w="1360" w:type="dxa"/>
            <w:vAlign w:val="bottom"/>
          </w:tcPr>
          <w:p>
            <w:pPr>
              <w:jc w:val="center"/>
              <w:spacing w:after="0"/>
              <w:rPr>
                <w:sz w:val="20"/>
                <w:szCs w:val="20"/>
                <w:color w:val="auto"/>
              </w:rPr>
            </w:pPr>
            <w:r>
              <w:rPr>
                <w:rFonts w:ascii="Arial" w:cs="Arial" w:eastAsia="Arial" w:hAnsi="Arial"/>
                <w:sz w:val="28"/>
                <w:szCs w:val="28"/>
                <w:b w:val="1"/>
                <w:bCs w:val="1"/>
                <w:color w:val="auto"/>
              </w:rPr>
              <w:t>15.5%</w:t>
            </w:r>
          </w:p>
        </w:tc>
        <w:tc>
          <w:tcPr>
            <w:tcW w:w="146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28"/>
                <w:szCs w:val="28"/>
                <w:b w:val="1"/>
                <w:bCs w:val="1"/>
                <w:color w:val="auto"/>
              </w:rPr>
              <w:t>45%</w:t>
            </w:r>
          </w:p>
        </w:tc>
      </w:tr>
      <w:tr>
        <w:trPr>
          <w:trHeight w:val="506"/>
        </w:trPr>
        <w:tc>
          <w:tcPr>
            <w:tcW w:w="1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8"/>
                <w:szCs w:val="28"/>
                <w:b w:val="1"/>
                <w:bCs w:val="1"/>
                <w:color w:val="auto"/>
              </w:rPr>
              <w:t>+ $7,000</w:t>
            </w:r>
          </w:p>
        </w:tc>
        <w:tc>
          <w:tcPr>
            <w:tcW w:w="1040" w:type="dxa"/>
            <w:vAlign w:val="bottom"/>
          </w:tcPr>
          <w:p>
            <w:pPr>
              <w:spacing w:after="0"/>
              <w:rPr>
                <w:sz w:val="24"/>
                <w:szCs w:val="24"/>
                <w:color w:val="auto"/>
              </w:rPr>
            </w:pPr>
          </w:p>
        </w:tc>
      </w:tr>
      <w:tr>
        <w:trPr>
          <w:trHeight w:val="517"/>
        </w:trPr>
        <w:tc>
          <w:tcPr>
            <w:tcW w:w="1360" w:type="dxa"/>
            <w:vAlign w:val="bottom"/>
          </w:tcPr>
          <w:p>
            <w:pPr>
              <w:jc w:val="center"/>
              <w:spacing w:after="0"/>
              <w:rPr>
                <w:sz w:val="20"/>
                <w:szCs w:val="20"/>
                <w:color w:val="auto"/>
              </w:rPr>
            </w:pPr>
            <w:r>
              <w:rPr>
                <w:rFonts w:ascii="Arial" w:cs="Arial" w:eastAsia="Arial" w:hAnsi="Arial"/>
                <w:sz w:val="28"/>
                <w:szCs w:val="28"/>
                <w:b w:val="1"/>
                <w:bCs w:val="1"/>
                <w:color w:val="auto"/>
              </w:rPr>
              <w:t>5.3%</w:t>
            </w:r>
          </w:p>
        </w:tc>
        <w:tc>
          <w:tcPr>
            <w:tcW w:w="146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28"/>
                <w:szCs w:val="28"/>
                <w:b w:val="1"/>
                <w:bCs w:val="1"/>
                <w:color w:val="auto"/>
              </w:rPr>
              <w:t>31%</w:t>
            </w:r>
          </w:p>
        </w:tc>
      </w:tr>
      <w:tr>
        <w:trPr>
          <w:trHeight w:val="858"/>
        </w:trPr>
        <w:tc>
          <w:tcPr>
            <w:tcW w:w="1360" w:type="dxa"/>
            <w:vAlign w:val="bottom"/>
          </w:tcPr>
          <w:p>
            <w:pPr>
              <w:jc w:val="center"/>
              <w:spacing w:after="0"/>
              <w:rPr>
                <w:sz w:val="20"/>
                <w:szCs w:val="20"/>
                <w:color w:val="auto"/>
              </w:rPr>
            </w:pPr>
            <w:r>
              <w:rPr>
                <w:rFonts w:ascii="Arial" w:cs="Arial" w:eastAsia="Arial" w:hAnsi="Arial"/>
                <w:sz w:val="28"/>
                <w:szCs w:val="28"/>
                <w:b w:val="1"/>
                <w:bCs w:val="1"/>
                <w:color w:val="auto"/>
              </w:rPr>
              <w:t>12.5%</w:t>
            </w:r>
          </w:p>
        </w:tc>
        <w:tc>
          <w:tcPr>
            <w:tcW w:w="146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28"/>
                <w:szCs w:val="28"/>
                <w:b w:val="1"/>
                <w:bCs w:val="1"/>
                <w:color w:val="auto"/>
              </w:rPr>
              <w:t>48%</w:t>
            </w:r>
          </w:p>
        </w:tc>
      </w:tr>
      <w:tr>
        <w:trPr>
          <w:trHeight w:val="506"/>
        </w:trPr>
        <w:tc>
          <w:tcPr>
            <w:tcW w:w="1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8"/>
                <w:szCs w:val="28"/>
                <w:b w:val="1"/>
                <w:bCs w:val="1"/>
                <w:color w:val="auto"/>
              </w:rPr>
              <w:t>+ $4,200</w:t>
            </w:r>
          </w:p>
        </w:tc>
        <w:tc>
          <w:tcPr>
            <w:tcW w:w="1040" w:type="dxa"/>
            <w:vAlign w:val="bottom"/>
          </w:tcPr>
          <w:p>
            <w:pPr>
              <w:spacing w:after="0"/>
              <w:rPr>
                <w:sz w:val="24"/>
                <w:szCs w:val="24"/>
                <w:color w:val="auto"/>
              </w:rPr>
            </w:pPr>
          </w:p>
        </w:tc>
      </w:tr>
      <w:tr>
        <w:trPr>
          <w:trHeight w:val="517"/>
        </w:trPr>
        <w:tc>
          <w:tcPr>
            <w:tcW w:w="1360" w:type="dxa"/>
            <w:vAlign w:val="bottom"/>
          </w:tcPr>
          <w:p>
            <w:pPr>
              <w:jc w:val="right"/>
              <w:ind w:right="169"/>
              <w:spacing w:after="0"/>
              <w:rPr>
                <w:sz w:val="20"/>
                <w:szCs w:val="20"/>
                <w:color w:val="auto"/>
              </w:rPr>
            </w:pPr>
            <w:r>
              <w:rPr>
                <w:rFonts w:ascii="Arial" w:cs="Arial" w:eastAsia="Arial" w:hAnsi="Arial"/>
                <w:sz w:val="28"/>
                <w:szCs w:val="28"/>
                <w:b w:val="1"/>
                <w:bCs w:val="1"/>
                <w:color w:val="auto"/>
              </w:rPr>
              <w:t>6.2%</w:t>
            </w:r>
          </w:p>
        </w:tc>
        <w:tc>
          <w:tcPr>
            <w:tcW w:w="146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28"/>
                <w:szCs w:val="28"/>
                <w:b w:val="1"/>
                <w:bCs w:val="1"/>
                <w:color w:val="auto"/>
              </w:rPr>
              <w:t>41%</w:t>
            </w:r>
          </w:p>
        </w:tc>
      </w:tr>
    </w:tbl>
    <w:p>
      <w:pPr>
        <w:spacing w:after="0" w:line="200" w:lineRule="exact"/>
        <w:rPr>
          <w:sz w:val="20"/>
          <w:szCs w:val="20"/>
          <w:color w:val="auto"/>
        </w:rPr>
      </w:pPr>
    </w:p>
    <w:p>
      <w:pPr>
        <w:sectPr>
          <w:pgSz w:w="11900" w:h="16838" w:orient="portrait"/>
          <w:cols w:equalWidth="0" w:num="2">
            <w:col w:w="5740" w:space="560"/>
            <w:col w:w="4020"/>
          </w:cols>
          <w:pgMar w:left="580" w:top="55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7180" w:type="dxa"/>
            <w:vAlign w:val="bottom"/>
          </w:tcPr>
          <w:p>
            <w:pPr>
              <w:spacing w:after="0"/>
              <w:rPr>
                <w:sz w:val="20"/>
                <w:szCs w:val="20"/>
                <w:color w:val="auto"/>
              </w:rPr>
            </w:pPr>
            <w:r>
              <w:rPr>
                <w:rFonts w:ascii="Arial" w:cs="Arial" w:eastAsia="Arial" w:hAnsi="Arial"/>
                <w:sz w:val="20"/>
                <w:szCs w:val="20"/>
                <w:i w:val="1"/>
                <w:iCs w:val="1"/>
                <w:color w:val="auto"/>
              </w:rPr>
              <w:t>Residual value based on ALG 36 mo. May/June</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31</w:t>
            </w:r>
          </w:p>
        </w:tc>
      </w:tr>
    </w:tbl>
    <w:p>
      <w:pPr>
        <w:sectPr>
          <w:pgSz w:w="11900" w:h="16838" w:orient="portrait"/>
          <w:cols w:equalWidth="0" w:num="1">
            <w:col w:w="10320"/>
          </w:cols>
          <w:pgMar w:left="580" w:top="559" w:right="999" w:bottom="1440" w:gutter="0" w:footer="0" w:header="0"/>
          <w:type w:val="continuous"/>
        </w:sectPr>
      </w:pPr>
    </w:p>
    <w:bookmarkStart w:id="48" w:name="page49"/>
    <w:bookmarkEnd w:id="48"/>
    <w:p>
      <w:pPr>
        <w:ind w:left="720"/>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Success in Marketplace</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287"/>
        </w:trPr>
        <w:tc>
          <w:tcPr>
            <w:tcW w:w="2800" w:type="dxa"/>
            <w:vAlign w:val="bottom"/>
          </w:tcPr>
          <w:p>
            <w:pPr>
              <w:jc w:val="center"/>
              <w:ind w:right="1080"/>
              <w:spacing w:after="0"/>
              <w:rPr>
                <w:sz w:val="20"/>
                <w:szCs w:val="20"/>
                <w:color w:val="auto"/>
              </w:rPr>
            </w:pPr>
            <w:r>
              <w:rPr>
                <w:rFonts w:ascii="Arial" w:cs="Arial" w:eastAsia="Arial" w:hAnsi="Arial"/>
                <w:sz w:val="25"/>
                <w:szCs w:val="25"/>
                <w:b w:val="1"/>
                <w:bCs w:val="1"/>
                <w:color w:val="auto"/>
                <w:w w:val="98"/>
              </w:rPr>
              <w:t>GM Total U.S.</w:t>
            </w:r>
          </w:p>
        </w:tc>
        <w:tc>
          <w:tcPr>
            <w:tcW w:w="3640" w:type="dxa"/>
            <w:vAlign w:val="bottom"/>
            <w:vMerge w:val="restart"/>
          </w:tcPr>
          <w:p>
            <w:pPr>
              <w:ind w:left="800"/>
              <w:spacing w:after="0"/>
              <w:rPr>
                <w:sz w:val="20"/>
                <w:szCs w:val="20"/>
                <w:color w:val="auto"/>
              </w:rPr>
            </w:pPr>
            <w:r>
              <w:rPr>
                <w:rFonts w:ascii="Arial" w:cs="Arial" w:eastAsia="Arial" w:hAnsi="Arial"/>
                <w:sz w:val="25"/>
                <w:szCs w:val="25"/>
                <w:b w:val="1"/>
                <w:bCs w:val="1"/>
                <w:color w:val="auto"/>
              </w:rPr>
              <w:t>GM Global Share</w:t>
            </w:r>
          </w:p>
        </w:tc>
        <w:tc>
          <w:tcPr>
            <w:tcW w:w="0" w:type="dxa"/>
            <w:vAlign w:val="bottom"/>
          </w:tcPr>
          <w:p>
            <w:pPr>
              <w:spacing w:after="0"/>
              <w:rPr>
                <w:sz w:val="1"/>
                <w:szCs w:val="1"/>
                <w:color w:val="auto"/>
              </w:rPr>
            </w:pPr>
          </w:p>
        </w:tc>
      </w:tr>
      <w:tr>
        <w:trPr>
          <w:trHeight w:val="180"/>
        </w:trPr>
        <w:tc>
          <w:tcPr>
            <w:tcW w:w="2800" w:type="dxa"/>
            <w:vAlign w:val="bottom"/>
            <w:vMerge w:val="restart"/>
          </w:tcPr>
          <w:p>
            <w:pPr>
              <w:jc w:val="center"/>
              <w:ind w:right="1140"/>
              <w:spacing w:after="0"/>
              <w:rPr>
                <w:sz w:val="20"/>
                <w:szCs w:val="20"/>
                <w:color w:val="auto"/>
              </w:rPr>
            </w:pPr>
            <w:r>
              <w:rPr>
                <w:rFonts w:ascii="Arial" w:cs="Arial" w:eastAsia="Arial" w:hAnsi="Arial"/>
                <w:sz w:val="25"/>
                <w:szCs w:val="25"/>
                <w:b w:val="1"/>
                <w:bCs w:val="1"/>
                <w:color w:val="auto"/>
              </w:rPr>
              <w:t>Share</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800" w:type="dxa"/>
            <w:vAlign w:val="bottom"/>
          </w:tcPr>
          <w:p>
            <w:pPr>
              <w:ind w:left="1220"/>
              <w:spacing w:after="0"/>
              <w:rPr>
                <w:sz w:val="20"/>
                <w:szCs w:val="20"/>
                <w:color w:val="auto"/>
              </w:rPr>
            </w:pPr>
            <w:r>
              <w:rPr>
                <w:rFonts w:ascii="Arial" w:cs="Arial" w:eastAsia="Arial" w:hAnsi="Arial"/>
                <w:sz w:val="22"/>
                <w:szCs w:val="22"/>
                <w:b w:val="1"/>
                <w:bCs w:val="1"/>
                <w:color w:val="auto"/>
              </w:rPr>
              <w:t>Old GM</w:t>
            </w:r>
          </w:p>
        </w:tc>
        <w:tc>
          <w:tcPr>
            <w:tcW w:w="3640" w:type="dxa"/>
            <w:vAlign w:val="bottom"/>
          </w:tcPr>
          <w:p>
            <w:pPr>
              <w:ind w:left="2760"/>
              <w:spacing w:after="0"/>
              <w:rPr>
                <w:sz w:val="20"/>
                <w:szCs w:val="20"/>
                <w:color w:val="auto"/>
              </w:rPr>
            </w:pPr>
            <w:r>
              <w:rPr>
                <w:rFonts w:ascii="Arial" w:cs="Arial" w:eastAsia="Arial" w:hAnsi="Arial"/>
                <w:sz w:val="22"/>
                <w:szCs w:val="22"/>
                <w:b w:val="1"/>
                <w:bCs w:val="1"/>
                <w:color w:val="auto"/>
                <w:w w:val="99"/>
              </w:rPr>
              <w:t>New GM</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5"/>
          <w:szCs w:val="25"/>
          <w:b w:val="1"/>
          <w:bCs w:val="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10%</w:t>
      </w:r>
    </w:p>
    <w:p>
      <w:pPr>
        <w:spacing w:after="0" w:line="230" w:lineRule="exact"/>
        <w:rPr>
          <w:sz w:val="20"/>
          <w:szCs w:val="20"/>
          <w:color w:val="auto"/>
        </w:rPr>
      </w:pPr>
    </w:p>
    <w:p>
      <w:pPr>
        <w:ind w:left="1140"/>
        <w:spacing w:after="0"/>
        <w:tabs>
          <w:tab w:leader="none" w:pos="2500" w:val="left"/>
          <w:tab w:leader="none" w:pos="3860" w:val="left"/>
          <w:tab w:leader="none" w:pos="5240" w:val="left"/>
          <w:tab w:leader="none" w:pos="6600" w:val="left"/>
          <w:tab w:leader="none" w:pos="8000" w:val="left"/>
          <w:tab w:leader="none" w:pos="9060" w:val="left"/>
        </w:tabs>
        <w:rPr>
          <w:sz w:val="20"/>
          <w:szCs w:val="20"/>
          <w:color w:val="auto"/>
        </w:rPr>
      </w:pPr>
      <w:r>
        <w:rPr>
          <w:rFonts w:ascii="Arial" w:cs="Arial" w:eastAsia="Arial" w:hAnsi="Arial"/>
          <w:sz w:val="22"/>
          <w:szCs w:val="22"/>
          <w:b w:val="1"/>
          <w:bCs w:val="1"/>
          <w:color w:val="auto"/>
        </w:rPr>
        <w:t>2005</w:t>
      </w:r>
      <w:r>
        <w:rPr>
          <w:sz w:val="20"/>
          <w:szCs w:val="20"/>
          <w:color w:val="auto"/>
        </w:rPr>
        <w:tab/>
      </w:r>
      <w:r>
        <w:rPr>
          <w:rFonts w:ascii="Arial" w:cs="Arial" w:eastAsia="Arial" w:hAnsi="Arial"/>
          <w:sz w:val="22"/>
          <w:szCs w:val="22"/>
          <w:b w:val="1"/>
          <w:bCs w:val="1"/>
          <w:color w:val="auto"/>
        </w:rPr>
        <w:t>2006</w:t>
      </w:r>
      <w:r>
        <w:rPr>
          <w:sz w:val="20"/>
          <w:szCs w:val="20"/>
          <w:color w:val="auto"/>
        </w:rPr>
        <w:tab/>
      </w:r>
      <w:r>
        <w:rPr>
          <w:rFonts w:ascii="Arial" w:cs="Arial" w:eastAsia="Arial" w:hAnsi="Arial"/>
          <w:sz w:val="22"/>
          <w:szCs w:val="22"/>
          <w:b w:val="1"/>
          <w:bCs w:val="1"/>
          <w:color w:val="auto"/>
        </w:rPr>
        <w:t>2007</w:t>
      </w:r>
      <w:r>
        <w:rPr>
          <w:sz w:val="20"/>
          <w:szCs w:val="20"/>
          <w:color w:val="auto"/>
        </w:rPr>
        <w:tab/>
      </w:r>
      <w:r>
        <w:rPr>
          <w:rFonts w:ascii="Arial" w:cs="Arial" w:eastAsia="Arial" w:hAnsi="Arial"/>
          <w:sz w:val="22"/>
          <w:szCs w:val="22"/>
          <w:b w:val="1"/>
          <w:bCs w:val="1"/>
          <w:color w:val="auto"/>
        </w:rPr>
        <w:t>2008</w:t>
      </w:r>
      <w:r>
        <w:rPr>
          <w:sz w:val="20"/>
          <w:szCs w:val="20"/>
          <w:color w:val="auto"/>
        </w:rPr>
        <w:tab/>
      </w:r>
      <w:r>
        <w:rPr>
          <w:rFonts w:ascii="Arial" w:cs="Arial" w:eastAsia="Arial" w:hAnsi="Arial"/>
          <w:sz w:val="22"/>
          <w:szCs w:val="22"/>
          <w:b w:val="1"/>
          <w:bCs w:val="1"/>
          <w:color w:val="auto"/>
        </w:rPr>
        <w:t>2009</w:t>
      </w:r>
      <w:r>
        <w:rPr>
          <w:sz w:val="20"/>
          <w:szCs w:val="20"/>
          <w:color w:val="auto"/>
        </w:rPr>
        <w:tab/>
      </w:r>
      <w:r>
        <w:rPr>
          <w:rFonts w:ascii="Arial" w:cs="Arial" w:eastAsia="Arial" w:hAnsi="Arial"/>
          <w:sz w:val="22"/>
          <w:szCs w:val="22"/>
          <w:b w:val="1"/>
          <w:bCs w:val="1"/>
          <w:color w:val="auto"/>
        </w:rPr>
        <w:t>2010</w:t>
      </w:r>
      <w:r>
        <w:rPr>
          <w:sz w:val="20"/>
          <w:szCs w:val="20"/>
          <w:color w:val="auto"/>
        </w:rPr>
        <w:tab/>
      </w:r>
      <w:r>
        <w:rPr>
          <w:rFonts w:ascii="Arial" w:cs="Arial" w:eastAsia="Arial" w:hAnsi="Arial"/>
          <w:sz w:val="21"/>
          <w:szCs w:val="21"/>
          <w:b w:val="1"/>
          <w:bCs w:val="1"/>
          <w:color w:val="auto"/>
        </w:rPr>
        <w:t>2011</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32</w:t>
      </w:r>
    </w:p>
    <w:p>
      <w:pPr>
        <w:sectPr>
          <w:pgSz w:w="11900" w:h="16838" w:orient="portrait"/>
          <w:cols w:equalWidth="0" w:num="1">
            <w:col w:w="9980"/>
          </w:cols>
          <w:pgMar w:left="920" w:top="559" w:right="999" w:bottom="1440" w:gutter="0" w:footer="0" w:header="0"/>
        </w:sectPr>
      </w:pPr>
    </w:p>
    <w:bookmarkStart w:id="49" w:name="page50"/>
    <w:bookmarkEnd w:id="49"/>
    <w:p>
      <w:pPr>
        <w:ind w:left="106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Leverage Global Growth</w:t>
      </w:r>
    </w:p>
    <w:p>
      <w:pPr>
        <w:sectPr>
          <w:pgSz w:w="11900" w:h="16838" w:orient="portrait"/>
          <w:cols w:equalWidth="0" w:num="1">
            <w:col w:w="10320"/>
          </w:cols>
          <w:pgMar w:left="580" w:top="59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280" w:type="dxa"/>
            <w:vAlign w:val="bottom"/>
          </w:tcPr>
          <w:p>
            <w:pPr>
              <w:spacing w:after="0"/>
              <w:rPr>
                <w:sz w:val="24"/>
                <w:szCs w:val="24"/>
                <w:color w:val="auto"/>
              </w:rPr>
            </w:pPr>
          </w:p>
        </w:tc>
        <w:tc>
          <w:tcPr>
            <w:tcW w:w="1360" w:type="dxa"/>
            <w:vAlign w:val="bottom"/>
          </w:tcPr>
          <w:p>
            <w:pPr>
              <w:jc w:val="center"/>
              <w:ind w:left="105"/>
              <w:spacing w:after="0"/>
              <w:rPr>
                <w:sz w:val="20"/>
                <w:szCs w:val="20"/>
                <w:color w:val="auto"/>
              </w:rPr>
            </w:pPr>
            <w:r>
              <w:rPr>
                <w:rFonts w:ascii="Arial" w:cs="Arial" w:eastAsia="Arial" w:hAnsi="Arial"/>
                <w:sz w:val="28"/>
                <w:szCs w:val="28"/>
                <w:b w:val="1"/>
                <w:bCs w:val="1"/>
                <w:color w:val="auto"/>
              </w:rPr>
              <w:t>Industry</w:t>
            </w:r>
          </w:p>
        </w:tc>
      </w:tr>
      <w:tr>
        <w:trPr>
          <w:trHeight w:val="375"/>
        </w:trPr>
        <w:tc>
          <w:tcPr>
            <w:tcW w:w="2280" w:type="dxa"/>
            <w:vAlign w:val="bottom"/>
          </w:tcPr>
          <w:p>
            <w:pPr>
              <w:spacing w:after="0"/>
              <w:rPr>
                <w:sz w:val="24"/>
                <w:szCs w:val="24"/>
                <w:color w:val="auto"/>
              </w:rPr>
            </w:pPr>
          </w:p>
        </w:tc>
        <w:tc>
          <w:tcPr>
            <w:tcW w:w="1360" w:type="dxa"/>
            <w:vAlign w:val="bottom"/>
          </w:tcPr>
          <w:p>
            <w:pPr>
              <w:jc w:val="center"/>
              <w:ind w:left="65"/>
              <w:spacing w:after="0"/>
              <w:rPr>
                <w:sz w:val="20"/>
                <w:szCs w:val="20"/>
                <w:color w:val="auto"/>
              </w:rPr>
            </w:pPr>
            <w:r>
              <w:rPr>
                <w:rFonts w:ascii="Arial" w:cs="Arial" w:eastAsia="Arial" w:hAnsi="Arial"/>
                <w:sz w:val="28"/>
                <w:szCs w:val="28"/>
                <w:b w:val="1"/>
                <w:bCs w:val="1"/>
                <w:color w:val="auto"/>
                <w:w w:val="98"/>
              </w:rPr>
              <w:t>Volume</w:t>
            </w:r>
          </w:p>
        </w:tc>
      </w:tr>
      <w:tr>
        <w:trPr>
          <w:trHeight w:val="337"/>
        </w:trPr>
        <w:tc>
          <w:tcPr>
            <w:tcW w:w="2280" w:type="dxa"/>
            <w:vAlign w:val="bottom"/>
          </w:tcPr>
          <w:p>
            <w:pPr>
              <w:spacing w:after="0"/>
              <w:rPr>
                <w:sz w:val="24"/>
                <w:szCs w:val="24"/>
                <w:color w:val="auto"/>
              </w:rPr>
            </w:pPr>
          </w:p>
        </w:tc>
        <w:tc>
          <w:tcPr>
            <w:tcW w:w="1360" w:type="dxa"/>
            <w:vAlign w:val="bottom"/>
          </w:tcPr>
          <w:p>
            <w:pPr>
              <w:jc w:val="center"/>
              <w:ind w:left="105"/>
              <w:spacing w:after="0"/>
              <w:rPr>
                <w:sz w:val="20"/>
                <w:szCs w:val="20"/>
                <w:color w:val="auto"/>
              </w:rPr>
            </w:pPr>
            <w:r>
              <w:rPr>
                <w:rFonts w:ascii="Arial" w:cs="Arial" w:eastAsia="Arial" w:hAnsi="Arial"/>
                <w:sz w:val="28"/>
                <w:szCs w:val="28"/>
                <w:color w:val="auto"/>
                <w:w w:val="98"/>
              </w:rPr>
              <w:t>2010*</w:t>
            </w:r>
          </w:p>
        </w:tc>
      </w:tr>
      <w:tr>
        <w:trPr>
          <w:trHeight w:val="268"/>
        </w:trPr>
        <w:tc>
          <w:tcPr>
            <w:tcW w:w="2280" w:type="dxa"/>
            <w:vAlign w:val="bottom"/>
          </w:tcPr>
          <w:p>
            <w:pPr>
              <w:spacing w:after="0"/>
              <w:rPr>
                <w:sz w:val="23"/>
                <w:szCs w:val="23"/>
                <w:color w:val="auto"/>
              </w:rPr>
            </w:pPr>
          </w:p>
        </w:tc>
        <w:tc>
          <w:tcPr>
            <w:tcW w:w="1360" w:type="dxa"/>
            <w:vAlign w:val="bottom"/>
          </w:tcPr>
          <w:p>
            <w:pPr>
              <w:jc w:val="center"/>
              <w:ind w:left="125"/>
              <w:spacing w:after="0"/>
              <w:rPr>
                <w:sz w:val="20"/>
                <w:szCs w:val="20"/>
                <w:color w:val="auto"/>
              </w:rPr>
            </w:pPr>
            <w:r>
              <w:rPr>
                <w:rFonts w:ascii="Arial" w:cs="Arial" w:eastAsia="Arial" w:hAnsi="Arial"/>
                <w:sz w:val="22"/>
                <w:szCs w:val="22"/>
                <w:color w:val="auto"/>
              </w:rPr>
              <w:t>(Millions)</w:t>
            </w:r>
          </w:p>
        </w:tc>
      </w:tr>
      <w:tr>
        <w:trPr>
          <w:trHeight w:val="473"/>
        </w:trPr>
        <w:tc>
          <w:tcPr>
            <w:tcW w:w="2280" w:type="dxa"/>
            <w:vAlign w:val="bottom"/>
          </w:tcPr>
          <w:p>
            <w:pPr>
              <w:spacing w:after="0"/>
              <w:rPr>
                <w:sz w:val="20"/>
                <w:szCs w:val="20"/>
                <w:color w:val="auto"/>
              </w:rPr>
            </w:pPr>
            <w:r>
              <w:rPr>
                <w:rFonts w:ascii="Arial" w:cs="Arial" w:eastAsia="Arial" w:hAnsi="Arial"/>
                <w:sz w:val="28"/>
                <w:szCs w:val="28"/>
                <w:color w:val="auto"/>
              </w:rPr>
              <w:t>BRIC</w:t>
            </w:r>
          </w:p>
        </w:tc>
        <w:tc>
          <w:tcPr>
            <w:tcW w:w="1360" w:type="dxa"/>
            <w:vAlign w:val="bottom"/>
          </w:tcPr>
          <w:p>
            <w:pPr>
              <w:jc w:val="center"/>
              <w:ind w:left="105"/>
              <w:spacing w:after="0"/>
              <w:rPr>
                <w:sz w:val="20"/>
                <w:szCs w:val="20"/>
                <w:color w:val="auto"/>
              </w:rPr>
            </w:pPr>
            <w:r>
              <w:rPr>
                <w:rFonts w:ascii="Arial" w:cs="Arial" w:eastAsia="Arial" w:hAnsi="Arial"/>
                <w:sz w:val="28"/>
                <w:szCs w:val="28"/>
                <w:color w:val="auto"/>
              </w:rPr>
              <w:t>25</w:t>
            </w:r>
          </w:p>
        </w:tc>
      </w:tr>
      <w:tr>
        <w:trPr>
          <w:trHeight w:val="268"/>
        </w:trPr>
        <w:tc>
          <w:tcPr>
            <w:tcW w:w="2280" w:type="dxa"/>
            <w:vAlign w:val="bottom"/>
          </w:tcPr>
          <w:p>
            <w:pPr>
              <w:ind w:left="180"/>
              <w:spacing w:after="0"/>
              <w:rPr>
                <w:sz w:val="20"/>
                <w:szCs w:val="20"/>
                <w:color w:val="auto"/>
              </w:rPr>
            </w:pPr>
            <w:r>
              <w:rPr>
                <w:rFonts w:ascii="Arial" w:cs="Arial" w:eastAsia="Arial" w:hAnsi="Arial"/>
                <w:sz w:val="22"/>
                <w:szCs w:val="22"/>
                <w:color w:val="auto"/>
              </w:rPr>
              <w:t>- China</w:t>
            </w:r>
          </w:p>
        </w:tc>
        <w:tc>
          <w:tcPr>
            <w:tcW w:w="1360" w:type="dxa"/>
            <w:vAlign w:val="bottom"/>
          </w:tcPr>
          <w:p>
            <w:pPr>
              <w:jc w:val="center"/>
              <w:ind w:left="85"/>
              <w:spacing w:after="0"/>
              <w:rPr>
                <w:sz w:val="20"/>
                <w:szCs w:val="20"/>
                <w:color w:val="auto"/>
              </w:rPr>
            </w:pPr>
            <w:r>
              <w:rPr>
                <w:rFonts w:ascii="Arial" w:cs="Arial" w:eastAsia="Arial" w:hAnsi="Arial"/>
                <w:sz w:val="22"/>
                <w:szCs w:val="22"/>
                <w:color w:val="auto"/>
              </w:rPr>
              <w:t>17</w:t>
            </w:r>
          </w:p>
        </w:tc>
      </w:tr>
      <w:tr>
        <w:trPr>
          <w:trHeight w:val="676"/>
        </w:trPr>
        <w:tc>
          <w:tcPr>
            <w:tcW w:w="2280" w:type="dxa"/>
            <w:vAlign w:val="bottom"/>
          </w:tcPr>
          <w:p>
            <w:pPr>
              <w:spacing w:after="0"/>
              <w:rPr>
                <w:sz w:val="20"/>
                <w:szCs w:val="20"/>
                <w:color w:val="auto"/>
              </w:rPr>
            </w:pPr>
            <w:r>
              <w:rPr>
                <w:rFonts w:ascii="Arial" w:cs="Arial" w:eastAsia="Arial" w:hAnsi="Arial"/>
                <w:sz w:val="28"/>
                <w:szCs w:val="28"/>
                <w:color w:val="auto"/>
              </w:rPr>
              <w:t>North America</w:t>
            </w:r>
          </w:p>
        </w:tc>
        <w:tc>
          <w:tcPr>
            <w:tcW w:w="1360" w:type="dxa"/>
            <w:vAlign w:val="bottom"/>
          </w:tcPr>
          <w:p>
            <w:pPr>
              <w:jc w:val="center"/>
              <w:ind w:left="105"/>
              <w:spacing w:after="0"/>
              <w:rPr>
                <w:sz w:val="20"/>
                <w:szCs w:val="20"/>
                <w:color w:val="auto"/>
              </w:rPr>
            </w:pPr>
            <w:r>
              <w:rPr>
                <w:rFonts w:ascii="Arial" w:cs="Arial" w:eastAsia="Arial" w:hAnsi="Arial"/>
                <w:sz w:val="28"/>
                <w:szCs w:val="28"/>
                <w:color w:val="auto"/>
              </w:rPr>
              <w:t>14</w:t>
            </w:r>
          </w:p>
        </w:tc>
      </w:tr>
      <w:tr>
        <w:trPr>
          <w:trHeight w:val="847"/>
        </w:trPr>
        <w:tc>
          <w:tcPr>
            <w:tcW w:w="2280" w:type="dxa"/>
            <w:vAlign w:val="bottom"/>
          </w:tcPr>
          <w:p>
            <w:pPr>
              <w:spacing w:after="0"/>
              <w:rPr>
                <w:sz w:val="20"/>
                <w:szCs w:val="20"/>
                <w:color w:val="auto"/>
              </w:rPr>
            </w:pPr>
            <w:r>
              <w:rPr>
                <w:rFonts w:ascii="Arial" w:cs="Arial" w:eastAsia="Arial" w:hAnsi="Arial"/>
                <w:sz w:val="28"/>
                <w:szCs w:val="28"/>
                <w:color w:val="auto"/>
              </w:rPr>
              <w:t>Western Europe</w:t>
            </w:r>
          </w:p>
        </w:tc>
        <w:tc>
          <w:tcPr>
            <w:tcW w:w="1360" w:type="dxa"/>
            <w:vAlign w:val="bottom"/>
          </w:tcPr>
          <w:p>
            <w:pPr>
              <w:jc w:val="center"/>
              <w:ind w:left="105"/>
              <w:spacing w:after="0"/>
              <w:rPr>
                <w:sz w:val="20"/>
                <w:szCs w:val="20"/>
                <w:color w:val="auto"/>
              </w:rPr>
            </w:pPr>
            <w:r>
              <w:rPr>
                <w:rFonts w:ascii="Arial" w:cs="Arial" w:eastAsia="Arial" w:hAnsi="Arial"/>
                <w:sz w:val="28"/>
                <w:szCs w:val="28"/>
                <w:color w:val="auto"/>
              </w:rPr>
              <w:t>14</w:t>
            </w:r>
          </w:p>
        </w:tc>
      </w:tr>
      <w:tr>
        <w:trPr>
          <w:trHeight w:val="764"/>
        </w:trPr>
        <w:tc>
          <w:tcPr>
            <w:tcW w:w="2280" w:type="dxa"/>
            <w:vAlign w:val="bottom"/>
          </w:tcPr>
          <w:p>
            <w:pPr>
              <w:spacing w:after="0"/>
              <w:rPr>
                <w:sz w:val="20"/>
                <w:szCs w:val="20"/>
                <w:color w:val="auto"/>
              </w:rPr>
            </w:pPr>
            <w:r>
              <w:rPr>
                <w:rFonts w:ascii="Arial" w:cs="Arial" w:eastAsia="Arial" w:hAnsi="Arial"/>
                <w:sz w:val="28"/>
                <w:szCs w:val="28"/>
                <w:color w:val="auto"/>
              </w:rPr>
              <w:t>All Other</w:t>
            </w:r>
          </w:p>
        </w:tc>
        <w:tc>
          <w:tcPr>
            <w:tcW w:w="1360" w:type="dxa"/>
            <w:vAlign w:val="bottom"/>
          </w:tcPr>
          <w:p>
            <w:pPr>
              <w:jc w:val="center"/>
              <w:ind w:left="105"/>
              <w:spacing w:after="0"/>
              <w:rPr>
                <w:sz w:val="20"/>
                <w:szCs w:val="20"/>
                <w:color w:val="auto"/>
              </w:rPr>
            </w:pPr>
            <w:r>
              <w:rPr>
                <w:rFonts w:ascii="Arial" w:cs="Arial" w:eastAsia="Arial" w:hAnsi="Arial"/>
                <w:sz w:val="28"/>
                <w:szCs w:val="28"/>
                <w:color w:val="auto"/>
              </w:rPr>
              <w:t>19</w:t>
            </w:r>
          </w:p>
        </w:tc>
      </w:tr>
      <w:tr>
        <w:trPr>
          <w:trHeight w:val="600"/>
        </w:trPr>
        <w:tc>
          <w:tcPr>
            <w:tcW w:w="2280" w:type="dxa"/>
            <w:vAlign w:val="bottom"/>
          </w:tcPr>
          <w:p>
            <w:pPr>
              <w:spacing w:after="0"/>
              <w:rPr>
                <w:sz w:val="24"/>
                <w:szCs w:val="24"/>
                <w:color w:val="auto"/>
              </w:rPr>
            </w:pPr>
          </w:p>
        </w:tc>
        <w:tc>
          <w:tcPr>
            <w:tcW w:w="1360" w:type="dxa"/>
            <w:vAlign w:val="bottom"/>
          </w:tcPr>
          <w:p>
            <w:pPr>
              <w:jc w:val="center"/>
              <w:ind w:left="105"/>
              <w:spacing w:after="0"/>
              <w:rPr>
                <w:sz w:val="20"/>
                <w:szCs w:val="20"/>
                <w:color w:val="auto"/>
              </w:rPr>
            </w:pPr>
            <w:r>
              <w:rPr>
                <w:rFonts w:ascii="Arial" w:cs="Arial" w:eastAsia="Arial" w:hAnsi="Arial"/>
                <w:sz w:val="28"/>
                <w:szCs w:val="28"/>
                <w:color w:val="auto"/>
              </w:rPr>
              <w:t>72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center"/>
        <w:ind w:left="-119"/>
        <w:spacing w:after="0"/>
        <w:rPr>
          <w:sz w:val="20"/>
          <w:szCs w:val="20"/>
          <w:color w:val="auto"/>
        </w:rPr>
      </w:pPr>
      <w:r>
        <w:rPr>
          <w:rFonts w:ascii="Arial" w:cs="Arial" w:eastAsia="Arial" w:hAnsi="Arial"/>
          <w:sz w:val="28"/>
          <w:szCs w:val="28"/>
          <w:b w:val="1"/>
          <w:bCs w:val="1"/>
          <w:color w:val="auto"/>
        </w:rPr>
        <w:t>5 YR Industry</w:t>
      </w:r>
    </w:p>
    <w:p>
      <w:pPr>
        <w:spacing w:after="0" w:line="53" w:lineRule="exact"/>
        <w:rPr>
          <w:sz w:val="20"/>
          <w:szCs w:val="20"/>
          <w:color w:val="auto"/>
        </w:rPr>
      </w:pPr>
    </w:p>
    <w:p>
      <w:pPr>
        <w:jc w:val="center"/>
        <w:ind w:left="-99"/>
        <w:spacing w:after="0"/>
        <w:rPr>
          <w:sz w:val="20"/>
          <w:szCs w:val="20"/>
          <w:color w:val="auto"/>
        </w:rPr>
      </w:pPr>
      <w:r>
        <w:rPr>
          <w:rFonts w:ascii="Arial" w:cs="Arial" w:eastAsia="Arial" w:hAnsi="Arial"/>
          <w:sz w:val="28"/>
          <w:szCs w:val="28"/>
          <w:b w:val="1"/>
          <w:bCs w:val="1"/>
          <w:color w:val="auto"/>
        </w:rPr>
        <w:t>Growth</w:t>
      </w:r>
    </w:p>
    <w:p>
      <w:pPr>
        <w:spacing w:after="0" w:line="44" w:lineRule="exact"/>
        <w:rPr>
          <w:sz w:val="20"/>
          <w:szCs w:val="20"/>
          <w:color w:val="auto"/>
        </w:rPr>
      </w:pPr>
    </w:p>
    <w:p>
      <w:pPr>
        <w:jc w:val="center"/>
        <w:ind w:left="-139"/>
        <w:spacing w:after="0"/>
        <w:rPr>
          <w:sz w:val="20"/>
          <w:szCs w:val="20"/>
          <w:color w:val="auto"/>
        </w:rPr>
      </w:pPr>
      <w:r>
        <w:rPr>
          <w:rFonts w:ascii="Arial" w:cs="Arial" w:eastAsia="Arial" w:hAnsi="Arial"/>
          <w:sz w:val="28"/>
          <w:szCs w:val="28"/>
          <w:color w:val="auto"/>
        </w:rPr>
        <w:t>2010-2015E*</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 Global</w:t>
      </w:r>
    </w:p>
    <w:p>
      <w:pPr>
        <w:spacing w:after="0" w:line="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(Millions)</w:t>
      </w:r>
      <w:r>
        <w:rPr>
          <w:sz w:val="20"/>
          <w:szCs w:val="20"/>
          <w:color w:val="auto"/>
        </w:rPr>
        <w:tab/>
      </w:r>
      <w:r>
        <w:rPr>
          <w:rFonts w:ascii="Arial" w:cs="Arial" w:eastAsia="Arial" w:hAnsi="Arial"/>
          <w:sz w:val="22"/>
          <w:szCs w:val="22"/>
          <w:color w:val="auto"/>
        </w:rPr>
        <w:t>Growth</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322"/>
        </w:trPr>
        <w:tc>
          <w:tcPr>
            <w:tcW w:w="880" w:type="dxa"/>
            <w:vAlign w:val="bottom"/>
            <w:gridSpan w:val="2"/>
          </w:tcPr>
          <w:p>
            <w:pPr>
              <w:spacing w:after="0"/>
              <w:rPr>
                <w:sz w:val="20"/>
                <w:szCs w:val="20"/>
                <w:color w:val="auto"/>
              </w:rPr>
            </w:pPr>
            <w:r>
              <w:rPr>
                <w:rFonts w:ascii="Arial" w:cs="Arial" w:eastAsia="Arial" w:hAnsi="Arial"/>
                <w:sz w:val="28"/>
                <w:szCs w:val="28"/>
                <w:color w:val="auto"/>
              </w:rPr>
              <w:t>+ 12</w:t>
            </w:r>
          </w:p>
        </w:tc>
        <w:tc>
          <w:tcPr>
            <w:tcW w:w="1060" w:type="dxa"/>
            <w:vAlign w:val="bottom"/>
          </w:tcPr>
          <w:p>
            <w:pPr>
              <w:jc w:val="right"/>
              <w:spacing w:after="0"/>
              <w:rPr>
                <w:sz w:val="20"/>
                <w:szCs w:val="20"/>
                <w:color w:val="auto"/>
              </w:rPr>
            </w:pPr>
            <w:r>
              <w:rPr>
                <w:rFonts w:ascii="Arial" w:cs="Arial" w:eastAsia="Arial" w:hAnsi="Arial"/>
                <w:sz w:val="25"/>
                <w:szCs w:val="25"/>
                <w:color w:val="auto"/>
              </w:rPr>
              <w:t>50%</w:t>
            </w:r>
          </w:p>
        </w:tc>
      </w:tr>
      <w:tr>
        <w:trPr>
          <w:trHeight w:val="292"/>
        </w:trPr>
        <w:tc>
          <w:tcPr>
            <w:tcW w:w="880" w:type="dxa"/>
            <w:vAlign w:val="bottom"/>
            <w:gridSpan w:val="2"/>
          </w:tcPr>
          <w:p>
            <w:pPr>
              <w:jc w:val="right"/>
              <w:ind w:right="299"/>
              <w:spacing w:after="0"/>
              <w:rPr>
                <w:sz w:val="20"/>
                <w:szCs w:val="20"/>
                <w:color w:val="auto"/>
              </w:rPr>
            </w:pPr>
            <w:r>
              <w:rPr>
                <w:rFonts w:ascii="Arial" w:cs="Arial" w:eastAsia="Arial" w:hAnsi="Arial"/>
                <w:sz w:val="22"/>
                <w:szCs w:val="22"/>
                <w:color w:val="auto"/>
              </w:rPr>
              <w:t>+ 8</w:t>
            </w:r>
          </w:p>
        </w:tc>
        <w:tc>
          <w:tcPr>
            <w:tcW w:w="1060" w:type="dxa"/>
            <w:vAlign w:val="bottom"/>
          </w:tcPr>
          <w:p>
            <w:pPr>
              <w:jc w:val="right"/>
              <w:ind w:right="7"/>
              <w:spacing w:after="0"/>
              <w:rPr>
                <w:sz w:val="20"/>
                <w:szCs w:val="20"/>
                <w:color w:val="auto"/>
              </w:rPr>
            </w:pPr>
            <w:r>
              <w:rPr>
                <w:rFonts w:ascii="Arial" w:cs="Arial" w:eastAsia="Arial" w:hAnsi="Arial"/>
                <w:sz w:val="22"/>
                <w:szCs w:val="22"/>
                <w:color w:val="auto"/>
              </w:rPr>
              <w:t>33%</w:t>
            </w:r>
          </w:p>
        </w:tc>
      </w:tr>
      <w:tr>
        <w:trPr>
          <w:trHeight w:val="676"/>
        </w:trPr>
        <w:tc>
          <w:tcPr>
            <w:tcW w:w="280" w:type="dxa"/>
            <w:vAlign w:val="bottom"/>
          </w:tcPr>
          <w:p>
            <w:pPr>
              <w:spacing w:after="0"/>
              <w:rPr>
                <w:sz w:val="20"/>
                <w:szCs w:val="20"/>
                <w:color w:val="auto"/>
              </w:rPr>
            </w:pPr>
            <w:r>
              <w:rPr>
                <w:rFonts w:ascii="Arial" w:cs="Arial" w:eastAsia="Arial" w:hAnsi="Arial"/>
                <w:sz w:val="28"/>
                <w:szCs w:val="28"/>
                <w:color w:val="auto"/>
              </w:rPr>
              <w:t>+</w:t>
            </w:r>
          </w:p>
        </w:tc>
        <w:tc>
          <w:tcPr>
            <w:tcW w:w="600" w:type="dxa"/>
            <w:vAlign w:val="bottom"/>
          </w:tcPr>
          <w:p>
            <w:pPr>
              <w:jc w:val="right"/>
              <w:ind w:right="179"/>
              <w:spacing w:after="0"/>
              <w:rPr>
                <w:sz w:val="20"/>
                <w:szCs w:val="20"/>
                <w:color w:val="auto"/>
              </w:rPr>
            </w:pPr>
            <w:r>
              <w:rPr>
                <w:rFonts w:ascii="Arial" w:cs="Arial" w:eastAsia="Arial" w:hAnsi="Arial"/>
                <w:sz w:val="28"/>
                <w:szCs w:val="28"/>
                <w:color w:val="auto"/>
              </w:rPr>
              <w:t>6</w:t>
            </w:r>
          </w:p>
        </w:tc>
        <w:tc>
          <w:tcPr>
            <w:tcW w:w="1060" w:type="dxa"/>
            <w:vAlign w:val="bottom"/>
          </w:tcPr>
          <w:p>
            <w:pPr>
              <w:jc w:val="center"/>
              <w:ind w:left="207"/>
              <w:spacing w:after="0"/>
              <w:rPr>
                <w:sz w:val="20"/>
                <w:szCs w:val="20"/>
                <w:color w:val="auto"/>
              </w:rPr>
            </w:pPr>
            <w:r>
              <w:rPr>
                <w:rFonts w:ascii="Arial" w:cs="Arial" w:eastAsia="Arial" w:hAnsi="Arial"/>
                <w:sz w:val="28"/>
                <w:szCs w:val="28"/>
                <w:color w:val="auto"/>
                <w:w w:val="99"/>
              </w:rPr>
              <w:t>25%</w:t>
            </w:r>
          </w:p>
        </w:tc>
      </w:tr>
      <w:tr>
        <w:trPr>
          <w:trHeight w:val="847"/>
        </w:trPr>
        <w:tc>
          <w:tcPr>
            <w:tcW w:w="280" w:type="dxa"/>
            <w:vAlign w:val="bottom"/>
          </w:tcPr>
          <w:p>
            <w:pPr>
              <w:spacing w:after="0"/>
              <w:rPr>
                <w:sz w:val="20"/>
                <w:szCs w:val="20"/>
                <w:color w:val="auto"/>
              </w:rPr>
            </w:pPr>
            <w:r>
              <w:rPr>
                <w:rFonts w:ascii="Arial" w:cs="Arial" w:eastAsia="Arial" w:hAnsi="Arial"/>
                <w:sz w:val="28"/>
                <w:szCs w:val="28"/>
                <w:color w:val="auto"/>
              </w:rPr>
              <w:t>+</w:t>
            </w:r>
          </w:p>
        </w:tc>
        <w:tc>
          <w:tcPr>
            <w:tcW w:w="600" w:type="dxa"/>
            <w:vAlign w:val="bottom"/>
          </w:tcPr>
          <w:p>
            <w:pPr>
              <w:jc w:val="right"/>
              <w:ind w:right="179"/>
              <w:spacing w:after="0"/>
              <w:rPr>
                <w:sz w:val="20"/>
                <w:szCs w:val="20"/>
                <w:color w:val="auto"/>
              </w:rPr>
            </w:pPr>
            <w:r>
              <w:rPr>
                <w:rFonts w:ascii="Arial" w:cs="Arial" w:eastAsia="Arial" w:hAnsi="Arial"/>
                <w:sz w:val="28"/>
                <w:szCs w:val="28"/>
                <w:color w:val="auto"/>
              </w:rPr>
              <w:t>2</w:t>
            </w:r>
          </w:p>
        </w:tc>
        <w:tc>
          <w:tcPr>
            <w:tcW w:w="1060" w:type="dxa"/>
            <w:vAlign w:val="bottom"/>
          </w:tcPr>
          <w:p>
            <w:pPr>
              <w:jc w:val="center"/>
              <w:ind w:left="187"/>
              <w:spacing w:after="0"/>
              <w:rPr>
                <w:sz w:val="20"/>
                <w:szCs w:val="20"/>
                <w:color w:val="auto"/>
              </w:rPr>
            </w:pPr>
            <w:r>
              <w:rPr>
                <w:rFonts w:ascii="Arial" w:cs="Arial" w:eastAsia="Arial" w:hAnsi="Arial"/>
                <w:sz w:val="28"/>
                <w:szCs w:val="28"/>
                <w:color w:val="auto"/>
              </w:rPr>
              <w:t>8%</w:t>
            </w:r>
          </w:p>
        </w:tc>
      </w:tr>
      <w:tr>
        <w:trPr>
          <w:trHeight w:val="764"/>
        </w:trPr>
        <w:tc>
          <w:tcPr>
            <w:tcW w:w="280" w:type="dxa"/>
            <w:vAlign w:val="bottom"/>
          </w:tcPr>
          <w:p>
            <w:pPr>
              <w:spacing w:after="0"/>
              <w:rPr>
                <w:sz w:val="20"/>
                <w:szCs w:val="20"/>
                <w:color w:val="auto"/>
              </w:rPr>
            </w:pPr>
            <w:r>
              <w:rPr>
                <w:rFonts w:ascii="Arial" w:cs="Arial" w:eastAsia="Arial" w:hAnsi="Arial"/>
                <w:sz w:val="28"/>
                <w:szCs w:val="28"/>
                <w:color w:val="auto"/>
              </w:rPr>
              <w:t>+</w:t>
            </w:r>
          </w:p>
        </w:tc>
        <w:tc>
          <w:tcPr>
            <w:tcW w:w="600" w:type="dxa"/>
            <w:vAlign w:val="bottom"/>
          </w:tcPr>
          <w:p>
            <w:pPr>
              <w:jc w:val="right"/>
              <w:ind w:right="179"/>
              <w:spacing w:after="0"/>
              <w:rPr>
                <w:sz w:val="20"/>
                <w:szCs w:val="20"/>
                <w:color w:val="auto"/>
              </w:rPr>
            </w:pPr>
            <w:r>
              <w:rPr>
                <w:rFonts w:ascii="Arial" w:cs="Arial" w:eastAsia="Arial" w:hAnsi="Arial"/>
                <w:sz w:val="28"/>
                <w:szCs w:val="28"/>
                <w:color w:val="auto"/>
              </w:rPr>
              <w:t>4</w:t>
            </w:r>
          </w:p>
        </w:tc>
        <w:tc>
          <w:tcPr>
            <w:tcW w:w="1060" w:type="dxa"/>
            <w:vAlign w:val="bottom"/>
          </w:tcPr>
          <w:p>
            <w:pPr>
              <w:jc w:val="center"/>
              <w:ind w:left="207"/>
              <w:spacing w:after="0"/>
              <w:rPr>
                <w:sz w:val="20"/>
                <w:szCs w:val="20"/>
                <w:color w:val="auto"/>
              </w:rPr>
            </w:pPr>
            <w:r>
              <w:rPr>
                <w:rFonts w:ascii="Arial" w:cs="Arial" w:eastAsia="Arial" w:hAnsi="Arial"/>
                <w:sz w:val="28"/>
                <w:szCs w:val="28"/>
                <w:color w:val="auto"/>
                <w:w w:val="99"/>
              </w:rPr>
              <w:t>17%</w:t>
            </w:r>
          </w:p>
        </w:tc>
      </w:tr>
      <w:tr>
        <w:trPr>
          <w:trHeight w:val="600"/>
        </w:trPr>
        <w:tc>
          <w:tcPr>
            <w:tcW w:w="880" w:type="dxa"/>
            <w:vAlign w:val="bottom"/>
            <w:gridSpan w:val="2"/>
          </w:tcPr>
          <w:p>
            <w:pPr>
              <w:spacing w:after="0"/>
              <w:rPr>
                <w:sz w:val="20"/>
                <w:szCs w:val="20"/>
                <w:color w:val="auto"/>
              </w:rPr>
            </w:pPr>
            <w:r>
              <w:rPr>
                <w:rFonts w:ascii="Arial" w:cs="Arial" w:eastAsia="Arial" w:hAnsi="Arial"/>
                <w:sz w:val="28"/>
                <w:szCs w:val="28"/>
                <w:color w:val="auto"/>
              </w:rPr>
              <w:t>+ 24</w:t>
            </w:r>
          </w:p>
        </w:tc>
        <w:tc>
          <w:tcPr>
            <w:tcW w:w="1060" w:type="dxa"/>
            <w:vAlign w:val="bottom"/>
          </w:tcPr>
          <w:p>
            <w:pPr>
              <w:jc w:val="center"/>
              <w:ind w:left="207"/>
              <w:spacing w:after="0"/>
              <w:rPr>
                <w:sz w:val="20"/>
                <w:szCs w:val="20"/>
                <w:color w:val="auto"/>
              </w:rPr>
            </w:pPr>
            <w:r>
              <w:rPr>
                <w:rFonts w:ascii="Arial" w:cs="Arial" w:eastAsia="Arial" w:hAnsi="Arial"/>
                <w:sz w:val="28"/>
                <w:szCs w:val="28"/>
                <w:color w:val="auto"/>
              </w:rPr>
              <w:t>100%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Arial" w:cs="Arial" w:eastAsia="Arial" w:hAnsi="Arial"/>
          <w:sz w:val="28"/>
          <w:szCs w:val="28"/>
          <w:b w:val="1"/>
          <w:bCs w:val="1"/>
          <w:color w:val="FFFFFF"/>
        </w:rPr>
        <w:t>2011 H1 GM</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FFFFFF"/>
        </w:rPr>
        <w:t>Performance</w:t>
      </w:r>
    </w:p>
    <w:p>
      <w:pPr>
        <w:spacing w:after="0" w:line="255" w:lineRule="exact"/>
        <w:rPr>
          <w:sz w:val="20"/>
          <w:szCs w:val="20"/>
          <w:color w:val="auto"/>
        </w:rPr>
      </w:pPr>
    </w:p>
    <w:p>
      <w:pPr>
        <w:ind w:left="220"/>
        <w:spacing w:after="0"/>
        <w:tabs>
          <w:tab w:leader="none" w:pos="2000" w:val="left"/>
        </w:tabs>
        <w:rPr>
          <w:sz w:val="20"/>
          <w:szCs w:val="20"/>
          <w:color w:val="auto"/>
        </w:rPr>
      </w:pPr>
      <w:r>
        <w:rPr>
          <w:rFonts w:ascii="Arial" w:cs="Arial" w:eastAsia="Arial" w:hAnsi="Arial"/>
          <w:sz w:val="27"/>
          <w:szCs w:val="27"/>
          <w:b w:val="1"/>
          <w:bCs w:val="1"/>
          <w:color w:val="auto"/>
        </w:rPr>
        <w:t>Market</w:t>
      </w:r>
      <w:r>
        <w:rPr>
          <w:sz w:val="20"/>
          <w:szCs w:val="20"/>
          <w:color w:val="auto"/>
        </w:rPr>
        <w:tab/>
      </w:r>
      <w:r>
        <w:rPr>
          <w:rFonts w:ascii="Arial" w:cs="Arial" w:eastAsia="Arial" w:hAnsi="Arial"/>
          <w:sz w:val="27"/>
          <w:szCs w:val="27"/>
          <w:b w:val="1"/>
          <w:bCs w:val="1"/>
          <w:color w:val="auto"/>
        </w:rPr>
        <w:t>Market</w:t>
      </w:r>
    </w:p>
    <w:p>
      <w:pPr>
        <w:spacing w:after="0" w:line="65" w:lineRule="exact"/>
        <w:rPr>
          <w:sz w:val="20"/>
          <w:szCs w:val="20"/>
          <w:color w:val="auto"/>
        </w:rPr>
      </w:pPr>
    </w:p>
    <w:p>
      <w:pPr>
        <w:spacing w:after="0"/>
        <w:tabs>
          <w:tab w:leader="none" w:pos="1940" w:val="left"/>
        </w:tabs>
        <w:rPr>
          <w:sz w:val="20"/>
          <w:szCs w:val="20"/>
          <w:color w:val="auto"/>
        </w:rPr>
      </w:pPr>
      <w:r>
        <w:rPr>
          <w:rFonts w:ascii="Arial" w:cs="Arial" w:eastAsia="Arial" w:hAnsi="Arial"/>
          <w:sz w:val="28"/>
          <w:szCs w:val="28"/>
          <w:b w:val="1"/>
          <w:bCs w:val="1"/>
          <w:color w:val="auto"/>
        </w:rPr>
        <w:t>Position</w:t>
      </w:r>
      <w:r>
        <w:rPr>
          <w:rFonts w:ascii="Arial" w:cs="Arial" w:eastAsia="Arial" w:hAnsi="Arial"/>
          <w:sz w:val="21"/>
          <w:szCs w:val="21"/>
          <w:b w:val="1"/>
          <w:bCs w:val="1"/>
          <w:color w:val="auto"/>
        </w:rPr>
        <w:t>**</w:t>
      </w:r>
      <w:r>
        <w:rPr>
          <w:sz w:val="20"/>
          <w:szCs w:val="20"/>
          <w:color w:val="auto"/>
        </w:rPr>
        <w:tab/>
      </w:r>
      <w:r>
        <w:rPr>
          <w:rFonts w:ascii="Arial" w:cs="Arial" w:eastAsia="Arial" w:hAnsi="Arial"/>
          <w:sz w:val="28"/>
          <w:szCs w:val="28"/>
          <w:b w:val="1"/>
          <w:bCs w:val="1"/>
          <w:color w:val="auto"/>
        </w:rPr>
        <w:t>Share</w:t>
      </w:r>
      <w:r>
        <w:rPr>
          <w:rFonts w:ascii="Arial" w:cs="Arial" w:eastAsia="Arial" w:hAnsi="Arial"/>
          <w:sz w:val="21"/>
          <w:szCs w:val="21"/>
          <w:b w:val="1"/>
          <w:bCs w:val="1"/>
          <w:color w:val="auto"/>
        </w:rPr>
        <w:t>**</w:t>
      </w:r>
    </w:p>
    <w:p>
      <w:pPr>
        <w:spacing w:after="0" w:line="143" w:lineRule="exact"/>
        <w:rPr>
          <w:sz w:val="20"/>
          <w:szCs w:val="20"/>
          <w:color w:val="auto"/>
        </w:rPr>
      </w:pPr>
    </w:p>
    <w:p>
      <w:pPr>
        <w:ind w:left="600"/>
        <w:spacing w:after="0"/>
        <w:tabs>
          <w:tab w:leader="none" w:pos="2200" w:val="left"/>
        </w:tabs>
        <w:rPr>
          <w:sz w:val="20"/>
          <w:szCs w:val="20"/>
          <w:color w:val="auto"/>
        </w:rPr>
      </w:pPr>
      <w:r>
        <w:rPr>
          <w:rFonts w:ascii="Arial" w:cs="Arial" w:eastAsia="Arial" w:hAnsi="Arial"/>
          <w:sz w:val="28"/>
          <w:szCs w:val="28"/>
          <w:color w:val="auto"/>
        </w:rPr>
        <w:t>1</w:t>
      </w:r>
      <w:r>
        <w:rPr>
          <w:sz w:val="20"/>
          <w:szCs w:val="20"/>
          <w:color w:val="auto"/>
        </w:rPr>
        <w:tab/>
      </w:r>
      <w:r>
        <w:rPr>
          <w:rFonts w:ascii="Arial" w:cs="Arial" w:eastAsia="Arial" w:hAnsi="Arial"/>
          <w:sz w:val="25"/>
          <w:szCs w:val="25"/>
          <w:color w:val="auto"/>
        </w:rPr>
        <w:t>12%</w:t>
      </w:r>
    </w:p>
    <w:p>
      <w:pPr>
        <w:spacing w:after="0" w:line="8"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&gt;13%</w:t>
      </w:r>
    </w:p>
    <w:p>
      <w:pPr>
        <w:spacing w:after="0" w:line="376"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28"/>
          <w:szCs w:val="28"/>
          <w:color w:val="auto"/>
        </w:rPr>
        <w:t>1</w:t>
      </w:r>
      <w:r>
        <w:rPr>
          <w:sz w:val="20"/>
          <w:szCs w:val="20"/>
          <w:color w:val="auto"/>
        </w:rPr>
        <w:tab/>
      </w:r>
      <w:r>
        <w:rPr>
          <w:rFonts w:ascii="Arial" w:cs="Arial" w:eastAsia="Arial" w:hAnsi="Arial"/>
          <w:sz w:val="28"/>
          <w:szCs w:val="28"/>
          <w:color w:val="auto"/>
        </w:rPr>
        <w:t>19%</w:t>
      </w:r>
    </w:p>
    <w:p>
      <w:pPr>
        <w:spacing w:after="0" w:line="200" w:lineRule="exact"/>
        <w:rPr>
          <w:sz w:val="20"/>
          <w:szCs w:val="20"/>
          <w:color w:val="auto"/>
        </w:rPr>
      </w:pPr>
    </w:p>
    <w:p>
      <w:pPr>
        <w:spacing w:after="0" w:line="325" w:lineRule="exact"/>
        <w:rPr>
          <w:sz w:val="20"/>
          <w:szCs w:val="20"/>
          <w:color w:val="auto"/>
        </w:rPr>
      </w:pPr>
    </w:p>
    <w:p>
      <w:pPr>
        <w:ind w:left="600"/>
        <w:spacing w:after="0"/>
        <w:tabs>
          <w:tab w:leader="none" w:pos="2240" w:val="left"/>
        </w:tabs>
        <w:rPr>
          <w:sz w:val="20"/>
          <w:szCs w:val="20"/>
          <w:color w:val="auto"/>
        </w:rPr>
      </w:pPr>
      <w:r>
        <w:rPr>
          <w:rFonts w:ascii="Arial" w:cs="Arial" w:eastAsia="Arial" w:hAnsi="Arial"/>
          <w:sz w:val="28"/>
          <w:szCs w:val="28"/>
          <w:color w:val="auto"/>
        </w:rPr>
        <w:t>5</w:t>
      </w:r>
      <w:r>
        <w:rPr>
          <w:sz w:val="20"/>
          <w:szCs w:val="20"/>
          <w:color w:val="auto"/>
        </w:rPr>
        <w:tab/>
      </w:r>
      <w:r>
        <w:rPr>
          <w:rFonts w:ascii="Arial" w:cs="Arial" w:eastAsia="Arial" w:hAnsi="Arial"/>
          <w:sz w:val="28"/>
          <w:szCs w:val="28"/>
          <w:color w:val="auto"/>
        </w:rPr>
        <w:t>8%</w:t>
      </w:r>
    </w:p>
    <w:p>
      <w:pPr>
        <w:spacing w:after="0" w:line="200" w:lineRule="exact"/>
        <w:rPr>
          <w:sz w:val="20"/>
          <w:szCs w:val="20"/>
          <w:color w:val="auto"/>
        </w:rPr>
      </w:pPr>
    </w:p>
    <w:p>
      <w:pPr>
        <w:spacing w:after="0" w:line="242" w:lineRule="exact"/>
        <w:rPr>
          <w:sz w:val="20"/>
          <w:szCs w:val="20"/>
          <w:color w:val="auto"/>
        </w:rPr>
      </w:pPr>
    </w:p>
    <w:p>
      <w:pPr>
        <w:ind w:left="600"/>
        <w:spacing w:after="0"/>
        <w:tabs>
          <w:tab w:leader="none" w:pos="2240" w:val="left"/>
        </w:tabs>
        <w:rPr>
          <w:sz w:val="20"/>
          <w:szCs w:val="20"/>
          <w:color w:val="auto"/>
        </w:rPr>
      </w:pPr>
      <w:r>
        <w:rPr>
          <w:rFonts w:ascii="Arial" w:cs="Arial" w:eastAsia="Arial" w:hAnsi="Arial"/>
          <w:sz w:val="28"/>
          <w:szCs w:val="28"/>
          <w:color w:val="auto"/>
        </w:rPr>
        <w:t>3</w:t>
      </w:r>
      <w:r>
        <w:rPr>
          <w:sz w:val="20"/>
          <w:szCs w:val="20"/>
          <w:color w:val="auto"/>
        </w:rPr>
        <w:tab/>
      </w:r>
      <w:r>
        <w:rPr>
          <w:rFonts w:ascii="Arial" w:cs="Arial" w:eastAsia="Arial" w:hAnsi="Arial"/>
          <w:sz w:val="28"/>
          <w:szCs w:val="28"/>
          <w:color w:val="auto"/>
        </w:rPr>
        <w:t>8%</w:t>
      </w:r>
    </w:p>
    <w:p>
      <w:pPr>
        <w:spacing w:after="0" w:line="817" w:lineRule="exact"/>
        <w:rPr>
          <w:sz w:val="20"/>
          <w:szCs w:val="20"/>
          <w:color w:val="auto"/>
        </w:rPr>
      </w:pPr>
    </w:p>
    <w:p>
      <w:pPr>
        <w:sectPr>
          <w:pgSz w:w="11900" w:h="16838" w:orient="portrait"/>
          <w:cols w:equalWidth="0" w:num="3">
            <w:col w:w="3640" w:space="700"/>
            <w:col w:w="2220" w:space="660"/>
            <w:col w:w="3100"/>
          </w:cols>
          <w:pgMar w:left="580" w:top="597" w:right="99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80" w:right="2720" w:firstLine="9"/>
        <w:spacing w:after="0"/>
        <w:tabs>
          <w:tab w:leader="none" w:pos="253"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2010 industry volume &amp; 5 YR projected growth based on IHS Automotive car and light truck sales forecast July 2011 ** GM market position and share based on GM internal data and includes sales by joint ventures on a total vehicle basis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33</w:t>
      </w:r>
    </w:p>
    <w:p>
      <w:pPr>
        <w:sectPr>
          <w:pgSz w:w="11900" w:h="16838" w:orient="portrait"/>
          <w:cols w:equalWidth="0" w:num="1">
            <w:col w:w="10320"/>
          </w:cols>
          <w:pgMar w:left="580" w:top="597" w:right="999" w:bottom="1440" w:gutter="0" w:footer="0" w:header="0"/>
          <w:type w:val="continuous"/>
        </w:sectPr>
      </w:pPr>
    </w:p>
    <w:bookmarkStart w:id="50" w:name="page51"/>
    <w:bookmarkEnd w:id="50"/>
    <w:p>
      <w:pPr>
        <w:ind w:left="50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Significantly Lower Risk Profile</w:t>
      </w:r>
    </w:p>
    <w:p>
      <w:pPr>
        <w:sectPr>
          <w:pgSz w:w="11900" w:h="16838" w:orient="portrait"/>
          <w:cols w:equalWidth="0" w:num="1">
            <w:col w:w="9760"/>
          </w:cols>
          <w:pgMar w:left="1140" w:top="59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3"/>
        <w:spacing w:after="0" w:line="267" w:lineRule="auto"/>
        <w:rPr>
          <w:sz w:val="20"/>
          <w:szCs w:val="20"/>
          <w:color w:val="auto"/>
        </w:rPr>
      </w:pPr>
      <w:r>
        <w:rPr>
          <w:rFonts w:ascii="Arial" w:cs="Arial" w:eastAsia="Arial" w:hAnsi="Arial"/>
          <w:sz w:val="44"/>
          <w:szCs w:val="44"/>
          <w:b w:val="1"/>
          <w:bCs w:val="1"/>
          <w:color w:val="FFFFFF"/>
        </w:rPr>
        <w:t>Break-Even at Bottom of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3"/>
        <w:spacing w:after="0"/>
        <w:rPr>
          <w:sz w:val="20"/>
          <w:szCs w:val="20"/>
          <w:color w:val="auto"/>
        </w:rPr>
      </w:pPr>
      <w:r>
        <w:rPr>
          <w:rFonts w:ascii="Arial" w:cs="Arial" w:eastAsia="Arial" w:hAnsi="Arial"/>
          <w:sz w:val="44"/>
          <w:szCs w:val="44"/>
          <w:b w:val="1"/>
          <w:bCs w:val="1"/>
          <w:color w:val="FFFFFF"/>
        </w:rPr>
        <w:t>Fortress</w:t>
      </w:r>
    </w:p>
    <w:p>
      <w:pPr>
        <w:spacing w:after="0" w:line="72" w:lineRule="exact"/>
        <w:rPr>
          <w:sz w:val="20"/>
          <w:szCs w:val="20"/>
          <w:color w:val="auto"/>
        </w:rPr>
      </w:pPr>
    </w:p>
    <w:p>
      <w:pPr>
        <w:jc w:val="center"/>
        <w:ind w:right="73"/>
        <w:spacing w:after="0"/>
        <w:rPr>
          <w:sz w:val="20"/>
          <w:szCs w:val="20"/>
          <w:color w:val="auto"/>
        </w:rPr>
      </w:pPr>
      <w:r>
        <w:rPr>
          <w:rFonts w:ascii="Arial" w:cs="Arial" w:eastAsia="Arial" w:hAnsi="Arial"/>
          <w:sz w:val="42"/>
          <w:szCs w:val="42"/>
          <w:b w:val="1"/>
          <w:bCs w:val="1"/>
          <w:color w:val="FFFFFF"/>
        </w:rPr>
        <w:t>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7" w:hanging="427"/>
        <w:spacing w:after="0"/>
        <w:tabs>
          <w:tab w:leader="none" w:pos="427" w:val="left"/>
        </w:tabs>
        <w:numPr>
          <w:ilvl w:val="0"/>
          <w:numId w:val="18"/>
        </w:numPr>
        <w:rPr>
          <w:rFonts w:ascii="Arial" w:cs="Arial" w:eastAsia="Arial" w:hAnsi="Arial"/>
          <w:sz w:val="32"/>
          <w:szCs w:val="32"/>
          <w:color w:val="auto"/>
        </w:rPr>
      </w:pPr>
      <w:r>
        <w:rPr>
          <w:rFonts w:ascii="Arial" w:cs="Arial" w:eastAsia="Arial" w:hAnsi="Arial"/>
          <w:sz w:val="32"/>
          <w:szCs w:val="32"/>
          <w:color w:val="auto"/>
        </w:rPr>
        <w:t>Profitable in all regions, Q2 2011</w:t>
      </w:r>
    </w:p>
    <w:p>
      <w:pPr>
        <w:spacing w:after="0" w:line="102" w:lineRule="exact"/>
        <w:rPr>
          <w:rFonts w:ascii="Arial" w:cs="Arial" w:eastAsia="Arial" w:hAnsi="Arial"/>
          <w:sz w:val="32"/>
          <w:szCs w:val="32"/>
          <w:color w:val="auto"/>
        </w:rPr>
      </w:pPr>
    </w:p>
    <w:p>
      <w:pPr>
        <w:ind w:left="427" w:right="1160" w:hanging="427"/>
        <w:spacing w:after="0" w:line="254" w:lineRule="auto"/>
        <w:tabs>
          <w:tab w:leader="none" w:pos="427" w:val="left"/>
        </w:tabs>
        <w:numPr>
          <w:ilvl w:val="0"/>
          <w:numId w:val="18"/>
        </w:numPr>
        <w:rPr>
          <w:rFonts w:ascii="Arial" w:cs="Arial" w:eastAsia="Arial" w:hAnsi="Arial"/>
          <w:sz w:val="32"/>
          <w:szCs w:val="32"/>
          <w:color w:val="auto"/>
        </w:rPr>
      </w:pPr>
      <w:r>
        <w:rPr>
          <w:rFonts w:ascii="Arial" w:cs="Arial" w:eastAsia="Arial" w:hAnsi="Arial"/>
          <w:sz w:val="32"/>
          <w:szCs w:val="32"/>
          <w:color w:val="auto"/>
        </w:rPr>
        <w:t>H1 GMNA EBIT-Adj. $3.5B, US SAAR 12.8M</w:t>
      </w:r>
    </w:p>
    <w:p>
      <w:pPr>
        <w:spacing w:after="0" w:line="67" w:lineRule="exact"/>
        <w:rPr>
          <w:rFonts w:ascii="Arial" w:cs="Arial" w:eastAsia="Arial" w:hAnsi="Arial"/>
          <w:sz w:val="32"/>
          <w:szCs w:val="32"/>
          <w:color w:val="auto"/>
        </w:rPr>
      </w:pPr>
    </w:p>
    <w:p>
      <w:pPr>
        <w:ind w:left="427" w:right="800" w:hanging="427"/>
        <w:spacing w:after="0" w:line="254" w:lineRule="auto"/>
        <w:tabs>
          <w:tab w:leader="none" w:pos="427" w:val="left"/>
        </w:tabs>
        <w:numPr>
          <w:ilvl w:val="0"/>
          <w:numId w:val="18"/>
        </w:numPr>
        <w:rPr>
          <w:rFonts w:ascii="Arial" w:cs="Arial" w:eastAsia="Arial" w:hAnsi="Arial"/>
          <w:sz w:val="32"/>
          <w:szCs w:val="32"/>
          <w:color w:val="auto"/>
        </w:rPr>
      </w:pPr>
      <w:r>
        <w:rPr>
          <w:rFonts w:ascii="Arial" w:cs="Arial" w:eastAsia="Arial" w:hAnsi="Arial"/>
          <w:sz w:val="32"/>
          <w:szCs w:val="32"/>
          <w:color w:val="auto"/>
        </w:rPr>
        <w:t>H1 GME EBIT-Adj. $0.1B, +$0.9B vs. 2010</w:t>
      </w:r>
    </w:p>
    <w:p>
      <w:pPr>
        <w:spacing w:after="0" w:line="200" w:lineRule="exact"/>
        <w:rPr>
          <w:rFonts w:ascii="Arial" w:cs="Arial" w:eastAsia="Arial" w:hAnsi="Arial"/>
          <w:sz w:val="32"/>
          <w:szCs w:val="32"/>
          <w:color w:val="auto"/>
        </w:rPr>
      </w:pPr>
    </w:p>
    <w:p>
      <w:pPr>
        <w:spacing w:after="0" w:line="200" w:lineRule="exact"/>
        <w:rPr>
          <w:rFonts w:ascii="Arial" w:cs="Arial" w:eastAsia="Arial" w:hAnsi="Arial"/>
          <w:sz w:val="32"/>
          <w:szCs w:val="32"/>
          <w:color w:val="auto"/>
        </w:rPr>
      </w:pPr>
    </w:p>
    <w:p>
      <w:pPr>
        <w:spacing w:after="0" w:line="200" w:lineRule="exact"/>
        <w:rPr>
          <w:rFonts w:ascii="Arial" w:cs="Arial" w:eastAsia="Arial" w:hAnsi="Arial"/>
          <w:sz w:val="32"/>
          <w:szCs w:val="32"/>
          <w:color w:val="auto"/>
        </w:rPr>
      </w:pPr>
    </w:p>
    <w:p>
      <w:pPr>
        <w:spacing w:after="0" w:line="200" w:lineRule="exact"/>
        <w:rPr>
          <w:rFonts w:ascii="Arial" w:cs="Arial" w:eastAsia="Arial" w:hAnsi="Arial"/>
          <w:sz w:val="32"/>
          <w:szCs w:val="32"/>
          <w:color w:val="auto"/>
        </w:rPr>
      </w:pPr>
    </w:p>
    <w:p>
      <w:pPr>
        <w:spacing w:after="0" w:line="200" w:lineRule="exact"/>
        <w:rPr>
          <w:rFonts w:ascii="Arial" w:cs="Arial" w:eastAsia="Arial" w:hAnsi="Arial"/>
          <w:sz w:val="32"/>
          <w:szCs w:val="32"/>
          <w:color w:val="auto"/>
        </w:rPr>
      </w:pPr>
    </w:p>
    <w:p>
      <w:pPr>
        <w:spacing w:after="0" w:line="200" w:lineRule="exact"/>
        <w:rPr>
          <w:rFonts w:ascii="Arial" w:cs="Arial" w:eastAsia="Arial" w:hAnsi="Arial"/>
          <w:sz w:val="32"/>
          <w:szCs w:val="32"/>
          <w:color w:val="auto"/>
        </w:rPr>
      </w:pPr>
    </w:p>
    <w:p>
      <w:pPr>
        <w:spacing w:after="0" w:line="266" w:lineRule="exact"/>
        <w:rPr>
          <w:rFonts w:ascii="Arial" w:cs="Arial" w:eastAsia="Arial" w:hAnsi="Arial"/>
          <w:sz w:val="32"/>
          <w:szCs w:val="32"/>
          <w:color w:val="auto"/>
        </w:rPr>
      </w:pPr>
    </w:p>
    <w:p>
      <w:pPr>
        <w:ind w:left="347" w:hanging="347"/>
        <w:spacing w:after="0"/>
        <w:tabs>
          <w:tab w:leader="none" w:pos="347" w:val="left"/>
        </w:tabs>
        <w:numPr>
          <w:ilvl w:val="0"/>
          <w:numId w:val="18"/>
        </w:numPr>
        <w:rPr>
          <w:rFonts w:ascii="Arial" w:cs="Arial" w:eastAsia="Arial" w:hAnsi="Arial"/>
          <w:sz w:val="32"/>
          <w:szCs w:val="32"/>
          <w:color w:val="auto"/>
        </w:rPr>
      </w:pPr>
      <w:r>
        <w:rPr>
          <w:rFonts w:ascii="Arial" w:cs="Arial" w:eastAsia="Arial" w:hAnsi="Arial"/>
          <w:sz w:val="32"/>
          <w:szCs w:val="32"/>
          <w:color w:val="auto"/>
        </w:rPr>
        <w:t>$39.7B Automotive Liquidity</w:t>
      </w:r>
    </w:p>
    <w:p>
      <w:pPr>
        <w:spacing w:after="0" w:line="102" w:lineRule="exact"/>
        <w:rPr>
          <w:rFonts w:ascii="Arial" w:cs="Arial" w:eastAsia="Arial" w:hAnsi="Arial"/>
          <w:sz w:val="32"/>
          <w:szCs w:val="32"/>
          <w:color w:val="auto"/>
        </w:rPr>
      </w:pPr>
    </w:p>
    <w:p>
      <w:pPr>
        <w:ind w:left="347" w:hanging="347"/>
        <w:spacing w:after="0"/>
        <w:tabs>
          <w:tab w:leader="none" w:pos="347" w:val="left"/>
        </w:tabs>
        <w:numPr>
          <w:ilvl w:val="0"/>
          <w:numId w:val="18"/>
        </w:numPr>
        <w:rPr>
          <w:rFonts w:ascii="Arial" w:cs="Arial" w:eastAsia="Arial" w:hAnsi="Arial"/>
          <w:sz w:val="32"/>
          <w:szCs w:val="32"/>
          <w:color w:val="auto"/>
        </w:rPr>
      </w:pPr>
      <w:r>
        <w:rPr>
          <w:rFonts w:ascii="Arial" w:cs="Arial" w:eastAsia="Arial" w:hAnsi="Arial"/>
          <w:sz w:val="32"/>
          <w:szCs w:val="32"/>
          <w:color w:val="auto"/>
        </w:rPr>
        <w:t>$4.7B Automotive Debt</w:t>
      </w:r>
    </w:p>
    <w:p>
      <w:pPr>
        <w:spacing w:after="0" w:line="102" w:lineRule="exact"/>
        <w:rPr>
          <w:rFonts w:ascii="Arial" w:cs="Arial" w:eastAsia="Arial" w:hAnsi="Arial"/>
          <w:sz w:val="32"/>
          <w:szCs w:val="32"/>
          <w:color w:val="auto"/>
        </w:rPr>
      </w:pPr>
    </w:p>
    <w:p>
      <w:pPr>
        <w:ind w:left="347" w:right="680" w:hanging="347"/>
        <w:spacing w:after="0" w:line="254" w:lineRule="auto"/>
        <w:tabs>
          <w:tab w:leader="none" w:pos="347" w:val="left"/>
        </w:tabs>
        <w:numPr>
          <w:ilvl w:val="0"/>
          <w:numId w:val="18"/>
        </w:numPr>
        <w:rPr>
          <w:rFonts w:ascii="Arial" w:cs="Arial" w:eastAsia="Arial" w:hAnsi="Arial"/>
          <w:sz w:val="32"/>
          <w:szCs w:val="32"/>
          <w:color w:val="auto"/>
        </w:rPr>
      </w:pPr>
      <w:r>
        <w:rPr>
          <w:rFonts w:ascii="Arial" w:cs="Arial" w:eastAsia="Arial" w:hAnsi="Arial"/>
          <w:sz w:val="32"/>
          <w:szCs w:val="32"/>
          <w:color w:val="auto"/>
        </w:rPr>
        <w:t>$10.8B underfunded status of U.S. qualified pension plans</w:t>
      </w:r>
    </w:p>
    <w:p>
      <w:pPr>
        <w:spacing w:after="0" w:line="200" w:lineRule="exact"/>
        <w:rPr>
          <w:sz w:val="20"/>
          <w:szCs w:val="20"/>
          <w:color w:val="auto"/>
        </w:rPr>
      </w:pPr>
    </w:p>
    <w:p>
      <w:pPr>
        <w:sectPr>
          <w:pgSz w:w="11900" w:h="16838" w:orient="portrait"/>
          <w:cols w:equalWidth="0" w:num="2">
            <w:col w:w="3053" w:space="720"/>
            <w:col w:w="5987"/>
          </w:cols>
          <w:pgMar w:left="1140" w:top="59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540"/>
        <w:spacing w:after="0"/>
        <w:rPr>
          <w:sz w:val="20"/>
          <w:szCs w:val="20"/>
          <w:color w:val="auto"/>
        </w:rPr>
      </w:pPr>
      <w:r>
        <w:rPr>
          <w:rFonts w:ascii="Arial" w:cs="Arial" w:eastAsia="Arial" w:hAnsi="Arial"/>
          <w:sz w:val="19"/>
          <w:szCs w:val="19"/>
          <w:b w:val="1"/>
          <w:bCs w:val="1"/>
          <w:color w:val="auto"/>
        </w:rPr>
        <w:t>34</w:t>
      </w:r>
    </w:p>
    <w:p>
      <w:pPr>
        <w:sectPr>
          <w:pgSz w:w="11900" w:h="16838" w:orient="portrait"/>
          <w:cols w:equalWidth="0" w:num="1">
            <w:col w:w="9760"/>
          </w:cols>
          <w:pgMar w:left="1140" w:top="597" w:right="999" w:bottom="1440" w:gutter="0" w:footer="0" w:header="0"/>
          <w:type w:val="continuous"/>
        </w:sectPr>
      </w:pPr>
    </w:p>
    <w:bookmarkStart w:id="51" w:name="page52"/>
    <w:bookmarkEnd w:id="51"/>
    <w:p>
      <w:pPr>
        <w:ind w:left="2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New 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80"/>
        <w:spacing w:after="0"/>
        <w:rPr>
          <w:sz w:val="20"/>
          <w:szCs w:val="20"/>
          <w:color w:val="auto"/>
        </w:rPr>
      </w:pPr>
      <w:r>
        <w:rPr>
          <w:rFonts w:ascii="Arial" w:cs="Arial" w:eastAsia="Arial" w:hAnsi="Arial"/>
          <w:sz w:val="44"/>
          <w:szCs w:val="44"/>
          <w:b w:val="1"/>
          <w:bCs w:val="1"/>
          <w:color w:val="FFFFFF"/>
        </w:rPr>
        <w:t>New</w:t>
      </w:r>
    </w:p>
    <w:p>
      <w:pPr>
        <w:jc w:val="center"/>
        <w:ind w:right="600"/>
        <w:spacing w:after="0" w:line="211" w:lineRule="auto"/>
        <w:rPr>
          <w:sz w:val="20"/>
          <w:szCs w:val="20"/>
          <w:color w:val="auto"/>
        </w:rPr>
      </w:pPr>
      <w:r>
        <w:rPr>
          <w:rFonts w:ascii="Arial" w:cs="Arial" w:eastAsia="Arial" w:hAnsi="Arial"/>
          <w:sz w:val="44"/>
          <w:szCs w:val="44"/>
          <w:b w:val="1"/>
          <w:bCs w:val="1"/>
          <w:color w:val="FFFFFF"/>
        </w:rPr>
        <w:t>Business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44"/>
          <w:szCs w:val="44"/>
          <w:b w:val="1"/>
          <w:bCs w:val="1"/>
          <w:color w:val="FFFFFF"/>
        </w:rPr>
        <w:t>Model</w:t>
      </w:r>
    </w:p>
    <w:p>
      <w:pPr>
        <w:spacing w:after="0" w:line="200" w:lineRule="exact"/>
        <w:rPr>
          <w:sz w:val="20"/>
          <w:szCs w:val="20"/>
          <w:color w:val="auto"/>
        </w:rPr>
      </w:pPr>
    </w:p>
    <w:p>
      <w:pPr>
        <w:spacing w:after="0" w:line="340" w:lineRule="exact"/>
        <w:rPr>
          <w:sz w:val="20"/>
          <w:szCs w:val="20"/>
          <w:color w:val="auto"/>
        </w:rPr>
      </w:pPr>
    </w:p>
    <w:p>
      <w:pPr>
        <w:jc w:val="center"/>
        <w:ind w:right="600"/>
        <w:spacing w:after="0"/>
        <w:rPr>
          <w:sz w:val="20"/>
          <w:szCs w:val="20"/>
          <w:color w:val="auto"/>
        </w:rPr>
      </w:pPr>
      <w:r>
        <w:rPr>
          <w:rFonts w:ascii="Arial" w:cs="Arial" w:eastAsia="Arial" w:hAnsi="Arial"/>
          <w:sz w:val="44"/>
          <w:szCs w:val="44"/>
          <w:b w:val="1"/>
          <w:bCs w:val="1"/>
          <w:color w:val="FFFFFF"/>
        </w:rPr>
        <w:t>Leverage</w:t>
      </w:r>
    </w:p>
    <w:p>
      <w:pPr>
        <w:jc w:val="center"/>
        <w:ind w:right="580"/>
        <w:spacing w:after="0"/>
        <w:rPr>
          <w:sz w:val="20"/>
          <w:szCs w:val="20"/>
          <w:color w:val="auto"/>
        </w:rPr>
      </w:pPr>
      <w:r>
        <w:rPr>
          <w:rFonts w:ascii="Arial" w:cs="Arial" w:eastAsia="Arial" w:hAnsi="Arial"/>
          <w:sz w:val="44"/>
          <w:szCs w:val="44"/>
          <w:b w:val="1"/>
          <w:bCs w:val="1"/>
          <w:color w:val="FFFFFF"/>
        </w:rPr>
        <w:t>to Global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spacing w:after="0"/>
        <w:rPr>
          <w:sz w:val="20"/>
          <w:szCs w:val="20"/>
          <w:color w:val="auto"/>
        </w:rPr>
      </w:pPr>
      <w:r>
        <w:rPr>
          <w:rFonts w:ascii="Arial" w:cs="Arial" w:eastAsia="Arial" w:hAnsi="Arial"/>
          <w:sz w:val="44"/>
          <w:szCs w:val="44"/>
          <w:b w:val="1"/>
          <w:bCs w:val="1"/>
          <w:color w:val="FFFFFF"/>
        </w:rPr>
        <w:t>Significantly Lower Risk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35</w:t>
      </w:r>
    </w:p>
    <w:p>
      <w:pPr>
        <w:sectPr>
          <w:pgSz w:w="11900" w:h="16838" w:orient="portrait"/>
          <w:cols w:equalWidth="0" w:num="1">
            <w:col w:w="9460"/>
          </w:cols>
          <w:pgMar w:left="1440" w:top="597" w:right="99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0384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303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39"/>
          <w:szCs w:val="39"/>
          <w:b w:val="1"/>
          <w:bCs w:val="1"/>
          <w:color w:val="auto"/>
        </w:rPr>
        <w:t>General Motors Company</w:t>
      </w: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38"/>
          <w:szCs w:val="38"/>
          <w:b w:val="1"/>
          <w:bCs w:val="1"/>
          <w:color w:val="auto"/>
        </w:rPr>
        <w:t>Select Supplemental Financial Information</w:t>
      </w:r>
    </w:p>
    <w:p>
      <w:pPr>
        <w:sectPr>
          <w:pgSz w:w="11900" w:h="16838" w:orient="portrait"/>
          <w:cols w:equalWidth="0" w:num="1">
            <w:col w:w="9019"/>
          </w:cols>
          <w:pgMar w:left="1440" w:top="1440" w:right="1440" w:bottom="1440" w:gutter="0" w:footer="0" w:header="0"/>
        </w:sectPr>
      </w:pPr>
    </w:p>
    <w:bookmarkStart w:id="53" w:name="page54"/>
    <w:bookmarkEnd w:id="53"/>
    <w:p>
      <w:pPr>
        <w:ind w:left="106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EBIT Walk to Net Income to Common Stockholders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040" w:type="dxa"/>
            <w:vAlign w:val="bottom"/>
          </w:tcPr>
          <w:p>
            <w:pPr>
              <w:spacing w:after="0"/>
              <w:rPr>
                <w:sz w:val="24"/>
                <w:szCs w:val="24"/>
                <w:color w:val="auto"/>
              </w:rPr>
            </w:pPr>
          </w:p>
        </w:tc>
        <w:tc>
          <w:tcPr>
            <w:tcW w:w="1660" w:type="dxa"/>
            <w:vAlign w:val="bottom"/>
          </w:tcPr>
          <w:p>
            <w:pPr>
              <w:jc w:val="right"/>
              <w:ind w:right="492"/>
              <w:spacing w:after="0"/>
              <w:rPr>
                <w:sz w:val="20"/>
                <w:szCs w:val="20"/>
                <w:color w:val="auto"/>
              </w:rPr>
            </w:pPr>
            <w:r>
              <w:rPr>
                <w:rFonts w:ascii="Arial" w:cs="Arial" w:eastAsia="Arial" w:hAnsi="Arial"/>
                <w:sz w:val="25"/>
                <w:szCs w:val="25"/>
                <w:b w:val="1"/>
                <w:bCs w:val="1"/>
                <w:color w:val="auto"/>
              </w:rPr>
              <w:t>Q2</w:t>
            </w:r>
          </w:p>
        </w:tc>
        <w:tc>
          <w:tcPr>
            <w:tcW w:w="1620" w:type="dxa"/>
            <w:vAlign w:val="bottom"/>
          </w:tcPr>
          <w:p>
            <w:pPr>
              <w:jc w:val="right"/>
              <w:ind w:right="574"/>
              <w:spacing w:after="0"/>
              <w:rPr>
                <w:sz w:val="20"/>
                <w:szCs w:val="20"/>
                <w:color w:val="auto"/>
              </w:rPr>
            </w:pPr>
            <w:r>
              <w:rPr>
                <w:rFonts w:ascii="Arial" w:cs="Arial" w:eastAsia="Arial" w:hAnsi="Arial"/>
                <w:sz w:val="25"/>
                <w:szCs w:val="25"/>
                <w:b w:val="1"/>
                <w:bCs w:val="1"/>
                <w:color w:val="auto"/>
              </w:rPr>
              <w:t>Q2</w:t>
            </w:r>
          </w:p>
        </w:tc>
      </w:tr>
      <w:tr>
        <w:trPr>
          <w:trHeight w:val="375"/>
        </w:trPr>
        <w:tc>
          <w:tcPr>
            <w:tcW w:w="7040" w:type="dxa"/>
            <w:vAlign w:val="bottom"/>
          </w:tcPr>
          <w:p>
            <w:pPr>
              <w:ind w:left="680"/>
              <w:spacing w:after="0"/>
              <w:rPr>
                <w:sz w:val="20"/>
                <w:szCs w:val="20"/>
                <w:color w:val="auto"/>
              </w:rPr>
            </w:pPr>
            <w:r>
              <w:rPr>
                <w:rFonts w:ascii="Arial" w:cs="Arial" w:eastAsia="Arial" w:hAnsi="Arial"/>
                <w:sz w:val="28"/>
                <w:szCs w:val="28"/>
                <w:b w:val="1"/>
                <w:bCs w:val="1"/>
                <w:color w:val="auto"/>
              </w:rPr>
              <w:t>($B)</w:t>
            </w:r>
          </w:p>
        </w:tc>
        <w:tc>
          <w:tcPr>
            <w:tcW w:w="1660" w:type="dxa"/>
            <w:vAlign w:val="bottom"/>
          </w:tcPr>
          <w:p>
            <w:pPr>
              <w:jc w:val="center"/>
              <w:spacing w:after="0"/>
              <w:rPr>
                <w:sz w:val="20"/>
                <w:szCs w:val="20"/>
                <w:color w:val="auto"/>
              </w:rPr>
            </w:pPr>
            <w:r>
              <w:rPr>
                <w:rFonts w:ascii="Arial" w:cs="Arial" w:eastAsia="Arial" w:hAnsi="Arial"/>
                <w:sz w:val="28"/>
                <w:szCs w:val="28"/>
                <w:b w:val="1"/>
                <w:bCs w:val="1"/>
                <w:color w:val="auto"/>
                <w:w w:val="99"/>
              </w:rPr>
              <w:t>2010</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w w:val="99"/>
              </w:rPr>
              <w:t>2011</w:t>
            </w:r>
          </w:p>
        </w:tc>
      </w:tr>
      <w:tr>
        <w:trPr>
          <w:trHeight w:val="437"/>
        </w:trPr>
        <w:tc>
          <w:tcPr>
            <w:tcW w:w="7040" w:type="dxa"/>
            <w:vAlign w:val="bottom"/>
          </w:tcPr>
          <w:p>
            <w:pPr>
              <w:ind w:left="680"/>
              <w:spacing w:after="0"/>
              <w:rPr>
                <w:sz w:val="20"/>
                <w:szCs w:val="20"/>
                <w:color w:val="auto"/>
              </w:rPr>
            </w:pPr>
            <w:r>
              <w:rPr>
                <w:rFonts w:ascii="Arial" w:cs="Arial" w:eastAsia="Arial" w:hAnsi="Arial"/>
                <w:sz w:val="25"/>
                <w:szCs w:val="25"/>
                <w:color w:val="auto"/>
              </w:rPr>
              <w:t>GMNA</w:t>
            </w:r>
          </w:p>
        </w:tc>
        <w:tc>
          <w:tcPr>
            <w:tcW w:w="1660" w:type="dxa"/>
            <w:vAlign w:val="bottom"/>
          </w:tcPr>
          <w:p>
            <w:pPr>
              <w:jc w:val="right"/>
              <w:ind w:right="492"/>
              <w:spacing w:after="0"/>
              <w:rPr>
                <w:sz w:val="20"/>
                <w:szCs w:val="20"/>
                <w:color w:val="auto"/>
              </w:rPr>
            </w:pPr>
            <w:r>
              <w:rPr>
                <w:rFonts w:ascii="Arial" w:cs="Arial" w:eastAsia="Arial" w:hAnsi="Arial"/>
                <w:sz w:val="25"/>
                <w:szCs w:val="25"/>
                <w:color w:val="auto"/>
              </w:rPr>
              <w:t>1.6</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2.2</w:t>
            </w:r>
          </w:p>
        </w:tc>
      </w:tr>
      <w:tr>
        <w:trPr>
          <w:trHeight w:val="412"/>
        </w:trPr>
        <w:tc>
          <w:tcPr>
            <w:tcW w:w="7040" w:type="dxa"/>
            <w:vAlign w:val="bottom"/>
          </w:tcPr>
          <w:p>
            <w:pPr>
              <w:ind w:left="680"/>
              <w:spacing w:after="0"/>
              <w:rPr>
                <w:sz w:val="20"/>
                <w:szCs w:val="20"/>
                <w:color w:val="auto"/>
              </w:rPr>
            </w:pPr>
            <w:r>
              <w:rPr>
                <w:rFonts w:ascii="Arial" w:cs="Arial" w:eastAsia="Arial" w:hAnsi="Arial"/>
                <w:sz w:val="25"/>
                <w:szCs w:val="25"/>
                <w:color w:val="auto"/>
              </w:rPr>
              <w:t>GME</w:t>
            </w:r>
          </w:p>
        </w:tc>
        <w:tc>
          <w:tcPr>
            <w:tcW w:w="1660" w:type="dxa"/>
            <w:vAlign w:val="bottom"/>
          </w:tcPr>
          <w:p>
            <w:pPr>
              <w:jc w:val="right"/>
              <w:ind w:right="412"/>
              <w:spacing w:after="0"/>
              <w:rPr>
                <w:sz w:val="20"/>
                <w:szCs w:val="20"/>
                <w:color w:val="auto"/>
              </w:rPr>
            </w:pPr>
            <w:r>
              <w:rPr>
                <w:rFonts w:ascii="Arial" w:cs="Arial" w:eastAsia="Arial" w:hAnsi="Arial"/>
                <w:sz w:val="25"/>
                <w:szCs w:val="25"/>
                <w:color w:val="auto"/>
              </w:rPr>
              <w:t>(0.2)</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0.1</w:t>
            </w:r>
          </w:p>
        </w:tc>
      </w:tr>
      <w:tr>
        <w:trPr>
          <w:trHeight w:val="412"/>
        </w:trPr>
        <w:tc>
          <w:tcPr>
            <w:tcW w:w="7040" w:type="dxa"/>
            <w:vAlign w:val="bottom"/>
          </w:tcPr>
          <w:p>
            <w:pPr>
              <w:ind w:left="680"/>
              <w:spacing w:after="0"/>
              <w:rPr>
                <w:sz w:val="20"/>
                <w:szCs w:val="20"/>
                <w:color w:val="auto"/>
              </w:rPr>
            </w:pPr>
            <w:r>
              <w:rPr>
                <w:rFonts w:ascii="Arial" w:cs="Arial" w:eastAsia="Arial" w:hAnsi="Arial"/>
                <w:sz w:val="25"/>
                <w:szCs w:val="25"/>
                <w:color w:val="auto"/>
              </w:rPr>
              <w:t>GMIO</w:t>
            </w:r>
          </w:p>
        </w:tc>
        <w:tc>
          <w:tcPr>
            <w:tcW w:w="1660" w:type="dxa"/>
            <w:vAlign w:val="bottom"/>
          </w:tcPr>
          <w:p>
            <w:pPr>
              <w:jc w:val="right"/>
              <w:ind w:right="492"/>
              <w:spacing w:after="0"/>
              <w:rPr>
                <w:sz w:val="20"/>
                <w:szCs w:val="20"/>
                <w:color w:val="auto"/>
              </w:rPr>
            </w:pPr>
            <w:r>
              <w:rPr>
                <w:rFonts w:ascii="Arial" w:cs="Arial" w:eastAsia="Arial" w:hAnsi="Arial"/>
                <w:sz w:val="25"/>
                <w:szCs w:val="25"/>
                <w:color w:val="auto"/>
              </w:rPr>
              <w:t>0.5</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0.6</w:t>
            </w:r>
          </w:p>
        </w:tc>
      </w:tr>
      <w:tr>
        <w:trPr>
          <w:trHeight w:val="412"/>
        </w:trPr>
        <w:tc>
          <w:tcPr>
            <w:tcW w:w="7040" w:type="dxa"/>
            <w:vAlign w:val="bottom"/>
          </w:tcPr>
          <w:p>
            <w:pPr>
              <w:ind w:left="680"/>
              <w:spacing w:after="0"/>
              <w:rPr>
                <w:sz w:val="20"/>
                <w:szCs w:val="20"/>
                <w:color w:val="auto"/>
              </w:rPr>
            </w:pPr>
            <w:r>
              <w:rPr>
                <w:rFonts w:ascii="Arial" w:cs="Arial" w:eastAsia="Arial" w:hAnsi="Arial"/>
                <w:sz w:val="25"/>
                <w:szCs w:val="25"/>
                <w:color w:val="auto"/>
              </w:rPr>
              <w:t>GMSA</w:t>
            </w:r>
          </w:p>
        </w:tc>
        <w:tc>
          <w:tcPr>
            <w:tcW w:w="1660" w:type="dxa"/>
            <w:vAlign w:val="bottom"/>
          </w:tcPr>
          <w:p>
            <w:pPr>
              <w:jc w:val="right"/>
              <w:ind w:right="492"/>
              <w:spacing w:after="0"/>
              <w:rPr>
                <w:sz w:val="20"/>
                <w:szCs w:val="20"/>
                <w:color w:val="auto"/>
              </w:rPr>
            </w:pPr>
            <w:r>
              <w:rPr>
                <w:rFonts w:ascii="Arial" w:cs="Arial" w:eastAsia="Arial" w:hAnsi="Arial"/>
                <w:sz w:val="25"/>
                <w:szCs w:val="25"/>
                <w:color w:val="auto"/>
              </w:rPr>
              <w:t>0.2</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0.1</w:t>
            </w:r>
          </w:p>
        </w:tc>
      </w:tr>
      <w:tr>
        <w:trPr>
          <w:trHeight w:val="423"/>
        </w:trPr>
        <w:tc>
          <w:tcPr>
            <w:tcW w:w="7040" w:type="dxa"/>
            <w:vAlign w:val="bottom"/>
          </w:tcPr>
          <w:p>
            <w:pPr>
              <w:ind w:left="680"/>
              <w:spacing w:after="0"/>
              <w:rPr>
                <w:sz w:val="20"/>
                <w:szCs w:val="20"/>
                <w:color w:val="auto"/>
              </w:rPr>
            </w:pPr>
            <w:r>
              <w:rPr>
                <w:rFonts w:ascii="Arial" w:cs="Arial" w:eastAsia="Arial" w:hAnsi="Arial"/>
                <w:sz w:val="25"/>
                <w:szCs w:val="25"/>
                <w:color w:val="auto"/>
              </w:rPr>
              <w:t>Corp &amp; Elims</w:t>
            </w:r>
          </w:p>
        </w:tc>
        <w:tc>
          <w:tcPr>
            <w:tcW w:w="1660" w:type="dxa"/>
            <w:vAlign w:val="bottom"/>
          </w:tcPr>
          <w:p>
            <w:pPr>
              <w:jc w:val="right"/>
              <w:ind w:right="412"/>
              <w:spacing w:after="0"/>
              <w:rPr>
                <w:sz w:val="20"/>
                <w:szCs w:val="20"/>
                <w:color w:val="auto"/>
              </w:rPr>
            </w:pPr>
            <w:r>
              <w:rPr>
                <w:rFonts w:ascii="Arial" w:cs="Arial" w:eastAsia="Arial" w:hAnsi="Arial"/>
                <w:sz w:val="25"/>
                <w:szCs w:val="25"/>
                <w:color w:val="auto"/>
              </w:rPr>
              <w:t>(0.1)</w:t>
            </w:r>
          </w:p>
        </w:tc>
        <w:tc>
          <w:tcPr>
            <w:tcW w:w="1620" w:type="dxa"/>
            <w:vAlign w:val="bottom"/>
          </w:tcPr>
          <w:p>
            <w:pPr>
              <w:jc w:val="right"/>
              <w:ind w:right="494"/>
              <w:spacing w:after="0"/>
              <w:rPr>
                <w:sz w:val="20"/>
                <w:szCs w:val="20"/>
                <w:color w:val="auto"/>
              </w:rPr>
            </w:pPr>
            <w:r>
              <w:rPr>
                <w:rFonts w:ascii="Arial" w:cs="Arial" w:eastAsia="Arial" w:hAnsi="Arial"/>
                <w:sz w:val="25"/>
                <w:szCs w:val="25"/>
                <w:color w:val="auto"/>
              </w:rPr>
              <w:t>(0.2)</w:t>
            </w:r>
          </w:p>
        </w:tc>
      </w:tr>
      <w:tr>
        <w:trPr>
          <w:trHeight w:val="412"/>
        </w:trPr>
        <w:tc>
          <w:tcPr>
            <w:tcW w:w="7040" w:type="dxa"/>
            <w:vAlign w:val="bottom"/>
          </w:tcPr>
          <w:p>
            <w:pPr>
              <w:ind w:left="680"/>
              <w:spacing w:after="0"/>
              <w:rPr>
                <w:sz w:val="20"/>
                <w:szCs w:val="20"/>
                <w:color w:val="auto"/>
              </w:rPr>
            </w:pPr>
            <w:r>
              <w:rPr>
                <w:rFonts w:ascii="Arial" w:cs="Arial" w:eastAsia="Arial" w:hAnsi="Arial"/>
                <w:sz w:val="25"/>
                <w:szCs w:val="25"/>
                <w:color w:val="auto"/>
              </w:rPr>
              <w:t>GMF</w:t>
            </w:r>
          </w:p>
        </w:tc>
        <w:tc>
          <w:tcPr>
            <w:tcW w:w="1660" w:type="dxa"/>
            <w:vAlign w:val="bottom"/>
          </w:tcPr>
          <w:p>
            <w:pPr>
              <w:jc w:val="right"/>
              <w:ind w:right="472"/>
              <w:spacing w:after="0"/>
              <w:rPr>
                <w:sz w:val="20"/>
                <w:szCs w:val="20"/>
                <w:color w:val="auto"/>
              </w:rPr>
            </w:pPr>
            <w:r>
              <w:rPr>
                <w:rFonts w:ascii="Arial" w:cs="Arial" w:eastAsia="Arial" w:hAnsi="Arial"/>
                <w:sz w:val="25"/>
                <w:szCs w:val="25"/>
                <w:color w:val="auto"/>
              </w:rPr>
              <w:t>n/a</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0.1</w:t>
            </w:r>
          </w:p>
        </w:tc>
      </w:tr>
      <w:tr>
        <w:trPr>
          <w:trHeight w:val="433"/>
        </w:trPr>
        <w:tc>
          <w:tcPr>
            <w:tcW w:w="7040" w:type="dxa"/>
            <w:vAlign w:val="bottom"/>
          </w:tcPr>
          <w:p>
            <w:pPr>
              <w:ind w:left="680"/>
              <w:spacing w:after="0"/>
              <w:rPr>
                <w:sz w:val="20"/>
                <w:szCs w:val="20"/>
                <w:color w:val="auto"/>
              </w:rPr>
            </w:pPr>
            <w:r>
              <w:rPr>
                <w:rFonts w:ascii="Arial" w:cs="Arial" w:eastAsia="Arial" w:hAnsi="Arial"/>
                <w:sz w:val="28"/>
                <w:szCs w:val="28"/>
                <w:b w:val="1"/>
                <w:bCs w:val="1"/>
                <w:color w:val="auto"/>
              </w:rPr>
              <w:t>Total EBIT</w:t>
            </w:r>
          </w:p>
        </w:tc>
        <w:tc>
          <w:tcPr>
            <w:tcW w:w="1660" w:type="dxa"/>
            <w:vAlign w:val="bottom"/>
          </w:tcPr>
          <w:p>
            <w:pPr>
              <w:jc w:val="center"/>
              <w:spacing w:after="0"/>
              <w:rPr>
                <w:sz w:val="20"/>
                <w:szCs w:val="20"/>
                <w:color w:val="auto"/>
              </w:rPr>
            </w:pPr>
            <w:r>
              <w:rPr>
                <w:rFonts w:ascii="Arial" w:cs="Arial" w:eastAsia="Arial" w:hAnsi="Arial"/>
                <w:sz w:val="28"/>
                <w:szCs w:val="28"/>
                <w:b w:val="1"/>
                <w:bCs w:val="1"/>
                <w:color w:val="auto"/>
                <w:w w:val="97"/>
              </w:rPr>
              <w:t>2.0</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rPr>
              <w:t>3.0</w:t>
            </w:r>
          </w:p>
        </w:tc>
      </w:tr>
      <w:tr>
        <w:trPr>
          <w:trHeight w:val="425"/>
        </w:trPr>
        <w:tc>
          <w:tcPr>
            <w:tcW w:w="7040" w:type="dxa"/>
            <w:vAlign w:val="bottom"/>
          </w:tcPr>
          <w:p>
            <w:pPr>
              <w:ind w:left="820"/>
              <w:spacing w:after="0"/>
              <w:rPr>
                <w:sz w:val="20"/>
                <w:szCs w:val="20"/>
                <w:color w:val="auto"/>
              </w:rPr>
            </w:pPr>
            <w:r>
              <w:rPr>
                <w:rFonts w:ascii="Arial" w:cs="Arial" w:eastAsia="Arial" w:hAnsi="Arial"/>
                <w:sz w:val="25"/>
                <w:szCs w:val="25"/>
                <w:color w:val="auto"/>
              </w:rPr>
              <w:t>Interest Expense / (Income)</w:t>
            </w:r>
          </w:p>
        </w:tc>
        <w:tc>
          <w:tcPr>
            <w:tcW w:w="1660" w:type="dxa"/>
            <w:vAlign w:val="bottom"/>
          </w:tcPr>
          <w:p>
            <w:pPr>
              <w:jc w:val="right"/>
              <w:ind w:right="492"/>
              <w:spacing w:after="0"/>
              <w:rPr>
                <w:sz w:val="20"/>
                <w:szCs w:val="20"/>
                <w:color w:val="auto"/>
              </w:rPr>
            </w:pPr>
            <w:r>
              <w:rPr>
                <w:rFonts w:ascii="Arial" w:cs="Arial" w:eastAsia="Arial" w:hAnsi="Arial"/>
                <w:sz w:val="25"/>
                <w:szCs w:val="25"/>
                <w:color w:val="auto"/>
              </w:rPr>
              <w:t>0.1</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0.0</w:t>
            </w:r>
          </w:p>
        </w:tc>
      </w:tr>
      <w:tr>
        <w:trPr>
          <w:trHeight w:val="423"/>
        </w:trPr>
        <w:tc>
          <w:tcPr>
            <w:tcW w:w="7040" w:type="dxa"/>
            <w:vAlign w:val="bottom"/>
          </w:tcPr>
          <w:p>
            <w:pPr>
              <w:ind w:left="820"/>
              <w:spacing w:after="0"/>
              <w:rPr>
                <w:sz w:val="20"/>
                <w:szCs w:val="20"/>
                <w:color w:val="auto"/>
              </w:rPr>
            </w:pPr>
            <w:r>
              <w:rPr>
                <w:rFonts w:ascii="Arial" w:cs="Arial" w:eastAsia="Arial" w:hAnsi="Arial"/>
                <w:sz w:val="25"/>
                <w:szCs w:val="25"/>
                <w:color w:val="auto"/>
              </w:rPr>
              <w:t>Income Tax Expense / (Benefit)</w:t>
            </w:r>
          </w:p>
        </w:tc>
        <w:tc>
          <w:tcPr>
            <w:tcW w:w="1660" w:type="dxa"/>
            <w:vAlign w:val="bottom"/>
          </w:tcPr>
          <w:p>
            <w:pPr>
              <w:jc w:val="right"/>
              <w:ind w:right="492"/>
              <w:spacing w:after="0"/>
              <w:rPr>
                <w:sz w:val="20"/>
                <w:szCs w:val="20"/>
                <w:color w:val="auto"/>
              </w:rPr>
            </w:pPr>
            <w:r>
              <w:rPr>
                <w:rFonts w:ascii="Arial" w:cs="Arial" w:eastAsia="Arial" w:hAnsi="Arial"/>
                <w:sz w:val="25"/>
                <w:szCs w:val="25"/>
                <w:color w:val="auto"/>
              </w:rPr>
              <w:t>0.4</w:t>
            </w:r>
          </w:p>
        </w:tc>
        <w:tc>
          <w:tcPr>
            <w:tcW w:w="1620" w:type="dxa"/>
            <w:vAlign w:val="bottom"/>
          </w:tcPr>
          <w:p>
            <w:pPr>
              <w:jc w:val="right"/>
              <w:ind w:right="494"/>
              <w:spacing w:after="0"/>
              <w:rPr>
                <w:sz w:val="20"/>
                <w:szCs w:val="20"/>
                <w:color w:val="auto"/>
              </w:rPr>
            </w:pPr>
            <w:r>
              <w:rPr>
                <w:rFonts w:ascii="Arial" w:cs="Arial" w:eastAsia="Arial" w:hAnsi="Arial"/>
                <w:sz w:val="25"/>
                <w:szCs w:val="25"/>
                <w:color w:val="auto"/>
              </w:rPr>
              <w:t>(0.1)</w:t>
            </w:r>
          </w:p>
        </w:tc>
      </w:tr>
      <w:tr>
        <w:trPr>
          <w:trHeight w:val="433"/>
        </w:trPr>
        <w:tc>
          <w:tcPr>
            <w:tcW w:w="7040" w:type="dxa"/>
            <w:vAlign w:val="bottom"/>
          </w:tcPr>
          <w:p>
            <w:pPr>
              <w:ind w:left="680"/>
              <w:spacing w:after="0"/>
              <w:rPr>
                <w:sz w:val="20"/>
                <w:szCs w:val="20"/>
                <w:color w:val="auto"/>
              </w:rPr>
            </w:pPr>
            <w:r>
              <w:rPr>
                <w:rFonts w:ascii="Arial" w:cs="Arial" w:eastAsia="Arial" w:hAnsi="Arial"/>
                <w:sz w:val="28"/>
                <w:szCs w:val="28"/>
                <w:b w:val="1"/>
                <w:bCs w:val="1"/>
                <w:color w:val="auto"/>
              </w:rPr>
              <w:t>Net Income to Stockholders</w:t>
            </w:r>
          </w:p>
        </w:tc>
        <w:tc>
          <w:tcPr>
            <w:tcW w:w="1660" w:type="dxa"/>
            <w:vAlign w:val="bottom"/>
          </w:tcPr>
          <w:p>
            <w:pPr>
              <w:jc w:val="center"/>
              <w:spacing w:after="0"/>
              <w:rPr>
                <w:sz w:val="20"/>
                <w:szCs w:val="20"/>
                <w:color w:val="auto"/>
              </w:rPr>
            </w:pPr>
            <w:r>
              <w:rPr>
                <w:rFonts w:ascii="Arial" w:cs="Arial" w:eastAsia="Arial" w:hAnsi="Arial"/>
                <w:sz w:val="28"/>
                <w:szCs w:val="28"/>
                <w:b w:val="1"/>
                <w:bCs w:val="1"/>
                <w:color w:val="auto"/>
                <w:w w:val="97"/>
              </w:rPr>
              <w:t>1.5</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rPr>
              <w:t>3.0</w:t>
            </w:r>
          </w:p>
        </w:tc>
      </w:tr>
      <w:tr>
        <w:trPr>
          <w:trHeight w:val="425"/>
        </w:trPr>
        <w:tc>
          <w:tcPr>
            <w:tcW w:w="7040" w:type="dxa"/>
            <w:vAlign w:val="bottom"/>
          </w:tcPr>
          <w:p>
            <w:pPr>
              <w:ind w:left="820"/>
              <w:spacing w:after="0"/>
              <w:rPr>
                <w:sz w:val="20"/>
                <w:szCs w:val="20"/>
                <w:color w:val="auto"/>
              </w:rPr>
            </w:pPr>
            <w:r>
              <w:rPr>
                <w:rFonts w:ascii="Arial" w:cs="Arial" w:eastAsia="Arial" w:hAnsi="Arial"/>
                <w:sz w:val="25"/>
                <w:szCs w:val="25"/>
                <w:color w:val="auto"/>
              </w:rPr>
              <w:t>Undistributed earnings allocated to Series B (Basic)</w:t>
            </w:r>
          </w:p>
        </w:tc>
        <w:tc>
          <w:tcPr>
            <w:tcW w:w="1660" w:type="dxa"/>
            <w:vAlign w:val="bottom"/>
          </w:tcPr>
          <w:p>
            <w:pPr>
              <w:jc w:val="right"/>
              <w:ind w:right="472"/>
              <w:spacing w:after="0"/>
              <w:rPr>
                <w:sz w:val="20"/>
                <w:szCs w:val="20"/>
                <w:color w:val="auto"/>
              </w:rPr>
            </w:pPr>
            <w:r>
              <w:rPr>
                <w:rFonts w:ascii="Arial" w:cs="Arial" w:eastAsia="Arial" w:hAnsi="Arial"/>
                <w:sz w:val="25"/>
                <w:szCs w:val="25"/>
                <w:color w:val="auto"/>
              </w:rPr>
              <w:t>n/a</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0.3</w:t>
            </w:r>
          </w:p>
        </w:tc>
      </w:tr>
      <w:tr>
        <w:trPr>
          <w:trHeight w:val="412"/>
        </w:trPr>
        <w:tc>
          <w:tcPr>
            <w:tcW w:w="7040" w:type="dxa"/>
            <w:vAlign w:val="bottom"/>
          </w:tcPr>
          <w:p>
            <w:pPr>
              <w:ind w:left="820"/>
              <w:spacing w:after="0"/>
              <w:rPr>
                <w:sz w:val="20"/>
                <w:szCs w:val="20"/>
                <w:color w:val="auto"/>
              </w:rPr>
            </w:pPr>
            <w:r>
              <w:rPr>
                <w:rFonts w:ascii="Arial" w:cs="Arial" w:eastAsia="Arial" w:hAnsi="Arial"/>
                <w:sz w:val="25"/>
                <w:szCs w:val="25"/>
                <w:color w:val="auto"/>
              </w:rPr>
              <w:t>Dividends on Preferred Stock</w:t>
            </w:r>
          </w:p>
        </w:tc>
        <w:tc>
          <w:tcPr>
            <w:tcW w:w="1660" w:type="dxa"/>
            <w:vAlign w:val="bottom"/>
          </w:tcPr>
          <w:p>
            <w:pPr>
              <w:jc w:val="right"/>
              <w:ind w:right="492"/>
              <w:spacing w:after="0"/>
              <w:rPr>
                <w:sz w:val="20"/>
                <w:szCs w:val="20"/>
                <w:color w:val="auto"/>
              </w:rPr>
            </w:pPr>
            <w:r>
              <w:rPr>
                <w:rFonts w:ascii="Arial" w:cs="Arial" w:eastAsia="Arial" w:hAnsi="Arial"/>
                <w:sz w:val="25"/>
                <w:szCs w:val="25"/>
                <w:color w:val="auto"/>
              </w:rPr>
              <w:t>0.2</w:t>
            </w:r>
          </w:p>
        </w:tc>
        <w:tc>
          <w:tcPr>
            <w:tcW w:w="1620" w:type="dxa"/>
            <w:vAlign w:val="bottom"/>
          </w:tcPr>
          <w:p>
            <w:pPr>
              <w:jc w:val="right"/>
              <w:ind w:right="574"/>
              <w:spacing w:after="0"/>
              <w:rPr>
                <w:sz w:val="20"/>
                <w:szCs w:val="20"/>
                <w:color w:val="auto"/>
              </w:rPr>
            </w:pPr>
            <w:r>
              <w:rPr>
                <w:rFonts w:ascii="Arial" w:cs="Arial" w:eastAsia="Arial" w:hAnsi="Arial"/>
                <w:sz w:val="25"/>
                <w:szCs w:val="25"/>
                <w:color w:val="auto"/>
              </w:rPr>
              <w:t>0.2</w:t>
            </w:r>
          </w:p>
        </w:tc>
      </w:tr>
      <w:tr>
        <w:trPr>
          <w:trHeight w:val="445"/>
        </w:trPr>
        <w:tc>
          <w:tcPr>
            <w:tcW w:w="7040" w:type="dxa"/>
            <w:vAlign w:val="bottom"/>
          </w:tcPr>
          <w:p>
            <w:pPr>
              <w:ind w:left="680"/>
              <w:spacing w:after="0"/>
              <w:rPr>
                <w:sz w:val="20"/>
                <w:szCs w:val="20"/>
                <w:color w:val="auto"/>
              </w:rPr>
            </w:pPr>
            <w:r>
              <w:rPr>
                <w:rFonts w:ascii="Arial" w:cs="Arial" w:eastAsia="Arial" w:hAnsi="Arial"/>
                <w:sz w:val="28"/>
                <w:szCs w:val="28"/>
                <w:b w:val="1"/>
                <w:bCs w:val="1"/>
                <w:color w:val="auto"/>
              </w:rPr>
              <w:t>Net Income to Common Stockholders</w:t>
            </w:r>
          </w:p>
        </w:tc>
        <w:tc>
          <w:tcPr>
            <w:tcW w:w="1660" w:type="dxa"/>
            <w:vAlign w:val="bottom"/>
          </w:tcPr>
          <w:p>
            <w:pPr>
              <w:jc w:val="center"/>
              <w:spacing w:after="0"/>
              <w:rPr>
                <w:sz w:val="20"/>
                <w:szCs w:val="20"/>
                <w:color w:val="auto"/>
              </w:rPr>
            </w:pPr>
            <w:r>
              <w:rPr>
                <w:rFonts w:ascii="Arial" w:cs="Arial" w:eastAsia="Arial" w:hAnsi="Arial"/>
                <w:sz w:val="28"/>
                <w:szCs w:val="28"/>
                <w:b w:val="1"/>
                <w:bCs w:val="1"/>
                <w:color w:val="auto"/>
                <w:w w:val="97"/>
              </w:rPr>
              <w:t>1.3</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rPr>
              <w:t>2.5</w:t>
            </w:r>
          </w:p>
        </w:tc>
      </w:tr>
      <w:tr>
        <w:trPr>
          <w:trHeight w:val="478"/>
        </w:trPr>
        <w:tc>
          <w:tcPr>
            <w:tcW w:w="8700" w:type="dxa"/>
            <w:vAlign w:val="bottom"/>
            <w:gridSpan w:val="2"/>
          </w:tcPr>
          <w:p>
            <w:pPr>
              <w:ind w:left="40"/>
              <w:spacing w:after="0"/>
              <w:rPr>
                <w:sz w:val="20"/>
                <w:szCs w:val="20"/>
                <w:color w:val="auto"/>
              </w:rPr>
            </w:pPr>
            <w:r>
              <w:rPr>
                <w:rFonts w:ascii="Arial" w:cs="Arial" w:eastAsia="Arial" w:hAnsi="Arial"/>
                <w:sz w:val="19"/>
                <w:szCs w:val="19"/>
                <w:i w:val="1"/>
                <w:iCs w:val="1"/>
                <w:color w:val="auto"/>
              </w:rPr>
              <w:t>Note: Starting Q4 2010 EBIT includes GM Financial on an Earnings Before Tax (EBT) basis</w:t>
            </w:r>
          </w:p>
        </w:tc>
        <w:tc>
          <w:tcPr>
            <w:tcW w:w="1620" w:type="dxa"/>
            <w:vAlign w:val="bottom"/>
          </w:tcPr>
          <w:p>
            <w:pPr>
              <w:spacing w:after="0"/>
              <w:rPr>
                <w:sz w:val="24"/>
                <w:szCs w:val="24"/>
                <w:color w:val="auto"/>
              </w:rPr>
            </w:pPr>
          </w:p>
        </w:tc>
      </w:tr>
      <w:tr>
        <w:trPr>
          <w:trHeight w:val="341"/>
        </w:trPr>
        <w:tc>
          <w:tcPr>
            <w:tcW w:w="7040" w:type="dxa"/>
            <w:vAlign w:val="bottom"/>
          </w:tcPr>
          <w:p>
            <w:pPr>
              <w:spacing w:after="0"/>
              <w:rPr>
                <w:sz w:val="20"/>
                <w:szCs w:val="20"/>
                <w:color w:val="auto"/>
              </w:rPr>
            </w:pPr>
            <w:r>
              <w:rPr>
                <w:rFonts w:ascii="Arial" w:cs="Arial" w:eastAsia="Arial" w:hAnsi="Arial"/>
                <w:sz w:val="19"/>
                <w:szCs w:val="19"/>
                <w:i w:val="1"/>
                <w:iCs w:val="1"/>
                <w:color w:val="auto"/>
              </w:rPr>
              <w:t>Note: Results may not foot due to rounding</w:t>
            </w:r>
          </w:p>
        </w:tc>
        <w:tc>
          <w:tcPr>
            <w:tcW w:w="16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9"/>
                <w:szCs w:val="19"/>
                <w:b w:val="1"/>
                <w:bCs w:val="1"/>
                <w:color w:val="auto"/>
              </w:rPr>
              <w:t>S1</w:t>
            </w:r>
          </w:p>
        </w:tc>
      </w:tr>
    </w:tbl>
    <w:p>
      <w:pPr>
        <w:sectPr>
          <w:pgSz w:w="11900" w:h="16838" w:orient="portrait"/>
          <w:cols w:equalWidth="0" w:num="1">
            <w:col w:w="10320"/>
          </w:cols>
          <w:pgMar w:left="580" w:top="657" w:right="999" w:bottom="1440" w:gutter="0" w:footer="0" w:header="0"/>
        </w:sectPr>
      </w:pPr>
    </w:p>
    <w:bookmarkStart w:id="54" w:name="page55"/>
    <w:bookmarkEnd w:id="54"/>
    <w:p>
      <w:pPr>
        <w:ind w:left="10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Reconciliation of Q2 2011 EBIT-Adj.</w:t>
      </w:r>
    </w:p>
    <w:p>
      <w:pPr>
        <w:spacing w:after="0" w:line="288" w:lineRule="exact"/>
        <w:rPr>
          <w:sz w:val="20"/>
          <w:szCs w:val="20"/>
          <w:color w:val="auto"/>
        </w:rPr>
      </w:pPr>
    </w:p>
    <w:tbl>
      <w:tblPr>
        <w:tblLayout w:type="fixed"/>
        <w:tblInd w:w="560" w:type="dxa"/>
        <w:tblCellMar>
          <w:top w:w="0" w:type="dxa"/>
          <w:left w:w="0" w:type="dxa"/>
          <w:bottom w:w="0" w:type="dxa"/>
          <w:right w:w="0" w:type="dxa"/>
        </w:tblCellMar>
      </w:tblPr>
      <w:tr>
        <w:trPr>
          <w:trHeight w:val="246"/>
        </w:trPr>
        <w:tc>
          <w:tcPr>
            <w:tcW w:w="6340" w:type="dxa"/>
            <w:vAlign w:val="bottom"/>
          </w:tcPr>
          <w:p>
            <w:pPr>
              <w:spacing w:after="0"/>
              <w:rPr>
                <w:sz w:val="21"/>
                <w:szCs w:val="21"/>
                <w:color w:val="auto"/>
              </w:rPr>
            </w:pPr>
          </w:p>
        </w:tc>
        <w:tc>
          <w:tcPr>
            <w:tcW w:w="1840" w:type="dxa"/>
            <w:vAlign w:val="bottom"/>
          </w:tcPr>
          <w:p>
            <w:pPr>
              <w:jc w:val="center"/>
              <w:ind w:left="625"/>
              <w:spacing w:after="0"/>
              <w:rPr>
                <w:sz w:val="20"/>
                <w:szCs w:val="20"/>
                <w:color w:val="auto"/>
              </w:rPr>
            </w:pPr>
            <w:r>
              <w:rPr>
                <w:rFonts w:ascii="Arial" w:cs="Arial" w:eastAsia="Arial" w:hAnsi="Arial"/>
                <w:sz w:val="19"/>
                <w:szCs w:val="19"/>
                <w:b w:val="1"/>
                <w:bCs w:val="1"/>
                <w:color w:val="auto"/>
              </w:rPr>
              <w:t>Q2</w:t>
            </w:r>
          </w:p>
        </w:tc>
        <w:tc>
          <w:tcPr>
            <w:tcW w:w="840" w:type="dxa"/>
            <w:vAlign w:val="bottom"/>
          </w:tcPr>
          <w:p>
            <w:pPr>
              <w:jc w:val="center"/>
              <w:ind w:left="185"/>
              <w:spacing w:after="0"/>
              <w:rPr>
                <w:sz w:val="20"/>
                <w:szCs w:val="20"/>
                <w:color w:val="auto"/>
              </w:rPr>
            </w:pPr>
            <w:r>
              <w:rPr>
                <w:rFonts w:ascii="Arial" w:cs="Arial" w:eastAsia="Arial" w:hAnsi="Arial"/>
                <w:sz w:val="19"/>
                <w:szCs w:val="19"/>
                <w:b w:val="1"/>
                <w:bCs w:val="1"/>
                <w:color w:val="auto"/>
              </w:rPr>
              <w:t>Q2</w:t>
            </w:r>
          </w:p>
        </w:tc>
      </w:tr>
      <w:tr>
        <w:trPr>
          <w:trHeight w:val="327"/>
        </w:trPr>
        <w:tc>
          <w:tcPr>
            <w:tcW w:w="6340" w:type="dxa"/>
            <w:vAlign w:val="bottom"/>
          </w:tcPr>
          <w:p>
            <w:pPr>
              <w:spacing w:after="0"/>
              <w:rPr>
                <w:sz w:val="20"/>
                <w:szCs w:val="20"/>
                <w:color w:val="auto"/>
              </w:rPr>
            </w:pPr>
            <w:r>
              <w:rPr>
                <w:rFonts w:ascii="Arial" w:cs="Arial" w:eastAsia="Arial" w:hAnsi="Arial"/>
                <w:sz w:val="25"/>
                <w:szCs w:val="25"/>
                <w:b w:val="1"/>
                <w:bCs w:val="1"/>
                <w:color w:val="auto"/>
              </w:rPr>
              <w:t>($B)</w:t>
            </w:r>
          </w:p>
        </w:tc>
        <w:tc>
          <w:tcPr>
            <w:tcW w:w="1840" w:type="dxa"/>
            <w:vAlign w:val="bottom"/>
          </w:tcPr>
          <w:p>
            <w:pPr>
              <w:jc w:val="right"/>
              <w:ind w:right="185"/>
              <w:spacing w:after="0"/>
              <w:rPr>
                <w:sz w:val="20"/>
                <w:szCs w:val="20"/>
                <w:color w:val="auto"/>
              </w:rPr>
            </w:pPr>
            <w:r>
              <w:rPr>
                <w:rFonts w:ascii="Arial" w:cs="Arial" w:eastAsia="Arial" w:hAnsi="Arial"/>
                <w:sz w:val="25"/>
                <w:szCs w:val="25"/>
                <w:b w:val="1"/>
                <w:bCs w:val="1"/>
                <w:color w:val="auto"/>
              </w:rPr>
              <w:t>2010</w:t>
            </w:r>
          </w:p>
        </w:tc>
        <w:tc>
          <w:tcPr>
            <w:tcW w:w="840" w:type="dxa"/>
            <w:vAlign w:val="bottom"/>
          </w:tcPr>
          <w:p>
            <w:pPr>
              <w:jc w:val="right"/>
              <w:spacing w:after="0"/>
              <w:rPr>
                <w:sz w:val="20"/>
                <w:szCs w:val="20"/>
                <w:color w:val="auto"/>
              </w:rPr>
            </w:pPr>
            <w:r>
              <w:rPr>
                <w:rFonts w:ascii="Arial" w:cs="Arial" w:eastAsia="Arial" w:hAnsi="Arial"/>
                <w:sz w:val="25"/>
                <w:szCs w:val="25"/>
                <w:b w:val="1"/>
                <w:bCs w:val="1"/>
                <w:color w:val="auto"/>
              </w:rPr>
              <w:t>2011</w:t>
            </w:r>
          </w:p>
        </w:tc>
      </w:tr>
      <w:tr>
        <w:trPr>
          <w:trHeight w:val="517"/>
        </w:trPr>
        <w:tc>
          <w:tcPr>
            <w:tcW w:w="6340" w:type="dxa"/>
            <w:vAlign w:val="bottom"/>
          </w:tcPr>
          <w:p>
            <w:pPr>
              <w:spacing w:after="0"/>
              <w:rPr>
                <w:sz w:val="20"/>
                <w:szCs w:val="20"/>
                <w:color w:val="auto"/>
              </w:rPr>
            </w:pPr>
            <w:r>
              <w:rPr>
                <w:rFonts w:ascii="Arial" w:cs="Arial" w:eastAsia="Arial" w:hAnsi="Arial"/>
                <w:sz w:val="25"/>
                <w:szCs w:val="25"/>
                <w:b w:val="1"/>
                <w:bCs w:val="1"/>
                <w:color w:val="auto"/>
              </w:rPr>
              <w:t>Net Income to Common Stockholders</w:t>
            </w:r>
          </w:p>
        </w:tc>
        <w:tc>
          <w:tcPr>
            <w:tcW w:w="1840" w:type="dxa"/>
            <w:vAlign w:val="bottom"/>
          </w:tcPr>
          <w:p>
            <w:pPr>
              <w:jc w:val="center"/>
              <w:ind w:left="625"/>
              <w:spacing w:after="0"/>
              <w:rPr>
                <w:sz w:val="20"/>
                <w:szCs w:val="20"/>
                <w:color w:val="auto"/>
              </w:rPr>
            </w:pPr>
            <w:r>
              <w:rPr>
                <w:rFonts w:ascii="Arial" w:cs="Arial" w:eastAsia="Arial" w:hAnsi="Arial"/>
                <w:sz w:val="25"/>
                <w:szCs w:val="25"/>
                <w:b w:val="1"/>
                <w:bCs w:val="1"/>
                <w:color w:val="auto"/>
                <w:w w:val="97"/>
              </w:rPr>
              <w:t>1.3</w:t>
            </w:r>
          </w:p>
        </w:tc>
        <w:tc>
          <w:tcPr>
            <w:tcW w:w="840" w:type="dxa"/>
            <w:vAlign w:val="bottom"/>
          </w:tcPr>
          <w:p>
            <w:pPr>
              <w:jc w:val="right"/>
              <w:spacing w:after="0"/>
              <w:rPr>
                <w:sz w:val="20"/>
                <w:szCs w:val="20"/>
                <w:color w:val="auto"/>
              </w:rPr>
            </w:pPr>
            <w:r>
              <w:rPr>
                <w:rFonts w:ascii="Arial" w:cs="Arial" w:eastAsia="Arial" w:hAnsi="Arial"/>
                <w:sz w:val="25"/>
                <w:szCs w:val="25"/>
                <w:b w:val="1"/>
                <w:bCs w:val="1"/>
                <w:color w:val="auto"/>
              </w:rPr>
              <w:t>2.5</w:t>
            </w:r>
          </w:p>
        </w:tc>
      </w:tr>
      <w:tr>
        <w:trPr>
          <w:trHeight w:val="462"/>
        </w:trPr>
        <w:tc>
          <w:tcPr>
            <w:tcW w:w="6340" w:type="dxa"/>
            <w:vAlign w:val="bottom"/>
          </w:tcPr>
          <w:p>
            <w:pPr>
              <w:spacing w:after="0"/>
              <w:rPr>
                <w:sz w:val="20"/>
                <w:szCs w:val="20"/>
                <w:color w:val="auto"/>
              </w:rPr>
            </w:pPr>
            <w:r>
              <w:rPr>
                <w:rFonts w:ascii="Arial" w:cs="Arial" w:eastAsia="Arial" w:hAnsi="Arial"/>
                <w:sz w:val="22"/>
                <w:szCs w:val="22"/>
                <w:b w:val="1"/>
                <w:bCs w:val="1"/>
                <w:color w:val="auto"/>
              </w:rPr>
              <w:t>Add Back:</w:t>
            </w: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6"/>
        </w:trPr>
        <w:tc>
          <w:tcPr>
            <w:tcW w:w="6340" w:type="dxa"/>
            <w:vAlign w:val="bottom"/>
          </w:tcPr>
          <w:p>
            <w:pPr>
              <w:ind w:left="240"/>
              <w:spacing w:after="0"/>
              <w:rPr>
                <w:sz w:val="20"/>
                <w:szCs w:val="20"/>
                <w:color w:val="auto"/>
              </w:rPr>
            </w:pPr>
            <w:r>
              <w:rPr>
                <w:rFonts w:ascii="Arial" w:cs="Arial" w:eastAsia="Arial" w:hAnsi="Arial"/>
                <w:sz w:val="22"/>
                <w:szCs w:val="22"/>
                <w:color w:val="auto"/>
              </w:rPr>
              <w:t>Undistributed earnings allocated to Series B (Basic)</w:t>
            </w:r>
          </w:p>
        </w:tc>
        <w:tc>
          <w:tcPr>
            <w:tcW w:w="1840" w:type="dxa"/>
            <w:vAlign w:val="bottom"/>
          </w:tcPr>
          <w:p>
            <w:pPr>
              <w:jc w:val="center"/>
              <w:ind w:left="645"/>
              <w:spacing w:after="0"/>
              <w:rPr>
                <w:sz w:val="20"/>
                <w:szCs w:val="20"/>
                <w:color w:val="auto"/>
              </w:rPr>
            </w:pPr>
            <w:r>
              <w:rPr>
                <w:rFonts w:ascii="Arial" w:cs="Arial" w:eastAsia="Arial" w:hAnsi="Arial"/>
                <w:sz w:val="22"/>
                <w:szCs w:val="22"/>
                <w:color w:val="auto"/>
              </w:rPr>
              <w:t>n/a</w:t>
            </w:r>
          </w:p>
        </w:tc>
        <w:tc>
          <w:tcPr>
            <w:tcW w:w="840" w:type="dxa"/>
            <w:vAlign w:val="bottom"/>
          </w:tcPr>
          <w:p>
            <w:pPr>
              <w:jc w:val="right"/>
              <w:ind w:right="5"/>
              <w:spacing w:after="0"/>
              <w:rPr>
                <w:sz w:val="20"/>
                <w:szCs w:val="20"/>
                <w:color w:val="auto"/>
              </w:rPr>
            </w:pPr>
            <w:r>
              <w:rPr>
                <w:rFonts w:ascii="Arial" w:cs="Arial" w:eastAsia="Arial" w:hAnsi="Arial"/>
                <w:sz w:val="22"/>
                <w:szCs w:val="22"/>
                <w:color w:val="auto"/>
              </w:rPr>
              <w:t>0.3</w:t>
            </w:r>
          </w:p>
        </w:tc>
      </w:tr>
      <w:tr>
        <w:trPr>
          <w:trHeight w:val="376"/>
        </w:trPr>
        <w:tc>
          <w:tcPr>
            <w:tcW w:w="6340" w:type="dxa"/>
            <w:vAlign w:val="bottom"/>
          </w:tcPr>
          <w:p>
            <w:pPr>
              <w:ind w:left="240"/>
              <w:spacing w:after="0"/>
              <w:rPr>
                <w:sz w:val="20"/>
                <w:szCs w:val="20"/>
                <w:color w:val="auto"/>
              </w:rPr>
            </w:pPr>
            <w:r>
              <w:rPr>
                <w:rFonts w:ascii="Arial" w:cs="Arial" w:eastAsia="Arial" w:hAnsi="Arial"/>
                <w:sz w:val="22"/>
                <w:szCs w:val="22"/>
                <w:color w:val="auto"/>
              </w:rPr>
              <w:t>Dividends on Preferred Stock</w:t>
            </w:r>
          </w:p>
        </w:tc>
        <w:tc>
          <w:tcPr>
            <w:tcW w:w="1840" w:type="dxa"/>
            <w:vAlign w:val="bottom"/>
          </w:tcPr>
          <w:p>
            <w:pPr>
              <w:jc w:val="center"/>
              <w:ind w:left="625"/>
              <w:spacing w:after="0"/>
              <w:rPr>
                <w:sz w:val="20"/>
                <w:szCs w:val="20"/>
                <w:color w:val="auto"/>
              </w:rPr>
            </w:pPr>
            <w:r>
              <w:rPr>
                <w:rFonts w:ascii="Arial" w:cs="Arial" w:eastAsia="Arial" w:hAnsi="Arial"/>
                <w:sz w:val="22"/>
                <w:szCs w:val="22"/>
                <w:color w:val="auto"/>
                <w:w w:val="97"/>
              </w:rPr>
              <w:t>0.2</w:t>
            </w:r>
          </w:p>
        </w:tc>
        <w:tc>
          <w:tcPr>
            <w:tcW w:w="840" w:type="dxa"/>
            <w:vAlign w:val="bottom"/>
          </w:tcPr>
          <w:p>
            <w:pPr>
              <w:jc w:val="right"/>
              <w:ind w:right="5"/>
              <w:spacing w:after="0"/>
              <w:rPr>
                <w:sz w:val="20"/>
                <w:szCs w:val="20"/>
                <w:color w:val="auto"/>
              </w:rPr>
            </w:pPr>
            <w:r>
              <w:rPr>
                <w:rFonts w:ascii="Arial" w:cs="Arial" w:eastAsia="Arial" w:hAnsi="Arial"/>
                <w:sz w:val="22"/>
                <w:szCs w:val="22"/>
                <w:color w:val="auto"/>
              </w:rPr>
              <w:t>0.2</w:t>
            </w:r>
          </w:p>
        </w:tc>
      </w:tr>
      <w:tr>
        <w:trPr>
          <w:trHeight w:val="376"/>
        </w:trPr>
        <w:tc>
          <w:tcPr>
            <w:tcW w:w="6340" w:type="dxa"/>
            <w:vAlign w:val="bottom"/>
          </w:tcPr>
          <w:p>
            <w:pPr>
              <w:ind w:left="240"/>
              <w:spacing w:after="0"/>
              <w:rPr>
                <w:sz w:val="20"/>
                <w:szCs w:val="20"/>
                <w:color w:val="auto"/>
              </w:rPr>
            </w:pPr>
            <w:r>
              <w:rPr>
                <w:rFonts w:ascii="Arial" w:cs="Arial" w:eastAsia="Arial" w:hAnsi="Arial"/>
                <w:sz w:val="22"/>
                <w:szCs w:val="22"/>
                <w:color w:val="auto"/>
              </w:rPr>
              <w:t>Interest Expense / (Income)</w:t>
            </w:r>
          </w:p>
        </w:tc>
        <w:tc>
          <w:tcPr>
            <w:tcW w:w="1840" w:type="dxa"/>
            <w:vAlign w:val="bottom"/>
          </w:tcPr>
          <w:p>
            <w:pPr>
              <w:jc w:val="center"/>
              <w:ind w:left="625"/>
              <w:spacing w:after="0"/>
              <w:rPr>
                <w:sz w:val="20"/>
                <w:szCs w:val="20"/>
                <w:color w:val="auto"/>
              </w:rPr>
            </w:pPr>
            <w:r>
              <w:rPr>
                <w:rFonts w:ascii="Arial" w:cs="Arial" w:eastAsia="Arial" w:hAnsi="Arial"/>
                <w:sz w:val="22"/>
                <w:szCs w:val="22"/>
                <w:color w:val="auto"/>
                <w:w w:val="97"/>
              </w:rPr>
              <w:t>0.1</w:t>
            </w:r>
          </w:p>
        </w:tc>
        <w:tc>
          <w:tcPr>
            <w:tcW w:w="840" w:type="dxa"/>
            <w:vAlign w:val="bottom"/>
          </w:tcPr>
          <w:p>
            <w:pPr>
              <w:jc w:val="right"/>
              <w:ind w:right="5"/>
              <w:spacing w:after="0"/>
              <w:rPr>
                <w:sz w:val="20"/>
                <w:szCs w:val="20"/>
                <w:color w:val="auto"/>
              </w:rPr>
            </w:pPr>
            <w:r>
              <w:rPr>
                <w:rFonts w:ascii="Arial" w:cs="Arial" w:eastAsia="Arial" w:hAnsi="Arial"/>
                <w:sz w:val="22"/>
                <w:szCs w:val="22"/>
                <w:color w:val="auto"/>
              </w:rPr>
              <w:t>0.0</w:t>
            </w:r>
          </w:p>
        </w:tc>
      </w:tr>
      <w:tr>
        <w:trPr>
          <w:trHeight w:val="376"/>
        </w:trPr>
        <w:tc>
          <w:tcPr>
            <w:tcW w:w="6340" w:type="dxa"/>
            <w:vAlign w:val="bottom"/>
          </w:tcPr>
          <w:p>
            <w:pPr>
              <w:ind w:left="240"/>
              <w:spacing w:after="0"/>
              <w:rPr>
                <w:sz w:val="20"/>
                <w:szCs w:val="20"/>
                <w:color w:val="auto"/>
              </w:rPr>
            </w:pPr>
            <w:r>
              <w:rPr>
                <w:rFonts w:ascii="Arial" w:cs="Arial" w:eastAsia="Arial" w:hAnsi="Arial"/>
                <w:sz w:val="22"/>
                <w:szCs w:val="22"/>
                <w:color w:val="auto"/>
              </w:rPr>
              <w:t>Income Tax Expense / (Benefit)</w:t>
            </w:r>
          </w:p>
        </w:tc>
        <w:tc>
          <w:tcPr>
            <w:tcW w:w="1840" w:type="dxa"/>
            <w:vAlign w:val="bottom"/>
          </w:tcPr>
          <w:p>
            <w:pPr>
              <w:jc w:val="center"/>
              <w:ind w:left="625"/>
              <w:spacing w:after="0"/>
              <w:rPr>
                <w:sz w:val="20"/>
                <w:szCs w:val="20"/>
                <w:color w:val="auto"/>
              </w:rPr>
            </w:pPr>
            <w:r>
              <w:rPr>
                <w:rFonts w:ascii="Arial" w:cs="Arial" w:eastAsia="Arial" w:hAnsi="Arial"/>
                <w:sz w:val="22"/>
                <w:szCs w:val="22"/>
                <w:color w:val="auto"/>
                <w:w w:val="97"/>
              </w:rPr>
              <w:t>0.4</w:t>
            </w:r>
          </w:p>
        </w:tc>
        <w:tc>
          <w:tcPr>
            <w:tcW w:w="840" w:type="dxa"/>
            <w:vAlign w:val="bottom"/>
          </w:tcPr>
          <w:p>
            <w:pPr>
              <w:jc w:val="right"/>
              <w:spacing w:after="0"/>
              <w:rPr>
                <w:sz w:val="20"/>
                <w:szCs w:val="20"/>
                <w:color w:val="auto"/>
              </w:rPr>
            </w:pPr>
            <w:r>
              <w:rPr>
                <w:rFonts w:ascii="Arial" w:cs="Arial" w:eastAsia="Arial" w:hAnsi="Arial"/>
                <w:sz w:val="22"/>
                <w:szCs w:val="22"/>
                <w:color w:val="auto"/>
              </w:rPr>
              <w:t>(0.1)</w:t>
            </w:r>
          </w:p>
        </w:tc>
      </w:tr>
      <w:tr>
        <w:trPr>
          <w:trHeight w:val="537"/>
        </w:trPr>
        <w:tc>
          <w:tcPr>
            <w:tcW w:w="6340" w:type="dxa"/>
            <w:vAlign w:val="bottom"/>
          </w:tcPr>
          <w:p>
            <w:pPr>
              <w:spacing w:after="0"/>
              <w:rPr>
                <w:sz w:val="20"/>
                <w:szCs w:val="20"/>
                <w:color w:val="auto"/>
              </w:rPr>
            </w:pPr>
            <w:r>
              <w:rPr>
                <w:rFonts w:ascii="Arial" w:cs="Arial" w:eastAsia="Arial" w:hAnsi="Arial"/>
                <w:sz w:val="25"/>
                <w:szCs w:val="25"/>
                <w:b w:val="1"/>
                <w:bCs w:val="1"/>
                <w:color w:val="auto"/>
              </w:rPr>
              <w:t>Earnings Before Interest &amp; Taxes (EBIT)</w:t>
            </w:r>
          </w:p>
        </w:tc>
        <w:tc>
          <w:tcPr>
            <w:tcW w:w="1840" w:type="dxa"/>
            <w:vAlign w:val="bottom"/>
          </w:tcPr>
          <w:p>
            <w:pPr>
              <w:jc w:val="center"/>
              <w:ind w:left="625"/>
              <w:spacing w:after="0"/>
              <w:rPr>
                <w:sz w:val="20"/>
                <w:szCs w:val="20"/>
                <w:color w:val="auto"/>
              </w:rPr>
            </w:pPr>
            <w:r>
              <w:rPr>
                <w:rFonts w:ascii="Arial" w:cs="Arial" w:eastAsia="Arial" w:hAnsi="Arial"/>
                <w:sz w:val="25"/>
                <w:szCs w:val="25"/>
                <w:b w:val="1"/>
                <w:bCs w:val="1"/>
                <w:color w:val="auto"/>
                <w:w w:val="97"/>
              </w:rPr>
              <w:t>2.0</w:t>
            </w:r>
          </w:p>
        </w:tc>
        <w:tc>
          <w:tcPr>
            <w:tcW w:w="840" w:type="dxa"/>
            <w:vAlign w:val="bottom"/>
          </w:tcPr>
          <w:p>
            <w:pPr>
              <w:jc w:val="right"/>
              <w:spacing w:after="0"/>
              <w:rPr>
                <w:sz w:val="20"/>
                <w:szCs w:val="20"/>
                <w:color w:val="auto"/>
              </w:rPr>
            </w:pPr>
            <w:r>
              <w:rPr>
                <w:rFonts w:ascii="Arial" w:cs="Arial" w:eastAsia="Arial" w:hAnsi="Arial"/>
                <w:sz w:val="25"/>
                <w:szCs w:val="25"/>
                <w:b w:val="1"/>
                <w:bCs w:val="1"/>
                <w:color w:val="auto"/>
              </w:rPr>
              <w:t>3.0</w:t>
            </w:r>
          </w:p>
        </w:tc>
      </w:tr>
      <w:tr>
        <w:trPr>
          <w:trHeight w:val="462"/>
        </w:trPr>
        <w:tc>
          <w:tcPr>
            <w:tcW w:w="6340" w:type="dxa"/>
            <w:vAlign w:val="bottom"/>
          </w:tcPr>
          <w:p>
            <w:pPr>
              <w:spacing w:after="0"/>
              <w:rPr>
                <w:sz w:val="20"/>
                <w:szCs w:val="20"/>
                <w:color w:val="auto"/>
              </w:rPr>
            </w:pPr>
            <w:r>
              <w:rPr>
                <w:rFonts w:ascii="Arial" w:cs="Arial" w:eastAsia="Arial" w:hAnsi="Arial"/>
                <w:sz w:val="22"/>
                <w:szCs w:val="22"/>
                <w:b w:val="1"/>
                <w:bCs w:val="1"/>
                <w:color w:val="auto"/>
              </w:rPr>
              <w:t>Less Special Items:</w:t>
            </w: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6"/>
        </w:trPr>
        <w:tc>
          <w:tcPr>
            <w:tcW w:w="6340" w:type="dxa"/>
            <w:vAlign w:val="bottom"/>
          </w:tcPr>
          <w:p>
            <w:pPr>
              <w:spacing w:after="0"/>
              <w:rPr>
                <w:sz w:val="20"/>
                <w:szCs w:val="20"/>
                <w:color w:val="auto"/>
              </w:rPr>
            </w:pPr>
            <w:r>
              <w:rPr>
                <w:rFonts w:ascii="Arial" w:cs="Arial" w:eastAsia="Arial" w:hAnsi="Arial"/>
                <w:sz w:val="22"/>
                <w:szCs w:val="22"/>
                <w:color w:val="auto"/>
              </w:rPr>
              <w:t>None</w:t>
            </w:r>
          </w:p>
        </w:tc>
        <w:tc>
          <w:tcPr>
            <w:tcW w:w="1840" w:type="dxa"/>
            <w:vAlign w:val="bottom"/>
          </w:tcPr>
          <w:p>
            <w:pPr>
              <w:jc w:val="center"/>
              <w:ind w:left="625"/>
              <w:spacing w:after="0"/>
              <w:rPr>
                <w:sz w:val="20"/>
                <w:szCs w:val="20"/>
                <w:color w:val="auto"/>
              </w:rPr>
            </w:pPr>
            <w:r>
              <w:rPr>
                <w:rFonts w:ascii="Arial" w:cs="Arial" w:eastAsia="Arial" w:hAnsi="Arial"/>
                <w:sz w:val="22"/>
                <w:szCs w:val="22"/>
                <w:color w:val="auto"/>
                <w:w w:val="97"/>
              </w:rPr>
              <w:t>0.0</w:t>
            </w:r>
          </w:p>
        </w:tc>
        <w:tc>
          <w:tcPr>
            <w:tcW w:w="840" w:type="dxa"/>
            <w:vAlign w:val="bottom"/>
          </w:tcPr>
          <w:p>
            <w:pPr>
              <w:jc w:val="right"/>
              <w:ind w:right="5"/>
              <w:spacing w:after="0"/>
              <w:rPr>
                <w:sz w:val="20"/>
                <w:szCs w:val="20"/>
                <w:color w:val="auto"/>
              </w:rPr>
            </w:pPr>
            <w:r>
              <w:rPr>
                <w:rFonts w:ascii="Arial" w:cs="Arial" w:eastAsia="Arial" w:hAnsi="Arial"/>
                <w:sz w:val="22"/>
                <w:szCs w:val="22"/>
                <w:color w:val="auto"/>
              </w:rPr>
              <w:t>0.0</w:t>
            </w:r>
          </w:p>
        </w:tc>
      </w:tr>
      <w:tr>
        <w:trPr>
          <w:trHeight w:val="807"/>
        </w:trPr>
        <w:tc>
          <w:tcPr>
            <w:tcW w:w="6340" w:type="dxa"/>
            <w:vAlign w:val="bottom"/>
          </w:tcPr>
          <w:p>
            <w:pPr>
              <w:spacing w:after="0"/>
              <w:rPr>
                <w:sz w:val="20"/>
                <w:szCs w:val="20"/>
                <w:color w:val="auto"/>
              </w:rPr>
            </w:pPr>
            <w:r>
              <w:rPr>
                <w:rFonts w:ascii="Arial" w:cs="Arial" w:eastAsia="Arial" w:hAnsi="Arial"/>
                <w:sz w:val="25"/>
                <w:szCs w:val="25"/>
                <w:b w:val="1"/>
                <w:bCs w:val="1"/>
                <w:color w:val="auto"/>
              </w:rPr>
              <w:t>Total Special Items</w:t>
            </w:r>
          </w:p>
        </w:tc>
        <w:tc>
          <w:tcPr>
            <w:tcW w:w="1840" w:type="dxa"/>
            <w:vAlign w:val="bottom"/>
          </w:tcPr>
          <w:p>
            <w:pPr>
              <w:jc w:val="center"/>
              <w:ind w:left="625"/>
              <w:spacing w:after="0"/>
              <w:rPr>
                <w:sz w:val="20"/>
                <w:szCs w:val="20"/>
                <w:color w:val="auto"/>
              </w:rPr>
            </w:pPr>
            <w:r>
              <w:rPr>
                <w:rFonts w:ascii="Arial" w:cs="Arial" w:eastAsia="Arial" w:hAnsi="Arial"/>
                <w:sz w:val="25"/>
                <w:szCs w:val="25"/>
                <w:b w:val="1"/>
                <w:bCs w:val="1"/>
                <w:color w:val="auto"/>
                <w:w w:val="97"/>
              </w:rPr>
              <w:t>0.0</w:t>
            </w:r>
          </w:p>
        </w:tc>
        <w:tc>
          <w:tcPr>
            <w:tcW w:w="84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r>
        <w:trPr>
          <w:trHeight w:val="435"/>
        </w:trPr>
        <w:tc>
          <w:tcPr>
            <w:tcW w:w="6340" w:type="dxa"/>
            <w:vAlign w:val="bottom"/>
          </w:tcPr>
          <w:p>
            <w:pPr>
              <w:spacing w:after="0"/>
              <w:rPr>
                <w:sz w:val="20"/>
                <w:szCs w:val="20"/>
                <w:color w:val="auto"/>
              </w:rPr>
            </w:pPr>
            <w:r>
              <w:rPr>
                <w:rFonts w:ascii="Arial" w:cs="Arial" w:eastAsia="Arial" w:hAnsi="Arial"/>
                <w:sz w:val="25"/>
                <w:szCs w:val="25"/>
                <w:b w:val="1"/>
                <w:bCs w:val="1"/>
                <w:color w:val="auto"/>
              </w:rPr>
              <w:t>EBIT – Adj.</w:t>
            </w:r>
          </w:p>
        </w:tc>
        <w:tc>
          <w:tcPr>
            <w:tcW w:w="1840" w:type="dxa"/>
            <w:vAlign w:val="bottom"/>
          </w:tcPr>
          <w:p>
            <w:pPr>
              <w:jc w:val="center"/>
              <w:ind w:left="625"/>
              <w:spacing w:after="0"/>
              <w:rPr>
                <w:sz w:val="20"/>
                <w:szCs w:val="20"/>
                <w:color w:val="auto"/>
              </w:rPr>
            </w:pPr>
            <w:r>
              <w:rPr>
                <w:rFonts w:ascii="Arial" w:cs="Arial" w:eastAsia="Arial" w:hAnsi="Arial"/>
                <w:sz w:val="25"/>
                <w:szCs w:val="25"/>
                <w:b w:val="1"/>
                <w:bCs w:val="1"/>
                <w:color w:val="auto"/>
                <w:w w:val="97"/>
              </w:rPr>
              <w:t>2.0</w:t>
            </w:r>
          </w:p>
        </w:tc>
        <w:tc>
          <w:tcPr>
            <w:tcW w:w="840" w:type="dxa"/>
            <w:vAlign w:val="bottom"/>
          </w:tcPr>
          <w:p>
            <w:pPr>
              <w:jc w:val="right"/>
              <w:spacing w:after="0"/>
              <w:rPr>
                <w:sz w:val="20"/>
                <w:szCs w:val="20"/>
                <w:color w:val="auto"/>
              </w:rPr>
            </w:pPr>
            <w:r>
              <w:rPr>
                <w:rFonts w:ascii="Arial" w:cs="Arial" w:eastAsia="Arial" w:hAnsi="Arial"/>
                <w:sz w:val="25"/>
                <w:szCs w:val="25"/>
                <w:b w:val="1"/>
                <w:bCs w:val="1"/>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60" w:type="dxa"/>
            <w:vAlign w:val="bottom"/>
          </w:tcPr>
          <w:p>
            <w:pPr>
              <w:ind w:left="40"/>
              <w:spacing w:after="0"/>
              <w:rPr>
                <w:sz w:val="20"/>
                <w:szCs w:val="20"/>
                <w:color w:val="auto"/>
              </w:rPr>
            </w:pPr>
            <w:r>
              <w:rPr>
                <w:rFonts w:ascii="Arial" w:cs="Arial" w:eastAsia="Arial" w:hAnsi="Arial"/>
                <w:sz w:val="19"/>
                <w:szCs w:val="19"/>
                <w:i w:val="1"/>
                <w:iCs w:val="1"/>
                <w:color w:val="auto"/>
              </w:rPr>
              <w:t>Note: Starting Q4 2010 EBIT includes GM Financial on an Earnings Before Tax (EBT) basis</w:t>
            </w:r>
          </w:p>
        </w:tc>
        <w:tc>
          <w:tcPr>
            <w:tcW w:w="1460" w:type="dxa"/>
            <w:vAlign w:val="bottom"/>
          </w:tcPr>
          <w:p>
            <w:pPr>
              <w:spacing w:after="0"/>
              <w:rPr>
                <w:sz w:val="21"/>
                <w:szCs w:val="21"/>
                <w:color w:val="auto"/>
              </w:rPr>
            </w:pPr>
          </w:p>
        </w:tc>
      </w:tr>
      <w:tr>
        <w:trPr>
          <w:trHeight w:val="341"/>
        </w:trPr>
        <w:tc>
          <w:tcPr>
            <w:tcW w:w="8860" w:type="dxa"/>
            <w:vAlign w:val="bottom"/>
          </w:tcPr>
          <w:p>
            <w:pPr>
              <w:spacing w:after="0"/>
              <w:rPr>
                <w:sz w:val="20"/>
                <w:szCs w:val="20"/>
                <w:color w:val="auto"/>
              </w:rPr>
            </w:pPr>
            <w:r>
              <w:rPr>
                <w:rFonts w:ascii="Arial" w:cs="Arial" w:eastAsia="Arial" w:hAnsi="Arial"/>
                <w:sz w:val="19"/>
                <w:szCs w:val="19"/>
                <w:i w:val="1"/>
                <w:iCs w:val="1"/>
                <w:color w:val="auto"/>
              </w:rPr>
              <w:t>Note: Results may not foot due to rounding</w:t>
            </w:r>
          </w:p>
        </w:tc>
        <w:tc>
          <w:tcPr>
            <w:tcW w:w="1460" w:type="dxa"/>
            <w:vAlign w:val="bottom"/>
          </w:tcPr>
          <w:p>
            <w:pPr>
              <w:ind w:left="1220"/>
              <w:spacing w:after="0"/>
              <w:rPr>
                <w:sz w:val="20"/>
                <w:szCs w:val="20"/>
                <w:color w:val="auto"/>
              </w:rPr>
            </w:pPr>
            <w:r>
              <w:rPr>
                <w:rFonts w:ascii="Arial" w:cs="Arial" w:eastAsia="Arial" w:hAnsi="Arial"/>
                <w:sz w:val="19"/>
                <w:szCs w:val="19"/>
                <w:b w:val="1"/>
                <w:bCs w:val="1"/>
                <w:color w:val="auto"/>
                <w:w w:val="94"/>
              </w:rPr>
              <w:t>S2</w:t>
            </w:r>
          </w:p>
        </w:tc>
      </w:tr>
    </w:tbl>
    <w:p>
      <w:pPr>
        <w:sectPr>
          <w:pgSz w:w="11900" w:h="16838" w:orient="portrait"/>
          <w:cols w:equalWidth="0" w:num="1">
            <w:col w:w="10320"/>
          </w:cols>
          <w:pgMar w:left="580" w:top="597" w:right="999" w:bottom="1440" w:gutter="0" w:footer="0" w:header="0"/>
        </w:sectPr>
      </w:pPr>
    </w:p>
    <w:bookmarkStart w:id="55" w:name="page56"/>
    <w:bookmarkEnd w:id="55"/>
    <w:p>
      <w:pPr>
        <w:ind w:left="2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Q2 2011 Special Items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380" w:type="dxa"/>
            <w:vAlign w:val="bottom"/>
          </w:tcPr>
          <w:p>
            <w:pPr>
              <w:spacing w:after="0"/>
              <w:rPr>
                <w:sz w:val="24"/>
                <w:szCs w:val="24"/>
                <w:color w:val="auto"/>
              </w:rPr>
            </w:pP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Q2</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Q2</w:t>
            </w:r>
          </w:p>
        </w:tc>
      </w:tr>
      <w:tr>
        <w:trPr>
          <w:trHeight w:val="327"/>
        </w:trPr>
        <w:tc>
          <w:tcPr>
            <w:tcW w:w="4380" w:type="dxa"/>
            <w:vAlign w:val="bottom"/>
          </w:tcPr>
          <w:p>
            <w:pPr>
              <w:spacing w:after="0"/>
              <w:rPr>
                <w:sz w:val="20"/>
                <w:szCs w:val="20"/>
                <w:color w:val="auto"/>
              </w:rPr>
            </w:pPr>
            <w:r>
              <w:rPr>
                <w:rFonts w:ascii="Arial" w:cs="Arial" w:eastAsia="Arial" w:hAnsi="Arial"/>
                <w:sz w:val="25"/>
                <w:szCs w:val="25"/>
                <w:b w:val="1"/>
                <w:bCs w:val="1"/>
                <w:color w:val="auto"/>
              </w:rPr>
              <w:t>($B)</w:t>
            </w:r>
          </w:p>
        </w:tc>
        <w:tc>
          <w:tcPr>
            <w:tcW w:w="2380" w:type="dxa"/>
            <w:vAlign w:val="bottom"/>
          </w:tcPr>
          <w:p>
            <w:pPr>
              <w:jc w:val="right"/>
              <w:ind w:right="397"/>
              <w:spacing w:after="0"/>
              <w:rPr>
                <w:sz w:val="20"/>
                <w:szCs w:val="20"/>
                <w:color w:val="auto"/>
              </w:rPr>
            </w:pPr>
            <w:r>
              <w:rPr>
                <w:rFonts w:ascii="Arial" w:cs="Arial" w:eastAsia="Arial" w:hAnsi="Arial"/>
                <w:sz w:val="25"/>
                <w:szCs w:val="25"/>
                <w:b w:val="1"/>
                <w:bCs w:val="1"/>
                <w:color w:val="auto"/>
              </w:rPr>
              <w:t>2010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2011</w:t>
            </w:r>
          </w:p>
        </w:tc>
      </w:tr>
      <w:tr>
        <w:trPr>
          <w:trHeight w:val="835"/>
        </w:trPr>
        <w:tc>
          <w:tcPr>
            <w:tcW w:w="4380" w:type="dxa"/>
            <w:vAlign w:val="bottom"/>
          </w:tcPr>
          <w:p>
            <w:pPr>
              <w:spacing w:after="0"/>
              <w:rPr>
                <w:sz w:val="20"/>
                <w:szCs w:val="20"/>
                <w:color w:val="auto"/>
              </w:rPr>
            </w:pPr>
            <w:r>
              <w:rPr>
                <w:rFonts w:ascii="Arial" w:cs="Arial" w:eastAsia="Arial" w:hAnsi="Arial"/>
                <w:sz w:val="25"/>
                <w:szCs w:val="25"/>
                <w:b w:val="1"/>
                <w:bCs w:val="1"/>
                <w:color w:val="auto"/>
              </w:rPr>
              <w:t>Total GMNA</w:t>
            </w: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0.0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r>
        <w:trPr>
          <w:trHeight w:val="1376"/>
        </w:trPr>
        <w:tc>
          <w:tcPr>
            <w:tcW w:w="4380" w:type="dxa"/>
            <w:vAlign w:val="bottom"/>
          </w:tcPr>
          <w:p>
            <w:pPr>
              <w:spacing w:after="0"/>
              <w:rPr>
                <w:sz w:val="20"/>
                <w:szCs w:val="20"/>
                <w:color w:val="auto"/>
              </w:rPr>
            </w:pPr>
            <w:r>
              <w:rPr>
                <w:rFonts w:ascii="Arial" w:cs="Arial" w:eastAsia="Arial" w:hAnsi="Arial"/>
                <w:sz w:val="25"/>
                <w:szCs w:val="25"/>
                <w:b w:val="1"/>
                <w:bCs w:val="1"/>
                <w:color w:val="auto"/>
              </w:rPr>
              <w:t>Total GME</w:t>
            </w: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0.0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r>
        <w:trPr>
          <w:trHeight w:val="1235"/>
        </w:trPr>
        <w:tc>
          <w:tcPr>
            <w:tcW w:w="4380" w:type="dxa"/>
            <w:vAlign w:val="bottom"/>
          </w:tcPr>
          <w:p>
            <w:pPr>
              <w:spacing w:after="0"/>
              <w:rPr>
                <w:sz w:val="20"/>
                <w:szCs w:val="20"/>
                <w:color w:val="auto"/>
              </w:rPr>
            </w:pPr>
            <w:r>
              <w:rPr>
                <w:rFonts w:ascii="Arial" w:cs="Arial" w:eastAsia="Arial" w:hAnsi="Arial"/>
                <w:sz w:val="25"/>
                <w:szCs w:val="25"/>
                <w:b w:val="1"/>
                <w:bCs w:val="1"/>
                <w:color w:val="auto"/>
              </w:rPr>
              <w:t>Total GMIO</w:t>
            </w: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0.0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r>
        <w:trPr>
          <w:trHeight w:val="835"/>
        </w:trPr>
        <w:tc>
          <w:tcPr>
            <w:tcW w:w="4380" w:type="dxa"/>
            <w:vAlign w:val="bottom"/>
          </w:tcPr>
          <w:p>
            <w:pPr>
              <w:spacing w:after="0"/>
              <w:rPr>
                <w:sz w:val="20"/>
                <w:szCs w:val="20"/>
                <w:color w:val="auto"/>
              </w:rPr>
            </w:pPr>
            <w:r>
              <w:rPr>
                <w:rFonts w:ascii="Arial" w:cs="Arial" w:eastAsia="Arial" w:hAnsi="Arial"/>
                <w:sz w:val="25"/>
                <w:szCs w:val="25"/>
                <w:b w:val="1"/>
                <w:bCs w:val="1"/>
                <w:color w:val="auto"/>
              </w:rPr>
              <w:t>Total GMSA</w:t>
            </w: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0.0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r>
        <w:trPr>
          <w:trHeight w:val="905"/>
        </w:trPr>
        <w:tc>
          <w:tcPr>
            <w:tcW w:w="4380" w:type="dxa"/>
            <w:vAlign w:val="bottom"/>
          </w:tcPr>
          <w:p>
            <w:pPr>
              <w:spacing w:after="0"/>
              <w:rPr>
                <w:sz w:val="20"/>
                <w:szCs w:val="20"/>
                <w:color w:val="auto"/>
              </w:rPr>
            </w:pPr>
            <w:r>
              <w:rPr>
                <w:rFonts w:ascii="Arial" w:cs="Arial" w:eastAsia="Arial" w:hAnsi="Arial"/>
                <w:sz w:val="25"/>
                <w:szCs w:val="25"/>
                <w:b w:val="1"/>
                <w:bCs w:val="1"/>
                <w:color w:val="auto"/>
              </w:rPr>
              <w:t>Total Corp.</w:t>
            </w: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0.0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r>
        <w:trPr>
          <w:trHeight w:val="482"/>
        </w:trPr>
        <w:tc>
          <w:tcPr>
            <w:tcW w:w="4380" w:type="dxa"/>
            <w:vAlign w:val="bottom"/>
          </w:tcPr>
          <w:p>
            <w:pPr>
              <w:ind w:left="860"/>
              <w:spacing w:after="0"/>
              <w:rPr>
                <w:sz w:val="20"/>
                <w:szCs w:val="20"/>
                <w:color w:val="auto"/>
              </w:rPr>
            </w:pPr>
            <w:r>
              <w:rPr>
                <w:rFonts w:ascii="Arial" w:cs="Arial" w:eastAsia="Arial" w:hAnsi="Arial"/>
                <w:sz w:val="25"/>
                <w:szCs w:val="25"/>
                <w:b w:val="1"/>
                <w:bCs w:val="1"/>
                <w:color w:val="auto"/>
              </w:rPr>
              <w:t>Total Special Items</w:t>
            </w:r>
          </w:p>
        </w:tc>
        <w:tc>
          <w:tcPr>
            <w:tcW w:w="2380" w:type="dxa"/>
            <w:vAlign w:val="bottom"/>
          </w:tcPr>
          <w:p>
            <w:pPr>
              <w:jc w:val="right"/>
              <w:ind w:right="497"/>
              <w:spacing w:after="0"/>
              <w:rPr>
                <w:sz w:val="20"/>
                <w:szCs w:val="20"/>
                <w:color w:val="auto"/>
              </w:rPr>
            </w:pPr>
            <w:r>
              <w:rPr>
                <w:rFonts w:ascii="Arial" w:cs="Arial" w:eastAsia="Arial" w:hAnsi="Arial"/>
                <w:sz w:val="25"/>
                <w:szCs w:val="25"/>
                <w:b w:val="1"/>
                <w:bCs w:val="1"/>
                <w:color w:val="auto"/>
              </w:rPr>
              <w:t>0.0</w:t>
            </w: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0.0</w:t>
            </w:r>
          </w:p>
        </w:tc>
      </w:tr>
    </w:tbl>
    <w:p>
      <w:pPr>
        <w:spacing w:after="0" w:line="26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S3</w:t>
      </w:r>
    </w:p>
    <w:p>
      <w:pPr>
        <w:sectPr>
          <w:pgSz w:w="11900" w:h="16838" w:orient="portrait"/>
          <w:cols w:equalWidth="0" w:num="1">
            <w:col w:w="9480"/>
          </w:cols>
          <w:pgMar w:left="1440" w:top="597" w:right="979" w:bottom="1440" w:gutter="0" w:footer="0" w:header="0"/>
        </w:sectPr>
      </w:pPr>
    </w:p>
    <w:bookmarkStart w:id="56" w:name="page57"/>
    <w:bookmarkEnd w:id="56"/>
    <w:p>
      <w:pPr>
        <w:jc w:val="center"/>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Restructuring (not included in special items)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600" w:type="dxa"/>
            <w:vAlign w:val="bottom"/>
          </w:tcPr>
          <w:p>
            <w:pPr>
              <w:spacing w:after="0"/>
              <w:rPr>
                <w:sz w:val="24"/>
                <w:szCs w:val="24"/>
                <w:color w:val="auto"/>
              </w:rPr>
            </w:pPr>
          </w:p>
        </w:tc>
        <w:tc>
          <w:tcPr>
            <w:tcW w:w="920" w:type="dxa"/>
            <w:vAlign w:val="bottom"/>
          </w:tcPr>
          <w:p>
            <w:pPr>
              <w:jc w:val="center"/>
              <w:ind w:right="9"/>
              <w:spacing w:after="0"/>
              <w:rPr>
                <w:sz w:val="20"/>
                <w:szCs w:val="20"/>
                <w:color w:val="auto"/>
              </w:rPr>
            </w:pPr>
            <w:r>
              <w:rPr>
                <w:rFonts w:ascii="Arial" w:cs="Arial" w:eastAsia="Arial" w:hAnsi="Arial"/>
                <w:sz w:val="25"/>
                <w:szCs w:val="25"/>
                <w:b w:val="1"/>
                <w:bCs w:val="1"/>
                <w:color w:val="auto"/>
                <w:w w:val="95"/>
              </w:rPr>
              <w:t>Q1</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w w:val="95"/>
              </w:rPr>
              <w:t>Q2</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rPr>
              <w:t>Q3</w:t>
            </w:r>
          </w:p>
        </w:tc>
        <w:tc>
          <w:tcPr>
            <w:tcW w:w="1060" w:type="dxa"/>
            <w:vAlign w:val="bottom"/>
          </w:tcPr>
          <w:p>
            <w:pPr>
              <w:jc w:val="center"/>
              <w:spacing w:after="0"/>
              <w:rPr>
                <w:sz w:val="20"/>
                <w:szCs w:val="20"/>
                <w:color w:val="auto"/>
              </w:rPr>
            </w:pPr>
            <w:r>
              <w:rPr>
                <w:rFonts w:ascii="Arial" w:cs="Arial" w:eastAsia="Arial" w:hAnsi="Arial"/>
                <w:sz w:val="25"/>
                <w:szCs w:val="25"/>
                <w:b w:val="1"/>
                <w:bCs w:val="1"/>
                <w:color w:val="auto"/>
              </w:rPr>
              <w:t>Q4</w:t>
            </w:r>
          </w:p>
        </w:tc>
        <w:tc>
          <w:tcPr>
            <w:tcW w:w="1060" w:type="dxa"/>
            <w:vAlign w:val="bottom"/>
          </w:tcPr>
          <w:p>
            <w:pPr>
              <w:jc w:val="center"/>
              <w:spacing w:after="0"/>
              <w:rPr>
                <w:sz w:val="20"/>
                <w:szCs w:val="20"/>
                <w:color w:val="auto"/>
              </w:rPr>
            </w:pPr>
            <w:r>
              <w:rPr>
                <w:rFonts w:ascii="Arial" w:cs="Arial" w:eastAsia="Arial" w:hAnsi="Arial"/>
                <w:sz w:val="25"/>
                <w:szCs w:val="25"/>
                <w:b w:val="1"/>
                <w:bCs w:val="1"/>
                <w:color w:val="auto"/>
              </w:rPr>
              <w:t>Q1</w:t>
            </w:r>
          </w:p>
        </w:tc>
        <w:tc>
          <w:tcPr>
            <w:tcW w:w="1600" w:type="dxa"/>
            <w:vAlign w:val="bottom"/>
          </w:tcPr>
          <w:p>
            <w:pPr>
              <w:jc w:val="center"/>
              <w:ind w:right="415"/>
              <w:spacing w:after="0"/>
              <w:rPr>
                <w:sz w:val="20"/>
                <w:szCs w:val="20"/>
                <w:color w:val="auto"/>
              </w:rPr>
            </w:pPr>
            <w:r>
              <w:rPr>
                <w:rFonts w:ascii="Arial" w:cs="Arial" w:eastAsia="Arial" w:hAnsi="Arial"/>
                <w:sz w:val="25"/>
                <w:szCs w:val="25"/>
                <w:b w:val="1"/>
                <w:bCs w:val="1"/>
                <w:color w:val="auto"/>
                <w:w w:val="95"/>
              </w:rPr>
              <w:t>Q2</w:t>
            </w:r>
          </w:p>
        </w:tc>
        <w:tc>
          <w:tcPr>
            <w:tcW w:w="0" w:type="dxa"/>
            <w:vAlign w:val="bottom"/>
          </w:tcPr>
          <w:p>
            <w:pPr>
              <w:spacing w:after="0"/>
              <w:rPr>
                <w:sz w:val="1"/>
                <w:szCs w:val="1"/>
                <w:color w:val="auto"/>
              </w:rPr>
            </w:pPr>
          </w:p>
        </w:tc>
      </w:tr>
      <w:tr>
        <w:trPr>
          <w:trHeight w:val="421"/>
        </w:trPr>
        <w:tc>
          <w:tcPr>
            <w:tcW w:w="3600" w:type="dxa"/>
            <w:vAlign w:val="bottom"/>
          </w:tcPr>
          <w:p>
            <w:pPr>
              <w:ind w:left="120"/>
              <w:spacing w:after="0"/>
              <w:rPr>
                <w:sz w:val="20"/>
                <w:szCs w:val="20"/>
                <w:color w:val="auto"/>
              </w:rPr>
            </w:pPr>
            <w:r>
              <w:rPr>
                <w:rFonts w:ascii="Arial" w:cs="Arial" w:eastAsia="Arial" w:hAnsi="Arial"/>
                <w:sz w:val="32"/>
                <w:szCs w:val="32"/>
                <w:b w:val="1"/>
                <w:bCs w:val="1"/>
                <w:color w:val="auto"/>
              </w:rPr>
              <w:t>($B)</w:t>
            </w:r>
          </w:p>
        </w:tc>
        <w:tc>
          <w:tcPr>
            <w:tcW w:w="920" w:type="dxa"/>
            <w:vAlign w:val="bottom"/>
          </w:tcPr>
          <w:p>
            <w:pPr>
              <w:jc w:val="center"/>
              <w:ind w:right="9"/>
              <w:spacing w:after="0"/>
              <w:rPr>
                <w:sz w:val="20"/>
                <w:szCs w:val="20"/>
                <w:color w:val="auto"/>
              </w:rPr>
            </w:pPr>
            <w:r>
              <w:rPr>
                <w:rFonts w:ascii="Arial" w:cs="Arial" w:eastAsia="Arial" w:hAnsi="Arial"/>
                <w:sz w:val="32"/>
                <w:szCs w:val="32"/>
                <w:b w:val="1"/>
                <w:bCs w:val="1"/>
                <w:color w:val="auto"/>
              </w:rPr>
              <w:t>2010</w:t>
            </w:r>
          </w:p>
        </w:tc>
        <w:tc>
          <w:tcPr>
            <w:tcW w:w="1040" w:type="dxa"/>
            <w:vAlign w:val="bottom"/>
          </w:tcPr>
          <w:p>
            <w:pPr>
              <w:jc w:val="right"/>
              <w:ind w:right="9"/>
              <w:spacing w:after="0"/>
              <w:rPr>
                <w:sz w:val="20"/>
                <w:szCs w:val="20"/>
                <w:color w:val="auto"/>
              </w:rPr>
            </w:pPr>
            <w:r>
              <w:rPr>
                <w:rFonts w:ascii="Arial" w:cs="Arial" w:eastAsia="Arial" w:hAnsi="Arial"/>
                <w:sz w:val="32"/>
                <w:szCs w:val="32"/>
                <w:b w:val="1"/>
                <w:bCs w:val="1"/>
                <w:color w:val="auto"/>
              </w:rPr>
              <w:t>2010</w:t>
            </w:r>
          </w:p>
        </w:tc>
        <w:tc>
          <w:tcPr>
            <w:tcW w:w="1040" w:type="dxa"/>
            <w:vAlign w:val="bottom"/>
          </w:tcPr>
          <w:p>
            <w:pPr>
              <w:jc w:val="right"/>
              <w:ind w:right="9"/>
              <w:spacing w:after="0"/>
              <w:rPr>
                <w:sz w:val="20"/>
                <w:szCs w:val="20"/>
                <w:color w:val="auto"/>
              </w:rPr>
            </w:pPr>
            <w:r>
              <w:rPr>
                <w:rFonts w:ascii="Arial" w:cs="Arial" w:eastAsia="Arial" w:hAnsi="Arial"/>
                <w:sz w:val="32"/>
                <w:szCs w:val="32"/>
                <w:b w:val="1"/>
                <w:bCs w:val="1"/>
                <w:color w:val="auto"/>
              </w:rPr>
              <w:t>2010</w:t>
            </w:r>
          </w:p>
        </w:tc>
        <w:tc>
          <w:tcPr>
            <w:tcW w:w="1060" w:type="dxa"/>
            <w:vAlign w:val="bottom"/>
          </w:tcPr>
          <w:p>
            <w:pPr>
              <w:jc w:val="center"/>
              <w:spacing w:after="0"/>
              <w:rPr>
                <w:sz w:val="20"/>
                <w:szCs w:val="20"/>
                <w:color w:val="auto"/>
              </w:rPr>
            </w:pPr>
            <w:r>
              <w:rPr>
                <w:rFonts w:ascii="Arial" w:cs="Arial" w:eastAsia="Arial" w:hAnsi="Arial"/>
                <w:sz w:val="32"/>
                <w:szCs w:val="32"/>
                <w:b w:val="1"/>
                <w:bCs w:val="1"/>
                <w:color w:val="auto"/>
                <w:w w:val="98"/>
              </w:rPr>
              <w:t>2010</w:t>
            </w:r>
          </w:p>
        </w:tc>
        <w:tc>
          <w:tcPr>
            <w:tcW w:w="1060" w:type="dxa"/>
            <w:vAlign w:val="bottom"/>
          </w:tcPr>
          <w:p>
            <w:pPr>
              <w:jc w:val="right"/>
              <w:ind w:right="29"/>
              <w:spacing w:after="0"/>
              <w:rPr>
                <w:sz w:val="20"/>
                <w:szCs w:val="20"/>
                <w:color w:val="auto"/>
              </w:rPr>
            </w:pPr>
            <w:r>
              <w:rPr>
                <w:rFonts w:ascii="Arial" w:cs="Arial" w:eastAsia="Arial" w:hAnsi="Arial"/>
                <w:sz w:val="32"/>
                <w:szCs w:val="32"/>
                <w:b w:val="1"/>
                <w:bCs w:val="1"/>
                <w:color w:val="auto"/>
              </w:rPr>
              <w:t>2011</w:t>
            </w:r>
          </w:p>
        </w:tc>
        <w:tc>
          <w:tcPr>
            <w:tcW w:w="1600" w:type="dxa"/>
            <w:vAlign w:val="bottom"/>
          </w:tcPr>
          <w:p>
            <w:pPr>
              <w:jc w:val="right"/>
              <w:ind w:right="595"/>
              <w:spacing w:after="0"/>
              <w:rPr>
                <w:sz w:val="20"/>
                <w:szCs w:val="20"/>
                <w:color w:val="auto"/>
              </w:rPr>
            </w:pPr>
            <w:r>
              <w:rPr>
                <w:rFonts w:ascii="Arial" w:cs="Arial" w:eastAsia="Arial" w:hAnsi="Arial"/>
                <w:sz w:val="32"/>
                <w:szCs w:val="32"/>
                <w:b w:val="1"/>
                <w:bCs w:val="1"/>
                <w:color w:val="auto"/>
              </w:rPr>
              <w:t>2011</w:t>
            </w:r>
          </w:p>
        </w:tc>
        <w:tc>
          <w:tcPr>
            <w:tcW w:w="0" w:type="dxa"/>
            <w:vAlign w:val="bottom"/>
          </w:tcPr>
          <w:p>
            <w:pPr>
              <w:spacing w:after="0"/>
              <w:rPr>
                <w:sz w:val="1"/>
                <w:szCs w:val="1"/>
                <w:color w:val="auto"/>
              </w:rPr>
            </w:pPr>
          </w:p>
        </w:tc>
      </w:tr>
      <w:tr>
        <w:trPr>
          <w:trHeight w:val="484"/>
        </w:trPr>
        <w:tc>
          <w:tcPr>
            <w:tcW w:w="3600" w:type="dxa"/>
            <w:vAlign w:val="bottom"/>
          </w:tcPr>
          <w:p>
            <w:pPr>
              <w:ind w:left="120"/>
              <w:spacing w:after="0"/>
              <w:rPr>
                <w:sz w:val="20"/>
                <w:szCs w:val="20"/>
                <w:color w:val="auto"/>
              </w:rPr>
            </w:pPr>
            <w:r>
              <w:rPr>
                <w:rFonts w:ascii="Arial" w:cs="Arial" w:eastAsia="Arial" w:hAnsi="Arial"/>
                <w:sz w:val="28"/>
                <w:szCs w:val="28"/>
                <w:color w:val="auto"/>
              </w:rPr>
              <w:t>GMNA – Dealer Related</w:t>
            </w:r>
          </w:p>
        </w:tc>
        <w:tc>
          <w:tcPr>
            <w:tcW w:w="920" w:type="dxa"/>
            <w:vAlign w:val="bottom"/>
          </w:tcPr>
          <w:p>
            <w:pPr>
              <w:jc w:val="right"/>
              <w:ind w:right="189"/>
              <w:spacing w:after="0"/>
              <w:rPr>
                <w:sz w:val="20"/>
                <w:szCs w:val="20"/>
                <w:color w:val="auto"/>
              </w:rPr>
            </w:pPr>
            <w:r>
              <w:rPr>
                <w:rFonts w:ascii="Arial" w:cs="Arial" w:eastAsia="Arial" w:hAnsi="Arial"/>
                <w:sz w:val="28"/>
                <w:szCs w:val="28"/>
                <w:color w:val="auto"/>
              </w:rPr>
              <w:t>0.0</w:t>
            </w:r>
          </w:p>
        </w:tc>
        <w:tc>
          <w:tcPr>
            <w:tcW w:w="1040" w:type="dxa"/>
            <w:vAlign w:val="bottom"/>
          </w:tcPr>
          <w:p>
            <w:pPr>
              <w:jc w:val="right"/>
              <w:ind w:right="169"/>
              <w:spacing w:after="0"/>
              <w:rPr>
                <w:sz w:val="20"/>
                <w:szCs w:val="20"/>
                <w:color w:val="auto"/>
              </w:rPr>
            </w:pPr>
            <w:r>
              <w:rPr>
                <w:rFonts w:ascii="Arial" w:cs="Arial" w:eastAsia="Arial" w:hAnsi="Arial"/>
                <w:sz w:val="28"/>
                <w:szCs w:val="28"/>
                <w:color w:val="auto"/>
              </w:rPr>
              <w:t>0.0</w:t>
            </w:r>
          </w:p>
        </w:tc>
        <w:tc>
          <w:tcPr>
            <w:tcW w:w="1040" w:type="dxa"/>
            <w:vAlign w:val="bottom"/>
          </w:tcPr>
          <w:p>
            <w:pPr>
              <w:jc w:val="right"/>
              <w:ind w:right="169"/>
              <w:spacing w:after="0"/>
              <w:rPr>
                <w:sz w:val="20"/>
                <w:szCs w:val="20"/>
                <w:color w:val="auto"/>
              </w:rPr>
            </w:pPr>
            <w:r>
              <w:rPr>
                <w:rFonts w:ascii="Arial" w:cs="Arial" w:eastAsia="Arial" w:hAnsi="Arial"/>
                <w:sz w:val="28"/>
                <w:szCs w:val="28"/>
                <w:color w:val="auto"/>
              </w:rPr>
              <w:t>0.0</w:t>
            </w:r>
          </w:p>
        </w:tc>
        <w:tc>
          <w:tcPr>
            <w:tcW w:w="1060" w:type="dxa"/>
            <w:vAlign w:val="bottom"/>
          </w:tcPr>
          <w:p>
            <w:pPr>
              <w:jc w:val="right"/>
              <w:ind w:right="169"/>
              <w:spacing w:after="0"/>
              <w:rPr>
                <w:sz w:val="20"/>
                <w:szCs w:val="20"/>
                <w:color w:val="auto"/>
              </w:rPr>
            </w:pPr>
            <w:r>
              <w:rPr>
                <w:rFonts w:ascii="Arial" w:cs="Arial" w:eastAsia="Arial" w:hAnsi="Arial"/>
                <w:sz w:val="28"/>
                <w:szCs w:val="28"/>
                <w:color w:val="auto"/>
              </w:rPr>
              <w:t>0.0</w:t>
            </w:r>
          </w:p>
        </w:tc>
        <w:tc>
          <w:tcPr>
            <w:tcW w:w="1060" w:type="dxa"/>
            <w:vAlign w:val="bottom"/>
          </w:tcPr>
          <w:p>
            <w:pPr>
              <w:jc w:val="right"/>
              <w:ind w:right="189"/>
              <w:spacing w:after="0"/>
              <w:rPr>
                <w:sz w:val="20"/>
                <w:szCs w:val="20"/>
                <w:color w:val="auto"/>
              </w:rPr>
            </w:pPr>
            <w:r>
              <w:rPr>
                <w:rFonts w:ascii="Arial" w:cs="Arial" w:eastAsia="Arial" w:hAnsi="Arial"/>
                <w:sz w:val="28"/>
                <w:szCs w:val="28"/>
                <w:color w:val="auto"/>
              </w:rPr>
              <w:t>0.0</w:t>
            </w:r>
          </w:p>
        </w:tc>
        <w:tc>
          <w:tcPr>
            <w:tcW w:w="1600" w:type="dxa"/>
            <w:vAlign w:val="bottom"/>
          </w:tcPr>
          <w:p>
            <w:pPr>
              <w:jc w:val="right"/>
              <w:ind w:right="755"/>
              <w:spacing w:after="0"/>
              <w:rPr>
                <w:sz w:val="20"/>
                <w:szCs w:val="20"/>
                <w:color w:val="auto"/>
              </w:rPr>
            </w:pPr>
            <w:r>
              <w:rPr>
                <w:rFonts w:ascii="Arial" w:cs="Arial" w:eastAsia="Arial" w:hAnsi="Arial"/>
                <w:sz w:val="28"/>
                <w:szCs w:val="28"/>
                <w:color w:val="auto"/>
              </w:rPr>
              <w:t>0.0</w:t>
            </w:r>
          </w:p>
        </w:tc>
        <w:tc>
          <w:tcPr>
            <w:tcW w:w="0" w:type="dxa"/>
            <w:vAlign w:val="bottom"/>
          </w:tcPr>
          <w:p>
            <w:pPr>
              <w:spacing w:after="0"/>
              <w:rPr>
                <w:sz w:val="1"/>
                <w:szCs w:val="1"/>
                <w:color w:val="auto"/>
              </w:rPr>
            </w:pPr>
          </w:p>
        </w:tc>
      </w:tr>
      <w:tr>
        <w:trPr>
          <w:trHeight w:val="460"/>
        </w:trPr>
        <w:tc>
          <w:tcPr>
            <w:tcW w:w="3600" w:type="dxa"/>
            <w:vAlign w:val="bottom"/>
          </w:tcPr>
          <w:p>
            <w:pPr>
              <w:ind w:left="120"/>
              <w:spacing w:after="0"/>
              <w:rPr>
                <w:sz w:val="20"/>
                <w:szCs w:val="20"/>
                <w:color w:val="auto"/>
              </w:rPr>
            </w:pPr>
            <w:r>
              <w:rPr>
                <w:rFonts w:ascii="Arial" w:cs="Arial" w:eastAsia="Arial" w:hAnsi="Arial"/>
                <w:sz w:val="28"/>
                <w:szCs w:val="28"/>
                <w:color w:val="auto"/>
              </w:rPr>
              <w:t>GMNA – Non-Dealer</w:t>
            </w:r>
          </w:p>
        </w:tc>
        <w:tc>
          <w:tcPr>
            <w:tcW w:w="920" w:type="dxa"/>
            <w:vAlign w:val="bottom"/>
            <w:vMerge w:val="restart"/>
          </w:tcPr>
          <w:p>
            <w:pPr>
              <w:jc w:val="right"/>
              <w:ind w:right="189"/>
              <w:spacing w:after="0"/>
              <w:rPr>
                <w:sz w:val="20"/>
                <w:szCs w:val="20"/>
                <w:color w:val="auto"/>
              </w:rPr>
            </w:pPr>
            <w:r>
              <w:rPr>
                <w:rFonts w:ascii="Arial" w:cs="Arial" w:eastAsia="Arial" w:hAnsi="Arial"/>
                <w:sz w:val="28"/>
                <w:szCs w:val="28"/>
                <w:color w:val="auto"/>
              </w:rPr>
              <w:t>0.1</w:t>
            </w:r>
          </w:p>
        </w:tc>
        <w:tc>
          <w:tcPr>
            <w:tcW w:w="1040" w:type="dxa"/>
            <w:vAlign w:val="bottom"/>
            <w:vMerge w:val="restart"/>
          </w:tcPr>
          <w:p>
            <w:pPr>
              <w:jc w:val="right"/>
              <w:ind w:right="169"/>
              <w:spacing w:after="0"/>
              <w:rPr>
                <w:sz w:val="20"/>
                <w:szCs w:val="20"/>
                <w:color w:val="auto"/>
              </w:rPr>
            </w:pPr>
            <w:r>
              <w:rPr>
                <w:rFonts w:ascii="Arial" w:cs="Arial" w:eastAsia="Arial" w:hAnsi="Arial"/>
                <w:sz w:val="28"/>
                <w:szCs w:val="28"/>
                <w:color w:val="auto"/>
              </w:rPr>
              <w:t>0.0</w:t>
            </w:r>
          </w:p>
        </w:tc>
        <w:tc>
          <w:tcPr>
            <w:tcW w:w="1040" w:type="dxa"/>
            <w:vAlign w:val="bottom"/>
            <w:vMerge w:val="restart"/>
          </w:tcPr>
          <w:p>
            <w:pPr>
              <w:jc w:val="right"/>
              <w:ind w:right="169"/>
              <w:spacing w:after="0"/>
              <w:rPr>
                <w:sz w:val="20"/>
                <w:szCs w:val="20"/>
                <w:color w:val="auto"/>
              </w:rPr>
            </w:pPr>
            <w:r>
              <w:rPr>
                <w:rFonts w:ascii="Arial" w:cs="Arial" w:eastAsia="Arial" w:hAnsi="Arial"/>
                <w:sz w:val="28"/>
                <w:szCs w:val="28"/>
                <w:color w:val="auto"/>
              </w:rPr>
              <w:t>0.1</w:t>
            </w:r>
          </w:p>
        </w:tc>
        <w:tc>
          <w:tcPr>
            <w:tcW w:w="1060" w:type="dxa"/>
            <w:vAlign w:val="bottom"/>
            <w:vMerge w:val="restart"/>
          </w:tcPr>
          <w:p>
            <w:pPr>
              <w:jc w:val="right"/>
              <w:ind w:right="169"/>
              <w:spacing w:after="0"/>
              <w:rPr>
                <w:sz w:val="20"/>
                <w:szCs w:val="20"/>
                <w:color w:val="auto"/>
              </w:rPr>
            </w:pPr>
            <w:r>
              <w:rPr>
                <w:rFonts w:ascii="Arial" w:cs="Arial" w:eastAsia="Arial" w:hAnsi="Arial"/>
                <w:sz w:val="28"/>
                <w:szCs w:val="28"/>
                <w:color w:val="auto"/>
              </w:rPr>
              <w:t>0.2</w:t>
            </w:r>
          </w:p>
        </w:tc>
        <w:tc>
          <w:tcPr>
            <w:tcW w:w="1060" w:type="dxa"/>
            <w:vAlign w:val="bottom"/>
            <w:vMerge w:val="restart"/>
          </w:tcPr>
          <w:p>
            <w:pPr>
              <w:jc w:val="right"/>
              <w:ind w:right="189"/>
              <w:spacing w:after="0"/>
              <w:rPr>
                <w:sz w:val="20"/>
                <w:szCs w:val="20"/>
                <w:color w:val="auto"/>
              </w:rPr>
            </w:pPr>
            <w:r>
              <w:rPr>
                <w:rFonts w:ascii="Arial" w:cs="Arial" w:eastAsia="Arial" w:hAnsi="Arial"/>
                <w:sz w:val="28"/>
                <w:szCs w:val="28"/>
                <w:color w:val="auto"/>
              </w:rPr>
              <w:t>0.0</w:t>
            </w:r>
          </w:p>
        </w:tc>
        <w:tc>
          <w:tcPr>
            <w:tcW w:w="1600" w:type="dxa"/>
            <w:vAlign w:val="bottom"/>
            <w:vMerge w:val="restart"/>
          </w:tcPr>
          <w:p>
            <w:pPr>
              <w:jc w:val="right"/>
              <w:ind w:right="755"/>
              <w:spacing w:after="0"/>
              <w:rPr>
                <w:sz w:val="20"/>
                <w:szCs w:val="20"/>
                <w:color w:val="auto"/>
              </w:rPr>
            </w:pPr>
            <w:r>
              <w:rPr>
                <w:rFonts w:ascii="Arial" w:cs="Arial" w:eastAsia="Arial" w:hAnsi="Arial"/>
                <w:sz w:val="28"/>
                <w:szCs w:val="28"/>
                <w:color w:val="auto"/>
              </w:rPr>
              <w:t>0.0</w:t>
            </w:r>
          </w:p>
        </w:tc>
        <w:tc>
          <w:tcPr>
            <w:tcW w:w="0" w:type="dxa"/>
            <w:vAlign w:val="bottom"/>
          </w:tcPr>
          <w:p>
            <w:pPr>
              <w:spacing w:after="0"/>
              <w:rPr>
                <w:sz w:val="1"/>
                <w:szCs w:val="1"/>
                <w:color w:val="auto"/>
              </w:rPr>
            </w:pPr>
          </w:p>
        </w:tc>
      </w:tr>
      <w:tr>
        <w:trPr>
          <w:trHeight w:val="175"/>
        </w:trPr>
        <w:tc>
          <w:tcPr>
            <w:tcW w:w="3600" w:type="dxa"/>
            <w:vAlign w:val="bottom"/>
            <w:vMerge w:val="restart"/>
          </w:tcPr>
          <w:p>
            <w:pPr>
              <w:ind w:left="120"/>
              <w:spacing w:after="0"/>
              <w:rPr>
                <w:sz w:val="20"/>
                <w:szCs w:val="20"/>
                <w:color w:val="auto"/>
              </w:rPr>
            </w:pPr>
            <w:r>
              <w:rPr>
                <w:rFonts w:ascii="Arial" w:cs="Arial" w:eastAsia="Arial" w:hAnsi="Arial"/>
                <w:sz w:val="28"/>
                <w:szCs w:val="28"/>
                <w:color w:val="auto"/>
              </w:rPr>
              <w:t>Related</w:t>
            </w:r>
          </w:p>
        </w:tc>
        <w:tc>
          <w:tcPr>
            <w:tcW w:w="9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6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4"/>
        </w:trPr>
        <w:tc>
          <w:tcPr>
            <w:tcW w:w="3600" w:type="dxa"/>
            <w:vAlign w:val="bottom"/>
          </w:tcPr>
          <w:p>
            <w:pPr>
              <w:ind w:left="380"/>
              <w:spacing w:after="0"/>
              <w:rPr>
                <w:sz w:val="20"/>
                <w:szCs w:val="20"/>
                <w:color w:val="auto"/>
              </w:rPr>
            </w:pPr>
            <w:r>
              <w:rPr>
                <w:rFonts w:ascii="Arial" w:cs="Arial" w:eastAsia="Arial" w:hAnsi="Arial"/>
                <w:sz w:val="32"/>
                <w:szCs w:val="32"/>
                <w:b w:val="1"/>
                <w:bCs w:val="1"/>
                <w:color w:val="auto"/>
              </w:rPr>
              <w:t>Total GMNA</w:t>
            </w:r>
          </w:p>
        </w:tc>
        <w:tc>
          <w:tcPr>
            <w:tcW w:w="920" w:type="dxa"/>
            <w:vAlign w:val="bottom"/>
          </w:tcPr>
          <w:p>
            <w:pPr>
              <w:jc w:val="center"/>
              <w:ind w:right="9"/>
              <w:spacing w:after="0"/>
              <w:rPr>
                <w:sz w:val="20"/>
                <w:szCs w:val="20"/>
                <w:color w:val="auto"/>
              </w:rPr>
            </w:pPr>
            <w:r>
              <w:rPr>
                <w:rFonts w:ascii="Arial" w:cs="Arial" w:eastAsia="Arial" w:hAnsi="Arial"/>
                <w:sz w:val="32"/>
                <w:szCs w:val="32"/>
                <w:b w:val="1"/>
                <w:bCs w:val="1"/>
                <w:color w:val="auto"/>
                <w:w w:val="98"/>
              </w:rPr>
              <w:t>0.1</w:t>
            </w:r>
          </w:p>
        </w:tc>
        <w:tc>
          <w:tcPr>
            <w:tcW w:w="104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040" w:type="dxa"/>
            <w:vAlign w:val="bottom"/>
          </w:tcPr>
          <w:p>
            <w:pPr>
              <w:jc w:val="right"/>
              <w:ind w:right="149"/>
              <w:spacing w:after="0"/>
              <w:rPr>
                <w:sz w:val="20"/>
                <w:szCs w:val="20"/>
                <w:color w:val="auto"/>
              </w:rPr>
            </w:pPr>
            <w:r>
              <w:rPr>
                <w:rFonts w:ascii="Arial" w:cs="Arial" w:eastAsia="Arial" w:hAnsi="Arial"/>
                <w:sz w:val="32"/>
                <w:szCs w:val="32"/>
                <w:b w:val="1"/>
                <w:bCs w:val="1"/>
                <w:color w:val="auto"/>
              </w:rPr>
              <w:t>0.1</w:t>
            </w:r>
          </w:p>
        </w:tc>
        <w:tc>
          <w:tcPr>
            <w:tcW w:w="1060" w:type="dxa"/>
            <w:vAlign w:val="bottom"/>
          </w:tcPr>
          <w:p>
            <w:pPr>
              <w:jc w:val="center"/>
              <w:spacing w:after="0"/>
              <w:rPr>
                <w:sz w:val="20"/>
                <w:szCs w:val="20"/>
                <w:color w:val="auto"/>
              </w:rPr>
            </w:pPr>
            <w:r>
              <w:rPr>
                <w:rFonts w:ascii="Arial" w:cs="Arial" w:eastAsia="Arial" w:hAnsi="Arial"/>
                <w:sz w:val="32"/>
                <w:szCs w:val="32"/>
                <w:b w:val="1"/>
                <w:bCs w:val="1"/>
                <w:color w:val="auto"/>
                <w:w w:val="98"/>
              </w:rPr>
              <w:t>0.2</w:t>
            </w:r>
          </w:p>
        </w:tc>
        <w:tc>
          <w:tcPr>
            <w:tcW w:w="106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600" w:type="dxa"/>
            <w:vAlign w:val="bottom"/>
          </w:tcPr>
          <w:p>
            <w:pPr>
              <w:jc w:val="right"/>
              <w:ind w:right="735"/>
              <w:spacing w:after="0"/>
              <w:rPr>
                <w:sz w:val="20"/>
                <w:szCs w:val="20"/>
                <w:color w:val="auto"/>
              </w:rPr>
            </w:pPr>
            <w:r>
              <w:rPr>
                <w:rFonts w:ascii="Arial" w:cs="Arial" w:eastAsia="Arial" w:hAnsi="Arial"/>
                <w:sz w:val="32"/>
                <w:szCs w:val="32"/>
                <w:b w:val="1"/>
                <w:bCs w:val="1"/>
                <w:color w:val="auto"/>
              </w:rPr>
              <w:t>0.0</w:t>
            </w:r>
          </w:p>
        </w:tc>
        <w:tc>
          <w:tcPr>
            <w:tcW w:w="0" w:type="dxa"/>
            <w:vAlign w:val="bottom"/>
          </w:tcPr>
          <w:p>
            <w:pPr>
              <w:spacing w:after="0"/>
              <w:rPr>
                <w:sz w:val="1"/>
                <w:szCs w:val="1"/>
                <w:color w:val="auto"/>
              </w:rPr>
            </w:pPr>
          </w:p>
        </w:tc>
      </w:tr>
      <w:tr>
        <w:trPr>
          <w:trHeight w:val="917"/>
        </w:trPr>
        <w:tc>
          <w:tcPr>
            <w:tcW w:w="3600" w:type="dxa"/>
            <w:vAlign w:val="bottom"/>
          </w:tcPr>
          <w:p>
            <w:pPr>
              <w:ind w:left="380"/>
              <w:spacing w:after="0"/>
              <w:rPr>
                <w:sz w:val="20"/>
                <w:szCs w:val="20"/>
                <w:color w:val="auto"/>
              </w:rPr>
            </w:pPr>
            <w:r>
              <w:rPr>
                <w:rFonts w:ascii="Arial" w:cs="Arial" w:eastAsia="Arial" w:hAnsi="Arial"/>
                <w:sz w:val="32"/>
                <w:szCs w:val="32"/>
                <w:b w:val="1"/>
                <w:bCs w:val="1"/>
                <w:color w:val="auto"/>
              </w:rPr>
              <w:t>Total GME</w:t>
            </w:r>
          </w:p>
        </w:tc>
        <w:tc>
          <w:tcPr>
            <w:tcW w:w="920" w:type="dxa"/>
            <w:vAlign w:val="bottom"/>
          </w:tcPr>
          <w:p>
            <w:pPr>
              <w:jc w:val="center"/>
              <w:ind w:right="9"/>
              <w:spacing w:after="0"/>
              <w:rPr>
                <w:sz w:val="20"/>
                <w:szCs w:val="20"/>
                <w:color w:val="auto"/>
              </w:rPr>
            </w:pPr>
            <w:r>
              <w:rPr>
                <w:rFonts w:ascii="Arial" w:cs="Arial" w:eastAsia="Arial" w:hAnsi="Arial"/>
                <w:sz w:val="32"/>
                <w:szCs w:val="32"/>
                <w:b w:val="1"/>
                <w:bCs w:val="1"/>
                <w:color w:val="auto"/>
                <w:w w:val="97"/>
              </w:rPr>
              <w:t>(0.3)</w:t>
            </w:r>
          </w:p>
        </w:tc>
        <w:tc>
          <w:tcPr>
            <w:tcW w:w="1040" w:type="dxa"/>
            <w:vAlign w:val="bottom"/>
          </w:tcPr>
          <w:p>
            <w:pPr>
              <w:jc w:val="right"/>
              <w:ind w:right="49"/>
              <w:spacing w:after="0"/>
              <w:rPr>
                <w:sz w:val="20"/>
                <w:szCs w:val="20"/>
                <w:color w:val="auto"/>
              </w:rPr>
            </w:pPr>
            <w:r>
              <w:rPr>
                <w:rFonts w:ascii="Arial" w:cs="Arial" w:eastAsia="Arial" w:hAnsi="Arial"/>
                <w:sz w:val="32"/>
                <w:szCs w:val="32"/>
                <w:b w:val="1"/>
                <w:bCs w:val="1"/>
                <w:color w:val="auto"/>
              </w:rPr>
              <w:t>(0.2)</w:t>
            </w:r>
          </w:p>
        </w:tc>
        <w:tc>
          <w:tcPr>
            <w:tcW w:w="1040" w:type="dxa"/>
            <w:vAlign w:val="bottom"/>
          </w:tcPr>
          <w:p>
            <w:pPr>
              <w:jc w:val="right"/>
              <w:ind w:right="49"/>
              <w:spacing w:after="0"/>
              <w:rPr>
                <w:sz w:val="20"/>
                <w:szCs w:val="20"/>
                <w:color w:val="auto"/>
              </w:rPr>
            </w:pPr>
            <w:r>
              <w:rPr>
                <w:rFonts w:ascii="Arial" w:cs="Arial" w:eastAsia="Arial" w:hAnsi="Arial"/>
                <w:sz w:val="32"/>
                <w:szCs w:val="32"/>
                <w:b w:val="1"/>
                <w:bCs w:val="1"/>
                <w:color w:val="auto"/>
              </w:rPr>
              <w:t>(0.1)</w:t>
            </w:r>
          </w:p>
        </w:tc>
        <w:tc>
          <w:tcPr>
            <w:tcW w:w="1060" w:type="dxa"/>
            <w:vAlign w:val="bottom"/>
          </w:tcPr>
          <w:p>
            <w:pPr>
              <w:jc w:val="center"/>
              <w:spacing w:after="0"/>
              <w:rPr>
                <w:sz w:val="20"/>
                <w:szCs w:val="20"/>
                <w:color w:val="auto"/>
              </w:rPr>
            </w:pPr>
            <w:r>
              <w:rPr>
                <w:rFonts w:ascii="Arial" w:cs="Arial" w:eastAsia="Arial" w:hAnsi="Arial"/>
                <w:sz w:val="32"/>
                <w:szCs w:val="32"/>
                <w:b w:val="1"/>
                <w:bCs w:val="1"/>
                <w:color w:val="auto"/>
              </w:rPr>
              <w:t>(0.1)</w:t>
            </w:r>
          </w:p>
        </w:tc>
        <w:tc>
          <w:tcPr>
            <w:tcW w:w="106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600" w:type="dxa"/>
            <w:vAlign w:val="bottom"/>
          </w:tcPr>
          <w:p>
            <w:pPr>
              <w:jc w:val="right"/>
              <w:ind w:right="635"/>
              <w:spacing w:after="0"/>
              <w:rPr>
                <w:sz w:val="20"/>
                <w:szCs w:val="20"/>
                <w:color w:val="auto"/>
              </w:rPr>
            </w:pPr>
            <w:r>
              <w:rPr>
                <w:rFonts w:ascii="Arial" w:cs="Arial" w:eastAsia="Arial" w:hAnsi="Arial"/>
                <w:sz w:val="32"/>
                <w:szCs w:val="32"/>
                <w:b w:val="1"/>
                <w:bCs w:val="1"/>
                <w:color w:val="auto"/>
              </w:rPr>
              <w:t>(0.1)</w:t>
            </w:r>
          </w:p>
        </w:tc>
        <w:tc>
          <w:tcPr>
            <w:tcW w:w="0" w:type="dxa"/>
            <w:vAlign w:val="bottom"/>
          </w:tcPr>
          <w:p>
            <w:pPr>
              <w:spacing w:after="0"/>
              <w:rPr>
                <w:sz w:val="1"/>
                <w:szCs w:val="1"/>
                <w:color w:val="auto"/>
              </w:rPr>
            </w:pPr>
          </w:p>
        </w:tc>
      </w:tr>
      <w:tr>
        <w:trPr>
          <w:trHeight w:val="964"/>
        </w:trPr>
        <w:tc>
          <w:tcPr>
            <w:tcW w:w="3600" w:type="dxa"/>
            <w:vAlign w:val="bottom"/>
          </w:tcPr>
          <w:p>
            <w:pPr>
              <w:ind w:left="380"/>
              <w:spacing w:after="0"/>
              <w:rPr>
                <w:sz w:val="20"/>
                <w:szCs w:val="20"/>
                <w:color w:val="auto"/>
              </w:rPr>
            </w:pPr>
            <w:r>
              <w:rPr>
                <w:rFonts w:ascii="Arial" w:cs="Arial" w:eastAsia="Arial" w:hAnsi="Arial"/>
                <w:sz w:val="32"/>
                <w:szCs w:val="32"/>
                <w:b w:val="1"/>
                <w:bCs w:val="1"/>
                <w:color w:val="auto"/>
              </w:rPr>
              <w:t>Total GMIO</w:t>
            </w:r>
          </w:p>
        </w:tc>
        <w:tc>
          <w:tcPr>
            <w:tcW w:w="920" w:type="dxa"/>
            <w:vAlign w:val="bottom"/>
          </w:tcPr>
          <w:p>
            <w:pPr>
              <w:jc w:val="center"/>
              <w:ind w:right="9"/>
              <w:spacing w:after="0"/>
              <w:rPr>
                <w:sz w:val="20"/>
                <w:szCs w:val="20"/>
                <w:color w:val="auto"/>
              </w:rPr>
            </w:pPr>
            <w:r>
              <w:rPr>
                <w:rFonts w:ascii="Arial" w:cs="Arial" w:eastAsia="Arial" w:hAnsi="Arial"/>
                <w:sz w:val="32"/>
                <w:szCs w:val="32"/>
                <w:b w:val="1"/>
                <w:bCs w:val="1"/>
                <w:color w:val="auto"/>
                <w:w w:val="98"/>
              </w:rPr>
              <w:t>0.0</w:t>
            </w:r>
          </w:p>
        </w:tc>
        <w:tc>
          <w:tcPr>
            <w:tcW w:w="104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040" w:type="dxa"/>
            <w:vAlign w:val="bottom"/>
          </w:tcPr>
          <w:p>
            <w:pPr>
              <w:jc w:val="right"/>
              <w:ind w:right="149"/>
              <w:spacing w:after="0"/>
              <w:rPr>
                <w:sz w:val="20"/>
                <w:szCs w:val="20"/>
                <w:color w:val="auto"/>
              </w:rPr>
            </w:pPr>
            <w:r>
              <w:rPr>
                <w:rFonts w:ascii="Arial" w:cs="Arial" w:eastAsia="Arial" w:hAnsi="Arial"/>
                <w:sz w:val="32"/>
                <w:szCs w:val="32"/>
                <w:b w:val="1"/>
                <w:bCs w:val="1"/>
                <w:color w:val="auto"/>
              </w:rPr>
              <w:t>0.0</w:t>
            </w:r>
          </w:p>
        </w:tc>
        <w:tc>
          <w:tcPr>
            <w:tcW w:w="1060" w:type="dxa"/>
            <w:vAlign w:val="bottom"/>
          </w:tcPr>
          <w:p>
            <w:pPr>
              <w:jc w:val="center"/>
              <w:spacing w:after="0"/>
              <w:rPr>
                <w:sz w:val="20"/>
                <w:szCs w:val="20"/>
                <w:color w:val="auto"/>
              </w:rPr>
            </w:pPr>
            <w:r>
              <w:rPr>
                <w:rFonts w:ascii="Arial" w:cs="Arial" w:eastAsia="Arial" w:hAnsi="Arial"/>
                <w:sz w:val="32"/>
                <w:szCs w:val="32"/>
                <w:b w:val="1"/>
                <w:bCs w:val="1"/>
                <w:color w:val="auto"/>
                <w:w w:val="98"/>
              </w:rPr>
              <w:t>0.0</w:t>
            </w:r>
          </w:p>
        </w:tc>
        <w:tc>
          <w:tcPr>
            <w:tcW w:w="106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600" w:type="dxa"/>
            <w:vAlign w:val="bottom"/>
          </w:tcPr>
          <w:p>
            <w:pPr>
              <w:jc w:val="right"/>
              <w:ind w:right="735"/>
              <w:spacing w:after="0"/>
              <w:rPr>
                <w:sz w:val="20"/>
                <w:szCs w:val="20"/>
                <w:color w:val="auto"/>
              </w:rPr>
            </w:pPr>
            <w:r>
              <w:rPr>
                <w:rFonts w:ascii="Arial" w:cs="Arial" w:eastAsia="Arial" w:hAnsi="Arial"/>
                <w:sz w:val="32"/>
                <w:szCs w:val="32"/>
                <w:b w:val="1"/>
                <w:bCs w:val="1"/>
                <w:color w:val="auto"/>
              </w:rPr>
              <w:t>0.0</w:t>
            </w:r>
          </w:p>
        </w:tc>
        <w:tc>
          <w:tcPr>
            <w:tcW w:w="0" w:type="dxa"/>
            <w:vAlign w:val="bottom"/>
          </w:tcPr>
          <w:p>
            <w:pPr>
              <w:spacing w:after="0"/>
              <w:rPr>
                <w:sz w:val="1"/>
                <w:szCs w:val="1"/>
                <w:color w:val="auto"/>
              </w:rPr>
            </w:pPr>
          </w:p>
        </w:tc>
      </w:tr>
      <w:tr>
        <w:trPr>
          <w:trHeight w:val="1058"/>
        </w:trPr>
        <w:tc>
          <w:tcPr>
            <w:tcW w:w="3600" w:type="dxa"/>
            <w:vAlign w:val="bottom"/>
          </w:tcPr>
          <w:p>
            <w:pPr>
              <w:ind w:left="380"/>
              <w:spacing w:after="0"/>
              <w:rPr>
                <w:sz w:val="20"/>
                <w:szCs w:val="20"/>
                <w:color w:val="auto"/>
              </w:rPr>
            </w:pPr>
            <w:r>
              <w:rPr>
                <w:rFonts w:ascii="Arial" w:cs="Arial" w:eastAsia="Arial" w:hAnsi="Arial"/>
                <w:sz w:val="32"/>
                <w:szCs w:val="32"/>
                <w:b w:val="1"/>
                <w:bCs w:val="1"/>
                <w:color w:val="auto"/>
              </w:rPr>
              <w:t>Total GMSA</w:t>
            </w:r>
          </w:p>
        </w:tc>
        <w:tc>
          <w:tcPr>
            <w:tcW w:w="920" w:type="dxa"/>
            <w:vAlign w:val="bottom"/>
          </w:tcPr>
          <w:p>
            <w:pPr>
              <w:jc w:val="center"/>
              <w:ind w:right="9"/>
              <w:spacing w:after="0"/>
              <w:rPr>
                <w:sz w:val="20"/>
                <w:szCs w:val="20"/>
                <w:color w:val="auto"/>
              </w:rPr>
            </w:pPr>
            <w:r>
              <w:rPr>
                <w:rFonts w:ascii="Arial" w:cs="Arial" w:eastAsia="Arial" w:hAnsi="Arial"/>
                <w:sz w:val="32"/>
                <w:szCs w:val="32"/>
                <w:b w:val="1"/>
                <w:bCs w:val="1"/>
                <w:color w:val="auto"/>
                <w:w w:val="98"/>
              </w:rPr>
              <w:t>0.0</w:t>
            </w:r>
          </w:p>
        </w:tc>
        <w:tc>
          <w:tcPr>
            <w:tcW w:w="104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040" w:type="dxa"/>
            <w:vAlign w:val="bottom"/>
          </w:tcPr>
          <w:p>
            <w:pPr>
              <w:jc w:val="right"/>
              <w:ind w:right="149"/>
              <w:spacing w:after="0"/>
              <w:rPr>
                <w:sz w:val="20"/>
                <w:szCs w:val="20"/>
                <w:color w:val="auto"/>
              </w:rPr>
            </w:pPr>
            <w:r>
              <w:rPr>
                <w:rFonts w:ascii="Arial" w:cs="Arial" w:eastAsia="Arial" w:hAnsi="Arial"/>
                <w:sz w:val="32"/>
                <w:szCs w:val="32"/>
                <w:b w:val="1"/>
                <w:bCs w:val="1"/>
                <w:color w:val="auto"/>
              </w:rPr>
              <w:t>0.0</w:t>
            </w:r>
          </w:p>
        </w:tc>
        <w:tc>
          <w:tcPr>
            <w:tcW w:w="1060" w:type="dxa"/>
            <w:vAlign w:val="bottom"/>
          </w:tcPr>
          <w:p>
            <w:pPr>
              <w:jc w:val="center"/>
              <w:spacing w:after="0"/>
              <w:rPr>
                <w:sz w:val="20"/>
                <w:szCs w:val="20"/>
                <w:color w:val="auto"/>
              </w:rPr>
            </w:pPr>
            <w:r>
              <w:rPr>
                <w:rFonts w:ascii="Arial" w:cs="Arial" w:eastAsia="Arial" w:hAnsi="Arial"/>
                <w:sz w:val="32"/>
                <w:szCs w:val="32"/>
                <w:b w:val="1"/>
                <w:bCs w:val="1"/>
                <w:color w:val="auto"/>
                <w:w w:val="98"/>
              </w:rPr>
              <w:t>0.0</w:t>
            </w:r>
          </w:p>
        </w:tc>
        <w:tc>
          <w:tcPr>
            <w:tcW w:w="1060" w:type="dxa"/>
            <w:vAlign w:val="bottom"/>
          </w:tcPr>
          <w:p>
            <w:pPr>
              <w:jc w:val="right"/>
              <w:ind w:right="169"/>
              <w:spacing w:after="0"/>
              <w:rPr>
                <w:sz w:val="20"/>
                <w:szCs w:val="20"/>
                <w:color w:val="auto"/>
              </w:rPr>
            </w:pPr>
            <w:r>
              <w:rPr>
                <w:rFonts w:ascii="Arial" w:cs="Arial" w:eastAsia="Arial" w:hAnsi="Arial"/>
                <w:sz w:val="32"/>
                <w:szCs w:val="32"/>
                <w:b w:val="1"/>
                <w:bCs w:val="1"/>
                <w:color w:val="auto"/>
              </w:rPr>
              <w:t>0.0</w:t>
            </w:r>
          </w:p>
        </w:tc>
        <w:tc>
          <w:tcPr>
            <w:tcW w:w="1600" w:type="dxa"/>
            <w:vAlign w:val="bottom"/>
          </w:tcPr>
          <w:p>
            <w:pPr>
              <w:jc w:val="right"/>
              <w:ind w:right="735"/>
              <w:spacing w:after="0"/>
              <w:rPr>
                <w:sz w:val="20"/>
                <w:szCs w:val="20"/>
                <w:color w:val="auto"/>
              </w:rPr>
            </w:pPr>
            <w:r>
              <w:rPr>
                <w:rFonts w:ascii="Arial" w:cs="Arial" w:eastAsia="Arial" w:hAnsi="Arial"/>
                <w:sz w:val="32"/>
                <w:szCs w:val="32"/>
                <w:b w:val="1"/>
                <w:bCs w:val="1"/>
                <w:color w:val="auto"/>
              </w:rPr>
              <w:t>0.0</w:t>
            </w:r>
          </w:p>
        </w:tc>
        <w:tc>
          <w:tcPr>
            <w:tcW w:w="0" w:type="dxa"/>
            <w:vAlign w:val="bottom"/>
          </w:tcPr>
          <w:p>
            <w:pPr>
              <w:spacing w:after="0"/>
              <w:rPr>
                <w:sz w:val="1"/>
                <w:szCs w:val="1"/>
                <w:color w:val="auto"/>
              </w:rPr>
            </w:pPr>
          </w:p>
        </w:tc>
      </w:tr>
      <w:tr>
        <w:trPr>
          <w:trHeight w:val="964"/>
        </w:trPr>
        <w:tc>
          <w:tcPr>
            <w:tcW w:w="3600" w:type="dxa"/>
            <w:vAlign w:val="bottom"/>
          </w:tcPr>
          <w:p>
            <w:pPr>
              <w:ind w:left="120"/>
              <w:spacing w:after="0"/>
              <w:rPr>
                <w:sz w:val="20"/>
                <w:szCs w:val="20"/>
                <w:color w:val="auto"/>
              </w:rPr>
            </w:pPr>
            <w:r>
              <w:rPr>
                <w:rFonts w:ascii="Arial" w:cs="Arial" w:eastAsia="Arial" w:hAnsi="Arial"/>
                <w:sz w:val="32"/>
                <w:szCs w:val="32"/>
                <w:b w:val="1"/>
                <w:bCs w:val="1"/>
                <w:color w:val="auto"/>
              </w:rPr>
              <w:t>Total</w:t>
            </w:r>
          </w:p>
        </w:tc>
        <w:tc>
          <w:tcPr>
            <w:tcW w:w="920" w:type="dxa"/>
            <w:vAlign w:val="bottom"/>
          </w:tcPr>
          <w:p>
            <w:pPr>
              <w:jc w:val="center"/>
              <w:ind w:right="9"/>
              <w:spacing w:after="0"/>
              <w:rPr>
                <w:sz w:val="20"/>
                <w:szCs w:val="20"/>
                <w:color w:val="auto"/>
              </w:rPr>
            </w:pPr>
            <w:r>
              <w:rPr>
                <w:rFonts w:ascii="Arial" w:cs="Arial" w:eastAsia="Arial" w:hAnsi="Arial"/>
                <w:sz w:val="32"/>
                <w:szCs w:val="32"/>
                <w:b w:val="1"/>
                <w:bCs w:val="1"/>
                <w:color w:val="auto"/>
                <w:w w:val="97"/>
              </w:rPr>
              <w:t>(0.2)</w:t>
            </w:r>
          </w:p>
        </w:tc>
        <w:tc>
          <w:tcPr>
            <w:tcW w:w="1040" w:type="dxa"/>
            <w:vAlign w:val="bottom"/>
          </w:tcPr>
          <w:p>
            <w:pPr>
              <w:jc w:val="right"/>
              <w:ind w:right="49"/>
              <w:spacing w:after="0"/>
              <w:rPr>
                <w:sz w:val="20"/>
                <w:szCs w:val="20"/>
                <w:color w:val="auto"/>
              </w:rPr>
            </w:pPr>
            <w:r>
              <w:rPr>
                <w:rFonts w:ascii="Arial" w:cs="Arial" w:eastAsia="Arial" w:hAnsi="Arial"/>
                <w:sz w:val="32"/>
                <w:szCs w:val="32"/>
                <w:b w:val="1"/>
                <w:bCs w:val="1"/>
                <w:color w:val="auto"/>
              </w:rPr>
              <w:t>(0.2)</w:t>
            </w:r>
          </w:p>
        </w:tc>
        <w:tc>
          <w:tcPr>
            <w:tcW w:w="1040" w:type="dxa"/>
            <w:vAlign w:val="bottom"/>
          </w:tcPr>
          <w:p>
            <w:pPr>
              <w:jc w:val="right"/>
              <w:ind w:right="49"/>
              <w:spacing w:after="0"/>
              <w:rPr>
                <w:sz w:val="20"/>
                <w:szCs w:val="20"/>
                <w:color w:val="auto"/>
              </w:rPr>
            </w:pPr>
            <w:r>
              <w:rPr>
                <w:rFonts w:ascii="Arial" w:cs="Arial" w:eastAsia="Arial" w:hAnsi="Arial"/>
                <w:sz w:val="32"/>
                <w:szCs w:val="32"/>
                <w:b w:val="1"/>
                <w:bCs w:val="1"/>
                <w:color w:val="auto"/>
              </w:rPr>
              <w:t>(0.1)</w:t>
            </w:r>
          </w:p>
        </w:tc>
        <w:tc>
          <w:tcPr>
            <w:tcW w:w="1060" w:type="dxa"/>
            <w:vAlign w:val="bottom"/>
          </w:tcPr>
          <w:p>
            <w:pPr>
              <w:jc w:val="center"/>
              <w:spacing w:after="0"/>
              <w:rPr>
                <w:sz w:val="20"/>
                <w:szCs w:val="20"/>
                <w:color w:val="auto"/>
              </w:rPr>
            </w:pPr>
            <w:r>
              <w:rPr>
                <w:rFonts w:ascii="Arial" w:cs="Arial" w:eastAsia="Arial" w:hAnsi="Arial"/>
                <w:sz w:val="32"/>
                <w:szCs w:val="32"/>
                <w:b w:val="1"/>
                <w:bCs w:val="1"/>
                <w:color w:val="auto"/>
                <w:w w:val="98"/>
              </w:rPr>
              <w:t>0.1</w:t>
            </w:r>
          </w:p>
        </w:tc>
        <w:tc>
          <w:tcPr>
            <w:tcW w:w="1060" w:type="dxa"/>
            <w:vAlign w:val="bottom"/>
          </w:tcPr>
          <w:p>
            <w:pPr>
              <w:jc w:val="right"/>
              <w:ind w:right="69"/>
              <w:spacing w:after="0"/>
              <w:rPr>
                <w:sz w:val="20"/>
                <w:szCs w:val="20"/>
                <w:color w:val="auto"/>
              </w:rPr>
            </w:pPr>
            <w:r>
              <w:rPr>
                <w:rFonts w:ascii="Arial" w:cs="Arial" w:eastAsia="Arial" w:hAnsi="Arial"/>
                <w:sz w:val="32"/>
                <w:szCs w:val="32"/>
                <w:b w:val="1"/>
                <w:bCs w:val="1"/>
                <w:color w:val="auto"/>
              </w:rPr>
              <w:t>(0.1)</w:t>
            </w:r>
          </w:p>
        </w:tc>
        <w:tc>
          <w:tcPr>
            <w:tcW w:w="1600" w:type="dxa"/>
            <w:vAlign w:val="bottom"/>
          </w:tcPr>
          <w:p>
            <w:pPr>
              <w:jc w:val="right"/>
              <w:ind w:right="635"/>
              <w:spacing w:after="0"/>
              <w:rPr>
                <w:sz w:val="20"/>
                <w:szCs w:val="20"/>
                <w:color w:val="auto"/>
              </w:rPr>
            </w:pPr>
            <w:r>
              <w:rPr>
                <w:rFonts w:ascii="Arial" w:cs="Arial" w:eastAsia="Arial" w:hAnsi="Arial"/>
                <w:sz w:val="32"/>
                <w:szCs w:val="32"/>
                <w:b w:val="1"/>
                <w:bCs w:val="1"/>
                <w:color w:val="auto"/>
              </w:rPr>
              <w:t>(0.1)</w:t>
            </w:r>
          </w:p>
        </w:tc>
        <w:tc>
          <w:tcPr>
            <w:tcW w:w="0" w:type="dxa"/>
            <w:vAlign w:val="bottom"/>
          </w:tcPr>
          <w:p>
            <w:pPr>
              <w:spacing w:after="0"/>
              <w:rPr>
                <w:sz w:val="1"/>
                <w:szCs w:val="1"/>
                <w:color w:val="auto"/>
              </w:rPr>
            </w:pPr>
          </w:p>
        </w:tc>
      </w:tr>
      <w:tr>
        <w:trPr>
          <w:trHeight w:val="338"/>
        </w:trPr>
        <w:tc>
          <w:tcPr>
            <w:tcW w:w="3600" w:type="dxa"/>
            <w:vAlign w:val="bottom"/>
          </w:tcPr>
          <w:p>
            <w:pPr>
              <w:spacing w:after="0"/>
              <w:rPr>
                <w:sz w:val="20"/>
                <w:szCs w:val="20"/>
                <w:color w:val="auto"/>
              </w:rPr>
            </w:pPr>
            <w:r>
              <w:rPr>
                <w:rFonts w:ascii="Arial" w:cs="Arial" w:eastAsia="Arial" w:hAnsi="Arial"/>
                <w:sz w:val="19"/>
                <w:szCs w:val="19"/>
                <w:i w:val="1"/>
                <w:iCs w:val="1"/>
                <w:color w:val="auto"/>
                <w:w w:val="99"/>
              </w:rPr>
              <w:t>Note: Results may not foot due to rounding</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S4</w:t>
            </w:r>
          </w:p>
        </w:tc>
        <w:tc>
          <w:tcPr>
            <w:tcW w:w="0" w:type="dxa"/>
            <w:vAlign w:val="bottom"/>
          </w:tcPr>
          <w:p>
            <w:pPr>
              <w:spacing w:after="0"/>
              <w:rPr>
                <w:sz w:val="1"/>
                <w:szCs w:val="1"/>
                <w:color w:val="auto"/>
              </w:rPr>
            </w:pPr>
          </w:p>
        </w:tc>
      </w:tr>
    </w:tbl>
    <w:p>
      <w:pPr>
        <w:sectPr>
          <w:pgSz w:w="11900" w:h="16838" w:orient="portrait"/>
          <w:cols w:equalWidth="0" w:num="1">
            <w:col w:w="10320"/>
          </w:cols>
          <w:pgMar w:left="580" w:top="634" w:right="999" w:bottom="1440" w:gutter="0" w:footer="0" w:header="0"/>
        </w:sectPr>
      </w:pPr>
    </w:p>
    <w:bookmarkStart w:id="57" w:name="page58"/>
    <w:bookmarkEnd w:id="57"/>
    <w:p>
      <w:pPr>
        <w:ind w:left="106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Operating Income Walk to EBIT- Adj</w:t>
      </w:r>
    </w:p>
    <w:p>
      <w:pPr>
        <w:sectPr>
          <w:pgSz w:w="11900" w:h="16838" w:orient="portrait"/>
          <w:cols w:equalWidth="0" w:num="1">
            <w:col w:w="10340"/>
          </w:cols>
          <w:pgMar w:left="580" w:top="6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($B)</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Operating Income</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5"/>
          <w:szCs w:val="25"/>
          <w:color w:val="auto"/>
        </w:rPr>
        <w:t>Equity Income</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25"/>
          <w:szCs w:val="25"/>
          <w:color w:val="auto"/>
        </w:rPr>
        <w:t>Non-Controlling Interests</w:t>
      </w:r>
    </w:p>
    <w:p>
      <w:pPr>
        <w:spacing w:after="0" w:line="371" w:lineRule="exact"/>
        <w:rPr>
          <w:sz w:val="20"/>
          <w:szCs w:val="20"/>
          <w:color w:val="auto"/>
        </w:rPr>
      </w:pPr>
    </w:p>
    <w:p>
      <w:pPr>
        <w:ind w:left="160"/>
        <w:spacing w:after="0"/>
        <w:rPr>
          <w:sz w:val="20"/>
          <w:szCs w:val="20"/>
          <w:color w:val="auto"/>
        </w:rPr>
      </w:pPr>
      <w:r>
        <w:rPr>
          <w:rFonts w:ascii="Arial" w:cs="Arial" w:eastAsia="Arial" w:hAnsi="Arial"/>
          <w:sz w:val="25"/>
          <w:szCs w:val="25"/>
          <w:color w:val="auto"/>
        </w:rPr>
        <w:t>Non-Operating Income/(Expense)</w:t>
      </w:r>
    </w:p>
    <w:p>
      <w:pPr>
        <w:spacing w:after="0" w:line="209" w:lineRule="exact"/>
        <w:rPr>
          <w:sz w:val="20"/>
          <w:szCs w:val="20"/>
          <w:color w:val="auto"/>
        </w:rPr>
      </w:pPr>
    </w:p>
    <w:p>
      <w:pPr>
        <w:ind w:left="20"/>
        <w:spacing w:after="0" w:line="293" w:lineRule="auto"/>
        <w:rPr>
          <w:sz w:val="20"/>
          <w:szCs w:val="20"/>
          <w:color w:val="auto"/>
        </w:rPr>
      </w:pPr>
      <w:r>
        <w:rPr>
          <w:rFonts w:ascii="Arial" w:cs="Arial" w:eastAsia="Arial" w:hAnsi="Arial"/>
          <w:sz w:val="28"/>
          <w:szCs w:val="28"/>
          <w:b w:val="1"/>
          <w:bCs w:val="1"/>
          <w:color w:val="auto"/>
        </w:rPr>
        <w:t>Earnings Before Interest &amp; Taxes (EBIT)</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25"/>
          <w:szCs w:val="25"/>
          <w:color w:val="auto"/>
        </w:rPr>
        <w:t>Less Special Items</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EBIT- Adj.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0"/>
        <w:spacing w:after="0"/>
        <w:tabs>
          <w:tab w:leader="none" w:pos="1260" w:val="left"/>
          <w:tab w:leader="none" w:pos="2440" w:val="left"/>
          <w:tab w:leader="none" w:pos="3640" w:val="left"/>
          <w:tab w:leader="none" w:pos="4820" w:val="left"/>
        </w:tabs>
        <w:rPr>
          <w:sz w:val="20"/>
          <w:szCs w:val="20"/>
          <w:color w:val="auto"/>
        </w:rPr>
      </w:pPr>
      <w:r>
        <w:rPr>
          <w:rFonts w:ascii="Arial" w:cs="Arial" w:eastAsia="Arial" w:hAnsi="Arial"/>
          <w:sz w:val="25"/>
          <w:szCs w:val="25"/>
          <w:b w:val="1"/>
          <w:bCs w:val="1"/>
          <w:color w:val="auto"/>
        </w:rPr>
        <w:t>Q2</w:t>
      </w:r>
      <w:r>
        <w:rPr>
          <w:sz w:val="20"/>
          <w:szCs w:val="20"/>
          <w:color w:val="auto"/>
        </w:rPr>
        <w:tab/>
      </w:r>
      <w:r>
        <w:rPr>
          <w:rFonts w:ascii="Arial" w:cs="Arial" w:eastAsia="Arial" w:hAnsi="Arial"/>
          <w:sz w:val="25"/>
          <w:szCs w:val="25"/>
          <w:b w:val="1"/>
          <w:bCs w:val="1"/>
          <w:color w:val="auto"/>
        </w:rPr>
        <w:t>Q3</w:t>
      </w:r>
      <w:r>
        <w:rPr>
          <w:sz w:val="20"/>
          <w:szCs w:val="20"/>
          <w:color w:val="auto"/>
        </w:rPr>
        <w:tab/>
      </w:r>
      <w:r>
        <w:rPr>
          <w:rFonts w:ascii="Arial" w:cs="Arial" w:eastAsia="Arial" w:hAnsi="Arial"/>
          <w:sz w:val="25"/>
          <w:szCs w:val="25"/>
          <w:b w:val="1"/>
          <w:bCs w:val="1"/>
          <w:color w:val="auto"/>
        </w:rPr>
        <w:t>Q4</w:t>
      </w:r>
      <w:r>
        <w:rPr>
          <w:sz w:val="20"/>
          <w:szCs w:val="20"/>
          <w:color w:val="auto"/>
        </w:rPr>
        <w:tab/>
      </w:r>
      <w:r>
        <w:rPr>
          <w:rFonts w:ascii="Arial" w:cs="Arial" w:eastAsia="Arial" w:hAnsi="Arial"/>
          <w:sz w:val="25"/>
          <w:szCs w:val="25"/>
          <w:b w:val="1"/>
          <w:bCs w:val="1"/>
          <w:color w:val="auto"/>
        </w:rPr>
        <w:t>Q1</w:t>
      </w:r>
      <w:r>
        <w:rPr>
          <w:sz w:val="20"/>
          <w:szCs w:val="20"/>
          <w:color w:val="auto"/>
        </w:rPr>
        <w:tab/>
      </w:r>
      <w:r>
        <w:rPr>
          <w:rFonts w:ascii="Arial" w:cs="Arial" w:eastAsia="Arial" w:hAnsi="Arial"/>
          <w:sz w:val="23"/>
          <w:szCs w:val="23"/>
          <w:b w:val="1"/>
          <w:bCs w:val="1"/>
          <w:color w:val="auto"/>
        </w:rPr>
        <w:t>Q2</w:t>
      </w:r>
    </w:p>
    <w:p>
      <w:pPr>
        <w:spacing w:after="0" w:line="40" w:lineRule="exact"/>
        <w:rPr>
          <w:sz w:val="20"/>
          <w:szCs w:val="20"/>
          <w:color w:val="auto"/>
        </w:rPr>
      </w:pPr>
    </w:p>
    <w:p>
      <w:pPr>
        <w:jc w:val="center"/>
        <w:ind w:right="100"/>
        <w:spacing w:after="0"/>
        <w:tabs>
          <w:tab w:leader="none" w:pos="340" w:val="left"/>
          <w:tab w:leader="none" w:pos="460" w:val="left"/>
          <w:tab w:leader="none" w:pos="460" w:val="left"/>
          <w:tab w:leader="none" w:pos="480" w:val="left"/>
        </w:tabs>
        <w:rPr>
          <w:sz w:val="20"/>
          <w:szCs w:val="20"/>
          <w:color w:val="auto"/>
        </w:rPr>
      </w:pPr>
      <w:r>
        <w:rPr>
          <w:rFonts w:ascii="Arial" w:cs="Arial" w:eastAsia="Arial" w:hAnsi="Arial"/>
          <w:sz w:val="32"/>
          <w:szCs w:val="32"/>
          <w:b w:val="1"/>
          <w:bCs w:val="1"/>
          <w:color w:val="auto"/>
        </w:rPr>
        <w:t>2010</w:t>
        <w:tab/>
        <w:t>2010</w:t>
        <w:tab/>
        <w:t>2010</w:t>
        <w:tab/>
        <w:t>2011</w:t>
      </w:r>
      <w:r>
        <w:rPr>
          <w:sz w:val="20"/>
          <w:szCs w:val="20"/>
          <w:color w:val="auto"/>
        </w:rPr>
        <w:tab/>
      </w:r>
      <w:r>
        <w:rPr>
          <w:rFonts w:ascii="Arial" w:cs="Arial" w:eastAsia="Arial" w:hAnsi="Arial"/>
          <w:sz w:val="31"/>
          <w:szCs w:val="31"/>
          <w:b w:val="1"/>
          <w:bCs w:val="1"/>
          <w:color w:val="auto"/>
        </w:rPr>
        <w:t>2011</w:t>
      </w:r>
    </w:p>
    <w:p>
      <w:pPr>
        <w:spacing w:after="0" w:line="195" w:lineRule="exact"/>
        <w:rPr>
          <w:sz w:val="20"/>
          <w:szCs w:val="20"/>
          <w:color w:val="auto"/>
        </w:rPr>
      </w:pPr>
    </w:p>
    <w:p>
      <w:pPr>
        <w:ind w:left="160"/>
        <w:spacing w:after="0"/>
        <w:tabs>
          <w:tab w:leader="none" w:pos="1220" w:val="left"/>
          <w:tab w:leader="none" w:pos="2400" w:val="left"/>
          <w:tab w:leader="none" w:pos="3600" w:val="left"/>
          <w:tab w:leader="none" w:pos="4780" w:val="left"/>
        </w:tabs>
        <w:rPr>
          <w:sz w:val="20"/>
          <w:szCs w:val="20"/>
          <w:color w:val="auto"/>
        </w:rPr>
      </w:pPr>
      <w:r>
        <w:rPr>
          <w:rFonts w:ascii="Arial" w:cs="Arial" w:eastAsia="Arial" w:hAnsi="Arial"/>
          <w:sz w:val="28"/>
          <w:szCs w:val="28"/>
          <w:b w:val="1"/>
          <w:bCs w:val="1"/>
          <w:color w:val="auto"/>
        </w:rPr>
        <w:t>1.9</w:t>
      </w:r>
      <w:r>
        <w:rPr>
          <w:sz w:val="20"/>
          <w:szCs w:val="20"/>
          <w:color w:val="auto"/>
        </w:rPr>
        <w:tab/>
      </w:r>
      <w:r>
        <w:rPr>
          <w:rFonts w:ascii="Arial" w:cs="Arial" w:eastAsia="Arial" w:hAnsi="Arial"/>
          <w:sz w:val="28"/>
          <w:szCs w:val="28"/>
          <w:b w:val="1"/>
          <w:bCs w:val="1"/>
          <w:color w:val="auto"/>
        </w:rPr>
        <w:t>1.8</w:t>
      </w:r>
      <w:r>
        <w:rPr>
          <w:sz w:val="20"/>
          <w:szCs w:val="20"/>
          <w:color w:val="auto"/>
        </w:rPr>
        <w:tab/>
      </w:r>
      <w:r>
        <w:rPr>
          <w:rFonts w:ascii="Arial" w:cs="Arial" w:eastAsia="Arial" w:hAnsi="Arial"/>
          <w:sz w:val="28"/>
          <w:szCs w:val="28"/>
          <w:b w:val="1"/>
          <w:bCs w:val="1"/>
          <w:color w:val="auto"/>
        </w:rPr>
        <w:t>0.2</w:t>
      </w:r>
      <w:r>
        <w:rPr>
          <w:sz w:val="20"/>
          <w:szCs w:val="20"/>
          <w:color w:val="auto"/>
        </w:rPr>
        <w:tab/>
      </w:r>
      <w:r>
        <w:rPr>
          <w:rFonts w:ascii="Arial" w:cs="Arial" w:eastAsia="Arial" w:hAnsi="Arial"/>
          <w:sz w:val="28"/>
          <w:szCs w:val="28"/>
          <w:b w:val="1"/>
          <w:bCs w:val="1"/>
          <w:color w:val="auto"/>
        </w:rPr>
        <w:t>0.9</w:t>
      </w:r>
      <w:r>
        <w:rPr>
          <w:sz w:val="20"/>
          <w:szCs w:val="20"/>
          <w:color w:val="auto"/>
        </w:rPr>
        <w:tab/>
      </w:r>
      <w:r>
        <w:rPr>
          <w:rFonts w:ascii="Arial" w:cs="Arial" w:eastAsia="Arial" w:hAnsi="Arial"/>
          <w:sz w:val="28"/>
          <w:szCs w:val="28"/>
          <w:b w:val="1"/>
          <w:bCs w:val="1"/>
          <w:color w:val="auto"/>
        </w:rPr>
        <w:t>2.5</w:t>
      </w:r>
    </w:p>
    <w:p>
      <w:pPr>
        <w:spacing w:after="0" w:line="200" w:lineRule="exact"/>
        <w:rPr>
          <w:sz w:val="20"/>
          <w:szCs w:val="20"/>
          <w:color w:val="auto"/>
        </w:rPr>
      </w:pPr>
    </w:p>
    <w:p>
      <w:pPr>
        <w:spacing w:after="0" w:line="216" w:lineRule="exact"/>
        <w:rPr>
          <w:sz w:val="20"/>
          <w:szCs w:val="20"/>
          <w:color w:val="auto"/>
        </w:rPr>
      </w:pPr>
    </w:p>
    <w:p>
      <w:pPr>
        <w:ind w:left="180"/>
        <w:spacing w:after="0"/>
        <w:tabs>
          <w:tab w:leader="none" w:pos="1240" w:val="left"/>
          <w:tab w:leader="none" w:pos="2440" w:val="left"/>
          <w:tab w:leader="none" w:pos="3620" w:val="left"/>
          <w:tab w:leader="none" w:pos="4800" w:val="left"/>
        </w:tabs>
        <w:rPr>
          <w:sz w:val="20"/>
          <w:szCs w:val="20"/>
          <w:color w:val="auto"/>
        </w:rPr>
      </w:pPr>
      <w:r>
        <w:rPr>
          <w:rFonts w:ascii="Arial" w:cs="Arial" w:eastAsia="Arial" w:hAnsi="Arial"/>
          <w:sz w:val="25"/>
          <w:szCs w:val="25"/>
          <w:color w:val="auto"/>
        </w:rPr>
        <w:t>0.4</w:t>
      </w:r>
      <w:r>
        <w:rPr>
          <w:sz w:val="20"/>
          <w:szCs w:val="20"/>
          <w:color w:val="auto"/>
        </w:rPr>
        <w:tab/>
      </w:r>
      <w:r>
        <w:rPr>
          <w:rFonts w:ascii="Arial" w:cs="Arial" w:eastAsia="Arial" w:hAnsi="Arial"/>
          <w:sz w:val="25"/>
          <w:szCs w:val="25"/>
          <w:color w:val="auto"/>
        </w:rPr>
        <w:t>0.4</w:t>
      </w:r>
      <w:r>
        <w:rPr>
          <w:sz w:val="20"/>
          <w:szCs w:val="20"/>
          <w:color w:val="auto"/>
        </w:rPr>
        <w:tab/>
      </w:r>
      <w:r>
        <w:rPr>
          <w:rFonts w:ascii="Arial" w:cs="Arial" w:eastAsia="Arial" w:hAnsi="Arial"/>
          <w:sz w:val="25"/>
          <w:szCs w:val="25"/>
          <w:color w:val="auto"/>
        </w:rPr>
        <w:t>0.3</w:t>
      </w:r>
      <w:r>
        <w:rPr>
          <w:sz w:val="20"/>
          <w:szCs w:val="20"/>
          <w:color w:val="auto"/>
        </w:rPr>
        <w:tab/>
      </w:r>
      <w:r>
        <w:rPr>
          <w:rFonts w:ascii="Arial" w:cs="Arial" w:eastAsia="Arial" w:hAnsi="Arial"/>
          <w:sz w:val="25"/>
          <w:szCs w:val="25"/>
          <w:color w:val="auto"/>
        </w:rPr>
        <w:t>2.1</w:t>
      </w:r>
      <w:r>
        <w:rPr>
          <w:sz w:val="20"/>
          <w:szCs w:val="20"/>
          <w:color w:val="auto"/>
        </w:rPr>
        <w:tab/>
      </w:r>
      <w:r>
        <w:rPr>
          <w:rFonts w:ascii="Arial" w:cs="Arial" w:eastAsia="Arial" w:hAnsi="Arial"/>
          <w:sz w:val="24"/>
          <w:szCs w:val="24"/>
          <w:color w:val="auto"/>
        </w:rPr>
        <w:t>0.4</w:t>
      </w:r>
    </w:p>
    <w:p>
      <w:pPr>
        <w:spacing w:after="0" w:line="347" w:lineRule="exact"/>
        <w:rPr>
          <w:sz w:val="20"/>
          <w:szCs w:val="20"/>
          <w:color w:val="auto"/>
        </w:rPr>
      </w:pPr>
    </w:p>
    <w:p>
      <w:pPr>
        <w:ind w:left="100"/>
        <w:spacing w:after="0"/>
        <w:tabs>
          <w:tab w:leader="none" w:pos="1160" w:val="left"/>
          <w:tab w:leader="none" w:pos="2340" w:val="left"/>
          <w:tab w:leader="none" w:pos="3620" w:val="left"/>
          <w:tab w:leader="none" w:pos="4800" w:val="left"/>
        </w:tabs>
        <w:rPr>
          <w:sz w:val="20"/>
          <w:szCs w:val="20"/>
          <w:color w:val="auto"/>
        </w:rPr>
      </w:pPr>
      <w:r>
        <w:rPr>
          <w:rFonts w:ascii="Arial" w:cs="Arial" w:eastAsia="Arial" w:hAnsi="Arial"/>
          <w:sz w:val="25"/>
          <w:szCs w:val="25"/>
          <w:color w:val="auto"/>
        </w:rPr>
        <w:t>(0.1)</w:t>
      </w:r>
      <w:r>
        <w:rPr>
          <w:sz w:val="20"/>
          <w:szCs w:val="20"/>
          <w:color w:val="auto"/>
        </w:rPr>
        <w:tab/>
      </w:r>
      <w:r>
        <w:rPr>
          <w:rFonts w:ascii="Arial" w:cs="Arial" w:eastAsia="Arial" w:hAnsi="Arial"/>
          <w:sz w:val="25"/>
          <w:szCs w:val="25"/>
          <w:color w:val="auto"/>
        </w:rPr>
        <w:t>(0.1)</w:t>
      </w:r>
      <w:r>
        <w:rPr>
          <w:sz w:val="20"/>
          <w:szCs w:val="20"/>
          <w:color w:val="auto"/>
        </w:rPr>
        <w:tab/>
      </w:r>
      <w:r>
        <w:rPr>
          <w:rFonts w:ascii="Arial" w:cs="Arial" w:eastAsia="Arial" w:hAnsi="Arial"/>
          <w:sz w:val="25"/>
          <w:szCs w:val="25"/>
          <w:color w:val="auto"/>
        </w:rPr>
        <w:t>(0.1)</w:t>
      </w:r>
      <w:r>
        <w:rPr>
          <w:sz w:val="20"/>
          <w:szCs w:val="20"/>
          <w:color w:val="auto"/>
        </w:rPr>
        <w:tab/>
      </w:r>
      <w:r>
        <w:rPr>
          <w:rFonts w:ascii="Arial" w:cs="Arial" w:eastAsia="Arial" w:hAnsi="Arial"/>
          <w:sz w:val="25"/>
          <w:szCs w:val="25"/>
          <w:color w:val="auto"/>
        </w:rPr>
        <w:t>0.0</w:t>
      </w:r>
      <w:r>
        <w:rPr>
          <w:sz w:val="20"/>
          <w:szCs w:val="20"/>
          <w:color w:val="auto"/>
        </w:rPr>
        <w:tab/>
      </w:r>
      <w:r>
        <w:rPr>
          <w:rFonts w:ascii="Arial" w:cs="Arial" w:eastAsia="Arial" w:hAnsi="Arial"/>
          <w:sz w:val="24"/>
          <w:szCs w:val="24"/>
          <w:color w:val="auto"/>
        </w:rPr>
        <w:t>0.0</w:t>
      </w:r>
    </w:p>
    <w:p>
      <w:pPr>
        <w:spacing w:after="0" w:line="371" w:lineRule="exact"/>
        <w:rPr>
          <w:sz w:val="20"/>
          <w:szCs w:val="20"/>
          <w:color w:val="auto"/>
        </w:rPr>
      </w:pPr>
    </w:p>
    <w:p>
      <w:pPr>
        <w:ind w:left="100"/>
        <w:spacing w:after="0"/>
        <w:tabs>
          <w:tab w:leader="none" w:pos="1240" w:val="left"/>
          <w:tab w:leader="none" w:pos="2440" w:val="left"/>
          <w:tab w:leader="none" w:pos="3620" w:val="left"/>
          <w:tab w:leader="none" w:pos="4800" w:val="left"/>
        </w:tabs>
        <w:rPr>
          <w:sz w:val="20"/>
          <w:szCs w:val="20"/>
          <w:color w:val="auto"/>
        </w:rPr>
      </w:pPr>
      <w:r>
        <w:rPr>
          <w:rFonts w:ascii="Arial" w:cs="Arial" w:eastAsia="Arial" w:hAnsi="Arial"/>
          <w:sz w:val="25"/>
          <w:szCs w:val="25"/>
          <w:color w:val="auto"/>
        </w:rPr>
        <w:t>(0.2)</w:t>
      </w:r>
      <w:r>
        <w:rPr>
          <w:sz w:val="20"/>
          <w:szCs w:val="20"/>
          <w:color w:val="auto"/>
        </w:rPr>
        <w:tab/>
      </w:r>
      <w:r>
        <w:rPr>
          <w:rFonts w:ascii="Arial" w:cs="Arial" w:eastAsia="Arial" w:hAnsi="Arial"/>
          <w:sz w:val="25"/>
          <w:szCs w:val="25"/>
          <w:color w:val="auto"/>
        </w:rPr>
        <w:t>0.1</w:t>
      </w:r>
      <w:r>
        <w:rPr>
          <w:sz w:val="20"/>
          <w:szCs w:val="20"/>
          <w:color w:val="auto"/>
        </w:rPr>
        <w:tab/>
      </w:r>
      <w:r>
        <w:rPr>
          <w:rFonts w:ascii="Arial" w:cs="Arial" w:eastAsia="Arial" w:hAnsi="Arial"/>
          <w:sz w:val="25"/>
          <w:szCs w:val="25"/>
          <w:color w:val="auto"/>
        </w:rPr>
        <w:t>0.9</w:t>
      </w:r>
      <w:r>
        <w:rPr>
          <w:sz w:val="20"/>
          <w:szCs w:val="20"/>
          <w:color w:val="auto"/>
        </w:rPr>
        <w:tab/>
      </w:r>
      <w:r>
        <w:rPr>
          <w:rFonts w:ascii="Arial" w:cs="Arial" w:eastAsia="Arial" w:hAnsi="Arial"/>
          <w:sz w:val="25"/>
          <w:szCs w:val="25"/>
          <w:color w:val="auto"/>
        </w:rPr>
        <w:t>0.5</w:t>
      </w:r>
      <w:r>
        <w:rPr>
          <w:sz w:val="20"/>
          <w:szCs w:val="20"/>
          <w:color w:val="auto"/>
        </w:rPr>
        <w:tab/>
      </w:r>
      <w:r>
        <w:rPr>
          <w:rFonts w:ascii="Arial" w:cs="Arial" w:eastAsia="Arial" w:hAnsi="Arial"/>
          <w:sz w:val="24"/>
          <w:szCs w:val="24"/>
          <w:color w:val="auto"/>
        </w:rPr>
        <w:t>0.2</w:t>
      </w:r>
    </w:p>
    <w:p>
      <w:pPr>
        <w:spacing w:after="0" w:line="385" w:lineRule="exact"/>
        <w:rPr>
          <w:sz w:val="20"/>
          <w:szCs w:val="20"/>
          <w:color w:val="auto"/>
        </w:rPr>
      </w:pPr>
    </w:p>
    <w:p>
      <w:pPr>
        <w:ind w:left="160"/>
        <w:spacing w:after="0"/>
        <w:tabs>
          <w:tab w:leader="none" w:pos="1220" w:val="left"/>
          <w:tab w:leader="none" w:pos="2400" w:val="left"/>
          <w:tab w:leader="none" w:pos="3600" w:val="left"/>
          <w:tab w:leader="none" w:pos="4780" w:val="left"/>
        </w:tabs>
        <w:rPr>
          <w:sz w:val="20"/>
          <w:szCs w:val="20"/>
          <w:color w:val="auto"/>
        </w:rPr>
      </w:pPr>
      <w:r>
        <w:rPr>
          <w:rFonts w:ascii="Arial" w:cs="Arial" w:eastAsia="Arial" w:hAnsi="Arial"/>
          <w:sz w:val="28"/>
          <w:szCs w:val="28"/>
          <w:b w:val="1"/>
          <w:bCs w:val="1"/>
          <w:color w:val="auto"/>
        </w:rPr>
        <w:t>2.0</w:t>
      </w:r>
      <w:r>
        <w:rPr>
          <w:sz w:val="20"/>
          <w:szCs w:val="20"/>
          <w:color w:val="auto"/>
        </w:rPr>
        <w:tab/>
      </w:r>
      <w:r>
        <w:rPr>
          <w:rFonts w:ascii="Arial" w:cs="Arial" w:eastAsia="Arial" w:hAnsi="Arial"/>
          <w:sz w:val="28"/>
          <w:szCs w:val="28"/>
          <w:b w:val="1"/>
          <w:bCs w:val="1"/>
          <w:color w:val="auto"/>
        </w:rPr>
        <w:t>2.3</w:t>
      </w:r>
      <w:r>
        <w:rPr>
          <w:sz w:val="20"/>
          <w:szCs w:val="20"/>
          <w:color w:val="auto"/>
        </w:rPr>
        <w:tab/>
      </w:r>
      <w:r>
        <w:rPr>
          <w:rFonts w:ascii="Arial" w:cs="Arial" w:eastAsia="Arial" w:hAnsi="Arial"/>
          <w:sz w:val="28"/>
          <w:szCs w:val="28"/>
          <w:b w:val="1"/>
          <w:bCs w:val="1"/>
          <w:color w:val="auto"/>
        </w:rPr>
        <w:t>1.3</w:t>
      </w:r>
      <w:r>
        <w:rPr>
          <w:sz w:val="20"/>
          <w:szCs w:val="20"/>
          <w:color w:val="auto"/>
        </w:rPr>
        <w:tab/>
      </w:r>
      <w:r>
        <w:rPr>
          <w:rFonts w:ascii="Arial" w:cs="Arial" w:eastAsia="Arial" w:hAnsi="Arial"/>
          <w:sz w:val="28"/>
          <w:szCs w:val="28"/>
          <w:b w:val="1"/>
          <w:bCs w:val="1"/>
          <w:color w:val="auto"/>
        </w:rPr>
        <w:t>3.5</w:t>
      </w:r>
      <w:r>
        <w:rPr>
          <w:sz w:val="20"/>
          <w:szCs w:val="20"/>
          <w:color w:val="auto"/>
        </w:rPr>
        <w:tab/>
      </w:r>
      <w:r>
        <w:rPr>
          <w:rFonts w:ascii="Arial" w:cs="Arial" w:eastAsia="Arial" w:hAnsi="Arial"/>
          <w:sz w:val="28"/>
          <w:szCs w:val="28"/>
          <w:b w:val="1"/>
          <w:bCs w:val="1"/>
          <w:color w:val="auto"/>
        </w:rPr>
        <w:t>3.0</w:t>
      </w:r>
    </w:p>
    <w:p>
      <w:pPr>
        <w:spacing w:after="0" w:line="200" w:lineRule="exact"/>
        <w:rPr>
          <w:sz w:val="20"/>
          <w:szCs w:val="20"/>
          <w:color w:val="auto"/>
        </w:rPr>
      </w:pPr>
    </w:p>
    <w:p>
      <w:pPr>
        <w:spacing w:after="0" w:line="263" w:lineRule="exact"/>
        <w:rPr>
          <w:sz w:val="20"/>
          <w:szCs w:val="20"/>
          <w:color w:val="auto"/>
        </w:rPr>
      </w:pPr>
    </w:p>
    <w:p>
      <w:pPr>
        <w:ind w:left="180"/>
        <w:spacing w:after="0"/>
        <w:tabs>
          <w:tab w:leader="none" w:pos="1240" w:val="left"/>
          <w:tab w:leader="none" w:pos="2440" w:val="left"/>
          <w:tab w:leader="none" w:pos="3620" w:val="left"/>
          <w:tab w:leader="none" w:pos="4800" w:val="left"/>
        </w:tabs>
        <w:rPr>
          <w:sz w:val="20"/>
          <w:szCs w:val="20"/>
          <w:color w:val="auto"/>
        </w:rPr>
      </w:pPr>
      <w:r>
        <w:rPr>
          <w:rFonts w:ascii="Arial" w:cs="Arial" w:eastAsia="Arial" w:hAnsi="Arial"/>
          <w:sz w:val="25"/>
          <w:szCs w:val="25"/>
          <w:color w:val="auto"/>
        </w:rPr>
        <w:t>0.0</w:t>
      </w:r>
      <w:r>
        <w:rPr>
          <w:sz w:val="20"/>
          <w:szCs w:val="20"/>
          <w:color w:val="auto"/>
        </w:rPr>
        <w:tab/>
      </w:r>
      <w:r>
        <w:rPr>
          <w:rFonts w:ascii="Arial" w:cs="Arial" w:eastAsia="Arial" w:hAnsi="Arial"/>
          <w:sz w:val="25"/>
          <w:szCs w:val="25"/>
          <w:color w:val="auto"/>
        </w:rPr>
        <w:t>0.0</w:t>
      </w:r>
      <w:r>
        <w:rPr>
          <w:sz w:val="20"/>
          <w:szCs w:val="20"/>
          <w:color w:val="auto"/>
        </w:rPr>
        <w:tab/>
      </w:r>
      <w:r>
        <w:rPr>
          <w:rFonts w:ascii="Arial" w:cs="Arial" w:eastAsia="Arial" w:hAnsi="Arial"/>
          <w:sz w:val="25"/>
          <w:szCs w:val="25"/>
          <w:color w:val="auto"/>
        </w:rPr>
        <w:t>0.3</w:t>
      </w:r>
      <w:r>
        <w:rPr>
          <w:sz w:val="20"/>
          <w:szCs w:val="20"/>
          <w:color w:val="auto"/>
        </w:rPr>
        <w:tab/>
      </w:r>
      <w:r>
        <w:rPr>
          <w:rFonts w:ascii="Arial" w:cs="Arial" w:eastAsia="Arial" w:hAnsi="Arial"/>
          <w:sz w:val="25"/>
          <w:szCs w:val="25"/>
          <w:color w:val="auto"/>
        </w:rPr>
        <w:t>1.5</w:t>
      </w:r>
      <w:r>
        <w:rPr>
          <w:sz w:val="20"/>
          <w:szCs w:val="20"/>
          <w:color w:val="auto"/>
        </w:rPr>
        <w:tab/>
      </w:r>
      <w:r>
        <w:rPr>
          <w:rFonts w:ascii="Arial" w:cs="Arial" w:eastAsia="Arial" w:hAnsi="Arial"/>
          <w:sz w:val="24"/>
          <w:szCs w:val="24"/>
          <w:color w:val="auto"/>
        </w:rPr>
        <w:t>0.0</w:t>
      </w:r>
    </w:p>
    <w:p>
      <w:pPr>
        <w:spacing w:after="0" w:line="303" w:lineRule="exact"/>
        <w:rPr>
          <w:sz w:val="20"/>
          <w:szCs w:val="20"/>
          <w:color w:val="auto"/>
        </w:rPr>
      </w:pPr>
    </w:p>
    <w:p>
      <w:pPr>
        <w:ind w:left="160"/>
        <w:spacing w:after="0"/>
        <w:tabs>
          <w:tab w:leader="none" w:pos="1220" w:val="left"/>
          <w:tab w:leader="none" w:pos="2400" w:val="left"/>
          <w:tab w:leader="none" w:pos="3600" w:val="left"/>
          <w:tab w:leader="none" w:pos="4780" w:val="left"/>
        </w:tabs>
        <w:rPr>
          <w:sz w:val="20"/>
          <w:szCs w:val="20"/>
          <w:color w:val="auto"/>
        </w:rPr>
      </w:pPr>
      <w:r>
        <w:rPr>
          <w:rFonts w:ascii="Arial" w:cs="Arial" w:eastAsia="Arial" w:hAnsi="Arial"/>
          <w:sz w:val="28"/>
          <w:szCs w:val="28"/>
          <w:b w:val="1"/>
          <w:bCs w:val="1"/>
          <w:color w:val="auto"/>
        </w:rPr>
        <w:t>2.0</w:t>
      </w:r>
      <w:r>
        <w:rPr>
          <w:sz w:val="20"/>
          <w:szCs w:val="20"/>
          <w:color w:val="auto"/>
        </w:rPr>
        <w:tab/>
      </w:r>
      <w:r>
        <w:rPr>
          <w:rFonts w:ascii="Arial" w:cs="Arial" w:eastAsia="Arial" w:hAnsi="Arial"/>
          <w:sz w:val="28"/>
          <w:szCs w:val="28"/>
          <w:b w:val="1"/>
          <w:bCs w:val="1"/>
          <w:color w:val="auto"/>
        </w:rPr>
        <w:t>2.3</w:t>
      </w:r>
      <w:r>
        <w:rPr>
          <w:sz w:val="20"/>
          <w:szCs w:val="20"/>
          <w:color w:val="auto"/>
        </w:rPr>
        <w:tab/>
      </w:r>
      <w:r>
        <w:rPr>
          <w:rFonts w:ascii="Arial" w:cs="Arial" w:eastAsia="Arial" w:hAnsi="Arial"/>
          <w:sz w:val="28"/>
          <w:szCs w:val="28"/>
          <w:b w:val="1"/>
          <w:bCs w:val="1"/>
          <w:color w:val="auto"/>
        </w:rPr>
        <w:t>1.0</w:t>
      </w:r>
      <w:r>
        <w:rPr>
          <w:sz w:val="20"/>
          <w:szCs w:val="20"/>
          <w:color w:val="auto"/>
        </w:rPr>
        <w:tab/>
      </w:r>
      <w:r>
        <w:rPr>
          <w:rFonts w:ascii="Arial" w:cs="Arial" w:eastAsia="Arial" w:hAnsi="Arial"/>
          <w:sz w:val="28"/>
          <w:szCs w:val="28"/>
          <w:b w:val="1"/>
          <w:bCs w:val="1"/>
          <w:color w:val="auto"/>
        </w:rPr>
        <w:t>2.0</w:t>
      </w:r>
      <w:r>
        <w:rPr>
          <w:sz w:val="20"/>
          <w:szCs w:val="20"/>
          <w:color w:val="auto"/>
        </w:rPr>
        <w:tab/>
      </w:r>
      <w:r>
        <w:rPr>
          <w:rFonts w:ascii="Arial" w:cs="Arial" w:eastAsia="Arial" w:hAnsi="Arial"/>
          <w:sz w:val="28"/>
          <w:szCs w:val="28"/>
          <w:b w:val="1"/>
          <w:bCs w:val="1"/>
          <w:color w:val="auto"/>
        </w:rPr>
        <w:t>3.0</w:t>
      </w:r>
    </w:p>
    <w:p>
      <w:pPr>
        <w:spacing w:after="0" w:line="200" w:lineRule="exact"/>
        <w:rPr>
          <w:sz w:val="20"/>
          <w:szCs w:val="20"/>
          <w:color w:val="auto"/>
        </w:rPr>
      </w:pPr>
    </w:p>
    <w:p>
      <w:pPr>
        <w:sectPr>
          <w:pgSz w:w="11900" w:h="16838" w:orient="portrait"/>
          <w:cols w:equalWidth="0" w:num="2">
            <w:col w:w="4440" w:space="440"/>
            <w:col w:w="5460"/>
          </w:cols>
          <w:pgMar w:left="580" w:top="632"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Note: Starting Q4 2010 EBIT &amp; EBIT-Adj. include GM Financial on an Earnings Before Tax (EBT)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40" w:type="dxa"/>
            <w:vAlign w:val="bottom"/>
          </w:tcPr>
          <w:p>
            <w:pPr>
              <w:spacing w:after="0"/>
              <w:rPr>
                <w:sz w:val="20"/>
                <w:szCs w:val="20"/>
                <w:color w:val="auto"/>
              </w:rPr>
            </w:pPr>
            <w:r>
              <w:rPr>
                <w:rFonts w:ascii="Arial" w:cs="Arial" w:eastAsia="Arial" w:hAnsi="Arial"/>
                <w:sz w:val="19"/>
                <w:szCs w:val="19"/>
                <w:i w:val="1"/>
                <w:iCs w:val="1"/>
                <w:color w:val="auto"/>
              </w:rPr>
              <w:t>Note: Results may not foot due to rounding</w:t>
            </w:r>
          </w:p>
        </w:tc>
        <w:tc>
          <w:tcPr>
            <w:tcW w:w="3500" w:type="dxa"/>
            <w:vAlign w:val="bottom"/>
          </w:tcPr>
          <w:p>
            <w:pPr>
              <w:ind w:left="3260"/>
              <w:spacing w:after="0"/>
              <w:rPr>
                <w:sz w:val="20"/>
                <w:szCs w:val="20"/>
                <w:color w:val="auto"/>
              </w:rPr>
            </w:pPr>
            <w:r>
              <w:rPr>
                <w:rFonts w:ascii="Arial" w:cs="Arial" w:eastAsia="Arial" w:hAnsi="Arial"/>
                <w:sz w:val="19"/>
                <w:szCs w:val="19"/>
                <w:b w:val="1"/>
                <w:bCs w:val="1"/>
                <w:color w:val="auto"/>
                <w:w w:val="94"/>
              </w:rPr>
              <w:t>S5</w:t>
            </w:r>
          </w:p>
        </w:tc>
      </w:tr>
    </w:tbl>
    <w:p>
      <w:pPr>
        <w:sectPr>
          <w:pgSz w:w="11900" w:h="16838" w:orient="portrait"/>
          <w:cols w:equalWidth="0" w:num="1">
            <w:col w:w="10340"/>
          </w:cols>
          <w:pgMar w:left="580" w:top="632" w:right="979" w:bottom="1440" w:gutter="0" w:footer="0" w:header="0"/>
          <w:type w:val="continuous"/>
        </w:sectPr>
      </w:pPr>
    </w:p>
    <w:bookmarkStart w:id="58" w:name="page59"/>
    <w:bookmarkEnd w:id="58"/>
    <w:p>
      <w:pPr>
        <w:ind w:left="1060"/>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Reconciliation of Automotive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40" w:type="dxa"/>
        <w:tblCellMar>
          <w:top w:w="0" w:type="dxa"/>
          <w:left w:w="0" w:type="dxa"/>
          <w:bottom w:w="0" w:type="dxa"/>
          <w:right w:w="0" w:type="dxa"/>
        </w:tblCellMar>
      </w:tblPr>
      <w:tr>
        <w:trPr>
          <w:trHeight w:val="287"/>
        </w:trPr>
        <w:tc>
          <w:tcPr>
            <w:tcW w:w="7080" w:type="dxa"/>
            <w:vAlign w:val="bottom"/>
          </w:tcPr>
          <w:p>
            <w:pPr>
              <w:spacing w:after="0"/>
              <w:rPr>
                <w:sz w:val="24"/>
                <w:szCs w:val="24"/>
                <w:color w:val="auto"/>
              </w:rPr>
            </w:pPr>
          </w:p>
        </w:tc>
        <w:tc>
          <w:tcPr>
            <w:tcW w:w="1620" w:type="dxa"/>
            <w:vAlign w:val="bottom"/>
          </w:tcPr>
          <w:p>
            <w:pPr>
              <w:jc w:val="right"/>
              <w:ind w:right="466"/>
              <w:spacing w:after="0"/>
              <w:rPr>
                <w:sz w:val="20"/>
                <w:szCs w:val="20"/>
                <w:color w:val="auto"/>
              </w:rPr>
            </w:pPr>
            <w:r>
              <w:rPr>
                <w:rFonts w:ascii="Arial" w:cs="Arial" w:eastAsia="Arial" w:hAnsi="Arial"/>
                <w:sz w:val="25"/>
                <w:szCs w:val="25"/>
                <w:b w:val="1"/>
                <w:bCs w:val="1"/>
                <w:color w:val="auto"/>
              </w:rPr>
              <w:t>Q2</w:t>
            </w:r>
          </w:p>
        </w:tc>
        <w:tc>
          <w:tcPr>
            <w:tcW w:w="1060" w:type="dxa"/>
            <w:vAlign w:val="bottom"/>
          </w:tcPr>
          <w:p>
            <w:pPr>
              <w:jc w:val="right"/>
              <w:ind w:right="26"/>
              <w:spacing w:after="0"/>
              <w:rPr>
                <w:sz w:val="20"/>
                <w:szCs w:val="20"/>
                <w:color w:val="auto"/>
              </w:rPr>
            </w:pPr>
            <w:r>
              <w:rPr>
                <w:rFonts w:ascii="Arial" w:cs="Arial" w:eastAsia="Arial" w:hAnsi="Arial"/>
                <w:sz w:val="25"/>
                <w:szCs w:val="25"/>
                <w:b w:val="1"/>
                <w:bCs w:val="1"/>
                <w:color w:val="auto"/>
              </w:rPr>
              <w:t>Q2</w:t>
            </w:r>
          </w:p>
        </w:tc>
        <w:tc>
          <w:tcPr>
            <w:tcW w:w="0" w:type="dxa"/>
            <w:vAlign w:val="bottom"/>
          </w:tcPr>
          <w:p>
            <w:pPr>
              <w:spacing w:after="0"/>
              <w:rPr>
                <w:sz w:val="1"/>
                <w:szCs w:val="1"/>
                <w:color w:val="auto"/>
              </w:rPr>
            </w:pPr>
          </w:p>
        </w:tc>
      </w:tr>
      <w:tr>
        <w:trPr>
          <w:trHeight w:val="375"/>
        </w:trPr>
        <w:tc>
          <w:tcPr>
            <w:tcW w:w="7080" w:type="dxa"/>
            <w:vAlign w:val="bottom"/>
          </w:tcPr>
          <w:p>
            <w:pPr>
              <w:spacing w:after="0"/>
              <w:rPr>
                <w:sz w:val="20"/>
                <w:szCs w:val="20"/>
                <w:color w:val="auto"/>
              </w:rPr>
            </w:pPr>
            <w:r>
              <w:rPr>
                <w:rFonts w:ascii="Arial" w:cs="Arial" w:eastAsia="Arial" w:hAnsi="Arial"/>
                <w:sz w:val="28"/>
                <w:szCs w:val="28"/>
                <w:b w:val="1"/>
                <w:bCs w:val="1"/>
                <w:color w:val="auto"/>
              </w:rPr>
              <w:t>($B)</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rPr>
              <w:t>2010</w:t>
            </w:r>
          </w:p>
        </w:tc>
        <w:tc>
          <w:tcPr>
            <w:tcW w:w="1060" w:type="dxa"/>
            <w:vAlign w:val="bottom"/>
          </w:tcPr>
          <w:p>
            <w:pPr>
              <w:jc w:val="center"/>
              <w:ind w:left="306"/>
              <w:spacing w:after="0"/>
              <w:rPr>
                <w:sz w:val="20"/>
                <w:szCs w:val="20"/>
                <w:color w:val="auto"/>
              </w:rPr>
            </w:pPr>
            <w:r>
              <w:rPr>
                <w:rFonts w:ascii="Arial" w:cs="Arial" w:eastAsia="Arial" w:hAnsi="Arial"/>
                <w:sz w:val="28"/>
                <w:szCs w:val="28"/>
                <w:b w:val="1"/>
                <w:bCs w:val="1"/>
                <w:color w:val="auto"/>
                <w:w w:val="99"/>
              </w:rPr>
              <w:t>2011</w:t>
            </w:r>
          </w:p>
        </w:tc>
        <w:tc>
          <w:tcPr>
            <w:tcW w:w="0" w:type="dxa"/>
            <w:vAlign w:val="bottom"/>
          </w:tcPr>
          <w:p>
            <w:pPr>
              <w:spacing w:after="0"/>
              <w:rPr>
                <w:sz w:val="1"/>
                <w:szCs w:val="1"/>
                <w:color w:val="auto"/>
              </w:rPr>
            </w:pPr>
          </w:p>
        </w:tc>
      </w:tr>
      <w:tr>
        <w:trPr>
          <w:trHeight w:val="506"/>
        </w:trPr>
        <w:tc>
          <w:tcPr>
            <w:tcW w:w="7080" w:type="dxa"/>
            <w:vAlign w:val="bottom"/>
          </w:tcPr>
          <w:p>
            <w:pPr>
              <w:spacing w:after="0"/>
              <w:rPr>
                <w:sz w:val="20"/>
                <w:szCs w:val="20"/>
                <w:color w:val="auto"/>
              </w:rPr>
            </w:pPr>
            <w:r>
              <w:rPr>
                <w:rFonts w:ascii="Arial" w:cs="Arial" w:eastAsia="Arial" w:hAnsi="Arial"/>
                <w:sz w:val="28"/>
                <w:szCs w:val="28"/>
                <w:b w:val="1"/>
                <w:bCs w:val="1"/>
                <w:color w:val="auto"/>
              </w:rPr>
              <w:t>Net cash provided by operating activities</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rPr>
              <w:t>3.8</w:t>
            </w:r>
          </w:p>
        </w:tc>
        <w:tc>
          <w:tcPr>
            <w:tcW w:w="1060" w:type="dxa"/>
            <w:vAlign w:val="bottom"/>
          </w:tcPr>
          <w:p>
            <w:pPr>
              <w:jc w:val="center"/>
              <w:ind w:left="286"/>
              <w:spacing w:after="0"/>
              <w:rPr>
                <w:sz w:val="20"/>
                <w:szCs w:val="20"/>
                <w:color w:val="auto"/>
              </w:rPr>
            </w:pPr>
            <w:r>
              <w:rPr>
                <w:rFonts w:ascii="Arial" w:cs="Arial" w:eastAsia="Arial" w:hAnsi="Arial"/>
                <w:sz w:val="28"/>
                <w:szCs w:val="28"/>
                <w:b w:val="1"/>
                <w:bCs w:val="1"/>
                <w:color w:val="auto"/>
              </w:rPr>
              <w:t>5.1</w:t>
            </w:r>
          </w:p>
        </w:tc>
        <w:tc>
          <w:tcPr>
            <w:tcW w:w="0" w:type="dxa"/>
            <w:vAlign w:val="bottom"/>
          </w:tcPr>
          <w:p>
            <w:pPr>
              <w:spacing w:after="0"/>
              <w:rPr>
                <w:sz w:val="1"/>
                <w:szCs w:val="1"/>
                <w:color w:val="auto"/>
              </w:rPr>
            </w:pPr>
          </w:p>
        </w:tc>
      </w:tr>
      <w:tr>
        <w:trPr>
          <w:trHeight w:val="554"/>
        </w:trPr>
        <w:tc>
          <w:tcPr>
            <w:tcW w:w="7080" w:type="dxa"/>
            <w:vAlign w:val="bottom"/>
          </w:tcPr>
          <w:p>
            <w:pPr>
              <w:spacing w:after="0"/>
              <w:rPr>
                <w:sz w:val="20"/>
                <w:szCs w:val="20"/>
                <w:color w:val="auto"/>
              </w:rPr>
            </w:pPr>
            <w:r>
              <w:rPr>
                <w:rFonts w:ascii="Arial" w:cs="Arial" w:eastAsia="Arial" w:hAnsi="Arial"/>
                <w:sz w:val="25"/>
                <w:szCs w:val="25"/>
                <w:color w:val="auto"/>
              </w:rPr>
              <w:t>Less net cash provided by operating activities-GM Financial</w:t>
            </w:r>
          </w:p>
        </w:tc>
        <w:tc>
          <w:tcPr>
            <w:tcW w:w="1620" w:type="dxa"/>
            <w:vAlign w:val="bottom"/>
          </w:tcPr>
          <w:p>
            <w:pPr>
              <w:jc w:val="right"/>
              <w:ind w:right="446"/>
              <w:spacing w:after="0"/>
              <w:rPr>
                <w:sz w:val="20"/>
                <w:szCs w:val="20"/>
                <w:color w:val="auto"/>
              </w:rPr>
            </w:pPr>
            <w:r>
              <w:rPr>
                <w:rFonts w:ascii="Arial" w:cs="Arial" w:eastAsia="Arial" w:hAnsi="Arial"/>
                <w:sz w:val="25"/>
                <w:szCs w:val="25"/>
                <w:color w:val="auto"/>
              </w:rPr>
              <w:t>n/a</w:t>
            </w:r>
          </w:p>
        </w:tc>
        <w:tc>
          <w:tcPr>
            <w:tcW w:w="1060" w:type="dxa"/>
            <w:vAlign w:val="bottom"/>
          </w:tcPr>
          <w:p>
            <w:pPr>
              <w:jc w:val="right"/>
              <w:ind w:right="26"/>
              <w:spacing w:after="0"/>
              <w:rPr>
                <w:sz w:val="20"/>
                <w:szCs w:val="20"/>
                <w:color w:val="auto"/>
              </w:rPr>
            </w:pPr>
            <w:r>
              <w:rPr>
                <w:rFonts w:ascii="Arial" w:cs="Arial" w:eastAsia="Arial" w:hAnsi="Arial"/>
                <w:sz w:val="25"/>
                <w:szCs w:val="25"/>
                <w:color w:val="auto"/>
              </w:rPr>
              <w:t>0.1</w:t>
            </w:r>
          </w:p>
        </w:tc>
        <w:tc>
          <w:tcPr>
            <w:tcW w:w="0" w:type="dxa"/>
            <w:vAlign w:val="bottom"/>
          </w:tcPr>
          <w:p>
            <w:pPr>
              <w:spacing w:after="0"/>
              <w:rPr>
                <w:sz w:val="1"/>
                <w:szCs w:val="1"/>
                <w:color w:val="auto"/>
              </w:rPr>
            </w:pPr>
          </w:p>
        </w:tc>
      </w:tr>
      <w:tr>
        <w:trPr>
          <w:trHeight w:val="469"/>
        </w:trPr>
        <w:tc>
          <w:tcPr>
            <w:tcW w:w="7080" w:type="dxa"/>
            <w:vAlign w:val="bottom"/>
          </w:tcPr>
          <w:p>
            <w:pPr>
              <w:spacing w:after="0"/>
              <w:rPr>
                <w:sz w:val="20"/>
                <w:szCs w:val="20"/>
                <w:color w:val="auto"/>
              </w:rPr>
            </w:pPr>
            <w:r>
              <w:rPr>
                <w:rFonts w:ascii="Arial" w:cs="Arial" w:eastAsia="Arial" w:hAnsi="Arial"/>
                <w:sz w:val="28"/>
                <w:szCs w:val="28"/>
                <w:b w:val="1"/>
                <w:bCs w:val="1"/>
                <w:color w:val="auto"/>
              </w:rPr>
              <w:t>Automotive Net Cash Provided/(Used)</w:t>
            </w:r>
          </w:p>
        </w:tc>
        <w:tc>
          <w:tcPr>
            <w:tcW w:w="1620" w:type="dxa"/>
            <w:vAlign w:val="bottom"/>
            <w:vMerge w:val="restart"/>
          </w:tcPr>
          <w:p>
            <w:pPr>
              <w:jc w:val="center"/>
              <w:spacing w:after="0"/>
              <w:rPr>
                <w:sz w:val="20"/>
                <w:szCs w:val="20"/>
                <w:color w:val="auto"/>
              </w:rPr>
            </w:pPr>
            <w:r>
              <w:rPr>
                <w:rFonts w:ascii="Arial" w:cs="Arial" w:eastAsia="Arial" w:hAnsi="Arial"/>
                <w:sz w:val="28"/>
                <w:szCs w:val="28"/>
                <w:b w:val="1"/>
                <w:bCs w:val="1"/>
                <w:color w:val="auto"/>
              </w:rPr>
              <w:t>3.8</w:t>
            </w:r>
          </w:p>
        </w:tc>
        <w:tc>
          <w:tcPr>
            <w:tcW w:w="1060" w:type="dxa"/>
            <w:vAlign w:val="bottom"/>
            <w:vMerge w:val="restart"/>
          </w:tcPr>
          <w:p>
            <w:pPr>
              <w:jc w:val="center"/>
              <w:ind w:left="286"/>
              <w:spacing w:after="0"/>
              <w:rPr>
                <w:sz w:val="20"/>
                <w:szCs w:val="20"/>
                <w:color w:val="auto"/>
              </w:rPr>
            </w:pPr>
            <w:r>
              <w:rPr>
                <w:rFonts w:ascii="Arial" w:cs="Arial" w:eastAsia="Arial" w:hAnsi="Arial"/>
                <w:sz w:val="28"/>
                <w:szCs w:val="28"/>
                <w:b w:val="1"/>
                <w:bCs w:val="1"/>
                <w:color w:val="auto"/>
              </w:rPr>
              <w:t>5.0</w:t>
            </w:r>
          </w:p>
        </w:tc>
        <w:tc>
          <w:tcPr>
            <w:tcW w:w="0" w:type="dxa"/>
            <w:vAlign w:val="bottom"/>
          </w:tcPr>
          <w:p>
            <w:pPr>
              <w:spacing w:after="0"/>
              <w:rPr>
                <w:sz w:val="1"/>
                <w:szCs w:val="1"/>
                <w:color w:val="auto"/>
              </w:rPr>
            </w:pPr>
          </w:p>
        </w:tc>
      </w:tr>
      <w:tr>
        <w:trPr>
          <w:trHeight w:val="211"/>
        </w:trPr>
        <w:tc>
          <w:tcPr>
            <w:tcW w:w="7080" w:type="dxa"/>
            <w:vAlign w:val="bottom"/>
            <w:vMerge w:val="restart"/>
          </w:tcPr>
          <w:p>
            <w:pPr>
              <w:spacing w:after="0"/>
              <w:rPr>
                <w:sz w:val="20"/>
                <w:szCs w:val="20"/>
                <w:color w:val="auto"/>
              </w:rPr>
            </w:pPr>
            <w:r>
              <w:rPr>
                <w:rFonts w:ascii="Arial" w:cs="Arial" w:eastAsia="Arial" w:hAnsi="Arial"/>
                <w:sz w:val="28"/>
                <w:szCs w:val="28"/>
                <w:b w:val="1"/>
                <w:bCs w:val="1"/>
                <w:color w:val="auto"/>
              </w:rPr>
              <w:t>Operating Activities</w:t>
            </w:r>
          </w:p>
        </w:tc>
        <w:tc>
          <w:tcPr>
            <w:tcW w:w="16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7080" w:type="dxa"/>
            <w:vAlign w:val="bottom"/>
          </w:tcPr>
          <w:p>
            <w:pPr>
              <w:spacing w:after="0"/>
              <w:rPr>
                <w:sz w:val="20"/>
                <w:szCs w:val="20"/>
                <w:color w:val="auto"/>
              </w:rPr>
            </w:pPr>
            <w:r>
              <w:rPr>
                <w:rFonts w:ascii="Arial" w:cs="Arial" w:eastAsia="Arial" w:hAnsi="Arial"/>
                <w:sz w:val="25"/>
                <w:szCs w:val="25"/>
                <w:color w:val="auto"/>
              </w:rPr>
              <w:t>Capital expenditures</w:t>
            </w:r>
          </w:p>
        </w:tc>
        <w:tc>
          <w:tcPr>
            <w:tcW w:w="1620" w:type="dxa"/>
            <w:vAlign w:val="bottom"/>
          </w:tcPr>
          <w:p>
            <w:pPr>
              <w:jc w:val="right"/>
              <w:ind w:right="386"/>
              <w:spacing w:after="0"/>
              <w:rPr>
                <w:sz w:val="20"/>
                <w:szCs w:val="20"/>
                <w:color w:val="auto"/>
              </w:rPr>
            </w:pPr>
            <w:r>
              <w:rPr>
                <w:rFonts w:ascii="Arial" w:cs="Arial" w:eastAsia="Arial" w:hAnsi="Arial"/>
                <w:sz w:val="25"/>
                <w:szCs w:val="25"/>
                <w:color w:val="auto"/>
              </w:rPr>
              <w:t>(1.0)</w:t>
            </w:r>
          </w:p>
        </w:tc>
        <w:tc>
          <w:tcPr>
            <w:tcW w:w="1060" w:type="dxa"/>
            <w:vAlign w:val="bottom"/>
          </w:tcPr>
          <w:p>
            <w:pPr>
              <w:jc w:val="right"/>
              <w:spacing w:after="0"/>
              <w:rPr>
                <w:sz w:val="20"/>
                <w:szCs w:val="20"/>
                <w:color w:val="auto"/>
              </w:rPr>
            </w:pPr>
            <w:r>
              <w:rPr>
                <w:rFonts w:ascii="Arial" w:cs="Arial" w:eastAsia="Arial" w:hAnsi="Arial"/>
                <w:sz w:val="25"/>
                <w:szCs w:val="25"/>
                <w:color w:val="auto"/>
              </w:rPr>
              <w:t>(1.2)</w:t>
            </w:r>
          </w:p>
        </w:tc>
        <w:tc>
          <w:tcPr>
            <w:tcW w:w="0" w:type="dxa"/>
            <w:vAlign w:val="bottom"/>
          </w:tcPr>
          <w:p>
            <w:pPr>
              <w:spacing w:after="0"/>
              <w:rPr>
                <w:sz w:val="1"/>
                <w:szCs w:val="1"/>
                <w:color w:val="auto"/>
              </w:rPr>
            </w:pPr>
          </w:p>
        </w:tc>
      </w:tr>
      <w:tr>
        <w:trPr>
          <w:trHeight w:val="563"/>
        </w:trPr>
        <w:tc>
          <w:tcPr>
            <w:tcW w:w="7080" w:type="dxa"/>
            <w:vAlign w:val="bottom"/>
          </w:tcPr>
          <w:p>
            <w:pPr>
              <w:spacing w:after="0"/>
              <w:rPr>
                <w:sz w:val="20"/>
                <w:szCs w:val="20"/>
                <w:color w:val="auto"/>
              </w:rPr>
            </w:pPr>
            <w:r>
              <w:rPr>
                <w:rFonts w:ascii="Arial" w:cs="Arial" w:eastAsia="Arial" w:hAnsi="Arial"/>
                <w:sz w:val="28"/>
                <w:szCs w:val="28"/>
                <w:b w:val="1"/>
                <w:bCs w:val="1"/>
                <w:color w:val="auto"/>
              </w:rPr>
              <w:t>Automotive Free Cash Flow</w:t>
            </w:r>
          </w:p>
        </w:tc>
        <w:tc>
          <w:tcPr>
            <w:tcW w:w="1620" w:type="dxa"/>
            <w:vAlign w:val="bottom"/>
          </w:tcPr>
          <w:p>
            <w:pPr>
              <w:jc w:val="center"/>
              <w:spacing w:after="0"/>
              <w:rPr>
                <w:sz w:val="20"/>
                <w:szCs w:val="20"/>
                <w:color w:val="auto"/>
              </w:rPr>
            </w:pPr>
            <w:r>
              <w:rPr>
                <w:rFonts w:ascii="Arial" w:cs="Arial" w:eastAsia="Arial" w:hAnsi="Arial"/>
                <w:sz w:val="28"/>
                <w:szCs w:val="28"/>
                <w:b w:val="1"/>
                <w:bCs w:val="1"/>
                <w:color w:val="auto"/>
              </w:rPr>
              <w:t>2.8</w:t>
            </w:r>
          </w:p>
        </w:tc>
        <w:tc>
          <w:tcPr>
            <w:tcW w:w="1060" w:type="dxa"/>
            <w:vAlign w:val="bottom"/>
          </w:tcPr>
          <w:p>
            <w:pPr>
              <w:jc w:val="center"/>
              <w:ind w:left="286"/>
              <w:spacing w:after="0"/>
              <w:rPr>
                <w:sz w:val="20"/>
                <w:szCs w:val="20"/>
                <w:color w:val="auto"/>
              </w:rPr>
            </w:pPr>
            <w:r>
              <w:rPr>
                <w:rFonts w:ascii="Arial" w:cs="Arial" w:eastAsia="Arial" w:hAnsi="Arial"/>
                <w:sz w:val="28"/>
                <w:szCs w:val="28"/>
                <w:b w:val="1"/>
                <w:bCs w:val="1"/>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40" w:type="dxa"/>
            <w:vAlign w:val="bottom"/>
          </w:tcPr>
          <w:p>
            <w:pPr>
              <w:spacing w:after="0"/>
              <w:rPr>
                <w:sz w:val="20"/>
                <w:szCs w:val="20"/>
                <w:color w:val="auto"/>
              </w:rPr>
            </w:pPr>
            <w:r>
              <w:rPr>
                <w:rFonts w:ascii="Arial" w:cs="Arial" w:eastAsia="Arial" w:hAnsi="Arial"/>
                <w:sz w:val="19"/>
                <w:szCs w:val="19"/>
                <w:i w:val="1"/>
                <w:iCs w:val="1"/>
                <w:color w:val="auto"/>
              </w:rPr>
              <w:t>Note: Results may not foot due to rounding</w:t>
            </w:r>
          </w:p>
        </w:tc>
        <w:tc>
          <w:tcPr>
            <w:tcW w:w="3500" w:type="dxa"/>
            <w:vAlign w:val="bottom"/>
          </w:tcPr>
          <w:p>
            <w:pPr>
              <w:ind w:left="3260"/>
              <w:spacing w:after="0"/>
              <w:rPr>
                <w:sz w:val="20"/>
                <w:szCs w:val="20"/>
                <w:color w:val="auto"/>
              </w:rPr>
            </w:pPr>
            <w:r>
              <w:rPr>
                <w:rFonts w:ascii="Arial" w:cs="Arial" w:eastAsia="Arial" w:hAnsi="Arial"/>
                <w:sz w:val="19"/>
                <w:szCs w:val="19"/>
                <w:b w:val="1"/>
                <w:bCs w:val="1"/>
                <w:color w:val="auto"/>
                <w:w w:val="94"/>
              </w:rPr>
              <w:t>S6</w:t>
            </w:r>
          </w:p>
        </w:tc>
      </w:tr>
    </w:tbl>
    <w:p>
      <w:pPr>
        <w:sectPr>
          <w:pgSz w:w="11900" w:h="16838" w:orient="portrait"/>
          <w:cols w:equalWidth="0" w:num="1">
            <w:col w:w="10340"/>
          </w:cols>
          <w:pgMar w:left="580" w:top="681" w:right="979" w:bottom="1440" w:gutter="0" w:footer="0" w:header="0"/>
        </w:sectPr>
      </w:pPr>
    </w:p>
    <w:bookmarkStart w:id="59" w:name="page60"/>
    <w:bookmarkEnd w:id="59"/>
    <w:p>
      <w:pPr>
        <w:ind w:left="106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GM Financial – Key Metrics</w:t>
      </w:r>
    </w:p>
    <w:p>
      <w:pPr>
        <w:sectPr>
          <w:pgSz w:w="11900" w:h="16838" w:orient="portrait"/>
          <w:cols w:equalWidth="0" w:num="1">
            <w:col w:w="10320"/>
          </w:cols>
          <w:pgMar w:left="580" w:top="59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
        <w:spacing w:after="0"/>
        <w:rPr>
          <w:sz w:val="20"/>
          <w:szCs w:val="20"/>
          <w:color w:val="auto"/>
        </w:rPr>
      </w:pPr>
      <w:r>
        <w:rPr>
          <w:rFonts w:ascii="Arial" w:cs="Arial" w:eastAsia="Arial" w:hAnsi="Arial"/>
          <w:sz w:val="28"/>
          <w:szCs w:val="28"/>
          <w:b w:val="1"/>
          <w:bCs w:val="1"/>
          <w:color w:val="auto"/>
        </w:rPr>
        <w:t>($M)</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32"/>
          <w:szCs w:val="32"/>
          <w:color w:val="auto"/>
        </w:rPr>
        <w:t>Earnings Before Tax</w:t>
      </w: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32"/>
          <w:szCs w:val="32"/>
          <w:color w:val="auto"/>
        </w:rPr>
        <w:t>Total Originations</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32"/>
          <w:szCs w:val="32"/>
          <w:color w:val="auto"/>
        </w:rPr>
        <w:t>GM new vehicles as % of total</w:t>
      </w:r>
    </w:p>
    <w:p>
      <w:pPr>
        <w:spacing w:after="0" w:line="200" w:lineRule="exact"/>
        <w:rPr>
          <w:sz w:val="20"/>
          <w:szCs w:val="20"/>
          <w:color w:val="auto"/>
        </w:rPr>
      </w:pPr>
    </w:p>
    <w:p>
      <w:pPr>
        <w:spacing w:after="0" w:line="232" w:lineRule="exact"/>
        <w:rPr>
          <w:sz w:val="20"/>
          <w:szCs w:val="20"/>
          <w:color w:val="auto"/>
        </w:rPr>
      </w:pPr>
    </w:p>
    <w:p>
      <w:pPr>
        <w:ind w:left="520"/>
        <w:spacing w:after="0"/>
        <w:rPr>
          <w:sz w:val="20"/>
          <w:szCs w:val="20"/>
          <w:color w:val="auto"/>
        </w:rPr>
      </w:pPr>
      <w:r>
        <w:rPr>
          <w:rFonts w:ascii="Arial" w:cs="Arial" w:eastAsia="Arial" w:hAnsi="Arial"/>
          <w:sz w:val="32"/>
          <w:szCs w:val="32"/>
          <w:color w:val="auto"/>
        </w:rPr>
        <w:t>Finance Receivables</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32"/>
          <w:szCs w:val="32"/>
          <w:color w:val="auto"/>
        </w:rPr>
        <w:t>Delinquencies (&gt;30 days)*</w:t>
      </w:r>
    </w:p>
    <w:p>
      <w:pPr>
        <w:spacing w:after="0" w:line="349" w:lineRule="exact"/>
        <w:rPr>
          <w:sz w:val="20"/>
          <w:szCs w:val="20"/>
          <w:color w:val="auto"/>
        </w:rPr>
      </w:pPr>
    </w:p>
    <w:p>
      <w:pPr>
        <w:ind w:left="520"/>
        <w:spacing w:after="0" w:line="254" w:lineRule="auto"/>
        <w:rPr>
          <w:sz w:val="20"/>
          <w:szCs w:val="20"/>
          <w:color w:val="auto"/>
        </w:rPr>
      </w:pPr>
      <w:r>
        <w:rPr>
          <w:rFonts w:ascii="Arial" w:cs="Arial" w:eastAsia="Arial" w:hAnsi="Arial"/>
          <w:sz w:val="32"/>
          <w:szCs w:val="32"/>
          <w:color w:val="auto"/>
        </w:rPr>
        <w:t>Annualized net charge-offs as % of avg.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 Excludes finance receivables in repossession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4"/>
        </w:trPr>
        <w:tc>
          <w:tcPr>
            <w:tcW w:w="1720" w:type="dxa"/>
            <w:vAlign w:val="bottom"/>
            <w:vMerge w:val="restart"/>
          </w:tcPr>
          <w:p>
            <w:pPr>
              <w:jc w:val="center"/>
              <w:ind w:right="341"/>
              <w:spacing w:after="0"/>
              <w:rPr>
                <w:sz w:val="20"/>
                <w:szCs w:val="20"/>
                <w:color w:val="auto"/>
              </w:rPr>
            </w:pPr>
            <w:r>
              <w:rPr>
                <w:rFonts w:ascii="Arial" w:cs="Arial" w:eastAsia="Arial" w:hAnsi="Arial"/>
                <w:sz w:val="32"/>
                <w:szCs w:val="32"/>
                <w:b w:val="1"/>
                <w:bCs w:val="1"/>
                <w:color w:val="auto"/>
                <w:w w:val="99"/>
              </w:rPr>
              <w:t>Q2 2011</w:t>
            </w:r>
          </w:p>
        </w:tc>
        <w:tc>
          <w:tcPr>
            <w:tcW w:w="1640" w:type="dxa"/>
            <w:vAlign w:val="bottom"/>
          </w:tcPr>
          <w:p>
            <w:pPr>
              <w:ind w:left="700"/>
              <w:spacing w:after="0"/>
              <w:rPr>
                <w:sz w:val="20"/>
                <w:szCs w:val="20"/>
                <w:color w:val="auto"/>
              </w:rPr>
            </w:pPr>
            <w:r>
              <w:rPr>
                <w:rFonts w:ascii="Arial" w:cs="Arial" w:eastAsia="Arial" w:hAnsi="Arial"/>
                <w:sz w:val="25"/>
                <w:szCs w:val="25"/>
                <w:i w:val="1"/>
                <w:iCs w:val="1"/>
                <w:color w:val="auto"/>
              </w:rPr>
              <w:t>Memo:</w:t>
            </w:r>
          </w:p>
        </w:tc>
        <w:tc>
          <w:tcPr>
            <w:tcW w:w="0" w:type="dxa"/>
            <w:vAlign w:val="bottom"/>
          </w:tcPr>
          <w:p>
            <w:pPr>
              <w:spacing w:after="0"/>
              <w:rPr>
                <w:sz w:val="1"/>
                <w:szCs w:val="1"/>
                <w:color w:val="auto"/>
              </w:rPr>
            </w:pPr>
          </w:p>
        </w:tc>
      </w:tr>
      <w:tr>
        <w:trPr>
          <w:trHeight w:val="323"/>
        </w:trPr>
        <w:tc>
          <w:tcPr>
            <w:tcW w:w="1720" w:type="dxa"/>
            <w:vAlign w:val="bottom"/>
            <w:vMerge w:val="continue"/>
          </w:tcPr>
          <w:p>
            <w:pPr>
              <w:spacing w:after="0"/>
              <w:rPr>
                <w:sz w:val="24"/>
                <w:szCs w:val="24"/>
                <w:color w:val="auto"/>
              </w:rPr>
            </w:pPr>
          </w:p>
        </w:tc>
        <w:tc>
          <w:tcPr>
            <w:tcW w:w="1640" w:type="dxa"/>
            <w:vAlign w:val="bottom"/>
          </w:tcPr>
          <w:p>
            <w:pPr>
              <w:jc w:val="center"/>
              <w:ind w:left="350"/>
              <w:spacing w:after="0"/>
              <w:rPr>
                <w:sz w:val="20"/>
                <w:szCs w:val="20"/>
                <w:color w:val="auto"/>
              </w:rPr>
            </w:pPr>
            <w:r>
              <w:rPr>
                <w:rFonts w:ascii="Arial" w:cs="Arial" w:eastAsia="Arial" w:hAnsi="Arial"/>
                <w:sz w:val="25"/>
                <w:szCs w:val="25"/>
                <w:i w:val="1"/>
                <w:iCs w:val="1"/>
                <w:color w:val="auto"/>
                <w:w w:val="98"/>
              </w:rPr>
              <w:t>Q2 2010**</w:t>
            </w:r>
          </w:p>
        </w:tc>
        <w:tc>
          <w:tcPr>
            <w:tcW w:w="0" w:type="dxa"/>
            <w:vAlign w:val="bottom"/>
          </w:tcPr>
          <w:p>
            <w:pPr>
              <w:spacing w:after="0"/>
              <w:rPr>
                <w:sz w:val="1"/>
                <w:szCs w:val="1"/>
                <w:color w:val="auto"/>
              </w:rPr>
            </w:pPr>
          </w:p>
        </w:tc>
      </w:tr>
      <w:tr>
        <w:trPr>
          <w:trHeight w:val="655"/>
        </w:trPr>
        <w:tc>
          <w:tcPr>
            <w:tcW w:w="1720" w:type="dxa"/>
            <w:vAlign w:val="bottom"/>
          </w:tcPr>
          <w:p>
            <w:pPr>
              <w:jc w:val="center"/>
              <w:ind w:right="341"/>
              <w:spacing w:after="0"/>
              <w:rPr>
                <w:sz w:val="20"/>
                <w:szCs w:val="20"/>
                <w:color w:val="auto"/>
              </w:rPr>
            </w:pPr>
            <w:r>
              <w:rPr>
                <w:rFonts w:ascii="Arial" w:cs="Arial" w:eastAsia="Arial" w:hAnsi="Arial"/>
                <w:sz w:val="32"/>
                <w:szCs w:val="32"/>
                <w:color w:val="auto"/>
              </w:rPr>
              <w:t>144</w:t>
            </w:r>
          </w:p>
        </w:tc>
        <w:tc>
          <w:tcPr>
            <w:tcW w:w="1640" w:type="dxa"/>
            <w:vAlign w:val="bottom"/>
          </w:tcPr>
          <w:p>
            <w:pPr>
              <w:jc w:val="center"/>
              <w:ind w:left="370"/>
              <w:spacing w:after="0"/>
              <w:rPr>
                <w:sz w:val="20"/>
                <w:szCs w:val="20"/>
                <w:color w:val="auto"/>
              </w:rPr>
            </w:pPr>
            <w:r>
              <w:rPr>
                <w:rFonts w:ascii="Arial" w:cs="Arial" w:eastAsia="Arial" w:hAnsi="Arial"/>
                <w:sz w:val="32"/>
                <w:szCs w:val="32"/>
                <w:i w:val="1"/>
                <w:iCs w:val="1"/>
                <w:color w:val="auto"/>
                <w:w w:val="97"/>
              </w:rPr>
              <w:t>139</w:t>
            </w:r>
          </w:p>
        </w:tc>
        <w:tc>
          <w:tcPr>
            <w:tcW w:w="0" w:type="dxa"/>
            <w:vAlign w:val="bottom"/>
          </w:tcPr>
          <w:p>
            <w:pPr>
              <w:spacing w:after="0"/>
              <w:rPr>
                <w:sz w:val="1"/>
                <w:szCs w:val="1"/>
                <w:color w:val="auto"/>
              </w:rPr>
            </w:pPr>
          </w:p>
        </w:tc>
      </w:tr>
      <w:tr>
        <w:trPr>
          <w:trHeight w:val="776"/>
        </w:trPr>
        <w:tc>
          <w:tcPr>
            <w:tcW w:w="1720" w:type="dxa"/>
            <w:vAlign w:val="bottom"/>
          </w:tcPr>
          <w:p>
            <w:pPr>
              <w:jc w:val="center"/>
              <w:ind w:right="321"/>
              <w:spacing w:after="0"/>
              <w:rPr>
                <w:sz w:val="20"/>
                <w:szCs w:val="20"/>
                <w:color w:val="auto"/>
              </w:rPr>
            </w:pPr>
            <w:r>
              <w:rPr>
                <w:rFonts w:ascii="Arial" w:cs="Arial" w:eastAsia="Arial" w:hAnsi="Arial"/>
                <w:sz w:val="32"/>
                <w:szCs w:val="32"/>
                <w:color w:val="auto"/>
                <w:w w:val="99"/>
              </w:rPr>
              <w:t>1,522</w:t>
            </w:r>
          </w:p>
        </w:tc>
        <w:tc>
          <w:tcPr>
            <w:tcW w:w="1640" w:type="dxa"/>
            <w:vAlign w:val="bottom"/>
          </w:tcPr>
          <w:p>
            <w:pPr>
              <w:jc w:val="center"/>
              <w:ind w:left="370"/>
              <w:spacing w:after="0"/>
              <w:rPr>
                <w:sz w:val="20"/>
                <w:szCs w:val="20"/>
                <w:color w:val="auto"/>
              </w:rPr>
            </w:pPr>
            <w:r>
              <w:rPr>
                <w:rFonts w:ascii="Arial" w:cs="Arial" w:eastAsia="Arial" w:hAnsi="Arial"/>
                <w:sz w:val="32"/>
                <w:szCs w:val="32"/>
                <w:i w:val="1"/>
                <w:iCs w:val="1"/>
                <w:color w:val="auto"/>
                <w:w w:val="97"/>
              </w:rPr>
              <w:t>906</w:t>
            </w:r>
          </w:p>
        </w:tc>
        <w:tc>
          <w:tcPr>
            <w:tcW w:w="0" w:type="dxa"/>
            <w:vAlign w:val="bottom"/>
          </w:tcPr>
          <w:p>
            <w:pPr>
              <w:spacing w:after="0"/>
              <w:rPr>
                <w:sz w:val="1"/>
                <w:szCs w:val="1"/>
                <w:color w:val="auto"/>
              </w:rPr>
            </w:pPr>
          </w:p>
        </w:tc>
      </w:tr>
      <w:tr>
        <w:trPr>
          <w:trHeight w:val="611"/>
        </w:trPr>
        <w:tc>
          <w:tcPr>
            <w:tcW w:w="1720" w:type="dxa"/>
            <w:vAlign w:val="bottom"/>
          </w:tcPr>
          <w:p>
            <w:pPr>
              <w:jc w:val="center"/>
              <w:ind w:right="321"/>
              <w:spacing w:after="0"/>
              <w:rPr>
                <w:sz w:val="20"/>
                <w:szCs w:val="20"/>
                <w:color w:val="auto"/>
              </w:rPr>
            </w:pPr>
            <w:r>
              <w:rPr>
                <w:rFonts w:ascii="Arial" w:cs="Arial" w:eastAsia="Arial" w:hAnsi="Arial"/>
                <w:sz w:val="32"/>
                <w:szCs w:val="32"/>
                <w:color w:val="auto"/>
                <w:w w:val="96"/>
              </w:rPr>
              <w:t>38.0%</w:t>
            </w:r>
          </w:p>
        </w:tc>
        <w:tc>
          <w:tcPr>
            <w:tcW w:w="1640" w:type="dxa"/>
            <w:vAlign w:val="bottom"/>
          </w:tcPr>
          <w:p>
            <w:pPr>
              <w:jc w:val="center"/>
              <w:ind w:left="350"/>
              <w:spacing w:after="0"/>
              <w:rPr>
                <w:sz w:val="20"/>
                <w:szCs w:val="20"/>
                <w:color w:val="auto"/>
              </w:rPr>
            </w:pPr>
            <w:r>
              <w:rPr>
                <w:rFonts w:ascii="Arial" w:cs="Arial" w:eastAsia="Arial" w:hAnsi="Arial"/>
                <w:sz w:val="32"/>
                <w:szCs w:val="32"/>
                <w:i w:val="1"/>
                <w:iCs w:val="1"/>
                <w:color w:val="auto"/>
                <w:w w:val="99"/>
              </w:rPr>
              <w:t>14.0%</w:t>
            </w:r>
          </w:p>
        </w:tc>
        <w:tc>
          <w:tcPr>
            <w:tcW w:w="0" w:type="dxa"/>
            <w:vAlign w:val="bottom"/>
          </w:tcPr>
          <w:p>
            <w:pPr>
              <w:spacing w:after="0"/>
              <w:rPr>
                <w:sz w:val="1"/>
                <w:szCs w:val="1"/>
                <w:color w:val="auto"/>
              </w:rPr>
            </w:pPr>
          </w:p>
        </w:tc>
      </w:tr>
      <w:tr>
        <w:trPr>
          <w:trHeight w:val="799"/>
        </w:trPr>
        <w:tc>
          <w:tcPr>
            <w:tcW w:w="1720" w:type="dxa"/>
            <w:vAlign w:val="bottom"/>
          </w:tcPr>
          <w:p>
            <w:pPr>
              <w:jc w:val="center"/>
              <w:ind w:right="321"/>
              <w:spacing w:after="0"/>
              <w:rPr>
                <w:sz w:val="20"/>
                <w:szCs w:val="20"/>
                <w:color w:val="auto"/>
              </w:rPr>
            </w:pPr>
            <w:r>
              <w:rPr>
                <w:rFonts w:ascii="Arial" w:cs="Arial" w:eastAsia="Arial" w:hAnsi="Arial"/>
                <w:sz w:val="32"/>
                <w:szCs w:val="32"/>
                <w:color w:val="auto"/>
                <w:w w:val="99"/>
              </w:rPr>
              <w:t>9,110</w:t>
            </w:r>
          </w:p>
        </w:tc>
        <w:tc>
          <w:tcPr>
            <w:tcW w:w="1640" w:type="dxa"/>
            <w:vAlign w:val="bottom"/>
          </w:tcPr>
          <w:p>
            <w:pPr>
              <w:jc w:val="center"/>
              <w:ind w:left="350"/>
              <w:spacing w:after="0"/>
              <w:rPr>
                <w:sz w:val="20"/>
                <w:szCs w:val="20"/>
                <w:color w:val="auto"/>
              </w:rPr>
            </w:pPr>
            <w:r>
              <w:rPr>
                <w:rFonts w:ascii="Arial" w:cs="Arial" w:eastAsia="Arial" w:hAnsi="Arial"/>
                <w:sz w:val="32"/>
                <w:szCs w:val="32"/>
                <w:i w:val="1"/>
                <w:iCs w:val="1"/>
                <w:color w:val="auto"/>
                <w:w w:val="97"/>
              </w:rPr>
              <w:t>8,734</w:t>
            </w:r>
          </w:p>
        </w:tc>
        <w:tc>
          <w:tcPr>
            <w:tcW w:w="0" w:type="dxa"/>
            <w:vAlign w:val="bottom"/>
          </w:tcPr>
          <w:p>
            <w:pPr>
              <w:spacing w:after="0"/>
              <w:rPr>
                <w:sz w:val="1"/>
                <w:szCs w:val="1"/>
                <w:color w:val="auto"/>
              </w:rPr>
            </w:pPr>
          </w:p>
        </w:tc>
      </w:tr>
      <w:tr>
        <w:trPr>
          <w:trHeight w:val="823"/>
        </w:trPr>
        <w:tc>
          <w:tcPr>
            <w:tcW w:w="1720" w:type="dxa"/>
            <w:vAlign w:val="bottom"/>
          </w:tcPr>
          <w:p>
            <w:pPr>
              <w:jc w:val="center"/>
              <w:ind w:right="321"/>
              <w:spacing w:after="0"/>
              <w:rPr>
                <w:sz w:val="20"/>
                <w:szCs w:val="20"/>
                <w:color w:val="auto"/>
              </w:rPr>
            </w:pPr>
            <w:r>
              <w:rPr>
                <w:rFonts w:ascii="Arial" w:cs="Arial" w:eastAsia="Arial" w:hAnsi="Arial"/>
                <w:sz w:val="32"/>
                <w:szCs w:val="32"/>
                <w:color w:val="auto"/>
                <w:w w:val="98"/>
              </w:rPr>
              <w:t>6.1%</w:t>
            </w:r>
          </w:p>
        </w:tc>
        <w:tc>
          <w:tcPr>
            <w:tcW w:w="1640" w:type="dxa"/>
            <w:vAlign w:val="bottom"/>
          </w:tcPr>
          <w:p>
            <w:pPr>
              <w:jc w:val="center"/>
              <w:ind w:left="350"/>
              <w:spacing w:after="0"/>
              <w:rPr>
                <w:sz w:val="20"/>
                <w:szCs w:val="20"/>
                <w:color w:val="auto"/>
              </w:rPr>
            </w:pPr>
            <w:r>
              <w:rPr>
                <w:rFonts w:ascii="Arial" w:cs="Arial" w:eastAsia="Arial" w:hAnsi="Arial"/>
                <w:sz w:val="32"/>
                <w:szCs w:val="32"/>
                <w:i w:val="1"/>
                <w:iCs w:val="1"/>
                <w:color w:val="auto"/>
              </w:rPr>
              <w:t>8.9%</w:t>
            </w:r>
          </w:p>
        </w:tc>
        <w:tc>
          <w:tcPr>
            <w:tcW w:w="0" w:type="dxa"/>
            <w:vAlign w:val="bottom"/>
          </w:tcPr>
          <w:p>
            <w:pPr>
              <w:spacing w:after="0"/>
              <w:rPr>
                <w:sz w:val="1"/>
                <w:szCs w:val="1"/>
                <w:color w:val="auto"/>
              </w:rPr>
            </w:pPr>
          </w:p>
        </w:tc>
      </w:tr>
      <w:tr>
        <w:trPr>
          <w:trHeight w:val="905"/>
        </w:trPr>
        <w:tc>
          <w:tcPr>
            <w:tcW w:w="1720" w:type="dxa"/>
            <w:vAlign w:val="bottom"/>
          </w:tcPr>
          <w:p>
            <w:pPr>
              <w:jc w:val="center"/>
              <w:ind w:right="321"/>
              <w:spacing w:after="0"/>
              <w:rPr>
                <w:sz w:val="20"/>
                <w:szCs w:val="20"/>
                <w:color w:val="auto"/>
              </w:rPr>
            </w:pPr>
            <w:r>
              <w:rPr>
                <w:rFonts w:ascii="Arial" w:cs="Arial" w:eastAsia="Arial" w:hAnsi="Arial"/>
                <w:sz w:val="32"/>
                <w:szCs w:val="32"/>
                <w:color w:val="auto"/>
                <w:w w:val="98"/>
              </w:rPr>
              <w:t>2.4%</w:t>
            </w:r>
          </w:p>
        </w:tc>
        <w:tc>
          <w:tcPr>
            <w:tcW w:w="1640" w:type="dxa"/>
            <w:vAlign w:val="bottom"/>
          </w:tcPr>
          <w:p>
            <w:pPr>
              <w:jc w:val="center"/>
              <w:ind w:left="350"/>
              <w:spacing w:after="0"/>
              <w:rPr>
                <w:sz w:val="20"/>
                <w:szCs w:val="20"/>
                <w:color w:val="auto"/>
              </w:rPr>
            </w:pPr>
            <w:r>
              <w:rPr>
                <w:rFonts w:ascii="Arial" w:cs="Arial" w:eastAsia="Arial" w:hAnsi="Arial"/>
                <w:sz w:val="32"/>
                <w:szCs w:val="32"/>
                <w:i w:val="1"/>
                <w:iCs w:val="1"/>
                <w:color w:val="auto"/>
              </w:rPr>
              <w:t>4.5%</w:t>
            </w:r>
          </w:p>
        </w:tc>
        <w:tc>
          <w:tcPr>
            <w:tcW w:w="0" w:type="dxa"/>
            <w:vAlign w:val="bottom"/>
          </w:tcPr>
          <w:p>
            <w:pPr>
              <w:spacing w:after="0"/>
              <w:rPr>
                <w:sz w:val="1"/>
                <w:szCs w:val="1"/>
                <w:color w:val="auto"/>
              </w:rPr>
            </w:pPr>
          </w:p>
        </w:tc>
      </w:tr>
    </w:tbl>
    <w:p>
      <w:pPr>
        <w:spacing w:after="0" w:line="1257" w:lineRule="exact"/>
        <w:rPr>
          <w:sz w:val="20"/>
          <w:szCs w:val="20"/>
          <w:color w:val="auto"/>
        </w:rPr>
      </w:pPr>
    </w:p>
    <w:p>
      <w:pPr>
        <w:sectPr>
          <w:pgSz w:w="11900" w:h="16838" w:orient="portrait"/>
          <w:cols w:equalWidth="0" w:num="2">
            <w:col w:w="5440" w:space="640"/>
            <w:col w:w="4240"/>
          </w:cols>
          <w:pgMar w:left="580" w:top="597" w:right="999" w:bottom="1440" w:gutter="0" w:footer="0" w:header="0"/>
          <w:type w:val="continuous"/>
        </w:sectPr>
      </w:pPr>
    </w:p>
    <w:p>
      <w:pPr>
        <w:spacing w:after="0" w:line="195" w:lineRule="auto"/>
        <w:rPr>
          <w:sz w:val="20"/>
          <w:szCs w:val="20"/>
          <w:color w:val="auto"/>
        </w:rPr>
      </w:pPr>
      <w:r>
        <w:rPr>
          <w:rFonts w:ascii="Arial" w:cs="Arial" w:eastAsia="Arial" w:hAnsi="Arial"/>
          <w:sz w:val="16"/>
          <w:szCs w:val="16"/>
          <w:color w:val="auto"/>
        </w:rPr>
        <w:t xml:space="preserve">** GM acquired GMF in Oct. 2010, prior to this GMF was an independent entity and not consolidated into GM results. Q2 2010 does not </w:t>
      </w:r>
      <w:r>
        <w:rPr>
          <w:rFonts w:ascii="Arial" w:cs="Arial" w:eastAsia="Arial" w:hAnsi="Arial"/>
          <w:sz w:val="37"/>
          <w:szCs w:val="37"/>
          <w:b w:val="1"/>
          <w:bCs w:val="1"/>
          <w:color w:val="auto"/>
          <w:vertAlign w:val="subscript"/>
        </w:rPr>
        <w:t>S7</w:t>
      </w:r>
      <w:r>
        <w:rPr>
          <w:rFonts w:ascii="Arial" w:cs="Arial" w:eastAsia="Arial" w:hAnsi="Arial"/>
          <w:sz w:val="16"/>
          <w:szCs w:val="16"/>
          <w:color w:val="auto"/>
        </w:rPr>
        <w:t xml:space="preserve"> reflect purchase accounting and is not directly comparable to Q2 2011</w:t>
      </w:r>
    </w:p>
    <w:p>
      <w:pPr>
        <w:sectPr>
          <w:pgSz w:w="11900" w:h="16838" w:orient="portrait"/>
          <w:cols w:equalWidth="0" w:num="1">
            <w:col w:w="10320"/>
          </w:cols>
          <w:pgMar w:left="580" w:top="597" w:right="999" w:bottom="1440" w:gutter="0" w:footer="0" w:header="0"/>
          <w:type w:val="continuous"/>
        </w:sectPr>
      </w:pPr>
    </w:p>
    <w:bookmarkStart w:id="60" w:name="page61"/>
    <w:bookmarkEnd w:id="60"/>
    <w:p>
      <w:pPr>
        <w:ind w:left="122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Info Item: GMNA – C$ Net Monetary Liability</w:t>
      </w:r>
    </w:p>
    <w:p>
      <w:pPr>
        <w:spacing w:after="0" w:line="200" w:lineRule="exact"/>
        <w:rPr>
          <w:sz w:val="20"/>
          <w:szCs w:val="20"/>
          <w:color w:val="auto"/>
        </w:rPr>
      </w:pPr>
    </w:p>
    <w:p>
      <w:pPr>
        <w:spacing w:after="0" w:line="298" w:lineRule="exact"/>
        <w:rPr>
          <w:sz w:val="20"/>
          <w:szCs w:val="20"/>
          <w:color w:val="auto"/>
        </w:rPr>
      </w:pPr>
    </w:p>
    <w:p>
      <w:pPr>
        <w:ind w:left="740" w:right="1160" w:hanging="430"/>
        <w:spacing w:after="0" w:line="267" w:lineRule="auto"/>
        <w:tabs>
          <w:tab w:leader="none" w:pos="740" w:val="left"/>
        </w:tabs>
        <w:numPr>
          <w:ilvl w:val="0"/>
          <w:numId w:val="19"/>
        </w:numPr>
        <w:rPr>
          <w:rFonts w:ascii="Arial" w:cs="Arial" w:eastAsia="Arial" w:hAnsi="Arial"/>
          <w:sz w:val="28"/>
          <w:szCs w:val="28"/>
          <w:color w:val="auto"/>
        </w:rPr>
      </w:pPr>
      <w:r>
        <w:rPr>
          <w:rFonts w:ascii="Arial" w:cs="Arial" w:eastAsia="Arial" w:hAnsi="Arial"/>
          <w:sz w:val="28"/>
          <w:szCs w:val="28"/>
          <w:color w:val="auto"/>
        </w:rPr>
        <w:t>GM Canada balance sheet includes ~CAD $7B Net Monetary Liability (NML) position, primarily pension, OPEB and accrued liabilities</w:t>
      </w:r>
    </w:p>
    <w:p>
      <w:pPr>
        <w:spacing w:after="0" w:line="247" w:lineRule="exact"/>
        <w:rPr>
          <w:rFonts w:ascii="Arial" w:cs="Arial" w:eastAsia="Arial" w:hAnsi="Arial"/>
          <w:sz w:val="28"/>
          <w:szCs w:val="28"/>
          <w:color w:val="auto"/>
        </w:rPr>
      </w:pPr>
    </w:p>
    <w:p>
      <w:pPr>
        <w:ind w:left="740" w:hanging="430"/>
        <w:spacing w:after="0"/>
        <w:tabs>
          <w:tab w:leader="none" w:pos="740" w:val="left"/>
        </w:tabs>
        <w:numPr>
          <w:ilvl w:val="0"/>
          <w:numId w:val="19"/>
        </w:numPr>
        <w:rPr>
          <w:rFonts w:ascii="Arial" w:cs="Arial" w:eastAsia="Arial" w:hAnsi="Arial"/>
          <w:sz w:val="28"/>
          <w:szCs w:val="28"/>
          <w:color w:val="auto"/>
        </w:rPr>
      </w:pPr>
      <w:r>
        <w:rPr>
          <w:rFonts w:ascii="Arial" w:cs="Arial" w:eastAsia="Arial" w:hAnsi="Arial"/>
          <w:sz w:val="28"/>
          <w:szCs w:val="28"/>
          <w:color w:val="auto"/>
        </w:rPr>
        <w:t>USD value of NML will vary due to difference in period end to period end FX</w:t>
      </w:r>
    </w:p>
    <w:p>
      <w:pPr>
        <w:spacing w:after="0" w:line="289" w:lineRule="exact"/>
        <w:rPr>
          <w:rFonts w:ascii="Arial" w:cs="Arial" w:eastAsia="Arial" w:hAnsi="Arial"/>
          <w:sz w:val="28"/>
          <w:szCs w:val="28"/>
          <w:color w:val="auto"/>
        </w:rPr>
      </w:pPr>
    </w:p>
    <w:p>
      <w:pPr>
        <w:ind w:left="740" w:right="440" w:hanging="430"/>
        <w:spacing w:after="0" w:line="267" w:lineRule="auto"/>
        <w:tabs>
          <w:tab w:leader="none" w:pos="740" w:val="left"/>
        </w:tabs>
        <w:numPr>
          <w:ilvl w:val="0"/>
          <w:numId w:val="19"/>
        </w:numPr>
        <w:rPr>
          <w:rFonts w:ascii="Arial" w:cs="Arial" w:eastAsia="Arial" w:hAnsi="Arial"/>
          <w:sz w:val="28"/>
          <w:szCs w:val="28"/>
          <w:color w:val="auto"/>
        </w:rPr>
      </w:pPr>
      <w:r>
        <w:rPr>
          <w:rFonts w:ascii="Arial" w:cs="Arial" w:eastAsia="Arial" w:hAnsi="Arial"/>
          <w:sz w:val="28"/>
          <w:szCs w:val="28"/>
          <w:color w:val="auto"/>
        </w:rPr>
        <w:t>Since GM Canada is USD functional, translation exchange realized as non-cash charge recorded to GMNA P&amp;L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GMNA CAD NML Translational Impact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3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b w:val="1"/>
                <w:bCs w:val="1"/>
                <w:color w:val="auto"/>
              </w:rPr>
              <w:t>Q1</w:t>
            </w:r>
          </w:p>
        </w:tc>
        <w:tc>
          <w:tcPr>
            <w:tcW w:w="1000" w:type="dxa"/>
            <w:vAlign w:val="bottom"/>
          </w:tcPr>
          <w:p>
            <w:pPr>
              <w:jc w:val="center"/>
              <w:spacing w:after="0"/>
              <w:rPr>
                <w:sz w:val="20"/>
                <w:szCs w:val="20"/>
                <w:color w:val="auto"/>
              </w:rPr>
            </w:pPr>
            <w:r>
              <w:rPr>
                <w:rFonts w:ascii="Arial" w:cs="Arial" w:eastAsia="Arial" w:hAnsi="Arial"/>
                <w:sz w:val="25"/>
                <w:szCs w:val="25"/>
                <w:b w:val="1"/>
                <w:bCs w:val="1"/>
                <w:color w:val="auto"/>
              </w:rPr>
              <w:t>Q2</w:t>
            </w:r>
          </w:p>
        </w:tc>
        <w:tc>
          <w:tcPr>
            <w:tcW w:w="1080" w:type="dxa"/>
            <w:vAlign w:val="bottom"/>
          </w:tcPr>
          <w:p>
            <w:pPr>
              <w:jc w:val="center"/>
              <w:spacing w:after="0"/>
              <w:rPr>
                <w:sz w:val="20"/>
                <w:szCs w:val="20"/>
                <w:color w:val="auto"/>
              </w:rPr>
            </w:pPr>
            <w:r>
              <w:rPr>
                <w:rFonts w:ascii="Arial" w:cs="Arial" w:eastAsia="Arial" w:hAnsi="Arial"/>
                <w:sz w:val="25"/>
                <w:szCs w:val="25"/>
                <w:b w:val="1"/>
                <w:bCs w:val="1"/>
                <w:color w:val="auto"/>
              </w:rPr>
              <w:t>Q3</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w w:val="95"/>
              </w:rPr>
              <w:t>Q4</w:t>
            </w:r>
          </w:p>
        </w:tc>
        <w:tc>
          <w:tcPr>
            <w:tcW w:w="1080" w:type="dxa"/>
            <w:vAlign w:val="bottom"/>
          </w:tcPr>
          <w:p>
            <w:pPr>
              <w:jc w:val="center"/>
              <w:spacing w:after="0"/>
              <w:rPr>
                <w:sz w:val="20"/>
                <w:szCs w:val="20"/>
                <w:color w:val="auto"/>
              </w:rPr>
            </w:pPr>
            <w:r>
              <w:rPr>
                <w:rFonts w:ascii="Arial" w:cs="Arial" w:eastAsia="Arial" w:hAnsi="Arial"/>
                <w:sz w:val="25"/>
                <w:szCs w:val="25"/>
                <w:b w:val="1"/>
                <w:bCs w:val="1"/>
                <w:color w:val="auto"/>
                <w:w w:val="97"/>
              </w:rPr>
              <w:t>CY</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w w:val="95"/>
              </w:rPr>
              <w:t>Q1</w:t>
            </w:r>
          </w:p>
        </w:tc>
        <w:tc>
          <w:tcPr>
            <w:tcW w:w="880" w:type="dxa"/>
            <w:vAlign w:val="bottom"/>
          </w:tcPr>
          <w:p>
            <w:pPr>
              <w:jc w:val="center"/>
              <w:ind w:left="23"/>
              <w:spacing w:after="0"/>
              <w:rPr>
                <w:sz w:val="20"/>
                <w:szCs w:val="20"/>
                <w:color w:val="auto"/>
              </w:rPr>
            </w:pPr>
            <w:r>
              <w:rPr>
                <w:rFonts w:ascii="Arial" w:cs="Arial" w:eastAsia="Arial" w:hAnsi="Arial"/>
                <w:sz w:val="25"/>
                <w:szCs w:val="25"/>
                <w:b w:val="1"/>
                <w:bCs w:val="1"/>
                <w:color w:val="auto"/>
              </w:rPr>
              <w:t>Q2</w:t>
            </w:r>
          </w:p>
        </w:tc>
      </w:tr>
      <w:tr>
        <w:trPr>
          <w:trHeight w:val="327"/>
        </w:trPr>
        <w:tc>
          <w:tcPr>
            <w:tcW w:w="33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b w:val="1"/>
                <w:bCs w:val="1"/>
                <w:color w:val="auto"/>
              </w:rPr>
              <w:t>2010</w:t>
            </w:r>
          </w:p>
        </w:tc>
        <w:tc>
          <w:tcPr>
            <w:tcW w:w="1000" w:type="dxa"/>
            <w:vAlign w:val="bottom"/>
          </w:tcPr>
          <w:p>
            <w:pPr>
              <w:jc w:val="center"/>
              <w:spacing w:after="0"/>
              <w:rPr>
                <w:sz w:val="20"/>
                <w:szCs w:val="20"/>
                <w:color w:val="auto"/>
              </w:rPr>
            </w:pPr>
            <w:r>
              <w:rPr>
                <w:rFonts w:ascii="Arial" w:cs="Arial" w:eastAsia="Arial" w:hAnsi="Arial"/>
                <w:sz w:val="25"/>
                <w:szCs w:val="25"/>
                <w:b w:val="1"/>
                <w:bCs w:val="1"/>
                <w:color w:val="auto"/>
              </w:rPr>
              <w:t>2010</w:t>
            </w:r>
          </w:p>
        </w:tc>
        <w:tc>
          <w:tcPr>
            <w:tcW w:w="1080" w:type="dxa"/>
            <w:vAlign w:val="bottom"/>
          </w:tcPr>
          <w:p>
            <w:pPr>
              <w:jc w:val="center"/>
              <w:spacing w:after="0"/>
              <w:rPr>
                <w:sz w:val="20"/>
                <w:szCs w:val="20"/>
                <w:color w:val="auto"/>
              </w:rPr>
            </w:pPr>
            <w:r>
              <w:rPr>
                <w:rFonts w:ascii="Arial" w:cs="Arial" w:eastAsia="Arial" w:hAnsi="Arial"/>
                <w:sz w:val="25"/>
                <w:szCs w:val="25"/>
                <w:b w:val="1"/>
                <w:bCs w:val="1"/>
                <w:color w:val="auto"/>
                <w:w w:val="97"/>
              </w:rPr>
              <w:t>2010</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w w:val="97"/>
              </w:rPr>
              <w:t>2010</w:t>
            </w:r>
          </w:p>
        </w:tc>
        <w:tc>
          <w:tcPr>
            <w:tcW w:w="1080" w:type="dxa"/>
            <w:vAlign w:val="bottom"/>
          </w:tcPr>
          <w:p>
            <w:pPr>
              <w:jc w:val="center"/>
              <w:spacing w:after="0"/>
              <w:rPr>
                <w:sz w:val="20"/>
                <w:szCs w:val="20"/>
                <w:color w:val="auto"/>
              </w:rPr>
            </w:pPr>
            <w:r>
              <w:rPr>
                <w:rFonts w:ascii="Arial" w:cs="Arial" w:eastAsia="Arial" w:hAnsi="Arial"/>
                <w:sz w:val="25"/>
                <w:szCs w:val="25"/>
                <w:b w:val="1"/>
                <w:bCs w:val="1"/>
                <w:color w:val="auto"/>
              </w:rPr>
              <w:t>2010</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rPr>
              <w:t>2011</w:t>
            </w:r>
          </w:p>
        </w:tc>
        <w:tc>
          <w:tcPr>
            <w:tcW w:w="880" w:type="dxa"/>
            <w:vAlign w:val="bottom"/>
          </w:tcPr>
          <w:p>
            <w:pPr>
              <w:jc w:val="center"/>
              <w:ind w:left="3"/>
              <w:spacing w:after="0"/>
              <w:rPr>
                <w:sz w:val="20"/>
                <w:szCs w:val="20"/>
                <w:color w:val="auto"/>
              </w:rPr>
            </w:pPr>
            <w:r>
              <w:rPr>
                <w:rFonts w:ascii="Arial" w:cs="Arial" w:eastAsia="Arial" w:hAnsi="Arial"/>
                <w:sz w:val="25"/>
                <w:szCs w:val="25"/>
                <w:b w:val="1"/>
                <w:bCs w:val="1"/>
                <w:color w:val="auto"/>
              </w:rPr>
              <w:t>2011</w:t>
            </w:r>
          </w:p>
        </w:tc>
      </w:tr>
      <w:tr>
        <w:trPr>
          <w:trHeight w:val="647"/>
        </w:trPr>
        <w:tc>
          <w:tcPr>
            <w:tcW w:w="3360" w:type="dxa"/>
            <w:vAlign w:val="bottom"/>
          </w:tcPr>
          <w:p>
            <w:pPr>
              <w:spacing w:after="0"/>
              <w:rPr>
                <w:sz w:val="20"/>
                <w:szCs w:val="20"/>
                <w:color w:val="auto"/>
              </w:rPr>
            </w:pPr>
            <w:r>
              <w:rPr>
                <w:rFonts w:ascii="Arial" w:cs="Arial" w:eastAsia="Arial" w:hAnsi="Arial"/>
                <w:sz w:val="25"/>
                <w:szCs w:val="25"/>
                <w:b w:val="1"/>
                <w:bCs w:val="1"/>
                <w:color w:val="auto"/>
              </w:rPr>
              <w:t>Non-Cash EBIT Impact ($B)</w:t>
            </w:r>
          </w:p>
        </w:tc>
        <w:tc>
          <w:tcPr>
            <w:tcW w:w="1100" w:type="dxa"/>
            <w:vAlign w:val="bottom"/>
          </w:tcPr>
          <w:p>
            <w:pPr>
              <w:jc w:val="center"/>
              <w:spacing w:after="0"/>
              <w:rPr>
                <w:sz w:val="20"/>
                <w:szCs w:val="20"/>
                <w:color w:val="auto"/>
              </w:rPr>
            </w:pPr>
            <w:r>
              <w:rPr>
                <w:rFonts w:ascii="Arial" w:cs="Arial" w:eastAsia="Arial" w:hAnsi="Arial"/>
                <w:sz w:val="25"/>
                <w:szCs w:val="25"/>
                <w:b w:val="1"/>
                <w:bCs w:val="1"/>
                <w:color w:val="auto"/>
                <w:w w:val="97"/>
              </w:rPr>
              <w:t>$(0.2)</w:t>
            </w:r>
          </w:p>
        </w:tc>
        <w:tc>
          <w:tcPr>
            <w:tcW w:w="1000" w:type="dxa"/>
            <w:vAlign w:val="bottom"/>
          </w:tcPr>
          <w:p>
            <w:pPr>
              <w:jc w:val="center"/>
              <w:spacing w:after="0"/>
              <w:rPr>
                <w:sz w:val="20"/>
                <w:szCs w:val="20"/>
                <w:color w:val="auto"/>
              </w:rPr>
            </w:pPr>
            <w:r>
              <w:rPr>
                <w:rFonts w:ascii="Arial" w:cs="Arial" w:eastAsia="Arial" w:hAnsi="Arial"/>
                <w:sz w:val="25"/>
                <w:szCs w:val="25"/>
                <w:b w:val="1"/>
                <w:bCs w:val="1"/>
                <w:color w:val="auto"/>
                <w:w w:val="98"/>
              </w:rPr>
              <w:t>$0.2</w:t>
            </w:r>
          </w:p>
        </w:tc>
        <w:tc>
          <w:tcPr>
            <w:tcW w:w="1080" w:type="dxa"/>
            <w:vAlign w:val="bottom"/>
          </w:tcPr>
          <w:p>
            <w:pPr>
              <w:jc w:val="center"/>
              <w:spacing w:after="0"/>
              <w:rPr>
                <w:sz w:val="20"/>
                <w:szCs w:val="20"/>
                <w:color w:val="auto"/>
              </w:rPr>
            </w:pPr>
            <w:r>
              <w:rPr>
                <w:rFonts w:ascii="Arial" w:cs="Arial" w:eastAsia="Arial" w:hAnsi="Arial"/>
                <w:sz w:val="25"/>
                <w:szCs w:val="25"/>
                <w:b w:val="1"/>
                <w:bCs w:val="1"/>
                <w:color w:val="auto"/>
                <w:w w:val="97"/>
              </w:rPr>
              <w:t>$(0.2)</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rPr>
              <w:t>$(0.2)</w:t>
            </w:r>
          </w:p>
        </w:tc>
        <w:tc>
          <w:tcPr>
            <w:tcW w:w="1080" w:type="dxa"/>
            <w:vAlign w:val="bottom"/>
          </w:tcPr>
          <w:p>
            <w:pPr>
              <w:jc w:val="center"/>
              <w:spacing w:after="0"/>
              <w:rPr>
                <w:sz w:val="20"/>
                <w:szCs w:val="20"/>
                <w:color w:val="auto"/>
              </w:rPr>
            </w:pPr>
            <w:r>
              <w:rPr>
                <w:rFonts w:ascii="Arial" w:cs="Arial" w:eastAsia="Arial" w:hAnsi="Arial"/>
                <w:sz w:val="25"/>
                <w:szCs w:val="25"/>
                <w:b w:val="1"/>
                <w:bCs w:val="1"/>
                <w:color w:val="auto"/>
                <w:w w:val="97"/>
              </w:rPr>
              <w:t>$(0.4)</w:t>
            </w:r>
          </w:p>
        </w:tc>
        <w:tc>
          <w:tcPr>
            <w:tcW w:w="1040" w:type="dxa"/>
            <w:vAlign w:val="bottom"/>
          </w:tcPr>
          <w:p>
            <w:pPr>
              <w:jc w:val="center"/>
              <w:spacing w:after="0"/>
              <w:rPr>
                <w:sz w:val="20"/>
                <w:szCs w:val="20"/>
                <w:color w:val="auto"/>
              </w:rPr>
            </w:pPr>
            <w:r>
              <w:rPr>
                <w:rFonts w:ascii="Arial" w:cs="Arial" w:eastAsia="Arial" w:hAnsi="Arial"/>
                <w:sz w:val="25"/>
                <w:szCs w:val="25"/>
                <w:b w:val="1"/>
                <w:bCs w:val="1"/>
                <w:color w:val="auto"/>
                <w:w w:val="97"/>
              </w:rPr>
              <w:t>$(0.2)</w:t>
            </w:r>
          </w:p>
        </w:tc>
        <w:tc>
          <w:tcPr>
            <w:tcW w:w="880" w:type="dxa"/>
            <w:vAlign w:val="bottom"/>
          </w:tcPr>
          <w:p>
            <w:pPr>
              <w:jc w:val="center"/>
              <w:ind w:left="3"/>
              <w:spacing w:after="0"/>
              <w:rPr>
                <w:sz w:val="20"/>
                <w:szCs w:val="20"/>
                <w:color w:val="auto"/>
              </w:rPr>
            </w:pPr>
            <w:r>
              <w:rPr>
                <w:rFonts w:ascii="Arial" w:cs="Arial" w:eastAsia="Arial" w:hAnsi="Arial"/>
                <w:sz w:val="25"/>
                <w:szCs w:val="25"/>
                <w:b w:val="1"/>
                <w:bCs w:val="1"/>
                <w:color w:val="auto"/>
                <w:w w:val="98"/>
              </w:rPr>
              <w:t>$0.0</w:t>
            </w:r>
          </w:p>
        </w:tc>
      </w:tr>
      <w:tr>
        <w:trPr>
          <w:trHeight w:val="647"/>
        </w:trPr>
        <w:tc>
          <w:tcPr>
            <w:tcW w:w="3360" w:type="dxa"/>
            <w:vAlign w:val="bottom"/>
          </w:tcPr>
          <w:p>
            <w:pPr>
              <w:spacing w:after="0"/>
              <w:rPr>
                <w:sz w:val="20"/>
                <w:szCs w:val="20"/>
                <w:color w:val="auto"/>
              </w:rPr>
            </w:pPr>
            <w:r>
              <w:rPr>
                <w:rFonts w:ascii="Arial" w:cs="Arial" w:eastAsia="Arial" w:hAnsi="Arial"/>
                <w:sz w:val="25"/>
                <w:szCs w:val="25"/>
                <w:color w:val="auto"/>
              </w:rPr>
              <w:t xml:space="preserve">Period End FX </w:t>
            </w:r>
            <w:r>
              <w:rPr>
                <w:rFonts w:ascii="Arial" w:cs="Arial" w:eastAsia="Arial" w:hAnsi="Arial"/>
                <w:sz w:val="22"/>
                <w:szCs w:val="22"/>
                <w:color w:val="auto"/>
              </w:rPr>
              <w:t>(CAD per USD)</w:t>
            </w:r>
          </w:p>
        </w:tc>
        <w:tc>
          <w:tcPr>
            <w:tcW w:w="1100" w:type="dxa"/>
            <w:vAlign w:val="bottom"/>
          </w:tcPr>
          <w:p>
            <w:pPr>
              <w:jc w:val="center"/>
              <w:spacing w:after="0"/>
              <w:rPr>
                <w:sz w:val="20"/>
                <w:szCs w:val="20"/>
                <w:color w:val="auto"/>
              </w:rPr>
            </w:pPr>
            <w:r>
              <w:rPr>
                <w:rFonts w:ascii="Arial" w:cs="Arial" w:eastAsia="Arial" w:hAnsi="Arial"/>
                <w:sz w:val="25"/>
                <w:szCs w:val="25"/>
                <w:color w:val="auto"/>
                <w:w w:val="99"/>
              </w:rPr>
              <w:t>1.0164</w:t>
            </w:r>
          </w:p>
        </w:tc>
        <w:tc>
          <w:tcPr>
            <w:tcW w:w="1000" w:type="dxa"/>
            <w:vAlign w:val="bottom"/>
          </w:tcPr>
          <w:p>
            <w:pPr>
              <w:jc w:val="center"/>
              <w:spacing w:after="0"/>
              <w:rPr>
                <w:sz w:val="20"/>
                <w:szCs w:val="20"/>
                <w:color w:val="auto"/>
              </w:rPr>
            </w:pPr>
            <w:r>
              <w:rPr>
                <w:rFonts w:ascii="Arial" w:cs="Arial" w:eastAsia="Arial" w:hAnsi="Arial"/>
                <w:sz w:val="25"/>
                <w:szCs w:val="25"/>
                <w:color w:val="auto"/>
                <w:w w:val="99"/>
              </w:rPr>
              <w:t>1.0491</w:t>
            </w:r>
          </w:p>
        </w:tc>
        <w:tc>
          <w:tcPr>
            <w:tcW w:w="1080" w:type="dxa"/>
            <w:vAlign w:val="bottom"/>
          </w:tcPr>
          <w:p>
            <w:pPr>
              <w:jc w:val="center"/>
              <w:spacing w:after="0"/>
              <w:rPr>
                <w:sz w:val="20"/>
                <w:szCs w:val="20"/>
                <w:color w:val="auto"/>
              </w:rPr>
            </w:pPr>
            <w:r>
              <w:rPr>
                <w:rFonts w:ascii="Arial" w:cs="Arial" w:eastAsia="Arial" w:hAnsi="Arial"/>
                <w:sz w:val="25"/>
                <w:szCs w:val="25"/>
                <w:color w:val="auto"/>
                <w:w w:val="99"/>
              </w:rPr>
              <w:t>1.0269</w:t>
            </w:r>
          </w:p>
        </w:tc>
        <w:tc>
          <w:tcPr>
            <w:tcW w:w="1040" w:type="dxa"/>
            <w:vAlign w:val="bottom"/>
          </w:tcPr>
          <w:p>
            <w:pPr>
              <w:jc w:val="center"/>
              <w:spacing w:after="0"/>
              <w:rPr>
                <w:sz w:val="20"/>
                <w:szCs w:val="20"/>
                <w:color w:val="auto"/>
              </w:rPr>
            </w:pPr>
            <w:r>
              <w:rPr>
                <w:rFonts w:ascii="Arial" w:cs="Arial" w:eastAsia="Arial" w:hAnsi="Arial"/>
                <w:sz w:val="25"/>
                <w:szCs w:val="25"/>
                <w:color w:val="auto"/>
                <w:w w:val="96"/>
              </w:rPr>
              <w:t>0.9980</w:t>
            </w:r>
          </w:p>
        </w:tc>
        <w:tc>
          <w:tcPr>
            <w:tcW w:w="1080" w:type="dxa"/>
            <w:vAlign w:val="bottom"/>
          </w:tcPr>
          <w:p>
            <w:pPr>
              <w:jc w:val="center"/>
              <w:spacing w:after="0"/>
              <w:rPr>
                <w:sz w:val="20"/>
                <w:szCs w:val="20"/>
                <w:color w:val="auto"/>
              </w:rPr>
            </w:pPr>
            <w:r>
              <w:rPr>
                <w:rFonts w:ascii="Arial" w:cs="Arial" w:eastAsia="Arial" w:hAnsi="Arial"/>
                <w:sz w:val="25"/>
                <w:szCs w:val="25"/>
                <w:color w:val="auto"/>
                <w:w w:val="99"/>
              </w:rPr>
              <w:t>0.9980</w:t>
            </w:r>
          </w:p>
        </w:tc>
        <w:tc>
          <w:tcPr>
            <w:tcW w:w="1040" w:type="dxa"/>
            <w:vAlign w:val="bottom"/>
          </w:tcPr>
          <w:p>
            <w:pPr>
              <w:jc w:val="center"/>
              <w:spacing w:after="0"/>
              <w:rPr>
                <w:sz w:val="20"/>
                <w:szCs w:val="20"/>
                <w:color w:val="auto"/>
              </w:rPr>
            </w:pPr>
            <w:r>
              <w:rPr>
                <w:rFonts w:ascii="Arial" w:cs="Arial" w:eastAsia="Arial" w:hAnsi="Arial"/>
                <w:sz w:val="25"/>
                <w:szCs w:val="25"/>
                <w:color w:val="auto"/>
                <w:w w:val="99"/>
              </w:rPr>
              <w:t>0.9713</w:t>
            </w:r>
          </w:p>
        </w:tc>
        <w:tc>
          <w:tcPr>
            <w:tcW w:w="880" w:type="dxa"/>
            <w:vAlign w:val="bottom"/>
          </w:tcPr>
          <w:p>
            <w:pPr>
              <w:jc w:val="center"/>
              <w:ind w:left="3"/>
              <w:spacing w:after="0"/>
              <w:rPr>
                <w:sz w:val="20"/>
                <w:szCs w:val="20"/>
                <w:color w:val="auto"/>
              </w:rPr>
            </w:pPr>
            <w:r>
              <w:rPr>
                <w:rFonts w:ascii="Arial" w:cs="Arial" w:eastAsia="Arial" w:hAnsi="Arial"/>
                <w:sz w:val="25"/>
                <w:szCs w:val="25"/>
                <w:color w:val="auto"/>
                <w:w w:val="99"/>
              </w:rPr>
              <w:t>0.9730</w:t>
            </w:r>
          </w:p>
        </w:tc>
      </w:tr>
      <w:tr>
        <w:trPr>
          <w:trHeight w:val="509"/>
        </w:trPr>
        <w:tc>
          <w:tcPr>
            <w:tcW w:w="3360" w:type="dxa"/>
            <w:vAlign w:val="bottom"/>
          </w:tcPr>
          <w:p>
            <w:pPr>
              <w:ind w:left="120"/>
              <w:spacing w:after="0"/>
              <w:rPr>
                <w:sz w:val="20"/>
                <w:szCs w:val="20"/>
                <w:color w:val="auto"/>
              </w:rPr>
            </w:pPr>
            <w:r>
              <w:rPr>
                <w:rFonts w:ascii="Arial" w:cs="Arial" w:eastAsia="Arial" w:hAnsi="Arial"/>
                <w:sz w:val="22"/>
                <w:szCs w:val="22"/>
                <w:i w:val="1"/>
                <w:iCs w:val="1"/>
                <w:color w:val="auto"/>
              </w:rPr>
              <w:t>Inc/(Dec) vs. Prior Period</w:t>
            </w:r>
          </w:p>
        </w:tc>
        <w:tc>
          <w:tcPr>
            <w:tcW w:w="1100" w:type="dxa"/>
            <w:vAlign w:val="bottom"/>
          </w:tcPr>
          <w:p>
            <w:pPr>
              <w:jc w:val="right"/>
              <w:ind w:right="19"/>
              <w:spacing w:after="0"/>
              <w:rPr>
                <w:sz w:val="20"/>
                <w:szCs w:val="20"/>
                <w:color w:val="auto"/>
              </w:rPr>
            </w:pPr>
            <w:r>
              <w:rPr>
                <w:rFonts w:ascii="Arial" w:cs="Arial" w:eastAsia="Arial" w:hAnsi="Arial"/>
                <w:sz w:val="22"/>
                <w:szCs w:val="22"/>
                <w:i w:val="1"/>
                <w:iCs w:val="1"/>
                <w:color w:val="auto"/>
              </w:rPr>
              <w:t>(0.0323)</w:t>
            </w:r>
          </w:p>
        </w:tc>
        <w:tc>
          <w:tcPr>
            <w:tcW w:w="1000" w:type="dxa"/>
            <w:vAlign w:val="bottom"/>
          </w:tcPr>
          <w:p>
            <w:pPr>
              <w:jc w:val="right"/>
              <w:ind w:right="39"/>
              <w:spacing w:after="0"/>
              <w:rPr>
                <w:sz w:val="20"/>
                <w:szCs w:val="20"/>
                <w:color w:val="auto"/>
              </w:rPr>
            </w:pPr>
            <w:r>
              <w:rPr>
                <w:rFonts w:ascii="Arial" w:cs="Arial" w:eastAsia="Arial" w:hAnsi="Arial"/>
                <w:sz w:val="22"/>
                <w:szCs w:val="22"/>
                <w:i w:val="1"/>
                <w:iCs w:val="1"/>
                <w:color w:val="auto"/>
              </w:rPr>
              <w:t>0.0327</w:t>
            </w:r>
          </w:p>
        </w:tc>
        <w:tc>
          <w:tcPr>
            <w:tcW w:w="1080" w:type="dxa"/>
            <w:vAlign w:val="bottom"/>
          </w:tcPr>
          <w:p>
            <w:pPr>
              <w:jc w:val="right"/>
              <w:spacing w:after="0"/>
              <w:rPr>
                <w:sz w:val="20"/>
                <w:szCs w:val="20"/>
                <w:color w:val="auto"/>
              </w:rPr>
            </w:pPr>
            <w:r>
              <w:rPr>
                <w:rFonts w:ascii="Arial" w:cs="Arial" w:eastAsia="Arial" w:hAnsi="Arial"/>
                <w:sz w:val="22"/>
                <w:szCs w:val="22"/>
                <w:i w:val="1"/>
                <w:iCs w:val="1"/>
                <w:color w:val="auto"/>
              </w:rPr>
              <w:t>(0.0222)</w:t>
            </w:r>
          </w:p>
        </w:tc>
        <w:tc>
          <w:tcPr>
            <w:tcW w:w="1040" w:type="dxa"/>
            <w:vAlign w:val="bottom"/>
          </w:tcPr>
          <w:p>
            <w:pPr>
              <w:jc w:val="right"/>
              <w:spacing w:after="0"/>
              <w:rPr>
                <w:sz w:val="20"/>
                <w:szCs w:val="20"/>
                <w:color w:val="auto"/>
              </w:rPr>
            </w:pPr>
            <w:r>
              <w:rPr>
                <w:rFonts w:ascii="Arial" w:cs="Arial" w:eastAsia="Arial" w:hAnsi="Arial"/>
                <w:sz w:val="22"/>
                <w:szCs w:val="22"/>
                <w:i w:val="1"/>
                <w:iCs w:val="1"/>
                <w:color w:val="auto"/>
              </w:rPr>
              <w:t>(0.0289)</w:t>
            </w:r>
          </w:p>
        </w:tc>
        <w:tc>
          <w:tcPr>
            <w:tcW w:w="1080" w:type="dxa"/>
            <w:vAlign w:val="bottom"/>
          </w:tcPr>
          <w:p>
            <w:pPr>
              <w:jc w:val="center"/>
              <w:spacing w:after="0"/>
              <w:rPr>
                <w:sz w:val="20"/>
                <w:szCs w:val="20"/>
                <w:color w:val="auto"/>
              </w:rPr>
            </w:pPr>
            <w:r>
              <w:rPr>
                <w:rFonts w:ascii="Arial" w:cs="Arial" w:eastAsia="Arial" w:hAnsi="Arial"/>
                <w:sz w:val="22"/>
                <w:szCs w:val="22"/>
                <w:i w:val="1"/>
                <w:iCs w:val="1"/>
                <w:color w:val="auto"/>
              </w:rPr>
              <w:t>(0</w:t>
            </w:r>
            <w:r>
              <w:rPr>
                <w:rFonts w:ascii="Arial" w:cs="Arial" w:eastAsia="Arial" w:hAnsi="Arial"/>
                <w:sz w:val="18"/>
                <w:szCs w:val="18"/>
                <w:i w:val="1"/>
                <w:iCs w:val="1"/>
                <w:color w:val="auto"/>
              </w:rPr>
              <w:t>.</w:t>
            </w:r>
            <w:r>
              <w:rPr>
                <w:rFonts w:ascii="Arial" w:cs="Arial" w:eastAsia="Arial" w:hAnsi="Arial"/>
                <w:sz w:val="22"/>
                <w:szCs w:val="22"/>
                <w:i w:val="1"/>
                <w:iCs w:val="1"/>
                <w:color w:val="auto"/>
              </w:rPr>
              <w:t xml:space="preserve"> 0507)</w:t>
            </w:r>
          </w:p>
        </w:tc>
        <w:tc>
          <w:tcPr>
            <w:tcW w:w="1040" w:type="dxa"/>
            <w:vAlign w:val="bottom"/>
          </w:tcPr>
          <w:p>
            <w:pPr>
              <w:jc w:val="right"/>
              <w:spacing w:after="0"/>
              <w:rPr>
                <w:sz w:val="20"/>
                <w:szCs w:val="20"/>
                <w:color w:val="auto"/>
              </w:rPr>
            </w:pPr>
            <w:r>
              <w:rPr>
                <w:rFonts w:ascii="Arial" w:cs="Arial" w:eastAsia="Arial" w:hAnsi="Arial"/>
                <w:sz w:val="22"/>
                <w:szCs w:val="22"/>
                <w:i w:val="1"/>
                <w:iCs w:val="1"/>
                <w:color w:val="auto"/>
              </w:rPr>
              <w:t>(0.0267)</w:t>
            </w:r>
          </w:p>
        </w:tc>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0.0017</w:t>
            </w:r>
          </w:p>
        </w:tc>
      </w:tr>
      <w:tr>
        <w:trPr>
          <w:trHeight w:val="578"/>
        </w:trPr>
        <w:tc>
          <w:tcPr>
            <w:tcW w:w="3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ind w:left="540"/>
              <w:spacing w:after="0"/>
              <w:rPr>
                <w:sz w:val="20"/>
                <w:szCs w:val="20"/>
                <w:color w:val="auto"/>
              </w:rPr>
            </w:pPr>
            <w:r>
              <w:rPr>
                <w:rFonts w:ascii="Arial" w:cs="Arial" w:eastAsia="Arial" w:hAnsi="Arial"/>
                <w:sz w:val="19"/>
                <w:szCs w:val="19"/>
                <w:b w:val="1"/>
                <w:bCs w:val="1"/>
                <w:color w:val="auto"/>
              </w:rPr>
              <w:t>S8</w:t>
            </w:r>
          </w:p>
        </w:tc>
      </w:tr>
    </w:tbl>
    <w:p>
      <w:pPr>
        <w:sectPr>
          <w:pgSz w:w="11900" w:h="16838" w:orient="portrait"/>
          <w:cols w:equalWidth="0" w:num="1">
            <w:col w:w="10580"/>
          </w:cols>
          <w:pgMar w:left="500" w:top="619" w:right="819" w:bottom="1440" w:gutter="0" w:footer="0" w:header="0"/>
        </w:sectPr>
      </w:pPr>
    </w:p>
    <w:bookmarkStart w:id="61" w:name="page62"/>
    <w:bookmarkEnd w:id="61"/>
    <w:p>
      <w:pPr>
        <w:ind w:left="1000"/>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58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4405" cy="5158740"/>
                    </a:xfrm>
                    <a:prstGeom prst="rect">
                      <a:avLst/>
                    </a:prstGeom>
                    <a:noFill/>
                  </pic:spPr>
                </pic:pic>
              </a:graphicData>
            </a:graphic>
          </wp:anchor>
        </w:drawing>
        <w:t>Calculation of EBIT-Adj. as a Percent of Revenue</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3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4"/>
              </w:rPr>
              <w:t>Q2</w:t>
            </w:r>
          </w:p>
        </w:tc>
        <w:tc>
          <w:tcPr>
            <w:tcW w:w="700" w:type="dxa"/>
            <w:vAlign w:val="bottom"/>
          </w:tcPr>
          <w:p>
            <w:pPr>
              <w:spacing w:after="0"/>
              <w:rPr>
                <w:sz w:val="19"/>
                <w:szCs w:val="19"/>
                <w:color w:val="auto"/>
              </w:rPr>
            </w:pP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Q3</w:t>
            </w:r>
          </w:p>
        </w:tc>
        <w:tc>
          <w:tcPr>
            <w:tcW w:w="68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Arial" w:cs="Arial" w:eastAsia="Arial" w:hAnsi="Arial"/>
                <w:sz w:val="19"/>
                <w:szCs w:val="19"/>
                <w:b w:val="1"/>
                <w:bCs w:val="1"/>
                <w:color w:val="auto"/>
              </w:rPr>
              <w:t>Q4</w:t>
            </w:r>
          </w:p>
        </w:tc>
        <w:tc>
          <w:tcPr>
            <w:tcW w:w="680" w:type="dxa"/>
            <w:vAlign w:val="bottom"/>
          </w:tcPr>
          <w:p>
            <w:pPr>
              <w:spacing w:after="0"/>
              <w:rPr>
                <w:sz w:val="19"/>
                <w:szCs w:val="19"/>
                <w:color w:val="auto"/>
              </w:rPr>
            </w:pP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Q1</w:t>
            </w:r>
          </w:p>
        </w:tc>
        <w:tc>
          <w:tcPr>
            <w:tcW w:w="700" w:type="dxa"/>
            <w:vAlign w:val="bottom"/>
          </w:tcPr>
          <w:p>
            <w:pPr>
              <w:spacing w:after="0"/>
              <w:rPr>
                <w:sz w:val="19"/>
                <w:szCs w:val="19"/>
                <w:color w:val="auto"/>
              </w:rPr>
            </w:pP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Q2</w:t>
            </w:r>
          </w:p>
        </w:tc>
        <w:tc>
          <w:tcPr>
            <w:tcW w:w="560" w:type="dxa"/>
            <w:vAlign w:val="bottom"/>
          </w:tcPr>
          <w:p>
            <w:pPr>
              <w:spacing w:after="0"/>
              <w:rPr>
                <w:sz w:val="19"/>
                <w:szCs w:val="19"/>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9"/>
                <w:szCs w:val="19"/>
                <w:b w:val="1"/>
                <w:bCs w:val="1"/>
                <w:color w:val="auto"/>
              </w:rPr>
              <w:t>($B)</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9"/>
              </w:rPr>
              <w:t>2010</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660" w:type="dxa"/>
            <w:vAlign w:val="bottom"/>
          </w:tcPr>
          <w:p>
            <w:pPr>
              <w:jc w:val="right"/>
              <w:ind w:right="26"/>
              <w:spacing w:after="0"/>
              <w:rPr>
                <w:sz w:val="20"/>
                <w:szCs w:val="20"/>
                <w:color w:val="auto"/>
              </w:rPr>
            </w:pPr>
            <w:r>
              <w:rPr>
                <w:rFonts w:ascii="Arial" w:cs="Arial" w:eastAsia="Arial" w:hAnsi="Arial"/>
                <w:sz w:val="19"/>
                <w:szCs w:val="19"/>
                <w:b w:val="1"/>
                <w:bCs w:val="1"/>
                <w:color w:val="auto"/>
              </w:rPr>
              <w:t>2010</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ind w:right="26"/>
              <w:spacing w:after="0"/>
              <w:rPr>
                <w:sz w:val="20"/>
                <w:szCs w:val="20"/>
                <w:color w:val="auto"/>
              </w:rPr>
            </w:pPr>
            <w:r>
              <w:rPr>
                <w:rFonts w:ascii="Arial" w:cs="Arial" w:eastAsia="Arial" w:hAnsi="Arial"/>
                <w:sz w:val="19"/>
                <w:szCs w:val="19"/>
                <w:b w:val="1"/>
                <w:bCs w:val="1"/>
                <w:color w:val="auto"/>
              </w:rPr>
              <w:t>2010</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660" w:type="dxa"/>
            <w:vAlign w:val="bottom"/>
          </w:tcPr>
          <w:p>
            <w:pPr>
              <w:jc w:val="right"/>
              <w:ind w:right="26"/>
              <w:spacing w:after="0"/>
              <w:rPr>
                <w:sz w:val="20"/>
                <w:szCs w:val="20"/>
                <w:color w:val="auto"/>
              </w:rPr>
            </w:pPr>
            <w:r>
              <w:rPr>
                <w:rFonts w:ascii="Arial" w:cs="Arial" w:eastAsia="Arial" w:hAnsi="Arial"/>
                <w:sz w:val="19"/>
                <w:szCs w:val="19"/>
                <w:b w:val="1"/>
                <w:bCs w:val="1"/>
                <w:color w:val="auto"/>
              </w:rPr>
              <w:t>2011</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26"/>
              <w:spacing w:after="0"/>
              <w:rPr>
                <w:sz w:val="20"/>
                <w:szCs w:val="20"/>
                <w:color w:val="auto"/>
              </w:rPr>
            </w:pPr>
            <w:r>
              <w:rPr>
                <w:rFonts w:ascii="Arial" w:cs="Arial" w:eastAsia="Arial" w:hAnsi="Arial"/>
                <w:sz w:val="19"/>
                <w:szCs w:val="19"/>
                <w:b w:val="1"/>
                <w:bCs w:val="1"/>
                <w:color w:val="auto"/>
              </w:rPr>
              <w:t>2011</w:t>
            </w:r>
          </w:p>
        </w:tc>
        <w:tc>
          <w:tcPr>
            <w:tcW w:w="56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r>
      <w:tr>
        <w:trPr>
          <w:trHeight w:val="400"/>
        </w:trPr>
        <w:tc>
          <w:tcPr>
            <w:tcW w:w="3320" w:type="dxa"/>
            <w:vAlign w:val="bottom"/>
          </w:tcPr>
          <w:p>
            <w:pPr>
              <w:spacing w:after="0"/>
              <w:rPr>
                <w:sz w:val="20"/>
                <w:szCs w:val="20"/>
                <w:color w:val="auto"/>
              </w:rPr>
            </w:pPr>
            <w:r>
              <w:rPr>
                <w:rFonts w:ascii="Arial" w:cs="Arial" w:eastAsia="Arial" w:hAnsi="Arial"/>
                <w:sz w:val="19"/>
                <w:szCs w:val="19"/>
                <w:b w:val="1"/>
                <w:bCs w:val="1"/>
                <w:color w:val="auto"/>
              </w:rPr>
              <w:t>Consolidated</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7"/>
        </w:trPr>
        <w:tc>
          <w:tcPr>
            <w:tcW w:w="3320" w:type="dxa"/>
            <w:vAlign w:val="bottom"/>
          </w:tcPr>
          <w:p>
            <w:pPr>
              <w:spacing w:after="0"/>
              <w:rPr>
                <w:sz w:val="20"/>
                <w:szCs w:val="20"/>
                <w:color w:val="auto"/>
              </w:rPr>
            </w:pPr>
            <w:r>
              <w:rPr>
                <w:rFonts w:ascii="Arial" w:cs="Arial" w:eastAsia="Arial" w:hAnsi="Arial"/>
                <w:sz w:val="19"/>
                <w:szCs w:val="19"/>
                <w:color w:val="auto"/>
              </w:rPr>
              <w:t>Revenue</w:t>
            </w:r>
          </w:p>
        </w:tc>
        <w:tc>
          <w:tcPr>
            <w:tcW w:w="720" w:type="dxa"/>
            <w:vAlign w:val="bottom"/>
          </w:tcPr>
          <w:p>
            <w:pPr>
              <w:jc w:val="center"/>
              <w:spacing w:after="0"/>
              <w:rPr>
                <w:sz w:val="20"/>
                <w:szCs w:val="20"/>
                <w:color w:val="auto"/>
              </w:rPr>
            </w:pPr>
            <w:r>
              <w:rPr>
                <w:rFonts w:ascii="Arial" w:cs="Arial" w:eastAsia="Arial" w:hAnsi="Arial"/>
                <w:sz w:val="19"/>
                <w:szCs w:val="19"/>
                <w:color w:val="auto"/>
                <w:w w:val="97"/>
              </w:rPr>
              <w:t>33.2</w:t>
            </w:r>
          </w:p>
        </w:tc>
        <w:tc>
          <w:tcPr>
            <w:tcW w:w="700" w:type="dxa"/>
            <w:vAlign w:val="bottom"/>
          </w:tcPr>
          <w:p>
            <w:pPr>
              <w:spacing w:after="0"/>
              <w:rPr>
                <w:sz w:val="24"/>
                <w:szCs w:val="24"/>
                <w:color w:val="auto"/>
              </w:rPr>
            </w:pPr>
          </w:p>
        </w:tc>
        <w:tc>
          <w:tcPr>
            <w:tcW w:w="660" w:type="dxa"/>
            <w:vAlign w:val="bottom"/>
          </w:tcPr>
          <w:p>
            <w:pPr>
              <w:jc w:val="right"/>
              <w:ind w:right="66"/>
              <w:spacing w:after="0"/>
              <w:rPr>
                <w:sz w:val="20"/>
                <w:szCs w:val="20"/>
                <w:color w:val="auto"/>
              </w:rPr>
            </w:pPr>
            <w:r>
              <w:rPr>
                <w:rFonts w:ascii="Arial" w:cs="Arial" w:eastAsia="Arial" w:hAnsi="Arial"/>
                <w:sz w:val="19"/>
                <w:szCs w:val="19"/>
                <w:color w:val="auto"/>
              </w:rPr>
              <w:t>34.1</w:t>
            </w:r>
          </w:p>
        </w:tc>
        <w:tc>
          <w:tcPr>
            <w:tcW w:w="680" w:type="dxa"/>
            <w:vAlign w:val="bottom"/>
          </w:tcPr>
          <w:p>
            <w:pPr>
              <w:spacing w:after="0"/>
              <w:rPr>
                <w:sz w:val="24"/>
                <w:szCs w:val="24"/>
                <w:color w:val="auto"/>
              </w:rPr>
            </w:pPr>
          </w:p>
        </w:tc>
        <w:tc>
          <w:tcPr>
            <w:tcW w:w="680" w:type="dxa"/>
            <w:vAlign w:val="bottom"/>
          </w:tcPr>
          <w:p>
            <w:pPr>
              <w:jc w:val="right"/>
              <w:ind w:right="66"/>
              <w:spacing w:after="0"/>
              <w:rPr>
                <w:sz w:val="20"/>
                <w:szCs w:val="20"/>
                <w:color w:val="auto"/>
              </w:rPr>
            </w:pPr>
            <w:r>
              <w:rPr>
                <w:rFonts w:ascii="Arial" w:cs="Arial" w:eastAsia="Arial" w:hAnsi="Arial"/>
                <w:sz w:val="19"/>
                <w:szCs w:val="19"/>
                <w:color w:val="auto"/>
              </w:rPr>
              <w:t>36.9</w:t>
            </w:r>
          </w:p>
        </w:tc>
        <w:tc>
          <w:tcPr>
            <w:tcW w:w="68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9"/>
                <w:szCs w:val="19"/>
                <w:color w:val="auto"/>
              </w:rPr>
              <w:t>36.2</w:t>
            </w:r>
          </w:p>
        </w:tc>
        <w:tc>
          <w:tcPr>
            <w:tcW w:w="700" w:type="dxa"/>
            <w:vAlign w:val="bottom"/>
          </w:tcPr>
          <w:p>
            <w:pPr>
              <w:spacing w:after="0"/>
              <w:rPr>
                <w:sz w:val="24"/>
                <w:szCs w:val="24"/>
                <w:color w:val="auto"/>
              </w:rPr>
            </w:pPr>
          </w:p>
        </w:tc>
        <w:tc>
          <w:tcPr>
            <w:tcW w:w="660" w:type="dxa"/>
            <w:vAlign w:val="bottom"/>
          </w:tcPr>
          <w:p>
            <w:pPr>
              <w:jc w:val="right"/>
              <w:ind w:right="66"/>
              <w:spacing w:after="0"/>
              <w:rPr>
                <w:sz w:val="20"/>
                <w:szCs w:val="20"/>
                <w:color w:val="auto"/>
              </w:rPr>
            </w:pPr>
            <w:r>
              <w:rPr>
                <w:rFonts w:ascii="Arial" w:cs="Arial" w:eastAsia="Arial" w:hAnsi="Arial"/>
                <w:sz w:val="19"/>
                <w:szCs w:val="19"/>
                <w:color w:val="auto"/>
              </w:rPr>
              <w:t>39.4</w:t>
            </w:r>
          </w:p>
        </w:tc>
        <w:tc>
          <w:tcPr>
            <w:tcW w:w="56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19"/>
                <w:szCs w:val="19"/>
                <w:color w:val="auto"/>
              </w:rPr>
              <w:t>Operating Income</w:t>
            </w:r>
          </w:p>
        </w:tc>
        <w:tc>
          <w:tcPr>
            <w:tcW w:w="720" w:type="dxa"/>
            <w:vAlign w:val="bottom"/>
          </w:tcPr>
          <w:p>
            <w:pPr>
              <w:jc w:val="right"/>
              <w:ind w:right="86"/>
              <w:spacing w:after="0"/>
              <w:rPr>
                <w:sz w:val="20"/>
                <w:szCs w:val="20"/>
                <w:color w:val="auto"/>
              </w:rPr>
            </w:pPr>
            <w:r>
              <w:rPr>
                <w:rFonts w:ascii="Arial" w:cs="Arial" w:eastAsia="Arial" w:hAnsi="Arial"/>
                <w:sz w:val="19"/>
                <w:szCs w:val="19"/>
                <w:color w:val="auto"/>
              </w:rPr>
              <w:t>1.9</w:t>
            </w: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5.7%</w:t>
            </w:r>
          </w:p>
        </w:tc>
        <w:tc>
          <w:tcPr>
            <w:tcW w:w="660" w:type="dxa"/>
            <w:vAlign w:val="bottom"/>
          </w:tcPr>
          <w:p>
            <w:pPr>
              <w:ind w:left="200"/>
              <w:spacing w:after="0"/>
              <w:rPr>
                <w:sz w:val="20"/>
                <w:szCs w:val="20"/>
                <w:color w:val="auto"/>
              </w:rPr>
            </w:pPr>
            <w:r>
              <w:rPr>
                <w:rFonts w:ascii="Arial" w:cs="Arial" w:eastAsia="Arial" w:hAnsi="Arial"/>
                <w:sz w:val="19"/>
                <w:szCs w:val="19"/>
                <w:color w:val="auto"/>
              </w:rPr>
              <w:t>1.8</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5.4%</w:t>
            </w:r>
          </w:p>
        </w:tc>
        <w:tc>
          <w:tcPr>
            <w:tcW w:w="680" w:type="dxa"/>
            <w:vAlign w:val="bottom"/>
          </w:tcPr>
          <w:p>
            <w:pPr>
              <w:ind w:left="220"/>
              <w:spacing w:after="0"/>
              <w:rPr>
                <w:sz w:val="20"/>
                <w:szCs w:val="20"/>
                <w:color w:val="auto"/>
              </w:rPr>
            </w:pPr>
            <w:r>
              <w:rPr>
                <w:rFonts w:ascii="Arial" w:cs="Arial" w:eastAsia="Arial" w:hAnsi="Arial"/>
                <w:sz w:val="19"/>
                <w:szCs w:val="19"/>
                <w:color w:val="auto"/>
              </w:rPr>
              <w:t>0.2</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0.6%</w:t>
            </w:r>
          </w:p>
        </w:tc>
        <w:tc>
          <w:tcPr>
            <w:tcW w:w="660" w:type="dxa"/>
            <w:vAlign w:val="bottom"/>
          </w:tcPr>
          <w:p>
            <w:pPr>
              <w:ind w:left="200"/>
              <w:spacing w:after="0"/>
              <w:rPr>
                <w:sz w:val="20"/>
                <w:szCs w:val="20"/>
                <w:color w:val="auto"/>
              </w:rPr>
            </w:pPr>
            <w:r>
              <w:rPr>
                <w:rFonts w:ascii="Arial" w:cs="Arial" w:eastAsia="Arial" w:hAnsi="Arial"/>
                <w:sz w:val="19"/>
                <w:szCs w:val="19"/>
                <w:color w:val="auto"/>
              </w:rPr>
              <w:t>0.9</w:t>
            </w:r>
          </w:p>
        </w:tc>
        <w:tc>
          <w:tcPr>
            <w:tcW w:w="700" w:type="dxa"/>
            <w:vAlign w:val="bottom"/>
          </w:tcPr>
          <w:p>
            <w:pPr>
              <w:jc w:val="right"/>
              <w:ind w:right="26"/>
              <w:spacing w:after="0"/>
              <w:rPr>
                <w:sz w:val="20"/>
                <w:szCs w:val="20"/>
                <w:color w:val="auto"/>
              </w:rPr>
            </w:pPr>
            <w:r>
              <w:rPr>
                <w:rFonts w:ascii="Arial" w:cs="Arial" w:eastAsia="Arial" w:hAnsi="Arial"/>
                <w:sz w:val="19"/>
                <w:szCs w:val="19"/>
                <w:color w:val="auto"/>
              </w:rPr>
              <w:t>2.6%</w:t>
            </w:r>
          </w:p>
        </w:tc>
        <w:tc>
          <w:tcPr>
            <w:tcW w:w="660" w:type="dxa"/>
            <w:vAlign w:val="bottom"/>
          </w:tcPr>
          <w:p>
            <w:pPr>
              <w:ind w:left="200"/>
              <w:spacing w:after="0"/>
              <w:rPr>
                <w:sz w:val="20"/>
                <w:szCs w:val="20"/>
                <w:color w:val="auto"/>
              </w:rPr>
            </w:pPr>
            <w:r>
              <w:rPr>
                <w:rFonts w:ascii="Arial" w:cs="Arial" w:eastAsia="Arial" w:hAnsi="Arial"/>
                <w:sz w:val="19"/>
                <w:szCs w:val="19"/>
                <w:color w:val="auto"/>
              </w:rPr>
              <w:t>2.5</w:t>
            </w:r>
          </w:p>
        </w:tc>
        <w:tc>
          <w:tcPr>
            <w:tcW w:w="56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447"/>
        </w:trPr>
        <w:tc>
          <w:tcPr>
            <w:tcW w:w="3320" w:type="dxa"/>
            <w:vAlign w:val="bottom"/>
          </w:tcPr>
          <w:p>
            <w:pPr>
              <w:spacing w:after="0"/>
              <w:rPr>
                <w:sz w:val="20"/>
                <w:szCs w:val="20"/>
                <w:color w:val="auto"/>
              </w:rPr>
            </w:pPr>
            <w:r>
              <w:rPr>
                <w:rFonts w:ascii="Arial" w:cs="Arial" w:eastAsia="Arial" w:hAnsi="Arial"/>
                <w:sz w:val="19"/>
                <w:szCs w:val="19"/>
                <w:color w:val="auto"/>
              </w:rPr>
              <w:t>EBIT-Adj.</w:t>
            </w:r>
          </w:p>
        </w:tc>
        <w:tc>
          <w:tcPr>
            <w:tcW w:w="720" w:type="dxa"/>
            <w:vAlign w:val="bottom"/>
          </w:tcPr>
          <w:p>
            <w:pPr>
              <w:jc w:val="right"/>
              <w:ind w:right="86"/>
              <w:spacing w:after="0"/>
              <w:rPr>
                <w:sz w:val="20"/>
                <w:szCs w:val="20"/>
                <w:color w:val="auto"/>
              </w:rPr>
            </w:pPr>
            <w:r>
              <w:rPr>
                <w:rFonts w:ascii="Arial" w:cs="Arial" w:eastAsia="Arial" w:hAnsi="Arial"/>
                <w:sz w:val="19"/>
                <w:szCs w:val="19"/>
                <w:color w:val="auto"/>
              </w:rPr>
              <w:t>2.0</w:t>
            </w: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6.1%</w:t>
            </w:r>
          </w:p>
        </w:tc>
        <w:tc>
          <w:tcPr>
            <w:tcW w:w="660" w:type="dxa"/>
            <w:vAlign w:val="bottom"/>
          </w:tcPr>
          <w:p>
            <w:pPr>
              <w:ind w:left="200"/>
              <w:spacing w:after="0"/>
              <w:rPr>
                <w:sz w:val="20"/>
                <w:szCs w:val="20"/>
                <w:color w:val="auto"/>
              </w:rPr>
            </w:pPr>
            <w:r>
              <w:rPr>
                <w:rFonts w:ascii="Arial" w:cs="Arial" w:eastAsia="Arial" w:hAnsi="Arial"/>
                <w:sz w:val="19"/>
                <w:szCs w:val="19"/>
                <w:color w:val="auto"/>
              </w:rPr>
              <w:t>2.3</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6.7%</w:t>
            </w:r>
          </w:p>
        </w:tc>
        <w:tc>
          <w:tcPr>
            <w:tcW w:w="680" w:type="dxa"/>
            <w:vAlign w:val="bottom"/>
          </w:tcPr>
          <w:p>
            <w:pPr>
              <w:ind w:left="220"/>
              <w:spacing w:after="0"/>
              <w:rPr>
                <w:sz w:val="20"/>
                <w:szCs w:val="20"/>
                <w:color w:val="auto"/>
              </w:rPr>
            </w:pPr>
            <w:r>
              <w:rPr>
                <w:rFonts w:ascii="Arial" w:cs="Arial" w:eastAsia="Arial" w:hAnsi="Arial"/>
                <w:sz w:val="19"/>
                <w:szCs w:val="19"/>
                <w:color w:val="auto"/>
              </w:rPr>
              <w:t>1.0</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2.8%</w:t>
            </w:r>
          </w:p>
        </w:tc>
        <w:tc>
          <w:tcPr>
            <w:tcW w:w="660" w:type="dxa"/>
            <w:vAlign w:val="bottom"/>
          </w:tcPr>
          <w:p>
            <w:pPr>
              <w:ind w:left="200"/>
              <w:spacing w:after="0"/>
              <w:rPr>
                <w:sz w:val="20"/>
                <w:szCs w:val="20"/>
                <w:color w:val="auto"/>
              </w:rPr>
            </w:pPr>
            <w:r>
              <w:rPr>
                <w:rFonts w:ascii="Arial" w:cs="Arial" w:eastAsia="Arial" w:hAnsi="Arial"/>
                <w:sz w:val="19"/>
                <w:szCs w:val="19"/>
                <w:color w:val="auto"/>
              </w:rPr>
              <w:t>2.0</w:t>
            </w:r>
          </w:p>
        </w:tc>
        <w:tc>
          <w:tcPr>
            <w:tcW w:w="700" w:type="dxa"/>
            <w:vAlign w:val="bottom"/>
          </w:tcPr>
          <w:p>
            <w:pPr>
              <w:jc w:val="right"/>
              <w:ind w:right="26"/>
              <w:spacing w:after="0"/>
              <w:rPr>
                <w:sz w:val="20"/>
                <w:szCs w:val="20"/>
                <w:color w:val="auto"/>
              </w:rPr>
            </w:pPr>
            <w:r>
              <w:rPr>
                <w:rFonts w:ascii="Arial" w:cs="Arial" w:eastAsia="Arial" w:hAnsi="Arial"/>
                <w:sz w:val="19"/>
                <w:szCs w:val="19"/>
                <w:color w:val="auto"/>
              </w:rPr>
              <w:t>5.6%</w:t>
            </w:r>
          </w:p>
        </w:tc>
        <w:tc>
          <w:tcPr>
            <w:tcW w:w="660" w:type="dxa"/>
            <w:vAlign w:val="bottom"/>
          </w:tcPr>
          <w:p>
            <w:pPr>
              <w:ind w:left="200"/>
              <w:spacing w:after="0"/>
              <w:rPr>
                <w:sz w:val="20"/>
                <w:szCs w:val="20"/>
                <w:color w:val="auto"/>
              </w:rPr>
            </w:pPr>
            <w:r>
              <w:rPr>
                <w:rFonts w:ascii="Arial" w:cs="Arial" w:eastAsia="Arial" w:hAnsi="Arial"/>
                <w:sz w:val="19"/>
                <w:szCs w:val="19"/>
                <w:color w:val="auto"/>
              </w:rPr>
              <w:t>3.0</w:t>
            </w:r>
          </w:p>
        </w:tc>
        <w:tc>
          <w:tcPr>
            <w:tcW w:w="5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905"/>
        </w:trPr>
        <w:tc>
          <w:tcPr>
            <w:tcW w:w="3320" w:type="dxa"/>
            <w:vAlign w:val="bottom"/>
          </w:tcPr>
          <w:p>
            <w:pPr>
              <w:spacing w:after="0"/>
              <w:rPr>
                <w:sz w:val="20"/>
                <w:szCs w:val="20"/>
                <w:color w:val="auto"/>
              </w:rPr>
            </w:pPr>
            <w:r>
              <w:rPr>
                <w:rFonts w:ascii="Arial" w:cs="Arial" w:eastAsia="Arial" w:hAnsi="Arial"/>
                <w:sz w:val="19"/>
                <w:szCs w:val="19"/>
                <w:b w:val="1"/>
                <w:bCs w:val="1"/>
                <w:color w:val="auto"/>
              </w:rPr>
              <w:t>GMIO</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7"/>
        </w:trPr>
        <w:tc>
          <w:tcPr>
            <w:tcW w:w="3320" w:type="dxa"/>
            <w:vAlign w:val="bottom"/>
          </w:tcPr>
          <w:p>
            <w:pPr>
              <w:spacing w:after="0"/>
              <w:rPr>
                <w:sz w:val="20"/>
                <w:szCs w:val="20"/>
                <w:color w:val="auto"/>
              </w:rPr>
            </w:pPr>
            <w:r>
              <w:rPr>
                <w:rFonts w:ascii="Arial" w:cs="Arial" w:eastAsia="Arial" w:hAnsi="Arial"/>
                <w:sz w:val="19"/>
                <w:szCs w:val="19"/>
                <w:b w:val="1"/>
                <w:bCs w:val="1"/>
                <w:color w:val="auto"/>
              </w:rPr>
              <w:t>Revenue</w:t>
            </w:r>
          </w:p>
        </w:tc>
        <w:tc>
          <w:tcPr>
            <w:tcW w:w="720" w:type="dxa"/>
            <w:vAlign w:val="bottom"/>
          </w:tcPr>
          <w:p>
            <w:pPr>
              <w:jc w:val="right"/>
              <w:ind w:right="86"/>
              <w:spacing w:after="0"/>
              <w:rPr>
                <w:sz w:val="20"/>
                <w:szCs w:val="20"/>
                <w:color w:val="auto"/>
              </w:rPr>
            </w:pPr>
            <w:r>
              <w:rPr>
                <w:rFonts w:ascii="Arial" w:cs="Arial" w:eastAsia="Arial" w:hAnsi="Arial"/>
                <w:sz w:val="19"/>
                <w:szCs w:val="19"/>
                <w:b w:val="1"/>
                <w:bCs w:val="1"/>
                <w:color w:val="auto"/>
              </w:rPr>
              <w:t>5.3</w:t>
            </w: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5.1</w:t>
            </w:r>
          </w:p>
        </w:tc>
        <w:tc>
          <w:tcPr>
            <w:tcW w:w="6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9"/>
                <w:szCs w:val="19"/>
                <w:b w:val="1"/>
                <w:bCs w:val="1"/>
                <w:color w:val="auto"/>
              </w:rPr>
              <w:t>6.1</w:t>
            </w:r>
          </w:p>
        </w:tc>
        <w:tc>
          <w:tcPr>
            <w:tcW w:w="68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5.4</w:t>
            </w: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6.6</w:t>
            </w:r>
          </w:p>
        </w:tc>
        <w:tc>
          <w:tcPr>
            <w:tcW w:w="56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19"/>
                <w:szCs w:val="19"/>
                <w:b w:val="1"/>
                <w:bCs w:val="1"/>
                <w:color w:val="auto"/>
              </w:rPr>
              <w:t>Operating Income</w:t>
            </w:r>
          </w:p>
        </w:tc>
        <w:tc>
          <w:tcPr>
            <w:tcW w:w="720" w:type="dxa"/>
            <w:vAlign w:val="bottom"/>
          </w:tcPr>
          <w:p>
            <w:pPr>
              <w:jc w:val="right"/>
              <w:ind w:right="86"/>
              <w:spacing w:after="0"/>
              <w:rPr>
                <w:sz w:val="20"/>
                <w:szCs w:val="20"/>
                <w:color w:val="auto"/>
              </w:rPr>
            </w:pPr>
            <w:r>
              <w:rPr>
                <w:rFonts w:ascii="Arial" w:cs="Arial" w:eastAsia="Arial" w:hAnsi="Arial"/>
                <w:sz w:val="19"/>
                <w:szCs w:val="19"/>
                <w:b w:val="1"/>
                <w:bCs w:val="1"/>
                <w:color w:val="auto"/>
              </w:rPr>
              <w:t>0.3</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5.2%</w:t>
            </w: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0.1</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6"/>
              </w:rPr>
              <w:t>2.5%</w:t>
            </w:r>
          </w:p>
        </w:tc>
        <w:tc>
          <w:tcPr>
            <w:tcW w:w="680" w:type="dxa"/>
            <w:vAlign w:val="bottom"/>
          </w:tcPr>
          <w:p>
            <w:pPr>
              <w:ind w:left="220"/>
              <w:spacing w:after="0"/>
              <w:rPr>
                <w:sz w:val="20"/>
                <w:szCs w:val="20"/>
                <w:color w:val="auto"/>
              </w:rPr>
            </w:pPr>
            <w:r>
              <w:rPr>
                <w:rFonts w:ascii="Arial" w:cs="Arial" w:eastAsia="Arial" w:hAnsi="Arial"/>
                <w:sz w:val="19"/>
                <w:szCs w:val="19"/>
                <w:b w:val="1"/>
                <w:bCs w:val="1"/>
                <w:color w:val="auto"/>
              </w:rPr>
              <w:t>0.1</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rPr>
              <w:t>1.1%</w:t>
            </w: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0.1</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6"/>
              </w:rPr>
              <w:t>1.8%</w:t>
            </w: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0.2</w:t>
            </w:r>
          </w:p>
        </w:tc>
        <w:tc>
          <w:tcPr>
            <w:tcW w:w="560" w:type="dxa"/>
            <w:vAlign w:val="bottom"/>
          </w:tcPr>
          <w:p>
            <w:pPr>
              <w:jc w:val="right"/>
              <w:spacing w:after="0"/>
              <w:rPr>
                <w:sz w:val="20"/>
                <w:szCs w:val="20"/>
                <w:color w:val="auto"/>
              </w:rPr>
            </w:pPr>
            <w:r>
              <w:rPr>
                <w:rFonts w:ascii="Arial" w:cs="Arial" w:eastAsia="Arial" w:hAnsi="Arial"/>
                <w:sz w:val="19"/>
                <w:szCs w:val="19"/>
                <w:b w:val="1"/>
                <w:bCs w:val="1"/>
                <w:color w:val="auto"/>
              </w:rPr>
              <w:t>2.3%</w:t>
            </w:r>
          </w:p>
        </w:tc>
      </w:tr>
      <w:tr>
        <w:trPr>
          <w:trHeight w:val="447"/>
        </w:trPr>
        <w:tc>
          <w:tcPr>
            <w:tcW w:w="3320" w:type="dxa"/>
            <w:vAlign w:val="bottom"/>
          </w:tcPr>
          <w:p>
            <w:pPr>
              <w:ind w:left="80"/>
              <w:spacing w:after="0"/>
              <w:rPr>
                <w:sz w:val="20"/>
                <w:szCs w:val="20"/>
                <w:color w:val="auto"/>
              </w:rPr>
            </w:pPr>
            <w:r>
              <w:rPr>
                <w:rFonts w:ascii="Arial" w:cs="Arial" w:eastAsia="Arial" w:hAnsi="Arial"/>
                <w:sz w:val="19"/>
                <w:szCs w:val="19"/>
                <w:color w:val="auto"/>
              </w:rPr>
              <w:t>Non-Operating Income (Expense)</w:t>
            </w:r>
          </w:p>
        </w:tc>
        <w:tc>
          <w:tcPr>
            <w:tcW w:w="720" w:type="dxa"/>
            <w:vAlign w:val="bottom"/>
          </w:tcPr>
          <w:p>
            <w:pPr>
              <w:jc w:val="right"/>
              <w:ind w:right="26"/>
              <w:spacing w:after="0"/>
              <w:rPr>
                <w:sz w:val="20"/>
                <w:szCs w:val="20"/>
                <w:color w:val="auto"/>
              </w:rPr>
            </w:pPr>
            <w:r>
              <w:rPr>
                <w:rFonts w:ascii="Arial" w:cs="Arial" w:eastAsia="Arial" w:hAnsi="Arial"/>
                <w:sz w:val="19"/>
                <w:szCs w:val="19"/>
                <w:color w:val="auto"/>
              </w:rPr>
              <w:t>(0.1)</w:t>
            </w: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color w:val="auto"/>
              </w:rPr>
              <w:t>0.1</w:t>
            </w:r>
          </w:p>
        </w:tc>
        <w:tc>
          <w:tcPr>
            <w:tcW w:w="6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9"/>
                <w:szCs w:val="19"/>
                <w:color w:val="auto"/>
              </w:rPr>
              <w:t>0.1</w:t>
            </w:r>
          </w:p>
        </w:tc>
        <w:tc>
          <w:tcPr>
            <w:tcW w:w="68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color w:val="auto"/>
              </w:rPr>
              <w:t>0.0</w:t>
            </w: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color w:val="auto"/>
              </w:rPr>
              <w:t>0.1</w:t>
            </w:r>
          </w:p>
        </w:tc>
        <w:tc>
          <w:tcPr>
            <w:tcW w:w="560" w:type="dxa"/>
            <w:vAlign w:val="bottom"/>
          </w:tcPr>
          <w:p>
            <w:pPr>
              <w:spacing w:after="0"/>
              <w:rPr>
                <w:sz w:val="24"/>
                <w:szCs w:val="24"/>
                <w:color w:val="auto"/>
              </w:rPr>
            </w:pPr>
          </w:p>
        </w:tc>
      </w:tr>
      <w:tr>
        <w:trPr>
          <w:trHeight w:val="447"/>
        </w:trPr>
        <w:tc>
          <w:tcPr>
            <w:tcW w:w="3320" w:type="dxa"/>
            <w:vAlign w:val="bottom"/>
          </w:tcPr>
          <w:p>
            <w:pPr>
              <w:ind w:left="140"/>
              <w:spacing w:after="0"/>
              <w:rPr>
                <w:sz w:val="20"/>
                <w:szCs w:val="20"/>
                <w:color w:val="auto"/>
              </w:rPr>
            </w:pPr>
            <w:r>
              <w:rPr>
                <w:rFonts w:ascii="Arial" w:cs="Arial" w:eastAsia="Arial" w:hAnsi="Arial"/>
                <w:sz w:val="19"/>
                <w:szCs w:val="19"/>
                <w:color w:val="auto"/>
              </w:rPr>
              <w:t>Plus Special Items *</w:t>
            </w:r>
          </w:p>
        </w:tc>
        <w:tc>
          <w:tcPr>
            <w:tcW w:w="720" w:type="dxa"/>
            <w:vAlign w:val="bottom"/>
          </w:tcPr>
          <w:p>
            <w:pPr>
              <w:jc w:val="right"/>
              <w:ind w:right="86"/>
              <w:spacing w:after="0"/>
              <w:rPr>
                <w:sz w:val="20"/>
                <w:szCs w:val="20"/>
                <w:color w:val="auto"/>
              </w:rPr>
            </w:pPr>
            <w:r>
              <w:rPr>
                <w:rFonts w:ascii="Arial" w:cs="Arial" w:eastAsia="Arial" w:hAnsi="Arial"/>
                <w:sz w:val="19"/>
                <w:szCs w:val="19"/>
                <w:color w:val="auto"/>
              </w:rPr>
              <w:t>0.0</w:t>
            </w: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color w:val="auto"/>
              </w:rPr>
              <w:t>0.0</w:t>
            </w:r>
          </w:p>
        </w:tc>
        <w:tc>
          <w:tcPr>
            <w:tcW w:w="6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9"/>
                <w:szCs w:val="19"/>
                <w:color w:val="auto"/>
              </w:rPr>
              <w:t>0.0</w:t>
            </w:r>
          </w:p>
        </w:tc>
        <w:tc>
          <w:tcPr>
            <w:tcW w:w="68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color w:val="auto"/>
              </w:rPr>
              <w:t>0.1</w:t>
            </w: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9"/>
                <w:szCs w:val="19"/>
                <w:color w:val="auto"/>
              </w:rPr>
              <w:t>0.0</w:t>
            </w:r>
          </w:p>
        </w:tc>
        <w:tc>
          <w:tcPr>
            <w:tcW w:w="56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19"/>
                <w:szCs w:val="19"/>
                <w:b w:val="1"/>
                <w:bCs w:val="1"/>
                <w:color w:val="auto"/>
              </w:rPr>
              <w:t>EBIT from consolidated operations</w:t>
            </w:r>
          </w:p>
        </w:tc>
        <w:tc>
          <w:tcPr>
            <w:tcW w:w="720" w:type="dxa"/>
            <w:vAlign w:val="bottom"/>
          </w:tcPr>
          <w:p>
            <w:pPr>
              <w:jc w:val="right"/>
              <w:ind w:right="86"/>
              <w:spacing w:after="0"/>
              <w:rPr>
                <w:sz w:val="20"/>
                <w:szCs w:val="20"/>
                <w:color w:val="auto"/>
              </w:rPr>
            </w:pPr>
            <w:r>
              <w:rPr>
                <w:rFonts w:ascii="Arial" w:cs="Arial" w:eastAsia="Arial" w:hAnsi="Arial"/>
                <w:sz w:val="19"/>
                <w:szCs w:val="19"/>
                <w:b w:val="1"/>
                <w:bCs w:val="1"/>
                <w:color w:val="auto"/>
              </w:rPr>
              <w:t>0.2</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3.7%</w:t>
            </w: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0.2</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6"/>
              </w:rPr>
              <w:t>4.5%</w:t>
            </w:r>
          </w:p>
        </w:tc>
        <w:tc>
          <w:tcPr>
            <w:tcW w:w="680" w:type="dxa"/>
            <w:vAlign w:val="bottom"/>
          </w:tcPr>
          <w:p>
            <w:pPr>
              <w:ind w:left="220"/>
              <w:spacing w:after="0"/>
              <w:rPr>
                <w:sz w:val="20"/>
                <w:szCs w:val="20"/>
                <w:color w:val="auto"/>
              </w:rPr>
            </w:pPr>
            <w:r>
              <w:rPr>
                <w:rFonts w:ascii="Arial" w:cs="Arial" w:eastAsia="Arial" w:hAnsi="Arial"/>
                <w:sz w:val="19"/>
                <w:szCs w:val="19"/>
                <w:b w:val="1"/>
                <w:bCs w:val="1"/>
                <w:color w:val="auto"/>
              </w:rPr>
              <w:t>0.1</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rPr>
              <w:t>2.0%</w:t>
            </w: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0.2</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6"/>
              </w:rPr>
              <w:t>3.0%</w:t>
            </w:r>
          </w:p>
        </w:tc>
        <w:tc>
          <w:tcPr>
            <w:tcW w:w="660" w:type="dxa"/>
            <w:vAlign w:val="bottom"/>
          </w:tcPr>
          <w:p>
            <w:pPr>
              <w:ind w:left="200"/>
              <w:spacing w:after="0"/>
              <w:rPr>
                <w:sz w:val="20"/>
                <w:szCs w:val="20"/>
                <w:color w:val="auto"/>
              </w:rPr>
            </w:pPr>
            <w:r>
              <w:rPr>
                <w:rFonts w:ascii="Arial" w:cs="Arial" w:eastAsia="Arial" w:hAnsi="Arial"/>
                <w:sz w:val="19"/>
                <w:szCs w:val="19"/>
                <w:b w:val="1"/>
                <w:bCs w:val="1"/>
                <w:color w:val="auto"/>
              </w:rPr>
              <w:t>0.2</w:t>
            </w:r>
          </w:p>
        </w:tc>
        <w:tc>
          <w:tcPr>
            <w:tcW w:w="560" w:type="dxa"/>
            <w:vAlign w:val="bottom"/>
          </w:tcPr>
          <w:p>
            <w:pPr>
              <w:jc w:val="right"/>
              <w:spacing w:after="0"/>
              <w:rPr>
                <w:sz w:val="20"/>
                <w:szCs w:val="20"/>
                <w:color w:val="auto"/>
              </w:rPr>
            </w:pPr>
            <w:r>
              <w:rPr>
                <w:rFonts w:ascii="Arial" w:cs="Arial" w:eastAsia="Arial" w:hAnsi="Arial"/>
                <w:sz w:val="19"/>
                <w:szCs w:val="19"/>
                <w:b w:val="1"/>
                <w:bCs w:val="1"/>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Q1 2011 includes $67 million charge recorded as a special item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520" w:type="dxa"/>
            <w:vAlign w:val="bottom"/>
          </w:tcPr>
          <w:p>
            <w:pPr>
              <w:spacing w:after="0"/>
              <w:rPr>
                <w:sz w:val="20"/>
                <w:szCs w:val="20"/>
                <w:color w:val="auto"/>
              </w:rPr>
            </w:pPr>
            <w:r>
              <w:rPr>
                <w:rFonts w:ascii="Arial" w:cs="Arial" w:eastAsia="Arial" w:hAnsi="Arial"/>
                <w:sz w:val="19"/>
                <w:szCs w:val="19"/>
                <w:i w:val="1"/>
                <w:iCs w:val="1"/>
                <w:color w:val="auto"/>
              </w:rPr>
              <w:t>Note: EBIT-Adj. includes GMF on an Earnings Before Tax (EBT) basis; Results may not foot due to rounding</w:t>
            </w:r>
          </w:p>
        </w:tc>
        <w:tc>
          <w:tcPr>
            <w:tcW w:w="740" w:type="dxa"/>
            <w:vAlign w:val="bottom"/>
          </w:tcPr>
          <w:p>
            <w:pPr>
              <w:ind w:left="500"/>
              <w:spacing w:after="0"/>
              <w:rPr>
                <w:sz w:val="20"/>
                <w:szCs w:val="20"/>
                <w:color w:val="auto"/>
              </w:rPr>
            </w:pPr>
            <w:r>
              <w:rPr>
                <w:rFonts w:ascii="Arial" w:cs="Arial" w:eastAsia="Arial" w:hAnsi="Arial"/>
                <w:sz w:val="19"/>
                <w:szCs w:val="19"/>
                <w:b w:val="1"/>
                <w:bCs w:val="1"/>
                <w:color w:val="auto"/>
                <w:w w:val="94"/>
              </w:rPr>
              <w:t>S9</w:t>
            </w:r>
          </w:p>
        </w:tc>
      </w:tr>
    </w:tbl>
    <w:p>
      <w:pPr>
        <w:spacing w:after="0" w:line="1" w:lineRule="exact"/>
        <w:rPr>
          <w:sz w:val="20"/>
          <w:szCs w:val="20"/>
          <w:color w:val="auto"/>
        </w:rPr>
      </w:pPr>
    </w:p>
    <w:sectPr>
      <w:pgSz w:w="11900" w:h="16838" w:orient="portrait"/>
      <w:cols w:equalWidth="0" w:num="1">
        <w:col w:w="10260"/>
      </w:cols>
      <w:pgMar w:left="640" w:top="68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7"/>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7"/>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5"/>
      <w:numFmt w:val="bullet"/>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3"/>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2019-12-11T08:14:44Z</dcterms:created>
  <dcterms:modified xsi:type="dcterms:W3CDTF">2019-12-11T08:14:44Z</dcterms:modified>
</cp:coreProperties>
</file>