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5305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30542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Ammann Daniel</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0"/>
        <w:spacing w:after="0" w:line="315"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09/30/2011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58"/>
        <w:spacing w:after="0"/>
        <w:rPr>
          <w:sz w:val="20"/>
          <w:szCs w:val="20"/>
          <w:color w:val="auto"/>
        </w:rPr>
      </w:pPr>
      <w:r>
        <w:rPr>
          <w:rFonts w:ascii="Arial" w:cs="Arial" w:eastAsia="Arial" w:hAnsi="Arial"/>
          <w:sz w:val="17"/>
          <w:szCs w:val="17"/>
          <w:color w:val="0000FF"/>
        </w:rPr>
        <w:t>Sr. Vice President &amp; CFO</w:t>
      </w:r>
    </w:p>
    <w:p>
      <w:pPr>
        <w:spacing w:after="0" w:line="451" w:lineRule="exact"/>
        <w:rPr>
          <w:sz w:val="24"/>
          <w:szCs w:val="24"/>
          <w:color w:val="auto"/>
        </w:rPr>
      </w:pPr>
    </w:p>
    <w:p>
      <w:pPr>
        <w:sectPr>
          <w:pgSz w:w="11900" w:h="16838" w:orient="portrait"/>
          <w:cols w:equalWidth="0" w:num="3">
            <w:col w:w="3340" w:space="720"/>
            <w:col w:w="3262" w:space="720"/>
            <w:col w:w="3478"/>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6"/>
          </w:tcPr>
          <w:p>
            <w:pPr>
              <w:jc w:val="center"/>
              <w:ind w:right="53"/>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w w:val="95"/>
              </w:rPr>
              <w:t>MI</w:t>
            </w:r>
          </w:p>
        </w:tc>
        <w:tc>
          <w:tcPr>
            <w:tcW w:w="102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272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0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7"/>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52"/>
              <w:spacing w:after="0"/>
              <w:rPr>
                <w:sz w:val="20"/>
                <w:szCs w:val="20"/>
                <w:color w:val="auto"/>
              </w:rPr>
            </w:pPr>
            <w:r>
              <w:rPr>
                <w:rFonts w:ascii="Arial" w:cs="Arial" w:eastAsia="Arial" w:hAnsi="Arial"/>
                <w:sz w:val="17"/>
                <w:szCs w:val="17"/>
                <w:color w:val="0000FF"/>
                <w:w w:val="85"/>
              </w:rPr>
              <w:t>4,170</w:t>
            </w:r>
            <w:r>
              <w:rPr>
                <w:rFonts w:ascii="Arial" w:cs="Arial" w:eastAsia="Arial" w:hAnsi="Arial"/>
                <w:sz w:val="22"/>
                <w:szCs w:val="22"/>
                <w:color w:val="008000"/>
                <w:w w:val="85"/>
                <w:vertAlign w:val="superscript"/>
              </w:rPr>
              <w:t>(2)</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right"/>
              <w:spacing w:after="0" w:line="320"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52,174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7"/>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32"/>
              <w:spacing w:after="0"/>
              <w:rPr>
                <w:sz w:val="20"/>
                <w:szCs w:val="20"/>
                <w:color w:val="auto"/>
              </w:rPr>
            </w:pPr>
            <w:r>
              <w:rPr>
                <w:rFonts w:ascii="Arial" w:cs="Arial" w:eastAsia="Arial" w:hAnsi="Arial"/>
                <w:sz w:val="17"/>
                <w:szCs w:val="17"/>
                <w:color w:val="0000FF"/>
                <w:w w:val="89"/>
              </w:rPr>
              <w:t>2,105</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20.3</w:t>
            </w:r>
            <w:r>
              <w:rPr>
                <w:rFonts w:ascii="Arial" w:cs="Arial" w:eastAsia="Arial" w:hAnsi="Arial"/>
                <w:sz w:val="22"/>
                <w:szCs w:val="22"/>
                <w:color w:val="008000"/>
                <w:w w:val="85"/>
                <w:vertAlign w:val="superscript"/>
              </w:rPr>
              <w:t>(3)</w:t>
            </w:r>
          </w:p>
        </w:tc>
        <w:tc>
          <w:tcPr>
            <w:tcW w:w="132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50,069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7"/>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32"/>
              <w:spacing w:after="0"/>
              <w:rPr>
                <w:sz w:val="20"/>
                <w:szCs w:val="20"/>
                <w:color w:val="auto"/>
              </w:rPr>
            </w:pPr>
            <w:r>
              <w:rPr>
                <w:rFonts w:ascii="Arial" w:cs="Arial" w:eastAsia="Arial" w:hAnsi="Arial"/>
                <w:sz w:val="17"/>
                <w:szCs w:val="17"/>
                <w:color w:val="0000FF"/>
                <w:w w:val="88"/>
              </w:rPr>
              <w:t>25,247</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right"/>
              <w:spacing w:after="0" w:line="320"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75,316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60" w:type="dxa"/>
            <w:vAlign w:val="bottom"/>
            <w:gridSpan w:val="10"/>
          </w:tcPr>
          <w:p>
            <w:pPr>
              <w:jc w:val="center"/>
              <w:ind w:left="4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vMerge w:val="restart"/>
          </w:tcPr>
          <w:p>
            <w:pPr>
              <w:ind w:left="440"/>
              <w:spacing w:after="0"/>
              <w:rPr>
                <w:sz w:val="20"/>
                <w:szCs w:val="20"/>
                <w:color w:val="auto"/>
              </w:rPr>
            </w:pPr>
            <w:r>
              <w:rPr>
                <w:rFonts w:ascii="Arial" w:cs="Arial" w:eastAsia="Arial" w:hAnsi="Arial"/>
                <w:sz w:val="13"/>
                <w:szCs w:val="13"/>
                <w:color w:val="0000FF"/>
              </w:rPr>
              <w:t>4,170</w:t>
            </w:r>
            <w:r>
              <w:rPr>
                <w:rFonts w:ascii="Arial" w:cs="Arial" w:eastAsia="Arial" w:hAnsi="Arial"/>
                <w:sz w:val="22"/>
                <w:szCs w:val="22"/>
                <w:color w:val="008000"/>
                <w:vertAlign w:val="superscript"/>
              </w:rPr>
              <w:t>(2)</w:t>
            </w: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0000FF"/>
                <w:w w:val="85"/>
              </w:rPr>
              <w:t>4,170</w:t>
            </w:r>
            <w:r>
              <w:rPr>
                <w:rFonts w:ascii="Arial" w:cs="Arial" w:eastAsia="Arial" w:hAnsi="Arial"/>
                <w:sz w:val="22"/>
                <w:szCs w:val="22"/>
                <w:color w:val="008000"/>
                <w:w w:val="85"/>
                <w:vertAlign w:val="superscript"/>
              </w:rPr>
              <w:t>(2)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8,337</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ind w:left="200"/>
              <w:spacing w:after="0"/>
              <w:rPr>
                <w:sz w:val="20"/>
                <w:szCs w:val="20"/>
                <w:color w:val="auto"/>
              </w:rPr>
            </w:pPr>
            <w:r>
              <w:rPr>
                <w:rFonts w:ascii="Arial" w:cs="Arial" w:eastAsia="Arial" w:hAnsi="Arial"/>
                <w:sz w:val="13"/>
                <w:szCs w:val="13"/>
                <w:color w:val="0000FF"/>
              </w:rPr>
              <w:t>09/30/2011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0000FF"/>
              </w:rPr>
              <w:t>M</w:t>
            </w:r>
          </w:p>
        </w:tc>
        <w:tc>
          <w:tcPr>
            <w:tcW w:w="1000" w:type="dxa"/>
            <w:vAlign w:val="bottom"/>
            <w:vMerge w:val="continue"/>
          </w:tcPr>
          <w:p>
            <w:pPr>
              <w:spacing w:after="0"/>
              <w:rPr>
                <w:sz w:val="13"/>
                <w:szCs w:val="13"/>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ind w:left="240"/>
              <w:spacing w:after="0"/>
              <w:rPr>
                <w:sz w:val="20"/>
                <w:szCs w:val="20"/>
                <w:color w:val="auto"/>
              </w:rPr>
            </w:pPr>
            <w:r>
              <w:rPr>
                <w:rFonts w:ascii="Arial" w:cs="Arial" w:eastAsia="Arial" w:hAnsi="Arial"/>
                <w:sz w:val="11"/>
                <w:szCs w:val="11"/>
                <w:color w:val="008000"/>
              </w:rPr>
              <w:t>(1)</w:t>
            </w:r>
          </w:p>
        </w:tc>
        <w:tc>
          <w:tcPr>
            <w:tcW w:w="6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ind w:left="100"/>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34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issued on September 30, 2010 pursuant to the Company's Salary Stock Plan (the "GMSSP") and vested upon grant. The portion of this award currently payable was settled on September 30, 2011 in shares of the Company's Common Stock, less a portion withheld for taxes.</w:t>
      </w:r>
    </w:p>
    <w:p>
      <w:pPr>
        <w:ind w:left="40" w:right="180" w:firstLine="6"/>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30, 2010 the employee received a grant of 4,169 SSUs, of which 1,390 SSUs were scheduled to be payable on September 30, 2011.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12,507 SSUs granted on September 30, 2010, of which 4,170 SSUs became payable on September 30, 2011.</w:t>
      </w:r>
    </w:p>
    <w:p>
      <w:pPr>
        <w:spacing w:after="0" w:line="28" w:lineRule="exact"/>
        <w:rPr>
          <w:rFonts w:ascii="Arial" w:cs="Arial" w:eastAsia="Arial" w:hAnsi="Arial"/>
          <w:sz w:val="13"/>
          <w:szCs w:val="13"/>
          <w:color w:val="008000"/>
        </w:rPr>
      </w:pPr>
    </w:p>
    <w:p>
      <w:pPr>
        <w:ind w:left="40" w:right="30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Common Stock. Under the GMSSP, the Fair Market Value of the Common Stock is the average of the high and low trading prices for the Common Stock as reported on the New York Stock Exchange, on which the Common Stock is listed, on the date of the transaction, which was $20.30.</w:t>
      </w:r>
    </w:p>
    <w:p>
      <w:pPr>
        <w:spacing w:after="0" w:line="25" w:lineRule="exact"/>
        <w:rPr>
          <w:rFonts w:ascii="Arial" w:cs="Arial" w:eastAsia="Arial" w:hAnsi="Arial"/>
          <w:sz w:val="13"/>
          <w:szCs w:val="13"/>
          <w:color w:val="008000"/>
        </w:rPr>
      </w:pPr>
    </w:p>
    <w:p>
      <w:pPr>
        <w:ind w:left="40" w:right="18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September 30, 2011 pursuant to the GMSSP and were fully vested upon grant. The SSUs will be delivered in the form of shares of Common Stock in three equal, annual installments beginning on September 30, 2012.</w:t>
      </w:r>
    </w:p>
    <w:p>
      <w:pPr>
        <w:spacing w:after="0" w:line="2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10/04/2011</w:t>
            </w:r>
          </w:p>
        </w:tc>
        <w:tc>
          <w:tcPr>
            <w:tcW w:w="0" w:type="dxa"/>
            <w:vAlign w:val="bottom"/>
          </w:tcPr>
          <w:p>
            <w:pPr>
              <w:spacing w:after="0"/>
              <w:rPr>
                <w:sz w:val="1"/>
                <w:szCs w:val="1"/>
                <w:color w:val="auto"/>
              </w:rPr>
            </w:pPr>
          </w:p>
        </w:tc>
      </w:tr>
      <w:tr>
        <w:trPr>
          <w:trHeight w:val="91"/>
        </w:trPr>
        <w:tc>
          <w:tcPr>
            <w:tcW w:w="1400" w:type="dxa"/>
            <w:vAlign w:val="bottom"/>
            <w:vMerge w:val="restart"/>
          </w:tcPr>
          <w:p>
            <w:pPr>
              <w:spacing w:after="0" w:line="193" w:lineRule="exact"/>
              <w:rPr>
                <w:sz w:val="20"/>
                <w:szCs w:val="20"/>
                <w:color w:val="auto"/>
              </w:rPr>
            </w:pPr>
            <w:r>
              <w:rPr>
                <w:rFonts w:ascii="Arial" w:cs="Arial" w:eastAsia="Arial" w:hAnsi="Arial"/>
                <w:sz w:val="17"/>
                <w:szCs w:val="17"/>
                <w:color w:val="0000FF"/>
                <w:w w:val="95"/>
              </w:rPr>
              <w:t>fact for Mr. Amman</w:t>
            </w:r>
          </w:p>
        </w:tc>
        <w:tc>
          <w:tcPr>
            <w:tcW w:w="88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400" w:type="dxa"/>
            <w:vAlign w:val="bottom"/>
            <w:tcBorders>
              <w:bottom w:val="single" w:sz="8" w:color="auto"/>
            </w:tcBorders>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2019-12-17T01:17:04Z</dcterms:created>
  <dcterms:modified xsi:type="dcterms:W3CDTF">2019-12-17T01:17:04Z</dcterms:modified>
</cp:coreProperties>
</file>