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April 21, 2016</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40" w:type="dxa"/>
            <w:vAlign w:val="bottom"/>
          </w:tcPr>
          <w:p>
            <w:pPr>
              <w:jc w:val="center"/>
              <w:ind w:right="1150"/>
              <w:spacing w:after="0"/>
              <w:rPr>
                <w:sz w:val="20"/>
                <w:szCs w:val="20"/>
                <w:color w:val="auto"/>
              </w:rPr>
            </w:pPr>
            <w:r>
              <w:rPr>
                <w:rFonts w:ascii="Arial" w:cs="Arial" w:eastAsia="Arial" w:hAnsi="Arial"/>
                <w:sz w:val="18"/>
                <w:szCs w:val="18"/>
                <w:b w:val="1"/>
                <w:bCs w:val="1"/>
                <w:color w:val="auto"/>
                <w:w w:val="98"/>
              </w:rPr>
              <w:t>DELAWARE</w:t>
            </w:r>
          </w:p>
        </w:tc>
        <w:tc>
          <w:tcPr>
            <w:tcW w:w="254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3"/>
              </w:rPr>
              <w:t>(State or other jurisdiction of</w:t>
            </w:r>
          </w:p>
        </w:tc>
        <w:tc>
          <w:tcPr>
            <w:tcW w:w="254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2"/>
              </w:rPr>
              <w:t>incorporation)</w:t>
            </w:r>
          </w:p>
        </w:tc>
        <w:tc>
          <w:tcPr>
            <w:tcW w:w="2540" w:type="dxa"/>
            <w:vAlign w:val="bottom"/>
          </w:tcPr>
          <w:p>
            <w:pPr>
              <w:jc w:val="center"/>
              <w:ind w:right="41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40" w:type="dxa"/>
            <w:vAlign w:val="bottom"/>
          </w:tcPr>
          <w:p>
            <w:pPr>
              <w:jc w:val="center"/>
              <w:ind w:left="35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On April 21, 2016 a news release was issued on the subject of 2016 first quarter consolidated earnings for General Motors Company (GM). The news release and financial statements are attached as Exhibit 99.1.</w:t>
      </w:r>
    </w:p>
    <w:p>
      <w:pPr>
        <w:spacing w:after="0" w:line="1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Charts furnished to securities analysts in connection with GM's 2016 first quarter consolidated earnings release are available on GM's website at www.gm.com/company/investors/earning-releases.html.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220" w:type="dxa"/>
            <w:vAlign w:val="bottom"/>
          </w:tcPr>
          <w:p>
            <w:pPr>
              <w:spacing w:after="0"/>
              <w:rPr>
                <w:sz w:val="17"/>
                <w:szCs w:val="17"/>
                <w:color w:val="auto"/>
              </w:rPr>
            </w:pPr>
          </w:p>
        </w:tc>
      </w:tr>
      <w:tr>
        <w:trPr>
          <w:trHeight w:val="574"/>
        </w:trPr>
        <w:tc>
          <w:tcPr>
            <w:tcW w:w="28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42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r>
      <w:tr>
        <w:trPr>
          <w:trHeight w:val="615"/>
        </w:trPr>
        <w:tc>
          <w:tcPr>
            <w:tcW w:w="286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420" w:type="dxa"/>
            <w:vAlign w:val="bottom"/>
            <w:gridSpan w:val="4"/>
          </w:tcPr>
          <w:p>
            <w:pPr>
              <w:spacing w:after="0"/>
              <w:rPr>
                <w:sz w:val="20"/>
                <w:szCs w:val="20"/>
                <w:color w:val="auto"/>
              </w:rPr>
            </w:pPr>
            <w:r>
              <w:rPr>
                <w:rFonts w:ascii="Arial" w:cs="Arial" w:eastAsia="Arial" w:hAnsi="Arial"/>
                <w:sz w:val="18"/>
                <w:szCs w:val="18"/>
                <w:color w:val="auto"/>
                <w:w w:val="91"/>
              </w:rPr>
              <w:t>News Release Dated April 21, 2016 and Financial Highlights</w:t>
            </w: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4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480" w:type="dxa"/>
            <w:vAlign w:val="bottom"/>
            <w:vMerge w:val="restart"/>
          </w:tcPr>
          <w:p>
            <w:pPr>
              <w:spacing w:after="0"/>
              <w:rPr>
                <w:sz w:val="20"/>
                <w:szCs w:val="20"/>
                <w:color w:val="auto"/>
              </w:rPr>
            </w:pPr>
            <w:r>
              <w:rPr>
                <w:rFonts w:ascii="Arial" w:cs="Arial" w:eastAsia="Arial" w:hAnsi="Arial"/>
                <w:sz w:val="18"/>
                <w:szCs w:val="18"/>
                <w:color w:val="auto"/>
              </w:rPr>
              <w:t>Date: April 21, 2016</w:t>
            </w:r>
          </w:p>
        </w:tc>
        <w:tc>
          <w:tcPr>
            <w:tcW w:w="2660" w:type="dxa"/>
            <w:vAlign w:val="bottom"/>
            <w:vMerge w:val="restart"/>
          </w:tcPr>
          <w:p>
            <w:pPr>
              <w:ind w:left="200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80" w:type="dxa"/>
            <w:vAlign w:val="bottom"/>
            <w:vMerge w:val="continue"/>
          </w:tcPr>
          <w:p>
            <w:pPr>
              <w:spacing w:after="0"/>
              <w:rPr>
                <w:sz w:val="19"/>
                <w:szCs w:val="19"/>
                <w:color w:val="auto"/>
              </w:rPr>
            </w:pPr>
          </w:p>
        </w:tc>
        <w:tc>
          <w:tcPr>
            <w:tcW w:w="26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5848985"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For Release: Thursday, April 21, 2016, 7:30 a.m. EDT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 Reports First-Quarter Net Income of $2.0 Billion</w:t>
      </w:r>
    </w:p>
    <w:p>
      <w:pPr>
        <w:spacing w:after="0" w:line="23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EPS diluted of $1.24; First-quarter record EPS diluted-adjusted of $1.26</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First-quarter record EBIT-adjusted of $2.7 billion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GM Europe posts break-even performance</w:t>
      </w:r>
    </w:p>
    <w:p>
      <w:pPr>
        <w:spacing w:after="0" w:line="202" w:lineRule="exact"/>
        <w:rPr>
          <w:sz w:val="20"/>
          <w:szCs w:val="20"/>
          <w:color w:val="auto"/>
        </w:rPr>
      </w:pPr>
    </w:p>
    <w:p>
      <w:pPr>
        <w:jc w:val="both"/>
        <w:ind w:right="140"/>
        <w:spacing w:after="0" w:line="253"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today announced first-quarter net income to common stockholders of $2.0 billion or $1.24 per</w:t>
      </w:r>
      <w:r>
        <w:rPr>
          <w:rFonts w:ascii="Arial" w:cs="Arial" w:eastAsia="Arial" w:hAnsi="Arial"/>
          <w:sz w:val="20"/>
          <w:szCs w:val="20"/>
          <w:b w:val="1"/>
          <w:bCs w:val="1"/>
          <w:color w:val="auto"/>
        </w:rPr>
        <w:t xml:space="preserve"> </w:t>
      </w:r>
      <w:r>
        <w:rPr>
          <w:rFonts w:ascii="Arial" w:cs="Arial" w:eastAsia="Arial" w:hAnsi="Arial"/>
          <w:sz w:val="20"/>
          <w:szCs w:val="20"/>
          <w:color w:val="auto"/>
        </w:rPr>
        <w:t>diluted share, compared to $0.9 billion or $0.56 per diluted share a year ago. Earnings per share diluted-adjusted for special items was a first-quarter record at $1.26, up 47 percent compared to the first quarter of 2015.</w:t>
      </w:r>
    </w:p>
    <w:p>
      <w:pPr>
        <w:spacing w:after="0" w:line="184" w:lineRule="exact"/>
        <w:rPr>
          <w:sz w:val="20"/>
          <w:szCs w:val="20"/>
          <w:color w:val="auto"/>
        </w:rPr>
      </w:pPr>
    </w:p>
    <w:p>
      <w:pPr>
        <w:jc w:val="both"/>
        <w:ind w:right="120"/>
        <w:spacing w:after="0" w:line="250" w:lineRule="auto"/>
        <w:rPr>
          <w:sz w:val="20"/>
          <w:szCs w:val="20"/>
          <w:color w:val="auto"/>
        </w:rPr>
      </w:pPr>
      <w:r>
        <w:rPr>
          <w:rFonts w:ascii="Arial" w:cs="Arial" w:eastAsia="Arial" w:hAnsi="Arial"/>
          <w:sz w:val="20"/>
          <w:szCs w:val="20"/>
          <w:color w:val="auto"/>
        </w:rPr>
        <w:t>The company set first-quarter records for earnings and margin, with earnings before interest and tax (EBIT) adjusted of $2.7 billion and EBIT-adjusted margin of 7.1 percent. These compare to EBIT-adjusted of $2.1 billion and an EBIT-adjusted margin of 5.8 percent in the first quarter of 2015.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earnings increase was driven by improved year-over-year results in all reporting segments, including breakeven performance in Europe.</w:t>
      </w:r>
    </w:p>
    <w:p>
      <w:pPr>
        <w:spacing w:after="0" w:line="239" w:lineRule="exact"/>
        <w:rPr>
          <w:sz w:val="20"/>
          <w:szCs w:val="20"/>
          <w:color w:val="auto"/>
        </w:rPr>
      </w:pPr>
    </w:p>
    <w:p>
      <w:pPr>
        <w:ind w:right="140"/>
        <w:spacing w:after="0" w:line="263" w:lineRule="auto"/>
        <w:rPr>
          <w:sz w:val="20"/>
          <w:szCs w:val="20"/>
          <w:color w:val="auto"/>
        </w:rPr>
      </w:pPr>
      <w:r>
        <w:rPr>
          <w:rFonts w:ascii="Arial" w:cs="Arial" w:eastAsia="Arial" w:hAnsi="Arial"/>
          <w:sz w:val="19"/>
          <w:szCs w:val="19"/>
          <w:color w:val="auto"/>
        </w:rPr>
        <w:t>“We’re growing where it counts, gaining retail share in the U.S., outpacing the industry in Europe and capitalizing on robust growth in SUV and luxury segments in China,” said Chairman and CEO Mary Barra. “This strong quarter also reflects the excellent progress we’re making to improve results in our more challenged global markets. Importantly, the continued success of our core business is enabling us to invest in advanced technology and innovations that will help shape the future of personal mobility.”</w:t>
      </w:r>
    </w:p>
    <w:p>
      <w:pPr>
        <w:spacing w:after="0" w:line="177"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First-quarter 2016 EBIT-adjusted results included the impact of $0.3 billion restructuring costs, primarily in North America, compared to $0.1 billion in restructuring costs a year ago.</w:t>
      </w:r>
    </w:p>
    <w:p>
      <w:pPr>
        <w:spacing w:after="0" w:line="177"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Net revenue during the quarter was $37.3 billion compared to $35.7 billion in the first quarter of 2015. Holding exchange rates constant, net revenue was $2.9 billion higher than the first quarter of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200" w:type="dxa"/>
            <w:vAlign w:val="bottom"/>
          </w:tcPr>
          <w:p>
            <w:pPr>
              <w:spacing w:after="0"/>
              <w:rPr>
                <w:sz w:val="20"/>
                <w:szCs w:val="20"/>
                <w:color w:val="auto"/>
              </w:rPr>
            </w:pPr>
            <w:r>
              <w:rPr>
                <w:rFonts w:ascii="Arial" w:cs="Arial" w:eastAsia="Arial" w:hAnsi="Arial"/>
                <w:sz w:val="20"/>
                <w:szCs w:val="20"/>
                <w:b w:val="1"/>
                <w:bCs w:val="1"/>
                <w:color w:val="auto"/>
              </w:rPr>
              <w:t xml:space="preserve">GM Results Overview </w:t>
            </w:r>
            <w:r>
              <w:rPr>
                <w:rFonts w:ascii="Arial" w:cs="Arial" w:eastAsia="Arial" w:hAnsi="Arial"/>
                <w:sz w:val="16"/>
                <w:szCs w:val="16"/>
                <w:color w:val="auto"/>
              </w:rPr>
              <w:t>(dollars in billions except for per share amounts)</w:t>
            </w:r>
          </w:p>
        </w:tc>
        <w:tc>
          <w:tcPr>
            <w:tcW w:w="30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388"/>
        </w:trPr>
        <w:tc>
          <w:tcPr>
            <w:tcW w:w="7200" w:type="dxa"/>
            <w:vAlign w:val="bottom"/>
          </w:tcPr>
          <w:p>
            <w:pPr>
              <w:spacing w:after="0"/>
              <w:rPr>
                <w:sz w:val="24"/>
                <w:szCs w:val="24"/>
                <w:color w:val="auto"/>
              </w:rPr>
            </w:pPr>
          </w:p>
        </w:tc>
        <w:tc>
          <w:tcPr>
            <w:tcW w:w="3000" w:type="dxa"/>
            <w:vAlign w:val="bottom"/>
          </w:tcPr>
          <w:p>
            <w:pPr>
              <w:jc w:val="center"/>
              <w:ind w:left="1790"/>
              <w:spacing w:after="0"/>
              <w:rPr>
                <w:sz w:val="20"/>
                <w:szCs w:val="20"/>
                <w:color w:val="auto"/>
              </w:rPr>
            </w:pPr>
            <w:r>
              <w:rPr>
                <w:rFonts w:ascii="Arial" w:cs="Arial" w:eastAsia="Arial" w:hAnsi="Arial"/>
                <w:sz w:val="18"/>
                <w:szCs w:val="18"/>
                <w:b w:val="1"/>
                <w:bCs w:val="1"/>
                <w:color w:val="auto"/>
                <w:w w:val="92"/>
              </w:rPr>
              <w:t>Q1 2016</w:t>
            </w:r>
          </w:p>
        </w:tc>
        <w:tc>
          <w:tcPr>
            <w:tcW w:w="86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Q1 2015</w:t>
            </w:r>
          </w:p>
        </w:tc>
      </w:tr>
      <w:tr>
        <w:trPr>
          <w:trHeight w:val="270"/>
        </w:trPr>
        <w:tc>
          <w:tcPr>
            <w:tcW w:w="7200" w:type="dxa"/>
            <w:vAlign w:val="bottom"/>
          </w:tcPr>
          <w:p>
            <w:pPr>
              <w:ind w:left="140"/>
              <w:spacing w:after="0"/>
              <w:rPr>
                <w:sz w:val="20"/>
                <w:szCs w:val="20"/>
                <w:color w:val="auto"/>
              </w:rPr>
            </w:pPr>
            <w:r>
              <w:rPr>
                <w:rFonts w:ascii="Arial" w:cs="Arial" w:eastAsia="Arial" w:hAnsi="Arial"/>
                <w:sz w:val="18"/>
                <w:szCs w:val="18"/>
                <w:b w:val="1"/>
                <w:bCs w:val="1"/>
                <w:color w:val="auto"/>
              </w:rPr>
              <w:t>Net Revenue</w:t>
            </w:r>
          </w:p>
        </w:tc>
        <w:tc>
          <w:tcPr>
            <w:tcW w:w="3000" w:type="dxa"/>
            <w:vAlign w:val="bottom"/>
          </w:tcPr>
          <w:p>
            <w:pPr>
              <w:jc w:val="center"/>
              <w:ind w:left="1790"/>
              <w:spacing w:after="0"/>
              <w:rPr>
                <w:sz w:val="20"/>
                <w:szCs w:val="20"/>
                <w:color w:val="auto"/>
              </w:rPr>
            </w:pPr>
            <w:r>
              <w:rPr>
                <w:rFonts w:ascii="Arial" w:cs="Arial" w:eastAsia="Arial" w:hAnsi="Arial"/>
                <w:sz w:val="18"/>
                <w:szCs w:val="18"/>
                <w:color w:val="auto"/>
                <w:w w:val="88"/>
              </w:rPr>
              <w:t>$37.3</w:t>
            </w:r>
          </w:p>
        </w:tc>
        <w:tc>
          <w:tcPr>
            <w:tcW w:w="860" w:type="dxa"/>
            <w:vAlign w:val="bottom"/>
          </w:tcPr>
          <w:p>
            <w:pPr>
              <w:jc w:val="center"/>
              <w:ind w:left="150"/>
              <w:spacing w:after="0"/>
              <w:rPr>
                <w:sz w:val="20"/>
                <w:szCs w:val="20"/>
                <w:color w:val="auto"/>
              </w:rPr>
            </w:pPr>
            <w:r>
              <w:rPr>
                <w:rFonts w:ascii="Arial" w:cs="Arial" w:eastAsia="Arial" w:hAnsi="Arial"/>
                <w:sz w:val="18"/>
                <w:szCs w:val="18"/>
                <w:color w:val="auto"/>
                <w:w w:val="93"/>
              </w:rPr>
              <w:t>$35.7</w:t>
            </w:r>
          </w:p>
        </w:tc>
      </w:tr>
      <w:tr>
        <w:trPr>
          <w:trHeight w:val="270"/>
        </w:trPr>
        <w:tc>
          <w:tcPr>
            <w:tcW w:w="7200" w:type="dxa"/>
            <w:vAlign w:val="bottom"/>
          </w:tcPr>
          <w:p>
            <w:pPr>
              <w:ind w:left="14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3000" w:type="dxa"/>
            <w:vAlign w:val="bottom"/>
          </w:tcPr>
          <w:p>
            <w:pPr>
              <w:jc w:val="center"/>
              <w:ind w:left="1790"/>
              <w:spacing w:after="0"/>
              <w:rPr>
                <w:sz w:val="20"/>
                <w:szCs w:val="20"/>
                <w:color w:val="auto"/>
              </w:rPr>
            </w:pPr>
            <w:r>
              <w:rPr>
                <w:rFonts w:ascii="Arial" w:cs="Arial" w:eastAsia="Arial" w:hAnsi="Arial"/>
                <w:sz w:val="18"/>
                <w:szCs w:val="18"/>
                <w:color w:val="auto"/>
                <w:w w:val="91"/>
              </w:rPr>
              <w:t>$2.0</w:t>
            </w:r>
          </w:p>
        </w:tc>
        <w:tc>
          <w:tcPr>
            <w:tcW w:w="860" w:type="dxa"/>
            <w:vAlign w:val="bottom"/>
          </w:tcPr>
          <w:p>
            <w:pPr>
              <w:jc w:val="center"/>
              <w:ind w:left="150"/>
              <w:spacing w:after="0"/>
              <w:rPr>
                <w:sz w:val="20"/>
                <w:szCs w:val="20"/>
                <w:color w:val="auto"/>
              </w:rPr>
            </w:pPr>
            <w:r>
              <w:rPr>
                <w:rFonts w:ascii="Arial" w:cs="Arial" w:eastAsia="Arial" w:hAnsi="Arial"/>
                <w:sz w:val="18"/>
                <w:szCs w:val="18"/>
                <w:color w:val="auto"/>
                <w:w w:val="85"/>
              </w:rPr>
              <w:t>$0.9</w:t>
            </w:r>
          </w:p>
        </w:tc>
      </w:tr>
      <w:tr>
        <w:trPr>
          <w:trHeight w:val="270"/>
        </w:trPr>
        <w:tc>
          <w:tcPr>
            <w:tcW w:w="7200" w:type="dxa"/>
            <w:vAlign w:val="bottom"/>
          </w:tcPr>
          <w:p>
            <w:pPr>
              <w:ind w:left="140"/>
              <w:spacing w:after="0"/>
              <w:rPr>
                <w:sz w:val="20"/>
                <w:szCs w:val="20"/>
                <w:color w:val="auto"/>
              </w:rPr>
            </w:pPr>
            <w:r>
              <w:rPr>
                <w:rFonts w:ascii="Arial" w:cs="Arial" w:eastAsia="Arial" w:hAnsi="Arial"/>
                <w:sz w:val="18"/>
                <w:szCs w:val="18"/>
                <w:b w:val="1"/>
                <w:bCs w:val="1"/>
                <w:color w:val="auto"/>
              </w:rPr>
              <w:t>Earnings per share (EPS) diluted</w:t>
            </w:r>
          </w:p>
        </w:tc>
        <w:tc>
          <w:tcPr>
            <w:tcW w:w="3000" w:type="dxa"/>
            <w:vAlign w:val="bottom"/>
          </w:tcPr>
          <w:p>
            <w:pPr>
              <w:jc w:val="center"/>
              <w:ind w:left="1790"/>
              <w:spacing w:after="0"/>
              <w:rPr>
                <w:sz w:val="20"/>
                <w:szCs w:val="20"/>
                <w:color w:val="auto"/>
              </w:rPr>
            </w:pPr>
            <w:r>
              <w:rPr>
                <w:rFonts w:ascii="Arial" w:cs="Arial" w:eastAsia="Arial" w:hAnsi="Arial"/>
                <w:sz w:val="18"/>
                <w:szCs w:val="18"/>
                <w:color w:val="auto"/>
                <w:w w:val="88"/>
              </w:rPr>
              <w:t>$1.24</w:t>
            </w:r>
          </w:p>
        </w:tc>
        <w:tc>
          <w:tcPr>
            <w:tcW w:w="860" w:type="dxa"/>
            <w:vAlign w:val="bottom"/>
          </w:tcPr>
          <w:p>
            <w:pPr>
              <w:jc w:val="center"/>
              <w:ind w:left="150"/>
              <w:spacing w:after="0"/>
              <w:rPr>
                <w:sz w:val="20"/>
                <w:szCs w:val="20"/>
                <w:color w:val="auto"/>
              </w:rPr>
            </w:pPr>
            <w:r>
              <w:rPr>
                <w:rFonts w:ascii="Arial" w:cs="Arial" w:eastAsia="Arial" w:hAnsi="Arial"/>
                <w:sz w:val="18"/>
                <w:szCs w:val="18"/>
                <w:color w:val="auto"/>
                <w:w w:val="93"/>
              </w:rPr>
              <w:t>$0.56</w:t>
            </w:r>
          </w:p>
        </w:tc>
      </w:tr>
      <w:tr>
        <w:trPr>
          <w:trHeight w:val="270"/>
        </w:trPr>
        <w:tc>
          <w:tcPr>
            <w:tcW w:w="7200" w:type="dxa"/>
            <w:vAlign w:val="bottom"/>
          </w:tcPr>
          <w:p>
            <w:pPr>
              <w:ind w:left="140"/>
              <w:spacing w:after="0"/>
              <w:rPr>
                <w:sz w:val="20"/>
                <w:szCs w:val="20"/>
                <w:color w:val="auto"/>
              </w:rPr>
            </w:pPr>
            <w:r>
              <w:rPr>
                <w:rFonts w:ascii="Arial" w:cs="Arial" w:eastAsia="Arial" w:hAnsi="Arial"/>
                <w:sz w:val="18"/>
                <w:szCs w:val="18"/>
                <w:b w:val="1"/>
                <w:bCs w:val="1"/>
                <w:color w:val="auto"/>
              </w:rPr>
              <w:t>Impact of special items on EPS diluted</w:t>
            </w:r>
          </w:p>
        </w:tc>
        <w:tc>
          <w:tcPr>
            <w:tcW w:w="3000" w:type="dxa"/>
            <w:vAlign w:val="bottom"/>
          </w:tcPr>
          <w:p>
            <w:pPr>
              <w:jc w:val="center"/>
              <w:ind w:left="1790"/>
              <w:spacing w:after="0"/>
              <w:rPr>
                <w:sz w:val="20"/>
                <w:szCs w:val="20"/>
                <w:color w:val="auto"/>
              </w:rPr>
            </w:pPr>
            <w:r>
              <w:rPr>
                <w:rFonts w:ascii="Arial" w:cs="Arial" w:eastAsia="Arial" w:hAnsi="Arial"/>
                <w:sz w:val="18"/>
                <w:szCs w:val="18"/>
                <w:color w:val="auto"/>
                <w:w w:val="91"/>
              </w:rPr>
              <w:t>$(0.02)</w:t>
            </w:r>
          </w:p>
        </w:tc>
        <w:tc>
          <w:tcPr>
            <w:tcW w:w="860" w:type="dxa"/>
            <w:vAlign w:val="bottom"/>
          </w:tcPr>
          <w:p>
            <w:pPr>
              <w:jc w:val="center"/>
              <w:ind w:left="150"/>
              <w:spacing w:after="0"/>
              <w:rPr>
                <w:sz w:val="20"/>
                <w:szCs w:val="20"/>
                <w:color w:val="auto"/>
              </w:rPr>
            </w:pPr>
            <w:r>
              <w:rPr>
                <w:rFonts w:ascii="Arial" w:cs="Arial" w:eastAsia="Arial" w:hAnsi="Arial"/>
                <w:sz w:val="18"/>
                <w:szCs w:val="18"/>
                <w:color w:val="auto"/>
                <w:w w:val="94"/>
              </w:rPr>
              <w:t>$(0.30)</w:t>
            </w:r>
          </w:p>
        </w:tc>
      </w:tr>
      <w:tr>
        <w:trPr>
          <w:trHeight w:val="270"/>
        </w:trPr>
        <w:tc>
          <w:tcPr>
            <w:tcW w:w="7200" w:type="dxa"/>
            <w:vAlign w:val="bottom"/>
          </w:tcPr>
          <w:p>
            <w:pPr>
              <w:ind w:left="140"/>
              <w:spacing w:after="0"/>
              <w:rPr>
                <w:sz w:val="20"/>
                <w:szCs w:val="20"/>
                <w:color w:val="auto"/>
              </w:rPr>
            </w:pPr>
            <w:r>
              <w:rPr>
                <w:rFonts w:ascii="Arial" w:cs="Arial" w:eastAsia="Arial" w:hAnsi="Arial"/>
                <w:sz w:val="18"/>
                <w:szCs w:val="18"/>
                <w:b w:val="1"/>
                <w:bCs w:val="1"/>
                <w:color w:val="auto"/>
              </w:rPr>
              <w:t>EPS diluted - adjusted</w:t>
            </w:r>
          </w:p>
        </w:tc>
        <w:tc>
          <w:tcPr>
            <w:tcW w:w="3000" w:type="dxa"/>
            <w:vAlign w:val="bottom"/>
          </w:tcPr>
          <w:p>
            <w:pPr>
              <w:jc w:val="center"/>
              <w:ind w:left="1790"/>
              <w:spacing w:after="0"/>
              <w:rPr>
                <w:sz w:val="20"/>
                <w:szCs w:val="20"/>
                <w:color w:val="auto"/>
              </w:rPr>
            </w:pPr>
            <w:r>
              <w:rPr>
                <w:rFonts w:ascii="Arial" w:cs="Arial" w:eastAsia="Arial" w:hAnsi="Arial"/>
                <w:sz w:val="18"/>
                <w:szCs w:val="18"/>
                <w:color w:val="auto"/>
                <w:w w:val="88"/>
              </w:rPr>
              <w:t>$1.26</w:t>
            </w:r>
          </w:p>
        </w:tc>
        <w:tc>
          <w:tcPr>
            <w:tcW w:w="860" w:type="dxa"/>
            <w:vAlign w:val="bottom"/>
          </w:tcPr>
          <w:p>
            <w:pPr>
              <w:jc w:val="center"/>
              <w:ind w:left="150"/>
              <w:spacing w:after="0"/>
              <w:rPr>
                <w:sz w:val="20"/>
                <w:szCs w:val="20"/>
                <w:color w:val="auto"/>
              </w:rPr>
            </w:pPr>
            <w:r>
              <w:rPr>
                <w:rFonts w:ascii="Arial" w:cs="Arial" w:eastAsia="Arial" w:hAnsi="Arial"/>
                <w:sz w:val="18"/>
                <w:szCs w:val="18"/>
                <w:color w:val="auto"/>
                <w:w w:val="93"/>
              </w:rPr>
              <w:t>$0.86</w:t>
            </w:r>
          </w:p>
        </w:tc>
      </w:tr>
      <w:tr>
        <w:trPr>
          <w:trHeight w:val="270"/>
        </w:trPr>
        <w:tc>
          <w:tcPr>
            <w:tcW w:w="7200" w:type="dxa"/>
            <w:vAlign w:val="bottom"/>
          </w:tcPr>
          <w:p>
            <w:pPr>
              <w:ind w:left="140"/>
              <w:spacing w:after="0"/>
              <w:rPr>
                <w:sz w:val="20"/>
                <w:szCs w:val="20"/>
                <w:color w:val="auto"/>
              </w:rPr>
            </w:pPr>
            <w:r>
              <w:rPr>
                <w:rFonts w:ascii="Arial" w:cs="Arial" w:eastAsia="Arial" w:hAnsi="Arial"/>
                <w:sz w:val="18"/>
                <w:szCs w:val="18"/>
                <w:b w:val="1"/>
                <w:bCs w:val="1"/>
                <w:color w:val="auto"/>
              </w:rPr>
              <w:t>EBIT-adjusted</w:t>
            </w:r>
          </w:p>
        </w:tc>
        <w:tc>
          <w:tcPr>
            <w:tcW w:w="3000" w:type="dxa"/>
            <w:vAlign w:val="bottom"/>
          </w:tcPr>
          <w:p>
            <w:pPr>
              <w:jc w:val="center"/>
              <w:ind w:left="1790"/>
              <w:spacing w:after="0"/>
              <w:rPr>
                <w:sz w:val="20"/>
                <w:szCs w:val="20"/>
                <w:color w:val="auto"/>
              </w:rPr>
            </w:pPr>
            <w:r>
              <w:rPr>
                <w:rFonts w:ascii="Arial" w:cs="Arial" w:eastAsia="Arial" w:hAnsi="Arial"/>
                <w:sz w:val="18"/>
                <w:szCs w:val="18"/>
                <w:color w:val="auto"/>
                <w:w w:val="91"/>
              </w:rPr>
              <w:t>$2.7</w:t>
            </w:r>
          </w:p>
        </w:tc>
        <w:tc>
          <w:tcPr>
            <w:tcW w:w="860" w:type="dxa"/>
            <w:vAlign w:val="bottom"/>
          </w:tcPr>
          <w:p>
            <w:pPr>
              <w:jc w:val="center"/>
              <w:ind w:left="150"/>
              <w:spacing w:after="0"/>
              <w:rPr>
                <w:sz w:val="20"/>
                <w:szCs w:val="20"/>
                <w:color w:val="auto"/>
              </w:rPr>
            </w:pPr>
            <w:r>
              <w:rPr>
                <w:rFonts w:ascii="Arial" w:cs="Arial" w:eastAsia="Arial" w:hAnsi="Arial"/>
                <w:sz w:val="18"/>
                <w:szCs w:val="18"/>
                <w:color w:val="auto"/>
                <w:w w:val="85"/>
              </w:rPr>
              <w:t>$2.1</w:t>
            </w:r>
          </w:p>
        </w:tc>
      </w:tr>
      <w:tr>
        <w:trPr>
          <w:trHeight w:val="270"/>
        </w:trPr>
        <w:tc>
          <w:tcPr>
            <w:tcW w:w="7200" w:type="dxa"/>
            <w:vAlign w:val="bottom"/>
          </w:tcPr>
          <w:p>
            <w:pPr>
              <w:ind w:left="140"/>
              <w:spacing w:after="0"/>
              <w:rPr>
                <w:sz w:val="20"/>
                <w:szCs w:val="20"/>
                <w:color w:val="auto"/>
              </w:rPr>
            </w:pPr>
            <w:r>
              <w:rPr>
                <w:rFonts w:ascii="Arial" w:cs="Arial" w:eastAsia="Arial" w:hAnsi="Arial"/>
                <w:sz w:val="18"/>
                <w:szCs w:val="18"/>
                <w:b w:val="1"/>
                <w:bCs w:val="1"/>
                <w:color w:val="auto"/>
              </w:rPr>
              <w:t>% EBIT-adjusted margin</w:t>
            </w:r>
          </w:p>
        </w:tc>
        <w:tc>
          <w:tcPr>
            <w:tcW w:w="3000" w:type="dxa"/>
            <w:vAlign w:val="bottom"/>
          </w:tcPr>
          <w:p>
            <w:pPr>
              <w:jc w:val="center"/>
              <w:ind w:left="1770"/>
              <w:spacing w:after="0"/>
              <w:rPr>
                <w:sz w:val="20"/>
                <w:szCs w:val="20"/>
                <w:color w:val="auto"/>
              </w:rPr>
            </w:pPr>
            <w:r>
              <w:rPr>
                <w:rFonts w:ascii="Arial" w:cs="Arial" w:eastAsia="Arial" w:hAnsi="Arial"/>
                <w:sz w:val="18"/>
                <w:szCs w:val="18"/>
                <w:color w:val="auto"/>
                <w:w w:val="87"/>
              </w:rPr>
              <w:t>7.1</w:t>
            </w:r>
          </w:p>
        </w:tc>
        <w:tc>
          <w:tcPr>
            <w:tcW w:w="860" w:type="dxa"/>
            <w:vAlign w:val="bottom"/>
          </w:tcPr>
          <w:p>
            <w:pPr>
              <w:jc w:val="center"/>
              <w:ind w:left="150"/>
              <w:spacing w:after="0"/>
              <w:rPr>
                <w:sz w:val="20"/>
                <w:szCs w:val="20"/>
                <w:color w:val="auto"/>
              </w:rPr>
            </w:pPr>
            <w:r>
              <w:rPr>
                <w:rFonts w:ascii="Arial" w:cs="Arial" w:eastAsia="Arial" w:hAnsi="Arial"/>
                <w:sz w:val="18"/>
                <w:szCs w:val="18"/>
                <w:color w:val="auto"/>
                <w:w w:val="87"/>
              </w:rPr>
              <w:t>5.8</w:t>
            </w:r>
          </w:p>
        </w:tc>
      </w:tr>
      <w:tr>
        <w:trPr>
          <w:trHeight w:val="270"/>
        </w:trPr>
        <w:tc>
          <w:tcPr>
            <w:tcW w:w="7200" w:type="dxa"/>
            <w:vAlign w:val="bottom"/>
          </w:tcPr>
          <w:p>
            <w:pPr>
              <w:ind w:left="140"/>
              <w:spacing w:after="0"/>
              <w:rPr>
                <w:sz w:val="20"/>
                <w:szCs w:val="20"/>
                <w:color w:val="auto"/>
              </w:rPr>
            </w:pPr>
            <w:r>
              <w:rPr>
                <w:rFonts w:ascii="Arial" w:cs="Arial" w:eastAsia="Arial" w:hAnsi="Arial"/>
                <w:sz w:val="18"/>
                <w:szCs w:val="18"/>
                <w:b w:val="1"/>
                <w:bCs w:val="1"/>
                <w:color w:val="auto"/>
              </w:rPr>
              <w:t>Automotive net cash flow from operating activities</w:t>
            </w:r>
          </w:p>
        </w:tc>
        <w:tc>
          <w:tcPr>
            <w:tcW w:w="3000" w:type="dxa"/>
            <w:vAlign w:val="bottom"/>
          </w:tcPr>
          <w:p>
            <w:pPr>
              <w:jc w:val="center"/>
              <w:ind w:left="1790"/>
              <w:spacing w:after="0"/>
              <w:rPr>
                <w:sz w:val="20"/>
                <w:szCs w:val="20"/>
                <w:color w:val="auto"/>
              </w:rPr>
            </w:pPr>
            <w:r>
              <w:rPr>
                <w:rFonts w:ascii="Arial" w:cs="Arial" w:eastAsia="Arial" w:hAnsi="Arial"/>
                <w:sz w:val="18"/>
                <w:szCs w:val="18"/>
                <w:color w:val="auto"/>
                <w:w w:val="93"/>
              </w:rPr>
              <w:t>$(0.7)</w:t>
            </w:r>
          </w:p>
        </w:tc>
        <w:tc>
          <w:tcPr>
            <w:tcW w:w="860" w:type="dxa"/>
            <w:vAlign w:val="bottom"/>
          </w:tcPr>
          <w:p>
            <w:pPr>
              <w:jc w:val="center"/>
              <w:ind w:left="150"/>
              <w:spacing w:after="0"/>
              <w:rPr>
                <w:sz w:val="20"/>
                <w:szCs w:val="20"/>
                <w:color w:val="auto"/>
              </w:rPr>
            </w:pPr>
            <w:r>
              <w:rPr>
                <w:rFonts w:ascii="Arial" w:cs="Arial" w:eastAsia="Arial" w:hAnsi="Arial"/>
                <w:sz w:val="18"/>
                <w:szCs w:val="18"/>
                <w:color w:val="auto"/>
                <w:w w:val="85"/>
              </w:rPr>
              <w:t>$0.0</w:t>
            </w:r>
          </w:p>
        </w:tc>
      </w:tr>
      <w:tr>
        <w:trPr>
          <w:trHeight w:val="270"/>
        </w:trPr>
        <w:tc>
          <w:tcPr>
            <w:tcW w:w="7200" w:type="dxa"/>
            <w:vAlign w:val="bottom"/>
          </w:tcPr>
          <w:p>
            <w:pPr>
              <w:ind w:left="140"/>
              <w:spacing w:after="0"/>
              <w:rPr>
                <w:sz w:val="20"/>
                <w:szCs w:val="20"/>
                <w:color w:val="auto"/>
              </w:rPr>
            </w:pPr>
            <w:r>
              <w:rPr>
                <w:rFonts w:ascii="Arial" w:cs="Arial" w:eastAsia="Arial" w:hAnsi="Arial"/>
                <w:sz w:val="18"/>
                <w:szCs w:val="18"/>
                <w:b w:val="1"/>
                <w:bCs w:val="1"/>
                <w:color w:val="auto"/>
              </w:rPr>
              <w:t>Adjusted automotive free cash flow</w:t>
            </w:r>
          </w:p>
        </w:tc>
        <w:tc>
          <w:tcPr>
            <w:tcW w:w="3000" w:type="dxa"/>
            <w:vAlign w:val="bottom"/>
          </w:tcPr>
          <w:p>
            <w:pPr>
              <w:jc w:val="center"/>
              <w:ind w:left="1790"/>
              <w:spacing w:after="0"/>
              <w:rPr>
                <w:sz w:val="20"/>
                <w:szCs w:val="20"/>
                <w:color w:val="auto"/>
              </w:rPr>
            </w:pPr>
            <w:r>
              <w:rPr>
                <w:rFonts w:ascii="Arial" w:cs="Arial" w:eastAsia="Arial" w:hAnsi="Arial"/>
                <w:sz w:val="18"/>
                <w:szCs w:val="18"/>
                <w:color w:val="auto"/>
                <w:w w:val="93"/>
              </w:rPr>
              <w:t>$(1.5)</w:t>
            </w:r>
          </w:p>
        </w:tc>
        <w:tc>
          <w:tcPr>
            <w:tcW w:w="860" w:type="dxa"/>
            <w:vAlign w:val="bottom"/>
          </w:tcPr>
          <w:p>
            <w:pPr>
              <w:jc w:val="center"/>
              <w:ind w:left="150"/>
              <w:spacing w:after="0"/>
              <w:rPr>
                <w:sz w:val="20"/>
                <w:szCs w:val="20"/>
                <w:color w:val="auto"/>
              </w:rPr>
            </w:pPr>
            <w:r>
              <w:rPr>
                <w:rFonts w:ascii="Arial" w:cs="Arial" w:eastAsia="Arial" w:hAnsi="Arial"/>
                <w:sz w:val="18"/>
                <w:szCs w:val="18"/>
                <w:color w:val="auto"/>
                <w:w w:val="89"/>
              </w:rPr>
              <w:t>$(1.7)</w:t>
            </w:r>
          </w:p>
        </w:tc>
      </w:tr>
      <w:tr>
        <w:trPr>
          <w:trHeight w:val="270"/>
        </w:trPr>
        <w:tc>
          <w:tcPr>
            <w:tcW w:w="7200" w:type="dxa"/>
            <w:vAlign w:val="bottom"/>
          </w:tcPr>
          <w:p>
            <w:pPr>
              <w:ind w:left="140"/>
              <w:spacing w:after="0"/>
              <w:rPr>
                <w:sz w:val="20"/>
                <w:szCs w:val="20"/>
                <w:color w:val="auto"/>
              </w:rPr>
            </w:pPr>
            <w:r>
              <w:rPr>
                <w:rFonts w:ascii="Arial" w:cs="Arial" w:eastAsia="Arial" w:hAnsi="Arial"/>
                <w:sz w:val="18"/>
                <w:szCs w:val="18"/>
                <w:b w:val="1"/>
                <w:bCs w:val="1"/>
                <w:color w:val="auto"/>
              </w:rPr>
              <w:t>% Return on Invested Capital (ROIC)</w:t>
            </w:r>
          </w:p>
        </w:tc>
        <w:tc>
          <w:tcPr>
            <w:tcW w:w="3000" w:type="dxa"/>
            <w:vAlign w:val="bottom"/>
          </w:tcPr>
          <w:p>
            <w:pPr>
              <w:jc w:val="center"/>
              <w:ind w:left="1790"/>
              <w:spacing w:after="0"/>
              <w:rPr>
                <w:sz w:val="20"/>
                <w:szCs w:val="20"/>
                <w:color w:val="auto"/>
              </w:rPr>
            </w:pPr>
            <w:r>
              <w:rPr>
                <w:rFonts w:ascii="Arial" w:cs="Arial" w:eastAsia="Arial" w:hAnsi="Arial"/>
                <w:sz w:val="18"/>
                <w:szCs w:val="18"/>
                <w:color w:val="auto"/>
                <w:w w:val="91"/>
              </w:rPr>
              <w:t>28.5</w:t>
            </w:r>
          </w:p>
        </w:tc>
        <w:tc>
          <w:tcPr>
            <w:tcW w:w="860" w:type="dxa"/>
            <w:vAlign w:val="bottom"/>
          </w:tcPr>
          <w:p>
            <w:pPr>
              <w:jc w:val="center"/>
              <w:ind w:left="150"/>
              <w:spacing w:after="0"/>
              <w:rPr>
                <w:sz w:val="20"/>
                <w:szCs w:val="20"/>
                <w:color w:val="auto"/>
              </w:rPr>
            </w:pPr>
            <w:r>
              <w:rPr>
                <w:rFonts w:ascii="Arial" w:cs="Arial" w:eastAsia="Arial" w:hAnsi="Arial"/>
                <w:sz w:val="18"/>
                <w:szCs w:val="18"/>
                <w:color w:val="auto"/>
                <w:w w:val="85"/>
              </w:rPr>
              <w:t>19.5</w:t>
            </w:r>
          </w:p>
        </w:tc>
      </w:tr>
    </w:tbl>
    <w:p>
      <w:pPr>
        <w:sectPr>
          <w:pgSz w:w="11900" w:h="16838" w:orient="portrait"/>
          <w:cols w:equalWidth="0" w:num="1">
            <w:col w:w="11420"/>
          </w:cols>
          <w:pgMar w:left="240" w:top="126"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Segment EBIT-Adjusted Results</w:t>
      </w:r>
    </w:p>
    <w:p>
      <w:pPr>
        <w:spacing w:after="0" w:line="222" w:lineRule="exact"/>
        <w:rPr>
          <w:sz w:val="20"/>
          <w:szCs w:val="20"/>
          <w:color w:val="auto"/>
        </w:rPr>
      </w:pPr>
    </w:p>
    <w:p>
      <w:pPr>
        <w:ind w:left="660" w:right="60" w:hanging="328"/>
        <w:spacing w:after="0" w:line="24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North America reported first-quarter record EBIT-adjusted of $2.3 billion, which includes $0.2 billion for restructuring costs. This compares with $2.2 billion in the first quarter of 2015.</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Europe reported EBIT-adjusted break-even results compared with $(0.2) billion in the first quarter of 2015.</w:t>
      </w:r>
    </w:p>
    <w:p>
      <w:pPr>
        <w:ind w:left="660" w:right="36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International Operations reported EBIT-adjusted of $0.4 billion compared with $0.4 billion in the first quarter of 2015. Results included China equity income of $0.5 billion in both periods.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South America reported EBIT-adjusted of $(0.1) billion compared with $(0.2) billion in the first quarter of 2015.</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Financial reported earnings before tax of $0.2 billion, about equal to a year ago.</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and Liquidity</w:t>
      </w:r>
    </w:p>
    <w:p>
      <w:pPr>
        <w:spacing w:after="0" w:line="235"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For the quarter, automotive cash flow from operating activities was $(0.7) billion. Adjusted automotive free cash flow was $(1.5) billion, improved from $(1.7) billion in the first quarter of 2015. GM ended the quarter with total automotive liquidity of $30.6 billion, and automotive cash and marketable securities of $18.5 billion.</w:t>
      </w:r>
    </w:p>
    <w:p>
      <w:pPr>
        <w:spacing w:after="0" w:line="186" w:lineRule="exact"/>
        <w:rPr>
          <w:sz w:val="20"/>
          <w:szCs w:val="20"/>
          <w:color w:val="auto"/>
        </w:rPr>
      </w:pPr>
    </w:p>
    <w:p>
      <w:pPr>
        <w:ind w:right="740"/>
        <w:spacing w:after="0" w:line="260" w:lineRule="auto"/>
        <w:rPr>
          <w:sz w:val="20"/>
          <w:szCs w:val="20"/>
          <w:color w:val="auto"/>
        </w:rPr>
      </w:pPr>
      <w:r>
        <w:rPr>
          <w:rFonts w:ascii="Arial" w:cs="Arial" w:eastAsia="Arial" w:hAnsi="Arial"/>
          <w:sz w:val="20"/>
          <w:szCs w:val="20"/>
          <w:color w:val="auto"/>
        </w:rPr>
        <w:t>Year-to-date through March 31, GM has returned approximately $0.9 billion of cash to shareholders through share repurchases of $0.3 billion and dividends of $0.6 billion.</w:t>
      </w:r>
    </w:p>
    <w:p>
      <w:pPr>
        <w:spacing w:after="0" w:line="177" w:lineRule="exact"/>
        <w:rPr>
          <w:sz w:val="20"/>
          <w:szCs w:val="20"/>
          <w:color w:val="auto"/>
        </w:rPr>
      </w:pPr>
    </w:p>
    <w:p>
      <w:pPr>
        <w:ind w:right="780"/>
        <w:spacing w:after="0" w:line="260" w:lineRule="auto"/>
        <w:rPr>
          <w:sz w:val="20"/>
          <w:szCs w:val="20"/>
          <w:color w:val="auto"/>
        </w:rPr>
      </w:pPr>
      <w:r>
        <w:rPr>
          <w:rFonts w:ascii="Arial" w:cs="Arial" w:eastAsia="Arial" w:hAnsi="Arial"/>
          <w:sz w:val="20"/>
          <w:szCs w:val="20"/>
          <w:color w:val="auto"/>
        </w:rPr>
        <w:t>“The quarter was a great start to a year in which we anticipate strong growth in earnings and free cash flow," said Chuck Stevens, GM executive vice president and chief financial officer.</w:t>
      </w:r>
    </w:p>
    <w:p>
      <w:pPr>
        <w:spacing w:after="0" w:line="17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r>
        <w:rPr>
          <w:rFonts w:ascii="Arial" w:cs="Arial" w:eastAsia="Arial" w:hAnsi="Arial"/>
          <w:sz w:val="18"/>
          <w:szCs w:val="18"/>
          <w:color w:val="auto"/>
        </w:rPr>
        <w: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460" w:type="dxa"/>
            <w:vAlign w:val="bottom"/>
            <w:gridSpan w:val="2"/>
          </w:tcPr>
          <w:p>
            <w:pPr>
              <w:jc w:val="right"/>
              <w:ind w:right="1540"/>
              <w:spacing w:after="0"/>
              <w:rPr>
                <w:sz w:val="20"/>
                <w:szCs w:val="20"/>
                <w:color w:val="auto"/>
              </w:rPr>
            </w:pPr>
            <w:r>
              <w:rPr>
                <w:rFonts w:ascii="Arial" w:cs="Arial" w:eastAsia="Arial" w:hAnsi="Arial"/>
                <w:sz w:val="20"/>
                <w:szCs w:val="20"/>
                <w:color w:val="auto"/>
              </w:rPr>
              <w:t># # #</w:t>
            </w:r>
          </w:p>
        </w:tc>
      </w:tr>
      <w:tr>
        <w:trPr>
          <w:trHeight w:val="428"/>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7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64"/>
        </w:trPr>
        <w:tc>
          <w:tcPr>
            <w:tcW w:w="420" w:type="dxa"/>
            <w:vAlign w:val="bottom"/>
          </w:tcPr>
          <w:p>
            <w:pPr>
              <w:spacing w:after="0"/>
              <w:rPr>
                <w:sz w:val="24"/>
                <w:szCs w:val="24"/>
                <w:color w:val="auto"/>
              </w:rPr>
            </w:pPr>
          </w:p>
        </w:tc>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Media:</w:t>
            </w:r>
          </w:p>
        </w:tc>
        <w:tc>
          <w:tcPr>
            <w:tcW w:w="3460" w:type="dxa"/>
            <w:vAlign w:val="bottom"/>
            <w:gridSpan w:val="2"/>
          </w:tcPr>
          <w:p>
            <w:pPr>
              <w:ind w:left="1700"/>
              <w:spacing w:after="0"/>
              <w:rPr>
                <w:sz w:val="20"/>
                <w:szCs w:val="20"/>
                <w:color w:val="auto"/>
              </w:rPr>
            </w:pPr>
            <w:r>
              <w:rPr>
                <w:rFonts w:ascii="Arial" w:cs="Arial" w:eastAsia="Arial" w:hAnsi="Arial"/>
                <w:sz w:val="18"/>
                <w:szCs w:val="18"/>
                <w:b w:val="1"/>
                <w:bCs w:val="1"/>
                <w:color w:val="auto"/>
              </w:rPr>
              <w:t>Investors:</w:t>
            </w:r>
          </w:p>
        </w:tc>
      </w:tr>
      <w:tr>
        <w:trPr>
          <w:trHeight w:val="216"/>
        </w:trPr>
        <w:tc>
          <w:tcPr>
            <w:tcW w:w="4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Tom Henderson</w:t>
            </w:r>
          </w:p>
        </w:tc>
        <w:tc>
          <w:tcPr>
            <w:tcW w:w="3460" w:type="dxa"/>
            <w:vAlign w:val="bottom"/>
            <w:gridSpan w:val="2"/>
          </w:tcPr>
          <w:p>
            <w:pPr>
              <w:ind w:left="1700"/>
              <w:spacing w:after="0"/>
              <w:rPr>
                <w:sz w:val="20"/>
                <w:szCs w:val="20"/>
                <w:color w:val="auto"/>
              </w:rPr>
            </w:pPr>
            <w:r>
              <w:rPr>
                <w:rFonts w:ascii="Arial" w:cs="Arial" w:eastAsia="Arial" w:hAnsi="Arial"/>
                <w:sz w:val="18"/>
                <w:szCs w:val="18"/>
                <w:color w:val="auto"/>
              </w:rPr>
              <w:t>Randy Arickx</w:t>
            </w:r>
          </w:p>
        </w:tc>
      </w:tr>
      <w:tr>
        <w:trPr>
          <w:trHeight w:val="216"/>
        </w:trPr>
        <w:tc>
          <w:tcPr>
            <w:tcW w:w="4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GM Finance Communications</w:t>
            </w:r>
          </w:p>
        </w:tc>
        <w:tc>
          <w:tcPr>
            <w:tcW w:w="3460" w:type="dxa"/>
            <w:vAlign w:val="bottom"/>
            <w:gridSpan w:val="2"/>
          </w:tcPr>
          <w:p>
            <w:pPr>
              <w:ind w:left="1700"/>
              <w:spacing w:after="0"/>
              <w:rPr>
                <w:sz w:val="20"/>
                <w:szCs w:val="20"/>
                <w:color w:val="auto"/>
              </w:rPr>
            </w:pPr>
            <w:r>
              <w:rPr>
                <w:rFonts w:ascii="Arial" w:cs="Arial" w:eastAsia="Arial" w:hAnsi="Arial"/>
                <w:sz w:val="18"/>
                <w:szCs w:val="18"/>
                <w:color w:val="auto"/>
                <w:w w:val="97"/>
              </w:rPr>
              <w:t>GM Investor Relations</w:t>
            </w:r>
          </w:p>
        </w:tc>
      </w:tr>
      <w:tr>
        <w:trPr>
          <w:trHeight w:val="216"/>
        </w:trPr>
        <w:tc>
          <w:tcPr>
            <w:tcW w:w="2360" w:type="dxa"/>
            <w:vAlign w:val="bottom"/>
            <w:gridSpan w:val="2"/>
          </w:tcPr>
          <w:p>
            <w:pPr>
              <w:ind w:left="420"/>
              <w:spacing w:after="0"/>
              <w:rPr>
                <w:sz w:val="20"/>
                <w:szCs w:val="20"/>
                <w:color w:val="auto"/>
              </w:rPr>
            </w:pPr>
            <w:r>
              <w:rPr>
                <w:rFonts w:ascii="Arial" w:cs="Arial" w:eastAsia="Arial" w:hAnsi="Arial"/>
                <w:sz w:val="18"/>
                <w:szCs w:val="18"/>
                <w:color w:val="auto"/>
              </w:rPr>
              <w:t>313-410-2704</w:t>
            </w:r>
          </w:p>
        </w:tc>
        <w:tc>
          <w:tcPr>
            <w:tcW w:w="1680" w:type="dxa"/>
            <w:vAlign w:val="bottom"/>
          </w:tcPr>
          <w:p>
            <w:pPr>
              <w:spacing w:after="0"/>
              <w:rPr>
                <w:sz w:val="18"/>
                <w:szCs w:val="18"/>
                <w:color w:val="auto"/>
              </w:rPr>
            </w:pPr>
          </w:p>
        </w:tc>
        <w:tc>
          <w:tcPr>
            <w:tcW w:w="3460" w:type="dxa"/>
            <w:vAlign w:val="bottom"/>
            <w:gridSpan w:val="2"/>
          </w:tcPr>
          <w:p>
            <w:pPr>
              <w:ind w:left="1700"/>
              <w:spacing w:after="0"/>
              <w:rPr>
                <w:sz w:val="20"/>
                <w:szCs w:val="20"/>
                <w:color w:val="auto"/>
              </w:rPr>
            </w:pPr>
            <w:r>
              <w:rPr>
                <w:rFonts w:ascii="Arial" w:cs="Arial" w:eastAsia="Arial" w:hAnsi="Arial"/>
                <w:sz w:val="18"/>
                <w:szCs w:val="18"/>
                <w:color w:val="auto"/>
              </w:rPr>
              <w:t>313-268-7070</w:t>
            </w:r>
          </w:p>
        </w:tc>
      </w:tr>
      <w:tr>
        <w:trPr>
          <w:trHeight w:val="190"/>
        </w:trPr>
        <w:tc>
          <w:tcPr>
            <w:tcW w:w="420" w:type="dxa"/>
            <w:vAlign w:val="bottom"/>
          </w:tcPr>
          <w:p>
            <w:pPr>
              <w:spacing w:after="0"/>
              <w:rPr>
                <w:sz w:val="16"/>
                <w:szCs w:val="16"/>
                <w:color w:val="auto"/>
              </w:rPr>
            </w:pPr>
          </w:p>
        </w:tc>
        <w:tc>
          <w:tcPr>
            <w:tcW w:w="3620" w:type="dxa"/>
            <w:vAlign w:val="bottom"/>
            <w:gridSpan w:val="2"/>
          </w:tcPr>
          <w:p>
            <w:pPr>
              <w:spacing w:after="0" w:line="190" w:lineRule="exact"/>
              <w:rPr>
                <w:sz w:val="20"/>
                <w:szCs w:val="20"/>
                <w:color w:val="auto"/>
              </w:rPr>
            </w:pPr>
            <w:r>
              <w:rPr>
                <w:rFonts w:ascii="Arial" w:cs="Arial" w:eastAsia="Arial" w:hAnsi="Arial"/>
                <w:sz w:val="18"/>
                <w:szCs w:val="18"/>
                <w:color w:val="0000FF"/>
              </w:rPr>
              <w:t>tom.e.henderson@gm.com</w:t>
            </w:r>
          </w:p>
        </w:tc>
        <w:tc>
          <w:tcPr>
            <w:tcW w:w="3460" w:type="dxa"/>
            <w:vAlign w:val="bottom"/>
            <w:gridSpan w:val="2"/>
          </w:tcPr>
          <w:p>
            <w:pPr>
              <w:ind w:left="1700"/>
              <w:spacing w:after="0" w:line="190" w:lineRule="exact"/>
              <w:rPr>
                <w:sz w:val="20"/>
                <w:szCs w:val="20"/>
                <w:color w:val="auto"/>
              </w:rPr>
            </w:pPr>
            <w:r>
              <w:rPr>
                <w:rFonts w:ascii="Arial" w:cs="Arial" w:eastAsia="Arial" w:hAnsi="Arial"/>
                <w:sz w:val="18"/>
                <w:szCs w:val="18"/>
                <w:color w:val="0000FF"/>
                <w:w w:val="89"/>
              </w:rPr>
              <w:t>randy.c.arickx@gm.com</w:t>
            </w:r>
          </w:p>
        </w:tc>
      </w:tr>
      <w:tr>
        <w:trPr>
          <w:trHeight w:val="20"/>
        </w:trPr>
        <w:tc>
          <w:tcPr>
            <w:tcW w:w="42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this press release and related comments by management, and in reports we subsequently file and have previously filed with the SEC on Forms 10-K and 10-Q and file or furnish on Form 8-K, and in related comments by our management, we use words like “anticipate,” “appears,” “approximately,” “believe,” “continue,” “could,” “designed,” “effect,” “estimate,” “evaluate,” “expect,” “forecast,” “goal,” “initiative,” “intend,” “may,” “objective,” “outlook,” “plan,” “potential,” “priorities,” “project,” “pursue,” “seek,” “will,” “should,” “target,”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(1) our ability to maintain profitability over the long-term, including our ability to fund and introduce new and improved vehicle models that are able to attract a sufficient number of consumers; (2) the success of our full-size pick-up trucks and SUVs; (3) global automobile market sales volume, which can be volatile; (4) the results of our joint ventures, which we cannot operate solely for our benefit and over which we may have limited control; (5) our ability to realize production efficiencies and to achieve reductions in costs as we implement operating effectiveness initiatives throughout our automotive operations; (6) our ability to maintain quality</w:t>
      </w:r>
    </w:p>
    <w:p>
      <w:pPr>
        <w:sectPr>
          <w:pgSz w:w="11900" w:h="16838" w:orient="portrait"/>
          <w:cols w:equalWidth="0" w:num="1">
            <w:col w:w="11400"/>
          </w:cols>
          <w:pgMar w:left="240" w:top="360" w:right="259" w:bottom="1440" w:gutter="0" w:footer="0" w:header="0"/>
        </w:sectPr>
      </w:pPr>
    </w:p>
    <w:bookmarkStart w:id="5" w:name="page6"/>
    <w:bookmarkEnd w:id="5"/>
    <w:p>
      <w:pPr>
        <w:spacing w:after="0" w:line="284" w:lineRule="auto"/>
        <w:rPr>
          <w:sz w:val="20"/>
          <w:szCs w:val="20"/>
          <w:color w:val="auto"/>
        </w:rPr>
      </w:pPr>
      <w:r>
        <w:rPr>
          <w:rFonts w:ascii="Arial" w:cs="Arial" w:eastAsia="Arial" w:hAnsi="Arial"/>
          <w:sz w:val="16"/>
          <w:szCs w:val="16"/>
          <w:color w:val="auto"/>
        </w:rPr>
        <w:t>control over our vehicles and avoid material vehicle recalls and the cost and effect on our reputation and products; (7) our ability to maintain adequate liquidity and financing sources including as required to fund our new technology; (8) our ability to realize successful vehicle applications of new technology and our ability to deliver new products, services and customer experiences in response to new participants in the automotive industry; (9) volatility in the price of oil; (10) the ability of our suppliers to deliver parts, systems and components without disruption and at such times to allow us to meet production schedules; (11) risks associated with our manufacturing facilities around the world; (12) our ability to manage the distribution channels for our products; (13) our ability to successfully restructure our operations in various countries; (14) the continued availability of wholesale and retail financing in markets in which we operate to support the sale of our vehicles, which is dependent on those entities' ability to obtain funding and their continued willingness to provide financing; (15) changes in economic conditions, commodity prices, housing prices, foreign currency exchange rates or political stability in the markets in which we operate; (16) significant changes in the competitive environment, including the effect of competition and excess manufacturing capacity in our markets, on our pricing policies or use of incentives and the introduction of new and improved vehicle models by our competitors; (17) significant changes in economic, political, regulatory environment and market conditions in China, including the effect of competition from new market entrants, on our vehicle sales and market position in China; (18) changes in existing, or the adoption of new, laws, regulations, policies or other activities of governments, agencies and similar organizations, particularly laws, regulations and policies relating to vehicle safety including recalls, and including such actions that may affect the production, licensing, distribution or sale of our products, the cost thereof or applicable tax rates; (19) stricter or novel interpretations and consequent enforcement of existing laws, regulations and policies; (20) costs and risks associated with litigation and government investigations including the potential imposition of damages, substantial fines, civil lawsuits and criminal penalties, interruptions of business, modification of business practices, equitable remedies and other sanctions against us in connection with various legal proceedings and investigations relating to our various recalls; (21) our ability to comply with the terms of the DPA; (22) our ability to manage risks related to security breaches and other disruptions to our vehicles, information technology networks and systems; (23) significant increases in our pension expense or projected pension contributions resulting from changes in the value of plan assets, the discount rate applied to value the pension liabilities or mortality or other assumption changes; (24) our continued ability to develop captive financing capability through GM Financial; and (25) changes in accounting principles, or their application or interpretation, and our ability to make estimates and the assumptions underlying the estimates, which could have an effect on earnings.</w:t>
      </w:r>
    </w:p>
    <w:p>
      <w:pPr>
        <w:spacing w:after="0" w:line="39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ectPr>
          <w:pgSz w:w="11900" w:h="16838" w:orient="portrait"/>
          <w:cols w:equalWidth="0" w:num="1">
            <w:col w:w="11360"/>
          </w:cols>
          <w:pgMar w:left="240" w:top="368" w:right="299" w:bottom="1440" w:gutter="0" w:footer="0" w:header="0"/>
        </w:sectPr>
      </w:pPr>
    </w:p>
    <w:bookmarkStart w:id="6" w:name="page7"/>
    <w:bookmarkEnd w:id="6"/>
    <w:p>
      <w:pPr>
        <w:jc w:val="center"/>
        <w:ind w:left="980"/>
        <w:spacing w:after="0"/>
        <w:rPr>
          <w:sz w:val="20"/>
          <w:szCs w:val="20"/>
          <w:color w:val="auto"/>
        </w:rPr>
      </w:pPr>
      <w:r>
        <w:rPr>
          <w:rFonts w:ascii="Arial" w:cs="Arial" w:eastAsia="Arial" w:hAnsi="Arial"/>
          <w:sz w:val="18"/>
          <w:szCs w:val="18"/>
          <w:b w:val="1"/>
          <w:bCs w:val="1"/>
          <w:color w:val="auto"/>
        </w:rPr>
        <w:t>Exhibit 1</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i w:val="1"/>
          <w:iCs w:val="1"/>
          <w:color w:val="auto"/>
        </w:rPr>
        <w:t>(Unaudited)</w:t>
      </w:r>
    </w:p>
    <w:p>
      <w:pPr>
        <w:spacing w:after="0" w:line="15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accompanying tables and charts include earnings before interest and taxes adjusted for special items, presented net of noncontrolling interests (EBIT-adjusted), earnings per share (EPS)-diluted-adjusted, return on invested capital (ROIC) and Adjusted automotive free cash flow. These metrics are not prepared in accordance with Accounting Principles Generally Accepted in the United States of America (U.S. GAAP) and have not been audited or reviewed by General Motors Company's (GM) independent auditors. EBIT-adjusted, EPS-diluted-adjusted, ROIC and Adjusted automotive free cash flow are considered non-GAAP financial measures.</w:t>
      </w:r>
    </w:p>
    <w:p>
      <w:pPr>
        <w:spacing w:after="0" w:line="188"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Management uses EBIT-adjusted to review the operating results of GM's automotive segments because it excludes interest income, interest expense and income taxes as well as certain additional adjustments. GM Financial uses income before income taxes-adjusted because management believes interest income and interest expense are part of operating results when assessing and measuring the operational and financial performance of the segment. Examples of adjustments to EBIT and GM Financial's income before income taxes include certain impairment charges related to goodwill, other long-lived assets and investments; certain gains or losses on the settlement/extinguishment of obligations; and gains or losses on the sale of non-core investments.</w:t>
      </w:r>
    </w:p>
    <w:p>
      <w:pPr>
        <w:spacing w:after="0" w:line="15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 uses EPS-diluted-adjusted to review GM's consolidated diluted earnings per share results on a consistent basis. EPS-diluted-adjusted is calculated as net income attributable to common stockholders less certain adjustments noted above for EBIT-adjusted on an after-tax basis as well as certain income tax adjustments divided by weighted-average common shares outstanding – diluted.</w:t>
      </w:r>
    </w:p>
    <w:p>
      <w:pPr>
        <w:spacing w:after="0" w:line="181"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Management uses ROIC to review investment and capital allocation decisions. GM defines ROIC as EBIT-adjusted for the trailing four quarters divided by average net assets, which is considered to be the average equity balances adjusted for certain assets and liabilities during the same period.</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 uses adjusted free cash flow to review the liquidity of GM's automotive operations. GM measures Adjusted automotive free cash flow as cash flow from operations less capital expenditures adjusted for management actions, primarily related to strengthening its balance sheet, such as accrued interest on prepayments of debt and discretionary contributions to employee benefit plans.</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Management uses these non-GAAP measures in its financial and operational decision making processes, for internal reporting and as part of its forecasting and budgeting processes as they provide additional transparency of GM's core operations. These measures allow management and investors to view operating trends, perform analytical comparisons and benchmark performance between periods and among geographic regions.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7" w:name="page8"/>
    <w:bookmarkEnd w:id="7"/>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table reconciles EBIT-adjusted to its most comparable U.S. GAAP measure, Net income attributable to common stockholders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2016</w:t>
            </w:r>
          </w:p>
        </w:tc>
        <w:tc>
          <w:tcPr>
            <w:tcW w:w="200" w:type="dxa"/>
            <w:vAlign w:val="bottom"/>
          </w:tcPr>
          <w:p>
            <w:pPr>
              <w:spacing w:after="0"/>
              <w:rPr>
                <w:sz w:val="22"/>
                <w:szCs w:val="22"/>
                <w:color w:val="auto"/>
              </w:rPr>
            </w:pPr>
          </w:p>
        </w:tc>
        <w:tc>
          <w:tcPr>
            <w:tcW w:w="1380" w:type="dxa"/>
            <w:vAlign w:val="bottom"/>
          </w:tcPr>
          <w:p>
            <w:pPr>
              <w:jc w:val="right"/>
              <w:ind w:right="231"/>
              <w:spacing w:after="0"/>
              <w:rPr>
                <w:sz w:val="20"/>
                <w:szCs w:val="20"/>
                <w:color w:val="auto"/>
              </w:rPr>
            </w:pPr>
            <w:r>
              <w:rPr>
                <w:rFonts w:ascii="Arial" w:cs="Arial" w:eastAsia="Arial" w:hAnsi="Arial"/>
                <w:sz w:val="14"/>
                <w:szCs w:val="14"/>
                <w:b w:val="1"/>
                <w:bCs w:val="1"/>
                <w:color w:val="auto"/>
              </w:rPr>
              <w:t>March 31, 2015</w:t>
            </w:r>
          </w:p>
        </w:tc>
        <w:tc>
          <w:tcPr>
            <w:tcW w:w="0" w:type="dxa"/>
            <w:vAlign w:val="bottom"/>
          </w:tcPr>
          <w:p>
            <w:pPr>
              <w:spacing w:after="0"/>
              <w:rPr>
                <w:sz w:val="1"/>
                <w:szCs w:val="1"/>
                <w:color w:val="auto"/>
              </w:rPr>
            </w:pPr>
          </w:p>
        </w:tc>
      </w:tr>
      <w:tr>
        <w:trPr>
          <w:trHeight w:val="250"/>
        </w:trPr>
        <w:tc>
          <w:tcPr>
            <w:tcW w:w="8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segments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GM North America (GMNA)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2,296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Europe (GME)</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GM International Operations (GMIO)</w:t>
            </w: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South America (GMSA)</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General Motors Financial Company, Inc. (GM Financial)(a)</w:t>
            </w: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operating segments(b)</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Corporate and eliminations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Special items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Automotive interest expense</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57"/>
        </w:trPr>
        <w:tc>
          <w:tcPr>
            <w:tcW w:w="808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1,953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GM Financial amounts represent income before income taxes-adjusted.</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GM's automotive operations' interest income, interest expense and income tax expense are recorded centrally in Corporate.</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three months ended March 31, 2016 special items consisted of charges for legal related matters in Corporate.</w:t>
      </w:r>
    </w:p>
    <w:p>
      <w:pPr>
        <w:spacing w:after="0" w:line="158" w:lineRule="exact"/>
        <w:rPr>
          <w:sz w:val="20"/>
          <w:szCs w:val="20"/>
          <w:color w:val="auto"/>
        </w:rPr>
      </w:pPr>
    </w:p>
    <w:p>
      <w:pPr>
        <w:ind w:firstLine="162"/>
        <w:spacing w:after="0" w:line="308" w:lineRule="auto"/>
        <w:rPr>
          <w:sz w:val="20"/>
          <w:szCs w:val="20"/>
          <w:color w:val="auto"/>
        </w:rPr>
      </w:pPr>
      <w:r>
        <w:rPr>
          <w:rFonts w:ascii="Arial" w:cs="Arial" w:eastAsia="Arial" w:hAnsi="Arial"/>
          <w:sz w:val="17"/>
          <w:szCs w:val="17"/>
          <w:color w:val="auto"/>
        </w:rPr>
        <w:t>In the three months ended March 31, 2015 special items consisted primarily of costs related to the change in GM's business model in Russia in GME and GMIO, which is net of non-controlling interests; and a charge related to the ignition switch recall compensation program in Corporate.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8" w:name="page9"/>
    <w:bookmarkEnd w:id="8"/>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reconciles EPS-diluted-adjusted to its most comparable financial measure under U.S. GAAP, diluted earnings per common share:</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2016</w:t>
            </w:r>
          </w:p>
        </w:tc>
        <w:tc>
          <w:tcPr>
            <w:tcW w:w="220" w:type="dxa"/>
            <w:vAlign w:val="bottom"/>
          </w:tcPr>
          <w:p>
            <w:pPr>
              <w:spacing w:after="0"/>
              <w:rPr>
                <w:sz w:val="22"/>
                <w:szCs w:val="22"/>
                <w:color w:val="auto"/>
              </w:rPr>
            </w:pPr>
          </w:p>
        </w:tc>
        <w:tc>
          <w:tcPr>
            <w:tcW w:w="136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31, 2015</w:t>
            </w:r>
          </w:p>
        </w:tc>
      </w:tr>
      <w:tr>
        <w:trPr>
          <w:trHeight w:val="250"/>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0.56</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Net impact of adjustments(a)</w:t>
            </w:r>
          </w:p>
        </w:tc>
        <w:tc>
          <w:tcPr>
            <w:tcW w:w="22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0.30</w:t>
            </w:r>
          </w:p>
        </w:tc>
      </w:tr>
      <w:tr>
        <w:trPr>
          <w:trHeight w:val="27"/>
        </w:trPr>
        <w:tc>
          <w:tcPr>
            <w:tcW w:w="8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EPS-diluted-adjusted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0.86</w:t>
            </w:r>
          </w:p>
        </w:tc>
      </w:tr>
      <w:tr>
        <w:trPr>
          <w:trHeight w:val="20"/>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the adjustments disclosed in Note 15 to GM's condensed consolidated financial statements of Form 10-Q for the three months ended March 31, 2016 and 2015.</w:t>
      </w:r>
    </w:p>
    <w:p>
      <w:pPr>
        <w:spacing w:after="0" w:line="39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calculation of ROIC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952"/>
              <w:spacing w:after="0"/>
              <w:rPr>
                <w:sz w:val="20"/>
                <w:szCs w:val="20"/>
                <w:color w:val="auto"/>
              </w:rPr>
            </w:pPr>
            <w:r>
              <w:rPr>
                <w:rFonts w:ascii="Arial" w:cs="Arial" w:eastAsia="Arial" w:hAnsi="Arial"/>
                <w:sz w:val="14"/>
                <w:szCs w:val="14"/>
                <w:b w:val="1"/>
                <w:bCs w:val="1"/>
                <w:color w:val="auto"/>
              </w:rPr>
              <w:t>Four Quarters Ended</w:t>
            </w:r>
          </w:p>
        </w:tc>
      </w:tr>
      <w:tr>
        <w:trPr>
          <w:trHeight w:val="264"/>
        </w:trPr>
        <w:tc>
          <w:tcPr>
            <w:tcW w:w="7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2016</w:t>
            </w:r>
          </w:p>
        </w:tc>
        <w:tc>
          <w:tcPr>
            <w:tcW w:w="240" w:type="dxa"/>
            <w:vAlign w:val="bottom"/>
          </w:tcPr>
          <w:p>
            <w:pPr>
              <w:spacing w:after="0"/>
              <w:rPr>
                <w:sz w:val="22"/>
                <w:szCs w:val="22"/>
                <w:color w:val="auto"/>
              </w:rPr>
            </w:pPr>
          </w:p>
        </w:tc>
        <w:tc>
          <w:tcPr>
            <w:tcW w:w="1440" w:type="dxa"/>
            <w:vAlign w:val="bottom"/>
          </w:tcPr>
          <w:p>
            <w:pPr>
              <w:jc w:val="right"/>
              <w:ind w:right="272"/>
              <w:spacing w:after="0"/>
              <w:rPr>
                <w:sz w:val="20"/>
                <w:szCs w:val="20"/>
                <w:color w:val="auto"/>
              </w:rPr>
            </w:pPr>
            <w:r>
              <w:rPr>
                <w:rFonts w:ascii="Arial" w:cs="Arial" w:eastAsia="Arial" w:hAnsi="Arial"/>
                <w:sz w:val="14"/>
                <w:szCs w:val="14"/>
                <w:b w:val="1"/>
                <w:bCs w:val="1"/>
                <w:color w:val="auto"/>
              </w:rPr>
              <w:t>March 31, 2015</w:t>
            </w:r>
          </w:p>
        </w:tc>
      </w:tr>
      <w:tr>
        <w:trPr>
          <w:trHeight w:val="250"/>
        </w:trPr>
        <w:tc>
          <w:tcPr>
            <w:tcW w:w="7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8.1</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Average equity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4"/>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39.7</w:t>
            </w:r>
          </w:p>
        </w:tc>
      </w:tr>
      <w:tr>
        <w:trPr>
          <w:trHeight w:val="27"/>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Average automotive debt and interest liabilities (excluding capital leases)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7.3</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Add: Average automotive net pension &amp; OPEB liability</w:t>
            </w:r>
          </w:p>
        </w:tc>
        <w:tc>
          <w:tcPr>
            <w:tcW w:w="240" w:type="dxa"/>
            <w:vAlign w:val="bottom"/>
          </w:tcPr>
          <w:p>
            <w:pPr>
              <w:spacing w:after="0"/>
              <w:rPr>
                <w:sz w:val="21"/>
                <w:szCs w:val="21"/>
                <w:color w:val="auto"/>
              </w:rPr>
            </w:pPr>
          </w:p>
        </w:tc>
        <w:tc>
          <w:tcPr>
            <w:tcW w:w="1440" w:type="dxa"/>
            <w:vAlign w:val="bottom"/>
          </w:tcPr>
          <w:p>
            <w:pPr>
              <w:jc w:val="right"/>
              <w:ind w:right="114"/>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27.4</w:t>
            </w:r>
          </w:p>
        </w:tc>
      </w:tr>
      <w:tr>
        <w:trPr>
          <w:trHeight w:val="27"/>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Average fresh start accounting goodwill</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Less: Average net automotive income tax asset</w:t>
            </w:r>
          </w:p>
        </w:tc>
        <w:tc>
          <w:tcPr>
            <w:tcW w:w="240" w:type="dxa"/>
            <w:vAlign w:val="bottom"/>
          </w:tcPr>
          <w:p>
            <w:pPr>
              <w:spacing w:after="0"/>
              <w:rPr>
                <w:sz w:val="21"/>
                <w:szCs w:val="21"/>
                <w:color w:val="auto"/>
              </w:rPr>
            </w:pP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(32.6)</w:t>
            </w:r>
          </w:p>
        </w:tc>
      </w:tr>
      <w:tr>
        <w:trPr>
          <w:trHeight w:val="27"/>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ROIC average net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41.7</w:t>
            </w:r>
          </w:p>
        </w:tc>
      </w:tr>
      <w:tr>
        <w:trPr>
          <w:trHeight w:val="20"/>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0"/>
        </w:trPr>
        <w:tc>
          <w:tcPr>
            <w:tcW w:w="7960" w:type="dxa"/>
            <w:vAlign w:val="bottom"/>
          </w:tcPr>
          <w:p>
            <w:pPr>
              <w:ind w:left="40"/>
              <w:spacing w:after="0"/>
              <w:rPr>
                <w:sz w:val="20"/>
                <w:szCs w:val="20"/>
                <w:color w:val="auto"/>
              </w:rPr>
            </w:pPr>
            <w:r>
              <w:rPr>
                <w:rFonts w:ascii="Arial" w:cs="Arial" w:eastAsia="Arial" w:hAnsi="Arial"/>
                <w:sz w:val="18"/>
                <w:szCs w:val="18"/>
                <w:color w:val="auto"/>
              </w:rPr>
              <w:t>ROIC</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19.5%</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Adjusted automotive free cash flow to Automotive net cash provided by (used in) operating activities (dollars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tcPr>
          <w:p>
            <w:pPr>
              <w:spacing w:after="0"/>
              <w:rPr>
                <w:sz w:val="22"/>
                <w:szCs w:val="22"/>
                <w:color w:val="auto"/>
              </w:rPr>
            </w:pPr>
          </w:p>
        </w:tc>
        <w:tc>
          <w:tcPr>
            <w:tcW w:w="30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March 31, 2015</w:t>
            </w: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automotive free cash flow</w:t>
            </w:r>
          </w:p>
        </w:tc>
        <w:tc>
          <w:tcPr>
            <w:tcW w:w="3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Adjustments – discretionary pension plan contributions</w:t>
            </w:r>
          </w:p>
        </w:tc>
        <w:tc>
          <w:tcPr>
            <w:tcW w:w="3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57"/>
        </w:trPr>
        <w:tc>
          <w:tcPr>
            <w:tcW w:w="5100" w:type="dxa"/>
            <w:vAlign w:val="bottom"/>
          </w:tcPr>
          <w:p>
            <w:pPr>
              <w:ind w:left="40"/>
              <w:spacing w:after="0"/>
              <w:rPr>
                <w:sz w:val="20"/>
                <w:szCs w:val="20"/>
                <w:color w:val="auto"/>
              </w:rPr>
            </w:pPr>
            <w:r>
              <w:rPr>
                <w:rFonts w:ascii="Arial" w:cs="Arial" w:eastAsia="Arial" w:hAnsi="Arial"/>
                <w:sz w:val="18"/>
                <w:szCs w:val="18"/>
                <w:color w:val="auto"/>
              </w:rPr>
              <w:t>Automotive net cash provided by (used in) operating activities</w:t>
            </w:r>
          </w:p>
        </w:tc>
        <w:tc>
          <w:tcPr>
            <w:tcW w:w="30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020" w:type="dxa"/>
            <w:vAlign w:val="bottom"/>
            <w:vMerge w:val="restart"/>
          </w:tcPr>
          <w:p>
            <w:pPr>
              <w:jc w:val="right"/>
              <w:ind w:right="227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0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 (dollars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74"/>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520" w:type="dxa"/>
            <w:vAlign w:val="bottom"/>
          </w:tcPr>
          <w:p>
            <w:pPr>
              <w:jc w:val="right"/>
              <w:ind w:right="137"/>
              <w:spacing w:after="0"/>
              <w:rPr>
                <w:sz w:val="20"/>
                <w:szCs w:val="20"/>
                <w:color w:val="auto"/>
              </w:rPr>
            </w:pPr>
            <w:r>
              <w:rPr>
                <w:rFonts w:ascii="Arial" w:cs="Arial" w:eastAsia="Arial" w:hAnsi="Arial"/>
                <w:sz w:val="13"/>
                <w:szCs w:val="13"/>
                <w:b w:val="1"/>
                <w:bCs w:val="1"/>
                <w:color w:val="auto"/>
                <w:w w:val="96"/>
              </w:rPr>
              <w:t>Total</w:t>
            </w:r>
          </w:p>
        </w:tc>
      </w:tr>
      <w:tr>
        <w:trPr>
          <w:trHeight w:val="270"/>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w w:val="99"/>
              </w:rPr>
              <w:t>Three Months Ended March 31, 2016</w:t>
            </w: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26,463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4,681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2,679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1,343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35,195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2,075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37,265</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1,752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272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2,285</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1,021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1,292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930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2,222</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Equity income(a)</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518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524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560</w:t>
            </w:r>
          </w:p>
        </w:tc>
      </w:tr>
      <w:tr>
        <w:trPr>
          <w:trHeight w:val="332"/>
        </w:trPr>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4"/>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520" w:type="dxa"/>
            <w:vAlign w:val="bottom"/>
          </w:tcPr>
          <w:p>
            <w:pPr>
              <w:jc w:val="right"/>
              <w:ind w:right="137"/>
              <w:spacing w:after="0"/>
              <w:rPr>
                <w:sz w:val="20"/>
                <w:szCs w:val="20"/>
                <w:color w:val="auto"/>
              </w:rPr>
            </w:pPr>
            <w:r>
              <w:rPr>
                <w:rFonts w:ascii="Arial" w:cs="Arial" w:eastAsia="Arial" w:hAnsi="Arial"/>
                <w:sz w:val="13"/>
                <w:szCs w:val="13"/>
                <w:b w:val="1"/>
                <w:bCs w:val="1"/>
                <w:color w:val="auto"/>
                <w:w w:val="96"/>
              </w:rPr>
              <w:t>Total</w:t>
            </w:r>
          </w:p>
        </w:tc>
      </w:tr>
      <w:tr>
        <w:trPr>
          <w:trHeight w:val="270"/>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w w:val="99"/>
              </w:rPr>
              <w:t>Three Months Ended March 31, 2015</w:t>
            </w: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24,676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4,449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3,112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2,092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34,364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1,354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35,712</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244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1,667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1,684</w:t>
            </w: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926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1,193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345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1,538</w:t>
            </w: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219</w:t>
            </w:r>
          </w:p>
        </w:tc>
      </w:tr>
      <w:tr>
        <w:trPr>
          <w:trHeight w:val="254"/>
        </w:trPr>
        <w:tc>
          <w:tcPr>
            <w:tcW w:w="2300" w:type="dxa"/>
            <w:vAlign w:val="bottom"/>
          </w:tcPr>
          <w:p>
            <w:pPr>
              <w:ind w:left="40"/>
              <w:spacing w:after="0"/>
              <w:rPr>
                <w:sz w:val="20"/>
                <w:szCs w:val="20"/>
                <w:color w:val="auto"/>
              </w:rPr>
            </w:pPr>
            <w:r>
              <w:rPr>
                <w:rFonts w:ascii="Arial" w:cs="Arial" w:eastAsia="Arial" w:hAnsi="Arial"/>
                <w:sz w:val="13"/>
                <w:szCs w:val="13"/>
                <w:color w:val="auto"/>
              </w:rPr>
              <w:t>Equity income(a)</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519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525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553</w:t>
            </w: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_________</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ind w:left="340" w:hanging="332"/>
        <w:spacing w:after="0"/>
        <w:tabs>
          <w:tab w:leader="none" w:pos="340" w:val="left"/>
        </w:tabs>
        <w:numPr>
          <w:ilvl w:val="0"/>
          <w:numId w:val="5"/>
        </w:numPr>
        <w:rPr>
          <w:rFonts w:ascii="Arial" w:cs="Arial" w:eastAsia="Arial" w:hAnsi="Arial"/>
          <w:sz w:val="11"/>
          <w:szCs w:val="11"/>
          <w:color w:val="auto"/>
        </w:rPr>
      </w:pPr>
      <w:r>
        <w:rPr>
          <w:rFonts w:ascii="Arial" w:cs="Arial" w:eastAsia="Arial" w:hAnsi="Arial"/>
          <w:sz w:val="11"/>
          <w:szCs w:val="11"/>
          <w:color w:val="auto"/>
        </w:rPr>
        <w:t>Includes automotive China joint ventures equity income of $518 million and $519 million in the three months ended March 31, 2016 and 2015.</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10" w:name="page11"/>
    <w:bookmarkEnd w:id="10"/>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Vehicle Sales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presents both wholesale and retail vehicle sales data to assist in the analysis of its revenue and market share. GM does not currently export vehicles to Cuba, Iran, North Korea, Sudan or Syria. Accordingly, these countries are excluded from industry sales data and corresponding calculations of GM's market share.</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Wholesale vehicle sales data, which represents sales directly to dealers and others, is the measure that correlates GM's revenue from the sale of vehicles, which is the largest component of Automotive net sales and revenue. Wholesale vehicle sales exclude vehicles produced by joint ventures. In the three months ended March 31, 2016, 46.8% of GM's wholesale vehicle sales volume was generated outside the U.S. The following table summarizes total wholesale vehicle sales of new vehicles by automotive segment (vehicles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280" w:type="dxa"/>
            <w:vAlign w:val="bottom"/>
            <w:tcBorders>
              <w:bottom w:val="single" w:sz="8" w:color="auto"/>
            </w:tcBorders>
            <w:gridSpan w:val="3"/>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00" w:type="dxa"/>
            <w:vAlign w:val="bottom"/>
          </w:tcPr>
          <w:p>
            <w:pPr>
              <w:spacing w:after="0"/>
              <w:rPr>
                <w:sz w:val="22"/>
                <w:szCs w:val="22"/>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March 31, 2016</w:t>
            </w:r>
          </w:p>
        </w:tc>
        <w:tc>
          <w:tcPr>
            <w:tcW w:w="1580" w:type="dxa"/>
            <w:vAlign w:val="bottom"/>
          </w:tcPr>
          <w:p>
            <w:pPr>
              <w:jc w:val="right"/>
              <w:ind w:right="213"/>
              <w:spacing w:after="0"/>
              <w:rPr>
                <w:sz w:val="20"/>
                <w:szCs w:val="20"/>
                <w:color w:val="auto"/>
              </w:rPr>
            </w:pPr>
            <w:r>
              <w:rPr>
                <w:rFonts w:ascii="Arial" w:cs="Arial" w:eastAsia="Arial" w:hAnsi="Arial"/>
                <w:sz w:val="14"/>
                <w:szCs w:val="14"/>
                <w:b w:val="1"/>
                <w:bCs w:val="1"/>
                <w:color w:val="auto"/>
              </w:rPr>
              <w:t>March 31, 2015</w:t>
            </w:r>
          </w:p>
        </w:tc>
      </w:tr>
      <w:tr>
        <w:trPr>
          <w:trHeight w:val="250"/>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GMNA</w:t>
            </w:r>
          </w:p>
        </w:tc>
        <w:tc>
          <w:tcPr>
            <w:tcW w:w="16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829</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GME</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268</w:t>
            </w:r>
          </w:p>
        </w:tc>
      </w:tr>
      <w:tr>
        <w:trPr>
          <w:trHeight w:val="27"/>
        </w:trPr>
        <w:tc>
          <w:tcPr>
            <w:tcW w:w="8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GMIO</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GMSA</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150</w:t>
            </w:r>
          </w:p>
        </w:tc>
      </w:tr>
      <w:tr>
        <w:trPr>
          <w:trHeight w:val="27"/>
        </w:trPr>
        <w:tc>
          <w:tcPr>
            <w:tcW w:w="8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Worldwide</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1,411</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1,391</w:t>
            </w:r>
          </w:p>
        </w:tc>
      </w:tr>
      <w:tr>
        <w:trPr>
          <w:trHeight w:val="20"/>
        </w:trPr>
        <w:tc>
          <w:tcPr>
            <w:tcW w:w="8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11" w:name="page12"/>
    <w:bookmarkEnd w:id="11"/>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1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Retail vehicle sales data, which represents sales to end customers based upon the good faith estimates of management, including fleets, does not correlate directly to the revenue GM recognizes during the period. However, retail vehicle sales data is indicative of the underlying demand for GM vehicles. Market share information is based primarily on retail vehicle sales volume. In countries where end customer data is not readily available other data sources, such as wholesale or forecast volumes, are used to estimate retail vehicle sales.</w:t>
      </w:r>
    </w:p>
    <w:p>
      <w:pPr>
        <w:spacing w:after="0" w:line="187"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Retail vehicle sales data includes all sales by joint ventures on a total vehicle basis, not based on the percentage of ownership in the joint venture. Certain joint venture agreements in China allow for the contractual right to report vehicle sales on non-GM trademarked vehicles by those joint ventures. Retail vehicle sales data includes vehicles used by dealers under courtesy transportation programs and vehicles sold through the dealer registration channel primarily in Europe. This sales channel consists primarily of dealer demonstrator, loaner and self-registered vehicles which are not eligible to be sold as new vehicles after being registered by dealers. Certain fleet sales that are accounted for as operating leases are included in retail vehicle sales at the time of delivery to daily rental car companies. The following table summarizes total retail sales volume, or estimated sales volume where retail sales volume is not available, of new vehicles by geographic region (vehicles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89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00" w:type="dxa"/>
            <w:vAlign w:val="bottom"/>
          </w:tcPr>
          <w:p>
            <w:pPr>
              <w:spacing w:after="0"/>
              <w:rPr>
                <w:sz w:val="22"/>
                <w:szCs w:val="22"/>
                <w:color w:val="auto"/>
              </w:rPr>
            </w:pPr>
          </w:p>
        </w:tc>
        <w:tc>
          <w:tcPr>
            <w:tcW w:w="1720" w:type="dxa"/>
            <w:vAlign w:val="bottom"/>
            <w:gridSpan w:val="2"/>
          </w:tcPr>
          <w:p>
            <w:pPr>
              <w:ind w:left="320"/>
              <w:spacing w:after="0"/>
              <w:rPr>
                <w:sz w:val="20"/>
                <w:szCs w:val="20"/>
                <w:color w:val="auto"/>
              </w:rPr>
            </w:pPr>
            <w:r>
              <w:rPr>
                <w:rFonts w:ascii="Arial" w:cs="Arial" w:eastAsia="Arial" w:hAnsi="Arial"/>
                <w:sz w:val="14"/>
                <w:szCs w:val="14"/>
                <w:b w:val="1"/>
                <w:bCs w:val="1"/>
                <w:color w:val="auto"/>
              </w:rPr>
              <w:t>March 31, 2016</w:t>
            </w:r>
          </w:p>
        </w:tc>
        <w:tc>
          <w:tcPr>
            <w:tcW w:w="1580" w:type="dxa"/>
            <w:vAlign w:val="bottom"/>
          </w:tcPr>
          <w:p>
            <w:pPr>
              <w:jc w:val="right"/>
              <w:ind w:right="231"/>
              <w:spacing w:after="0"/>
              <w:rPr>
                <w:sz w:val="20"/>
                <w:szCs w:val="20"/>
                <w:color w:val="auto"/>
              </w:rPr>
            </w:pPr>
            <w:r>
              <w:rPr>
                <w:rFonts w:ascii="Arial" w:cs="Arial" w:eastAsia="Arial" w:hAnsi="Arial"/>
                <w:sz w:val="14"/>
                <w:szCs w:val="14"/>
                <w:b w:val="1"/>
                <w:bCs w:val="1"/>
                <w:color w:val="auto"/>
              </w:rPr>
              <w:t>March 31, 2015</w:t>
            </w:r>
          </w:p>
        </w:tc>
      </w:tr>
      <w:tr>
        <w:trPr>
          <w:trHeight w:val="250"/>
        </w:trPr>
        <w:tc>
          <w:tcPr>
            <w:tcW w:w="8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Chevrolet - Cars</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179</w:t>
            </w:r>
          </w:p>
        </w:tc>
      </w:tr>
      <w:tr>
        <w:trPr>
          <w:trHeight w:val="27"/>
        </w:trPr>
        <w:tc>
          <w:tcPr>
            <w:tcW w:w="8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Chevrolet - Trucks</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Chevrolet - Crossovers</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108</w:t>
            </w:r>
          </w:p>
        </w:tc>
      </w:tr>
      <w:tr>
        <w:trPr>
          <w:trHeight w:val="27"/>
        </w:trPr>
        <w:tc>
          <w:tcPr>
            <w:tcW w:w="8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Cadillac</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Buick</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50</w:t>
            </w:r>
          </w:p>
        </w:tc>
      </w:tr>
      <w:tr>
        <w:trPr>
          <w:trHeight w:val="27"/>
        </w:trPr>
        <w:tc>
          <w:tcPr>
            <w:tcW w:w="8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GMC</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r>
      <w:tr>
        <w:trPr>
          <w:trHeight w:val="237"/>
        </w:trPr>
        <w:tc>
          <w:tcPr>
            <w:tcW w:w="8100" w:type="dxa"/>
            <w:vAlign w:val="bottom"/>
          </w:tcPr>
          <w:p>
            <w:pPr>
              <w:ind w:left="280"/>
              <w:spacing w:after="0"/>
              <w:rPr>
                <w:sz w:val="20"/>
                <w:szCs w:val="20"/>
                <w:color w:val="auto"/>
              </w:rPr>
            </w:pPr>
            <w:r>
              <w:rPr>
                <w:rFonts w:ascii="Arial" w:cs="Arial" w:eastAsia="Arial" w:hAnsi="Arial"/>
                <w:sz w:val="18"/>
                <w:szCs w:val="18"/>
                <w:b w:val="1"/>
                <w:bCs w:val="1"/>
                <w:color w:val="auto"/>
              </w:rPr>
              <w:t>Total United States</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684</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684</w:t>
            </w:r>
          </w:p>
        </w:tc>
      </w:tr>
      <w:tr>
        <w:trPr>
          <w:trHeight w:val="27"/>
        </w:trPr>
        <w:tc>
          <w:tcPr>
            <w:tcW w:w="8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 Mexico and Other</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w:t>
            </w:r>
          </w:p>
        </w:tc>
      </w:tr>
      <w:tr>
        <w:trPr>
          <w:trHeight w:val="237"/>
        </w:trPr>
        <w:tc>
          <w:tcPr>
            <w:tcW w:w="8100" w:type="dxa"/>
            <w:vAlign w:val="bottom"/>
          </w:tcPr>
          <w:p>
            <w:pPr>
              <w:ind w:left="280"/>
              <w:spacing w:after="0"/>
              <w:rPr>
                <w:sz w:val="20"/>
                <w:szCs w:val="20"/>
                <w:color w:val="auto"/>
              </w:rPr>
            </w:pPr>
            <w:r>
              <w:rPr>
                <w:rFonts w:ascii="Arial" w:cs="Arial" w:eastAsia="Arial" w:hAnsi="Arial"/>
                <w:sz w:val="18"/>
                <w:szCs w:val="18"/>
                <w:b w:val="1"/>
                <w:bCs w:val="1"/>
                <w:color w:val="auto"/>
              </w:rPr>
              <w:t>Total North America</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799</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790</w:t>
            </w:r>
          </w:p>
        </w:tc>
      </w:tr>
      <w:tr>
        <w:trPr>
          <w:trHeight w:val="27"/>
        </w:trPr>
        <w:tc>
          <w:tcPr>
            <w:tcW w:w="8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Opel/Vauxhall</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279</w:t>
            </w:r>
          </w:p>
        </w:tc>
      </w:tr>
      <w:tr>
        <w:trPr>
          <w:trHeight w:val="27"/>
        </w:trPr>
        <w:tc>
          <w:tcPr>
            <w:tcW w:w="8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Chevrolet</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r>
      <w:tr>
        <w:trPr>
          <w:trHeight w:val="237"/>
        </w:trPr>
        <w:tc>
          <w:tcPr>
            <w:tcW w:w="8100" w:type="dxa"/>
            <w:vAlign w:val="bottom"/>
          </w:tcPr>
          <w:p>
            <w:pPr>
              <w:ind w:left="280"/>
              <w:spacing w:after="0"/>
              <w:rPr>
                <w:sz w:val="20"/>
                <w:szCs w:val="20"/>
                <w:color w:val="auto"/>
              </w:rPr>
            </w:pPr>
            <w:r>
              <w:rPr>
                <w:rFonts w:ascii="Arial" w:cs="Arial" w:eastAsia="Arial" w:hAnsi="Arial"/>
                <w:sz w:val="18"/>
                <w:szCs w:val="18"/>
                <w:b w:val="1"/>
                <w:bCs w:val="1"/>
                <w:color w:val="auto"/>
              </w:rPr>
              <w:t>Total Europe</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311</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292</w:t>
            </w:r>
          </w:p>
        </w:tc>
      </w:tr>
      <w:tr>
        <w:trPr>
          <w:trHeight w:val="27"/>
        </w:trPr>
        <w:tc>
          <w:tcPr>
            <w:tcW w:w="8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 Middle East and Africa</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Chevrolet</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316</w:t>
            </w:r>
          </w:p>
        </w:tc>
      </w:tr>
      <w:tr>
        <w:trPr>
          <w:trHeight w:val="27"/>
        </w:trPr>
        <w:tc>
          <w:tcPr>
            <w:tcW w:w="8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Wuling</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425</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Buick</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228</w:t>
            </w:r>
          </w:p>
        </w:tc>
      </w:tr>
      <w:tr>
        <w:trPr>
          <w:trHeight w:val="27"/>
        </w:trPr>
        <w:tc>
          <w:tcPr>
            <w:tcW w:w="8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Baojun</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Cadillac</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22</w:t>
            </w:r>
          </w:p>
        </w:tc>
      </w:tr>
      <w:tr>
        <w:trPr>
          <w:trHeight w:val="27"/>
        </w:trPr>
        <w:tc>
          <w:tcPr>
            <w:tcW w:w="8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r>
      <w:tr>
        <w:trPr>
          <w:trHeight w:val="237"/>
        </w:trPr>
        <w:tc>
          <w:tcPr>
            <w:tcW w:w="8100" w:type="dxa"/>
            <w:vAlign w:val="bottom"/>
          </w:tcPr>
          <w:p>
            <w:pPr>
              <w:ind w:left="280"/>
              <w:spacing w:after="0"/>
              <w:rPr>
                <w:sz w:val="20"/>
                <w:szCs w:val="20"/>
                <w:color w:val="auto"/>
              </w:rPr>
            </w:pPr>
            <w:r>
              <w:rPr>
                <w:rFonts w:ascii="Arial" w:cs="Arial" w:eastAsia="Arial" w:hAnsi="Arial"/>
                <w:sz w:val="18"/>
                <w:szCs w:val="18"/>
                <w:b w:val="1"/>
                <w:bCs w:val="1"/>
                <w:color w:val="auto"/>
              </w:rPr>
              <w:t>Total Asia/Pacific, Middle East and Africa</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1,131</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1,137</w:t>
            </w:r>
          </w:p>
        </w:tc>
      </w:tr>
      <w:tr>
        <w:trPr>
          <w:trHeight w:val="27"/>
        </w:trPr>
        <w:tc>
          <w:tcPr>
            <w:tcW w:w="8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America(a)</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133</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180</w:t>
            </w:r>
          </w:p>
        </w:tc>
      </w:tr>
      <w:tr>
        <w:trPr>
          <w:trHeight w:val="250"/>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Total Worldwide</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2,374</w:t>
            </w:r>
          </w:p>
        </w:tc>
        <w:tc>
          <w:tcPr>
            <w:tcW w:w="120" w:type="dxa"/>
            <w:vAlign w:val="bottom"/>
          </w:tcPr>
          <w:p>
            <w:pPr>
              <w:spacing w:after="0"/>
              <w:rPr>
                <w:sz w:val="21"/>
                <w:szCs w:val="21"/>
                <w:color w:val="auto"/>
              </w:rPr>
            </w:pPr>
          </w:p>
        </w:tc>
        <w:tc>
          <w:tcPr>
            <w:tcW w:w="1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2,399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8890</wp:posOffset>
            </wp:positionV>
            <wp:extent cx="209232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2325" cy="2603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 Primarily Chevrolet.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12" w:name="page13"/>
    <w:bookmarkEnd w:id="12"/>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1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wholesale vehicle sales at GM's China joint ventures presented in the following table are included in GM's retail vehicle sales on the preceding page (vehicles in thousands):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28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00" w:type="dxa"/>
            <w:vAlign w:val="bottom"/>
          </w:tcPr>
          <w:p>
            <w:pPr>
              <w:spacing w:after="0"/>
              <w:rPr>
                <w:sz w:val="22"/>
                <w:szCs w:val="22"/>
                <w:color w:val="auto"/>
              </w:rPr>
            </w:pPr>
          </w:p>
        </w:tc>
        <w:tc>
          <w:tcPr>
            <w:tcW w:w="1700" w:type="dxa"/>
            <w:vAlign w:val="bottom"/>
            <w:gridSpan w:val="3"/>
          </w:tcPr>
          <w:p>
            <w:pPr>
              <w:ind w:left="320"/>
              <w:spacing w:after="0"/>
              <w:rPr>
                <w:sz w:val="20"/>
                <w:szCs w:val="20"/>
                <w:color w:val="auto"/>
              </w:rPr>
            </w:pPr>
            <w:r>
              <w:rPr>
                <w:rFonts w:ascii="Arial" w:cs="Arial" w:eastAsia="Arial" w:hAnsi="Arial"/>
                <w:sz w:val="14"/>
                <w:szCs w:val="14"/>
                <w:b w:val="1"/>
                <w:bCs w:val="1"/>
                <w:color w:val="auto"/>
              </w:rPr>
              <w:t>March 31, 2016</w:t>
            </w:r>
          </w:p>
        </w:tc>
        <w:tc>
          <w:tcPr>
            <w:tcW w:w="1580" w:type="dxa"/>
            <w:vAlign w:val="bottom"/>
          </w:tcPr>
          <w:p>
            <w:pPr>
              <w:jc w:val="right"/>
              <w:ind w:right="212"/>
              <w:spacing w:after="0"/>
              <w:rPr>
                <w:sz w:val="20"/>
                <w:szCs w:val="20"/>
                <w:color w:val="auto"/>
              </w:rPr>
            </w:pPr>
            <w:r>
              <w:rPr>
                <w:rFonts w:ascii="Arial" w:cs="Arial" w:eastAsia="Arial" w:hAnsi="Arial"/>
                <w:sz w:val="14"/>
                <w:szCs w:val="14"/>
                <w:b w:val="1"/>
                <w:bCs w:val="1"/>
                <w:color w:val="auto"/>
              </w:rPr>
              <w:t>March 31, 2015</w:t>
            </w:r>
          </w:p>
        </w:tc>
      </w:tr>
      <w:tr>
        <w:trPr>
          <w:trHeight w:val="250"/>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SAIC General Motors Sales Co., Ltd.</w:t>
            </w: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SAIC GM Wuling Automobile Co., Ltd. and FAW-GM Light Duty Commercial Vehicle Co., Ltd.</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564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521</w:t>
            </w:r>
          </w:p>
        </w:tc>
      </w:tr>
      <w:tr>
        <w:trPr>
          <w:trHeight w:val="642"/>
        </w:trPr>
        <w:tc>
          <w:tcPr>
            <w:tcW w:w="8100" w:type="dxa"/>
            <w:vAlign w:val="bottom"/>
          </w:tcPr>
          <w:p>
            <w:pPr>
              <w:spacing w:after="0"/>
              <w:rPr>
                <w:sz w:val="24"/>
                <w:szCs w:val="24"/>
                <w:color w:val="auto"/>
              </w:rPr>
            </w:pPr>
          </w:p>
        </w:tc>
        <w:tc>
          <w:tcPr>
            <w:tcW w:w="328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00" w:type="dxa"/>
            <w:vAlign w:val="bottom"/>
          </w:tcPr>
          <w:p>
            <w:pPr>
              <w:spacing w:after="0"/>
              <w:rPr>
                <w:sz w:val="22"/>
                <w:szCs w:val="22"/>
                <w:color w:val="auto"/>
              </w:rPr>
            </w:pPr>
          </w:p>
        </w:tc>
        <w:tc>
          <w:tcPr>
            <w:tcW w:w="1700" w:type="dxa"/>
            <w:vAlign w:val="bottom"/>
            <w:gridSpan w:val="3"/>
          </w:tcPr>
          <w:p>
            <w:pPr>
              <w:ind w:left="320"/>
              <w:spacing w:after="0"/>
              <w:rPr>
                <w:sz w:val="20"/>
                <w:szCs w:val="20"/>
                <w:color w:val="auto"/>
              </w:rPr>
            </w:pPr>
            <w:r>
              <w:rPr>
                <w:rFonts w:ascii="Arial" w:cs="Arial" w:eastAsia="Arial" w:hAnsi="Arial"/>
                <w:sz w:val="14"/>
                <w:szCs w:val="14"/>
                <w:b w:val="1"/>
                <w:bCs w:val="1"/>
                <w:color w:val="auto"/>
              </w:rPr>
              <w:t>March 31, 2016</w:t>
            </w:r>
          </w:p>
        </w:tc>
        <w:tc>
          <w:tcPr>
            <w:tcW w:w="1580" w:type="dxa"/>
            <w:vAlign w:val="bottom"/>
          </w:tcPr>
          <w:p>
            <w:pPr>
              <w:jc w:val="right"/>
              <w:ind w:right="232"/>
              <w:spacing w:after="0"/>
              <w:rPr>
                <w:sz w:val="20"/>
                <w:szCs w:val="20"/>
                <w:color w:val="auto"/>
              </w:rPr>
            </w:pPr>
            <w:r>
              <w:rPr>
                <w:rFonts w:ascii="Arial" w:cs="Arial" w:eastAsia="Arial" w:hAnsi="Arial"/>
                <w:sz w:val="14"/>
                <w:szCs w:val="14"/>
                <w:b w:val="1"/>
                <w:bCs w:val="1"/>
                <w:color w:val="auto"/>
              </w:rPr>
              <w:t>March 31, 2015</w:t>
            </w:r>
          </w:p>
        </w:tc>
      </w:tr>
      <w:tr>
        <w:trPr>
          <w:trHeight w:val="250"/>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Market Share</w:t>
            </w: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00"/>
              <w:spacing w:after="0"/>
              <w:rPr>
                <w:sz w:val="20"/>
                <w:szCs w:val="20"/>
                <w:color w:val="auto"/>
              </w:rPr>
            </w:pPr>
            <w:r>
              <w:rPr>
                <w:rFonts w:ascii="Arial" w:cs="Arial" w:eastAsia="Arial" w:hAnsi="Arial"/>
                <w:sz w:val="18"/>
                <w:szCs w:val="18"/>
                <w:color w:val="auto"/>
              </w:rPr>
              <w:t>United States - Cars</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12.5%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12.4%</w:t>
            </w:r>
          </w:p>
        </w:tc>
      </w:tr>
      <w:tr>
        <w:trPr>
          <w:trHeight w:val="27"/>
        </w:trPr>
        <w:tc>
          <w:tcPr>
            <w:tcW w:w="8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United States - Trucks</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22.4%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23.7%</w:t>
            </w:r>
          </w:p>
        </w:tc>
      </w:tr>
      <w:tr>
        <w:trPr>
          <w:trHeight w:val="243"/>
        </w:trPr>
        <w:tc>
          <w:tcPr>
            <w:tcW w:w="8100" w:type="dxa"/>
            <w:vAlign w:val="bottom"/>
          </w:tcPr>
          <w:p>
            <w:pPr>
              <w:ind w:left="200"/>
              <w:spacing w:after="0"/>
              <w:rPr>
                <w:sz w:val="20"/>
                <w:szCs w:val="20"/>
                <w:color w:val="auto"/>
              </w:rPr>
            </w:pPr>
            <w:r>
              <w:rPr>
                <w:rFonts w:ascii="Arial" w:cs="Arial" w:eastAsia="Arial" w:hAnsi="Arial"/>
                <w:sz w:val="18"/>
                <w:szCs w:val="18"/>
                <w:color w:val="auto"/>
              </w:rPr>
              <w:t>United States - Crossovers</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15.5%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17.3%</w:t>
            </w:r>
          </w:p>
        </w:tc>
      </w:tr>
      <w:tr>
        <w:trPr>
          <w:trHeight w:val="27"/>
        </w:trPr>
        <w:tc>
          <w:tcPr>
            <w:tcW w:w="8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United States</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16.9%</w:t>
            </w:r>
          </w:p>
        </w:tc>
      </w:tr>
      <w:tr>
        <w:trPr>
          <w:trHeight w:val="243"/>
        </w:trPr>
        <w:tc>
          <w:tcPr>
            <w:tcW w:w="8100" w:type="dxa"/>
            <w:vAlign w:val="bottom"/>
          </w:tcPr>
          <w:p>
            <w:pPr>
              <w:ind w:left="200"/>
              <w:spacing w:after="0"/>
              <w:rPr>
                <w:sz w:val="20"/>
                <w:szCs w:val="20"/>
                <w:color w:val="auto"/>
              </w:rPr>
            </w:pPr>
            <w:r>
              <w:rPr>
                <w:rFonts w:ascii="Arial" w:cs="Arial" w:eastAsia="Arial" w:hAnsi="Arial"/>
                <w:sz w:val="18"/>
                <w:szCs w:val="18"/>
                <w:color w:val="auto"/>
              </w:rPr>
              <w:t>Total North America</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15.9%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16.4%</w:t>
            </w:r>
          </w:p>
        </w:tc>
      </w:tr>
      <w:tr>
        <w:trPr>
          <w:trHeight w:val="27"/>
        </w:trPr>
        <w:tc>
          <w:tcPr>
            <w:tcW w:w="8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Europe</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6.1%</w:t>
            </w:r>
          </w:p>
        </w:tc>
      </w:tr>
      <w:tr>
        <w:trPr>
          <w:trHeight w:val="243"/>
        </w:trPr>
        <w:tc>
          <w:tcPr>
            <w:tcW w:w="8100" w:type="dxa"/>
            <w:vAlign w:val="bottom"/>
          </w:tcPr>
          <w:p>
            <w:pPr>
              <w:ind w:left="200"/>
              <w:spacing w:after="0"/>
              <w:rPr>
                <w:sz w:val="20"/>
                <w:szCs w:val="20"/>
                <w:color w:val="auto"/>
              </w:rPr>
            </w:pPr>
            <w:r>
              <w:rPr>
                <w:rFonts w:ascii="Arial" w:cs="Arial" w:eastAsia="Arial" w:hAnsi="Arial"/>
                <w:sz w:val="18"/>
                <w:szCs w:val="18"/>
                <w:color w:val="auto"/>
              </w:rPr>
              <w:t>Total Asia/Pacific, Middle East and Africa</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9.8%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10.0%</w:t>
            </w:r>
          </w:p>
        </w:tc>
      </w:tr>
      <w:tr>
        <w:trPr>
          <w:trHeight w:val="27"/>
        </w:trPr>
        <w:tc>
          <w:tcPr>
            <w:tcW w:w="8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South America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16.7%</w:t>
            </w:r>
          </w:p>
        </w:tc>
      </w:tr>
      <w:tr>
        <w:trPr>
          <w:trHeight w:val="243"/>
        </w:trPr>
        <w:tc>
          <w:tcPr>
            <w:tcW w:w="8100" w:type="dxa"/>
            <w:vAlign w:val="bottom"/>
          </w:tcPr>
          <w:p>
            <w:pPr>
              <w:ind w:left="200"/>
              <w:spacing w:after="0"/>
              <w:rPr>
                <w:sz w:val="20"/>
                <w:szCs w:val="20"/>
                <w:color w:val="auto"/>
              </w:rPr>
            </w:pPr>
            <w:r>
              <w:rPr>
                <w:rFonts w:ascii="Arial" w:cs="Arial" w:eastAsia="Arial" w:hAnsi="Arial"/>
                <w:sz w:val="18"/>
                <w:szCs w:val="18"/>
                <w:b w:val="1"/>
                <w:bCs w:val="1"/>
                <w:color w:val="auto"/>
              </w:rPr>
              <w:t>Total Worldwide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7"/>
              </w:rPr>
              <w:t>10.6%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7"/>
              </w:rPr>
              <w:t>10.8%</w:t>
            </w:r>
          </w:p>
        </w:tc>
      </w:tr>
      <w:tr>
        <w:trPr>
          <w:trHeight w:val="27"/>
        </w:trPr>
        <w:tc>
          <w:tcPr>
            <w:tcW w:w="8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8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Fleet sales as a percentage of total retail vehicle sales</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7"/>
              </w:rPr>
              <w:t>21.5%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7"/>
              </w:rPr>
              <w:t>26.7%</w:t>
            </w:r>
          </w:p>
        </w:tc>
      </w:tr>
      <w:tr>
        <w:trPr>
          <w:trHeight w:val="27"/>
        </w:trPr>
        <w:tc>
          <w:tcPr>
            <w:tcW w:w="8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8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North America Capacity Two Shift Utilization</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97.4%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101.2%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sales and revenue</w:t>
      </w:r>
    </w:p>
    <w:p>
      <w:pPr>
        <w:spacing w:after="0" w:line="12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Automotive</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GM Financial</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net sales and revenue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Costs and expenses</w:t>
      </w:r>
    </w:p>
    <w:p>
      <w:pPr>
        <w:spacing w:after="0" w:line="12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Automotive cost of sales</w:t>
      </w:r>
    </w:p>
    <w:p>
      <w:pPr>
        <w:spacing w:after="0" w:line="109" w:lineRule="exact"/>
        <w:rPr>
          <w:sz w:val="20"/>
          <w:szCs w:val="20"/>
          <w:color w:val="auto"/>
        </w:rPr>
      </w:pPr>
    </w:p>
    <w:p>
      <w:pPr>
        <w:ind w:left="300" w:right="60" w:hanging="161"/>
        <w:spacing w:after="0" w:line="253" w:lineRule="auto"/>
        <w:rPr>
          <w:sz w:val="20"/>
          <w:szCs w:val="20"/>
          <w:color w:val="auto"/>
        </w:rPr>
      </w:pPr>
      <w:r>
        <w:rPr>
          <w:rFonts w:ascii="Arial" w:cs="Arial" w:eastAsia="Arial" w:hAnsi="Arial"/>
          <w:sz w:val="14"/>
          <w:szCs w:val="14"/>
          <w:color w:val="auto"/>
        </w:rPr>
        <w:t>GM Financial interest, operating and other expenses</w:t>
      </w:r>
    </w:p>
    <w:p>
      <w:pPr>
        <w:spacing w:after="0" w:line="12" w:lineRule="exact"/>
        <w:rPr>
          <w:sz w:val="20"/>
          <w:szCs w:val="20"/>
          <w:color w:val="auto"/>
        </w:rPr>
      </w:pPr>
    </w:p>
    <w:p>
      <w:pPr>
        <w:ind w:left="300" w:right="340" w:hanging="161"/>
        <w:spacing w:after="0" w:line="281" w:lineRule="auto"/>
        <w:rPr>
          <w:sz w:val="20"/>
          <w:szCs w:val="20"/>
          <w:color w:val="auto"/>
        </w:rPr>
      </w:pPr>
      <w:r>
        <w:rPr>
          <w:rFonts w:ascii="Arial" w:cs="Arial" w:eastAsia="Arial" w:hAnsi="Arial"/>
          <w:sz w:val="13"/>
          <w:szCs w:val="13"/>
          <w:color w:val="auto"/>
        </w:rPr>
        <w:t>Automotive selling, general and administrative expense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costs and expenses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Operating income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Automotive interest expense</w:t>
      </w:r>
    </w:p>
    <w:p>
      <w:pPr>
        <w:spacing w:after="0" w:line="109" w:lineRule="exact"/>
        <w:rPr>
          <w:sz w:val="20"/>
          <w:szCs w:val="20"/>
          <w:color w:val="auto"/>
        </w:rPr>
      </w:pPr>
    </w:p>
    <w:p>
      <w:pPr>
        <w:ind w:left="160" w:hanging="161"/>
        <w:spacing w:after="0" w:line="253" w:lineRule="auto"/>
        <w:rPr>
          <w:sz w:val="20"/>
          <w:szCs w:val="20"/>
          <w:color w:val="auto"/>
        </w:rPr>
      </w:pPr>
      <w:r>
        <w:rPr>
          <w:rFonts w:ascii="Arial" w:cs="Arial" w:eastAsia="Arial" w:hAnsi="Arial"/>
          <w:sz w:val="14"/>
          <w:szCs w:val="14"/>
          <w:color w:val="auto"/>
        </w:rPr>
        <w:t>Interest income and other non-operating income, net</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Equity income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Income tax expense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income</w:t>
      </w:r>
    </w:p>
    <w:p>
      <w:pPr>
        <w:spacing w:after="0" w:line="113" w:lineRule="exact"/>
        <w:rPr>
          <w:sz w:val="20"/>
          <w:szCs w:val="20"/>
          <w:color w:val="auto"/>
        </w:rPr>
      </w:pPr>
    </w:p>
    <w:p>
      <w:pPr>
        <w:ind w:left="160" w:right="120" w:hanging="161"/>
        <w:spacing w:after="0" w:line="253" w:lineRule="auto"/>
        <w:rPr>
          <w:sz w:val="20"/>
          <w:szCs w:val="20"/>
          <w:color w:val="auto"/>
        </w:rPr>
      </w:pPr>
      <w:r>
        <w:rPr>
          <w:rFonts w:ascii="Arial" w:cs="Arial" w:eastAsia="Arial" w:hAnsi="Arial"/>
          <w:sz w:val="14"/>
          <w:szCs w:val="14"/>
          <w:color w:val="auto"/>
        </w:rPr>
        <w:t>Net loss attributable to noncontrolling interests</w:t>
      </w:r>
    </w:p>
    <w:p>
      <w:pPr>
        <w:spacing w:after="0" w:line="8" w:lineRule="exact"/>
        <w:rPr>
          <w:sz w:val="20"/>
          <w:szCs w:val="20"/>
          <w:color w:val="auto"/>
        </w:rPr>
      </w:pPr>
    </w:p>
    <w:p>
      <w:pPr>
        <w:ind w:left="160" w:right="140" w:hanging="161"/>
        <w:spacing w:after="0" w:line="259" w:lineRule="auto"/>
        <w:rPr>
          <w:sz w:val="20"/>
          <w:szCs w:val="20"/>
          <w:color w:val="auto"/>
        </w:rPr>
      </w:pPr>
      <w:r>
        <w:rPr>
          <w:rFonts w:ascii="Arial" w:cs="Arial" w:eastAsia="Arial" w:hAnsi="Arial"/>
          <w:sz w:val="14"/>
          <w:szCs w:val="14"/>
          <w:b w:val="1"/>
          <w:bCs w:val="1"/>
          <w:color w:val="auto"/>
        </w:rPr>
        <w:t>Net income attributable to common stockholders</w:t>
      </w:r>
    </w:p>
    <w:p>
      <w:pPr>
        <w:spacing w:after="0" w:line="20" w:lineRule="exact"/>
        <w:rPr>
          <w:sz w:val="20"/>
          <w:szCs w:val="20"/>
          <w:color w:val="auto"/>
        </w:rPr>
      </w:pPr>
      <w:r>
        <w:rPr>
          <w:sz w:val="20"/>
          <w:szCs w:val="20"/>
          <w:color w:val="auto"/>
        </w:rPr>
        <w:br w:type="column"/>
      </w:r>
    </w:p>
    <w:p>
      <w:pPr>
        <w:jc w:val="center"/>
        <w:ind w:right="150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right="1500"/>
        <w:spacing w:after="0"/>
        <w:rPr>
          <w:sz w:val="20"/>
          <w:szCs w:val="20"/>
          <w:color w:val="auto"/>
        </w:rPr>
      </w:pPr>
      <w:r>
        <w:rPr>
          <w:rFonts w:ascii="Arial" w:cs="Arial" w:eastAsia="Arial" w:hAnsi="Arial"/>
          <w:sz w:val="18"/>
          <w:szCs w:val="18"/>
          <w:b w:val="1"/>
          <w:bCs w:val="1"/>
          <w:color w:val="auto"/>
        </w:rPr>
        <w:t>Consolidating Income Statements</w:t>
      </w:r>
    </w:p>
    <w:p>
      <w:pPr>
        <w:spacing w:after="0" w:line="9" w:lineRule="exact"/>
        <w:rPr>
          <w:sz w:val="20"/>
          <w:szCs w:val="20"/>
          <w:color w:val="auto"/>
        </w:rPr>
      </w:pPr>
    </w:p>
    <w:p>
      <w:pPr>
        <w:jc w:val="center"/>
        <w:ind w:right="1500"/>
        <w:spacing w:after="0"/>
        <w:rPr>
          <w:sz w:val="20"/>
          <w:szCs w:val="20"/>
          <w:color w:val="auto"/>
        </w:rPr>
      </w:pPr>
      <w:r>
        <w:rPr>
          <w:rFonts w:ascii="Arial" w:cs="Arial" w:eastAsia="Arial" w:hAnsi="Arial"/>
          <w:sz w:val="18"/>
          <w:szCs w:val="18"/>
          <w:i w:val="1"/>
          <w:iCs w:val="1"/>
          <w:color w:val="auto"/>
        </w:rPr>
        <w:t>(In millions)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w w:val="95"/>
              </w:rPr>
              <w:t>Three Months Ended March 31, 2016</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2"/>
              </w:rPr>
              <w:t>Three Months Ended March 31, 2015</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64"/>
        </w:trPr>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89"/>
              </w:rPr>
              <w:t>Automotive</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3"/>
              </w:rPr>
              <w:t>GM Financial</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3"/>
              </w:rPr>
              <w:t>Eliminations</w:t>
            </w:r>
          </w:p>
        </w:tc>
        <w:tc>
          <w:tcPr>
            <w:tcW w:w="1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87"/>
              </w:rPr>
              <w:t>Consolidated</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3"/>
              </w:rPr>
              <w:t>GM Financial</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87"/>
              </w:rPr>
              <w:t>Eliminations</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84"/>
              </w:rPr>
              <w:t>Consolidated</w:t>
            </w:r>
          </w:p>
        </w:tc>
      </w:tr>
      <w:tr>
        <w:trPr>
          <w:trHeight w:val="528"/>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35,195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35,195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34,364</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34,364</w:t>
            </w:r>
          </w:p>
        </w:tc>
      </w:tr>
      <w:tr>
        <w:trPr>
          <w:trHeight w:val="276"/>
        </w:trPr>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2,075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2,070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1,354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1,348</w:t>
            </w:r>
          </w:p>
        </w:tc>
      </w:tr>
      <w:tr>
        <w:trPr>
          <w:trHeight w:val="250"/>
        </w:trPr>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35,195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2,075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37,265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34,364</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1,354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35,712</w:t>
            </w:r>
          </w:p>
        </w:tc>
      </w:tr>
      <w:tr>
        <w:trPr>
          <w:trHeight w:val="528"/>
        </w:trPr>
        <w:tc>
          <w:tcPr>
            <w:tcW w:w="120" w:type="dxa"/>
            <w:vAlign w:val="bottom"/>
          </w:tcPr>
          <w:p>
            <w:pPr>
              <w:spacing w:after="0"/>
              <w:rPr>
                <w:sz w:val="24"/>
                <w:szCs w:val="2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30,591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30,589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30,677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30,674</w:t>
            </w:r>
          </w:p>
        </w:tc>
      </w:tr>
      <w:tr>
        <w:trPr>
          <w:trHeight w:val="351"/>
        </w:trPr>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1,886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1,886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1,168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1,168</w:t>
            </w:r>
          </w:p>
        </w:tc>
      </w:tr>
      <w:tr>
        <w:trPr>
          <w:trHeight w:val="357"/>
        </w:trPr>
        <w:tc>
          <w:tcPr>
            <w:tcW w:w="120" w:type="dxa"/>
            <w:vAlign w:val="bottom"/>
          </w:tcPr>
          <w:p>
            <w:pPr>
              <w:spacing w:after="0"/>
              <w:rPr>
                <w:sz w:val="24"/>
                <w:szCs w:val="2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2,818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2,818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3,117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3,117</w:t>
            </w:r>
          </w:p>
        </w:tc>
      </w:tr>
      <w:tr>
        <w:trPr>
          <w:trHeight w:val="250"/>
        </w:trPr>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33,409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1,886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35,293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33,794</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1,168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34,959</w:t>
            </w:r>
          </w:p>
        </w:tc>
      </w:tr>
      <w:tr>
        <w:trPr>
          <w:trHeight w:val="244"/>
        </w:trPr>
        <w:tc>
          <w:tcPr>
            <w:tcW w:w="12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1,786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1,972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753</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110</w:t>
            </w:r>
          </w:p>
        </w:tc>
      </w:tr>
      <w:tr>
        <w:trPr>
          <w:trHeight w:val="351"/>
        </w:trPr>
        <w:tc>
          <w:tcPr>
            <w:tcW w:w="120" w:type="dxa"/>
            <w:vAlign w:val="bottom"/>
          </w:tcPr>
          <w:p>
            <w:pPr>
              <w:spacing w:after="0"/>
              <w:rPr>
                <w:sz w:val="24"/>
                <w:szCs w:val="2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241</w:t>
            </w:r>
          </w:p>
        </w:tc>
      </w:tr>
      <w:tr>
        <w:trPr>
          <w:trHeight w:val="276"/>
        </w:trPr>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553</w:t>
            </w:r>
          </w:p>
        </w:tc>
      </w:tr>
      <w:tr>
        <w:trPr>
          <w:trHeight w:val="244"/>
        </w:trPr>
        <w:tc>
          <w:tcPr>
            <w:tcW w:w="12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2,265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2,490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1,223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1,437</w:t>
            </w:r>
          </w:p>
        </w:tc>
      </w:tr>
      <w:tr>
        <w:trPr>
          <w:trHeight w:val="276"/>
        </w:trPr>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529</w:t>
            </w:r>
          </w:p>
        </w:tc>
      </w:tr>
      <w:tr>
        <w:trPr>
          <w:trHeight w:val="244"/>
        </w:trPr>
        <w:tc>
          <w:tcPr>
            <w:tcW w:w="12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1,765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1,931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908</w:t>
            </w:r>
          </w:p>
        </w:tc>
      </w:tr>
      <w:tr>
        <w:trPr>
          <w:trHeight w:val="357"/>
        </w:trPr>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37</w:t>
            </w:r>
          </w:p>
        </w:tc>
      </w:tr>
      <w:tr>
        <w:trPr>
          <w:trHeight w:val="318"/>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1,787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1,953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945</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-1666240</wp:posOffset>
            </wp:positionH>
            <wp:positionV relativeFrom="paragraph">
              <wp:posOffset>-3378200</wp:posOffset>
            </wp:positionV>
            <wp:extent cx="721233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18034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-3026410</wp:posOffset>
            </wp:positionV>
            <wp:extent cx="721233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-2683510</wp:posOffset>
            </wp:positionV>
            <wp:extent cx="721233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18034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-2331720</wp:posOffset>
            </wp:positionV>
            <wp:extent cx="7212330"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22288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-1885950</wp:posOffset>
            </wp:positionV>
            <wp:extent cx="72123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-1543050</wp:posOffset>
            </wp:positionV>
            <wp:extent cx="72123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-1148715</wp:posOffset>
            </wp:positionV>
            <wp:extent cx="72123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-805180</wp:posOffset>
            </wp:positionV>
            <wp:extent cx="72123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-462280</wp:posOffset>
            </wp:positionV>
            <wp:extent cx="721233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22288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2320" w:space="280"/>
            <w:col w:w="8740"/>
          </w:cols>
          <w:pgMar w:left="300" w:top="580" w:right="259" w:bottom="1440" w:gutter="0" w:footer="0" w:header="0"/>
        </w:sectPr>
      </w:pPr>
    </w:p>
    <w:bookmarkStart w:id="14" w:name="page15"/>
    <w:bookmarkEnd w:id="14"/>
    <w:p>
      <w:pPr>
        <w:jc w:val="center"/>
        <w:ind w:left="11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1140"/>
        <w:spacing w:after="0"/>
        <w:rPr>
          <w:sz w:val="20"/>
          <w:szCs w:val="20"/>
          <w:color w:val="auto"/>
        </w:rPr>
      </w:pPr>
      <w:r>
        <w:rPr>
          <w:rFonts w:ascii="Arial" w:cs="Arial" w:eastAsia="Arial" w:hAnsi="Arial"/>
          <w:sz w:val="18"/>
          <w:szCs w:val="18"/>
          <w:b w:val="1"/>
          <w:bCs w:val="1"/>
          <w:color w:val="auto"/>
        </w:rPr>
        <w:t>Basic and Diluted Earnings per Share</w:t>
      </w:r>
    </w:p>
    <w:p>
      <w:pPr>
        <w:spacing w:after="0" w:line="9" w:lineRule="exact"/>
        <w:rPr>
          <w:sz w:val="20"/>
          <w:szCs w:val="20"/>
          <w:color w:val="auto"/>
        </w:rPr>
      </w:pPr>
    </w:p>
    <w:p>
      <w:pPr>
        <w:jc w:val="center"/>
        <w:ind w:left="1140"/>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basic and diluted earnings per share (in millions,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March 31, 2016</w:t>
            </w: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March 31, 2015</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1,953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945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1,546</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1.26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0.58</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 – 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1,952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945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1,580</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1.24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0.56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15" w:name="page16"/>
    <w:bookmarkEnd w:id="15"/>
    <w:p>
      <w:pPr>
        <w:jc w:val="center"/>
        <w:ind w:left="11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1140"/>
        <w:spacing w:after="0"/>
        <w:rPr>
          <w:sz w:val="20"/>
          <w:szCs w:val="20"/>
          <w:color w:val="auto"/>
        </w:rPr>
      </w:pPr>
      <w:r>
        <w:rPr>
          <w:rFonts w:ascii="Arial" w:cs="Arial" w:eastAsia="Arial" w:hAnsi="Arial"/>
          <w:sz w:val="18"/>
          <w:szCs w:val="18"/>
          <w:b w:val="1"/>
          <w:bCs w:val="1"/>
          <w:color w:val="auto"/>
        </w:rPr>
        <w:t>Consolidating Balance Sheets</w:t>
      </w:r>
    </w:p>
    <w:p>
      <w:pPr>
        <w:spacing w:after="0" w:line="9" w:lineRule="exact"/>
        <w:rPr>
          <w:sz w:val="20"/>
          <w:szCs w:val="20"/>
          <w:color w:val="auto"/>
        </w:rPr>
      </w:pPr>
    </w:p>
    <w:p>
      <w:pPr>
        <w:jc w:val="center"/>
        <w:ind w:left="1140"/>
        <w:spacing w:after="0"/>
        <w:rPr>
          <w:sz w:val="20"/>
          <w:szCs w:val="20"/>
          <w:color w:val="auto"/>
        </w:rPr>
      </w:pPr>
      <w:r>
        <w:rPr>
          <w:rFonts w:ascii="Arial" w:cs="Arial" w:eastAsia="Arial" w:hAnsi="Arial"/>
          <w:sz w:val="16"/>
          <w:szCs w:val="16"/>
          <w:i w:val="1"/>
          <w:iCs w:val="1"/>
          <w:color w:val="auto"/>
        </w:rPr>
        <w:t>(In millions, except per share amounts) (Unaudited)</w:t>
      </w:r>
    </w:p>
    <w:p>
      <w:pPr>
        <w:sectPr>
          <w:pgSz w:w="11900" w:h="16838" w:orient="portrait"/>
          <w:cols w:equalWidth="0" w:num="1">
            <w:col w:w="11420"/>
          </w:cols>
          <w:pgMar w:left="240" w:top="58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680"/>
        <w:spacing w:after="0"/>
        <w:rPr>
          <w:sz w:val="20"/>
          <w:szCs w:val="20"/>
          <w:color w:val="auto"/>
        </w:rPr>
      </w:pPr>
      <w:r>
        <w:rPr>
          <w:rFonts w:ascii="Arial" w:cs="Arial" w:eastAsia="Arial" w:hAnsi="Arial"/>
          <w:sz w:val="13"/>
          <w:szCs w:val="13"/>
          <w:b w:val="1"/>
          <w:bCs w:val="1"/>
          <w:color w:val="auto"/>
        </w:rPr>
        <w:t>ASSETS</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Assets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Cash and cash equivalents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Restricted cash and 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Accounts and notes receivable, net(a)</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receivables, net(b)</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Inventories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Equipment on operating leases,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current assets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current assets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Assets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Restricted cash and 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receivables,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2"/>
          <w:szCs w:val="12"/>
          <w:color w:val="auto"/>
        </w:rPr>
        <w:t>Equity in net assets of nonconsolidated affiliates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Property,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Goodwill and intangible assets,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2"/>
          <w:szCs w:val="12"/>
          <w:color w:val="auto"/>
        </w:rPr>
        <w:t>GM Financial equipment on operating leases, net</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Deferred income taxes(c)</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assets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non-current assets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Assets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LIABILITIES AND EQUITY</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Liabilities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Accounts payable (principally trade)(a)</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1"/>
          <w:szCs w:val="11"/>
          <w:color w:val="auto"/>
        </w:rPr>
        <w:t>Short-term debt and current portion of long-term debt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Automotive(a)(b)</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GM Financial</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Accrued liabilities(c)</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current liabilities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Liabilities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Long-term debt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Automotive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GM Financial</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Postretirement benefits other than pensions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Pensions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liabilities(c)</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non-current liabilities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Liabilities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Commitments and contingencies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Equity</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Common stock, $0.01 par value</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Additional paid-in capital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Retained earnings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Accumulated other comprehensive loss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Total stockholders’ 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Noncontrolling interests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Equity</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Liabilities and Equity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5"/>
          </w:tcPr>
          <w:p>
            <w:pPr>
              <w:ind w:left="600"/>
              <w:spacing w:after="0"/>
              <w:rPr>
                <w:sz w:val="20"/>
                <w:szCs w:val="20"/>
                <w:color w:val="auto"/>
              </w:rPr>
            </w:pPr>
            <w:r>
              <w:rPr>
                <w:rFonts w:ascii="Arial" w:cs="Arial" w:eastAsia="Arial" w:hAnsi="Arial"/>
                <w:sz w:val="11"/>
                <w:szCs w:val="11"/>
                <w:b w:val="1"/>
                <w:bCs w:val="1"/>
                <w:color w:val="auto"/>
              </w:rPr>
              <w:t>March 31, 2016</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5"/>
          </w:tcPr>
          <w:p>
            <w:pPr>
              <w:ind w:left="460"/>
              <w:spacing w:after="0"/>
              <w:rPr>
                <w:sz w:val="20"/>
                <w:szCs w:val="20"/>
                <w:color w:val="auto"/>
              </w:rPr>
            </w:pPr>
            <w:r>
              <w:rPr>
                <w:rFonts w:ascii="Arial" w:cs="Arial" w:eastAsia="Arial" w:hAnsi="Arial"/>
                <w:sz w:val="11"/>
                <w:szCs w:val="11"/>
                <w:b w:val="1"/>
                <w:bCs w:val="1"/>
                <w:color w:val="auto"/>
              </w:rPr>
              <w:t>December 31, 2015</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120" w:type="dxa"/>
            <w:vAlign w:val="bottom"/>
          </w:tcPr>
          <w:p>
            <w:pPr>
              <w:spacing w:after="0"/>
              <w:rPr>
                <w:sz w:val="21"/>
                <w:szCs w:val="21"/>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21"/>
                <w:szCs w:val="21"/>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Consolidated</w:t>
            </w:r>
          </w:p>
        </w:tc>
        <w:tc>
          <w:tcPr>
            <w:tcW w:w="100" w:type="dxa"/>
            <w:vAlign w:val="bottom"/>
          </w:tcPr>
          <w:p>
            <w:pPr>
              <w:spacing w:after="0"/>
              <w:rPr>
                <w:sz w:val="21"/>
                <w:szCs w:val="2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780" w:type="dxa"/>
            <w:vAlign w:val="bottom"/>
          </w:tcPr>
          <w:p>
            <w:pPr>
              <w:jc w:val="right"/>
              <w:ind w:right="77"/>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88"/>
        </w:trPr>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11,996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2,898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14,894</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12,177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3,061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15,238</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6,537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6,537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8,163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8,163</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169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1,547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1,716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180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1,590</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9,321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1,192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(1,525)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8,988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8,590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681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(934)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8,337</w:t>
            </w:r>
          </w:p>
        </w:tc>
      </w:tr>
      <w:tr>
        <w:trPr>
          <w:trHeight w:val="270"/>
        </w:trPr>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19,513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(288)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19,225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18,281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18,051</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15,817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15,817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13,764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13,764</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2,199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2,199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2,783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2,783</w:t>
            </w:r>
          </w:p>
        </w:tc>
      </w:tr>
      <w:tr>
        <w:trPr>
          <w:trHeight w:val="280"/>
        </w:trPr>
        <w:tc>
          <w:tcPr>
            <w:tcW w:w="120" w:type="dxa"/>
            <w:vAlign w:val="bottom"/>
          </w:tcPr>
          <w:p>
            <w:pPr>
              <w:spacing w:after="0"/>
              <w:rPr>
                <w:sz w:val="24"/>
                <w:szCs w:val="2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1,276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378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1,658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1,152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1,482</w:t>
            </w:r>
          </w:p>
        </w:tc>
      </w:tr>
      <w:tr>
        <w:trPr>
          <w:trHeight w:val="241"/>
        </w:trPr>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47,315</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25,528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(1,809)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71,034</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46,809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23,763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(1,164)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69,408</w:t>
            </w:r>
          </w:p>
        </w:tc>
      </w:tr>
      <w:tr>
        <w:trPr>
          <w:trHeight w:val="540"/>
        </w:trPr>
        <w:tc>
          <w:tcPr>
            <w:tcW w:w="120" w:type="dxa"/>
            <w:vAlign w:val="bottom"/>
          </w:tcPr>
          <w:p>
            <w:pPr>
              <w:spacing w:after="0"/>
              <w:rPr>
                <w:sz w:val="24"/>
                <w:szCs w:val="2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583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639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583</w:t>
            </w:r>
          </w:p>
        </w:tc>
      </w:tr>
      <w:tr>
        <w:trPr>
          <w:trHeight w:val="270"/>
        </w:trPr>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19,145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19,145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18,500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18,500</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8,651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989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9,640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8,215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986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9,201</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32,422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32,652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31,010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31,229</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4,499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1,392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5,891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4,558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1,389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5,947</w:t>
            </w:r>
          </w:p>
        </w:tc>
      </w:tr>
      <w:tr>
        <w:trPr>
          <w:trHeight w:val="270"/>
        </w:trPr>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24,538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24,538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20,172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20,172</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36,163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36,374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36,635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36,860</w:t>
            </w:r>
          </w:p>
        </w:tc>
      </w:tr>
      <w:tr>
        <w:trPr>
          <w:trHeight w:val="280"/>
        </w:trPr>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3,414</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291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3,705</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2,142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296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2,438</w:t>
            </w:r>
          </w:p>
        </w:tc>
      </w:tr>
      <w:tr>
        <w:trPr>
          <w:trHeight w:val="250"/>
        </w:trPr>
        <w:tc>
          <w:tcPr>
            <w:tcW w:w="120" w:type="dxa"/>
            <w:vAlign w:val="bottom"/>
          </w:tcPr>
          <w:p>
            <w:pPr>
              <w:spacing w:after="0"/>
              <w:rPr>
                <w:sz w:val="21"/>
                <w:szCs w:val="21"/>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85,205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47,379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132,584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82,612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42,318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124,930</w:t>
            </w:r>
          </w:p>
        </w:tc>
      </w:tr>
      <w:tr>
        <w:trPr>
          <w:trHeight w:val="237"/>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132,520</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72,907</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(1,809)</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203,618</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129,421</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66,081</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(1,164)</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194,338</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81"/>
        </w:trPr>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26,866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807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(907)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26,766</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24,093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740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(771)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24,062</w:t>
            </w:r>
          </w:p>
        </w:tc>
      </w:tr>
      <w:tr>
        <w:trPr>
          <w:trHeight w:val="540"/>
        </w:trPr>
        <w:tc>
          <w:tcPr>
            <w:tcW w:w="120" w:type="dxa"/>
            <w:vAlign w:val="bottom"/>
          </w:tcPr>
          <w:p>
            <w:pPr>
              <w:spacing w:after="0"/>
              <w:rPr>
                <w:sz w:val="24"/>
                <w:szCs w:val="2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1,734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(902)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832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1,209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(392)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817</w:t>
            </w:r>
          </w:p>
        </w:tc>
      </w:tr>
      <w:tr>
        <w:trPr>
          <w:trHeight w:val="270"/>
        </w:trPr>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20,756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20,756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18,745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18,745</w:t>
            </w:r>
          </w:p>
        </w:tc>
      </w:tr>
      <w:tr>
        <w:trPr>
          <w:trHeight w:val="280"/>
        </w:trPr>
        <w:tc>
          <w:tcPr>
            <w:tcW w:w="120" w:type="dxa"/>
            <w:vAlign w:val="bottom"/>
          </w:tcPr>
          <w:p>
            <w:pPr>
              <w:spacing w:after="0"/>
              <w:rPr>
                <w:sz w:val="24"/>
                <w:szCs w:val="2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24,870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1,763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26,633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26,043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1,550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27,593</w:t>
            </w:r>
          </w:p>
        </w:tc>
      </w:tr>
      <w:tr>
        <w:trPr>
          <w:trHeight w:val="241"/>
        </w:trPr>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53,470</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23,326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(1,809)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74,987</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51,345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21,035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(1,163)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71,217</w:t>
            </w:r>
          </w:p>
        </w:tc>
      </w:tr>
      <w:tr>
        <w:trPr>
          <w:trHeight w:val="810"/>
        </w:trPr>
        <w:tc>
          <w:tcPr>
            <w:tcW w:w="120" w:type="dxa"/>
            <w:vAlign w:val="bottom"/>
          </w:tcPr>
          <w:p>
            <w:pPr>
              <w:spacing w:after="0"/>
              <w:rPr>
                <w:sz w:val="24"/>
                <w:szCs w:val="2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9,946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9,946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7,948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7,948</w:t>
            </w:r>
          </w:p>
        </w:tc>
      </w:tr>
      <w:tr>
        <w:trPr>
          <w:trHeight w:val="270"/>
        </w:trPr>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39,615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39,615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35,601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35,601</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5,720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5,720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5,685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5,685</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19,134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19,245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20,804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20,911</w:t>
            </w:r>
          </w:p>
        </w:tc>
      </w:tr>
      <w:tr>
        <w:trPr>
          <w:trHeight w:val="280"/>
        </w:trPr>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11,561</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1,219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12,780</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11,627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1,027</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12,653</w:t>
            </w:r>
          </w:p>
        </w:tc>
      </w:tr>
      <w:tr>
        <w:trPr>
          <w:trHeight w:val="250"/>
        </w:trPr>
        <w:tc>
          <w:tcPr>
            <w:tcW w:w="120" w:type="dxa"/>
            <w:vAlign w:val="bottom"/>
          </w:tcPr>
          <w:p>
            <w:pPr>
              <w:spacing w:after="0"/>
              <w:rPr>
                <w:sz w:val="21"/>
                <w:szCs w:val="21"/>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46,361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40,945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87,306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46,064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36,735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82,798</w:t>
            </w:r>
          </w:p>
        </w:tc>
      </w:tr>
      <w:tr>
        <w:trPr>
          <w:trHeight w:val="241"/>
        </w:trPr>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99,831</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64,271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(1,809)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162,293</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97,409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57,770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(1,164)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154,015</w:t>
            </w:r>
          </w:p>
        </w:tc>
      </w:tr>
      <w:tr>
        <w:trPr>
          <w:trHeight w:val="810"/>
        </w:trPr>
        <w:tc>
          <w:tcPr>
            <w:tcW w:w="120" w:type="dxa"/>
            <w:vAlign w:val="bottom"/>
          </w:tcPr>
          <w:p>
            <w:pPr>
              <w:spacing w:after="0"/>
              <w:rPr>
                <w:sz w:val="24"/>
                <w:szCs w:val="2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15</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27,462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27,463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27,606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27,607</w:t>
            </w:r>
          </w:p>
        </w:tc>
      </w:tr>
      <w:tr>
        <w:trPr>
          <w:trHeight w:val="270"/>
        </w:trPr>
        <w:tc>
          <w:tcPr>
            <w:tcW w:w="120" w:type="dxa"/>
            <w:vAlign w:val="bottom"/>
          </w:tcPr>
          <w:p>
            <w:pPr>
              <w:spacing w:after="0"/>
              <w:rPr>
                <w:sz w:val="23"/>
                <w:szCs w:val="23"/>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11,921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9,587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21,508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10,870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9,415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20,285</w:t>
            </w:r>
          </w:p>
        </w:tc>
      </w:tr>
      <w:tr>
        <w:trPr>
          <w:trHeight w:val="280"/>
        </w:trPr>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(7,102)</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(952)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(8,054)</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(6,931)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(1,105)</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(8,036)</w:t>
            </w:r>
          </w:p>
        </w:tc>
      </w:tr>
      <w:tr>
        <w:trPr>
          <w:trHeight w:val="241"/>
        </w:trPr>
        <w:tc>
          <w:tcPr>
            <w:tcW w:w="120" w:type="dxa"/>
            <w:vAlign w:val="bottom"/>
          </w:tcPr>
          <w:p>
            <w:pPr>
              <w:spacing w:after="0"/>
              <w:rPr>
                <w:sz w:val="20"/>
                <w:szCs w:val="20"/>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32,296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8,636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40,932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31,560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8,311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39,871</w:t>
            </w:r>
          </w:p>
        </w:tc>
      </w:tr>
      <w:tr>
        <w:trPr>
          <w:trHeight w:val="280"/>
        </w:trPr>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393</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393</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452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452</w:t>
            </w:r>
          </w:p>
        </w:tc>
      </w:tr>
      <w:tr>
        <w:trPr>
          <w:trHeight w:val="250"/>
        </w:trPr>
        <w:tc>
          <w:tcPr>
            <w:tcW w:w="120" w:type="dxa"/>
            <w:vAlign w:val="bottom"/>
          </w:tcPr>
          <w:p>
            <w:pPr>
              <w:spacing w:after="0"/>
              <w:rPr>
                <w:sz w:val="21"/>
                <w:szCs w:val="21"/>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32,689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8,636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41,325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32,012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8,311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40,323</w:t>
            </w:r>
          </w:p>
        </w:tc>
      </w:tr>
      <w:tr>
        <w:trPr>
          <w:trHeight w:val="237"/>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132,520</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72,907</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(1,809)</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203,618</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129,421</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66,081</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(1,164)</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194,338</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-8266430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-7923530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-7580630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-7237095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-6894195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-6551295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-6208395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-5865495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-5521960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-5179060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-4836160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-4476115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-4133215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-3789680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-3446780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-3103880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-2760980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-2417445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-2074545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-1731645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-1388745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-1045845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-702310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-359410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0" w:lineRule="exact"/>
        <w:rPr>
          <w:sz w:val="20"/>
          <w:szCs w:val="20"/>
          <w:color w:val="auto"/>
        </w:rPr>
      </w:pPr>
    </w:p>
    <w:p>
      <w:pPr>
        <w:sectPr>
          <w:pgSz w:w="11900" w:h="16838" w:orient="portrait"/>
          <w:cols w:equalWidth="0" w:num="2">
            <w:col w:w="2880" w:space="660"/>
            <w:col w:w="7880"/>
          </w:cols>
          <w:pgMar w:left="240" w:top="580" w:right="239" w:bottom="0" w:gutter="0" w:footer="0" w:header="0"/>
          <w:type w:val="continuous"/>
        </w:sectPr>
      </w:pPr>
    </w:p>
    <w:p>
      <w:pPr>
        <w:jc w:val="both"/>
        <w:ind w:left="340" w:right="20" w:hanging="332"/>
        <w:spacing w:after="0" w:line="264" w:lineRule="auto"/>
        <w:tabs>
          <w:tab w:leader="none" w:pos="340" w:val="left"/>
        </w:tabs>
        <w:numPr>
          <w:ilvl w:val="0"/>
          <w:numId w:val="6"/>
        </w:numPr>
        <w:rPr>
          <w:rFonts w:ascii="Arial" w:cs="Arial" w:eastAsia="Arial" w:hAnsi="Arial"/>
          <w:sz w:val="12"/>
          <w:szCs w:val="12"/>
          <w:color w:val="auto"/>
        </w:rPr>
      </w:pPr>
      <w:r>
        <w:rPr>
          <w:rFonts w:ascii="Arial" w:cs="Arial" w:eastAsia="Arial" w:hAnsi="Arial"/>
          <w:sz w:val="12"/>
          <w:szCs w:val="12"/>
          <w:color w:val="auto"/>
        </w:rPr>
        <w:t>Eliminations include Automotive accounts receivables of $442 million offset by GM Financial accounts payables, GM Financial accounts receivables of $462 million offset by Automotive accounts payable and GM Financial notes receivables of $614 million offset by loans to Automotive at March 31, 2016 and Automotive accounts receivables of $358 million offset by GM Financial accounts payables, GM Financial accounts receivables of $409 million offset by Automotive accounts payable and GM Financial notes receivables of $163 million offset by loans to Automotive at December 31, 2015.</w:t>
      </w:r>
    </w:p>
    <w:p>
      <w:pPr>
        <w:ind w:left="340" w:hanging="332"/>
        <w:spacing w:after="0"/>
        <w:tabs>
          <w:tab w:leader="none" w:pos="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Eliminations include GM Financial commercial loans of $288 million and $230 million offset by loans to Automotive at March 31, 2016 and December 31, 2015.</w:t>
      </w:r>
    </w:p>
    <w:p>
      <w:pPr>
        <w:ind w:left="340" w:hanging="332"/>
        <w:spacing w:after="0"/>
        <w:tabs>
          <w:tab w:leader="none" w:pos="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As a result of GM's adoption of Accounting Standards Update 2015-17, certain prior year amounts have been reclassified.</w:t>
      </w:r>
    </w:p>
    <w:p>
      <w:pPr>
        <w:sectPr>
          <w:pgSz w:w="11900" w:h="16838" w:orient="portrait"/>
          <w:cols w:equalWidth="0" w:num="1">
            <w:col w:w="11420"/>
          </w:cols>
          <w:pgMar w:left="240" w:top="580" w:right="239" w:bottom="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019"/>
          </w:cols>
          <w:pgMar w:left="1440" w:top="368" w:right="1440" w:bottom="1440" w:gutter="0" w:footer="0" w:header="0"/>
        </w:sectPr>
      </w:pPr>
    </w:p>
    <w:bookmarkStart w:id="17" w:name="page18"/>
    <w:bookmarkEnd w:id="17"/>
    <w:p>
      <w:pPr>
        <w:jc w:val="center"/>
        <w:ind w:left="11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1140"/>
        <w:spacing w:after="0"/>
        <w:rPr>
          <w:sz w:val="20"/>
          <w:szCs w:val="20"/>
          <w:color w:val="auto"/>
        </w:rPr>
      </w:pPr>
      <w:r>
        <w:rPr>
          <w:rFonts w:ascii="Arial" w:cs="Arial" w:eastAsia="Arial" w:hAnsi="Arial"/>
          <w:sz w:val="18"/>
          <w:szCs w:val="18"/>
          <w:b w:val="1"/>
          <w:bCs w:val="1"/>
          <w:color w:val="auto"/>
        </w:rPr>
        <w:t>Consolidating Statements of Cash Flows</w:t>
      </w:r>
    </w:p>
    <w:p>
      <w:pPr>
        <w:spacing w:after="0" w:line="9" w:lineRule="exact"/>
        <w:rPr>
          <w:sz w:val="20"/>
          <w:szCs w:val="20"/>
          <w:color w:val="auto"/>
        </w:rPr>
      </w:pPr>
    </w:p>
    <w:p>
      <w:pPr>
        <w:jc w:val="center"/>
        <w:ind w:left="1140"/>
        <w:spacing w:after="0"/>
        <w:rPr>
          <w:sz w:val="20"/>
          <w:szCs w:val="20"/>
          <w:color w:val="auto"/>
        </w:rPr>
      </w:pPr>
      <w:r>
        <w:rPr>
          <w:rFonts w:ascii="Arial" w:cs="Arial" w:eastAsia="Arial" w:hAnsi="Arial"/>
          <w:sz w:val="18"/>
          <w:szCs w:val="18"/>
          <w:i w:val="1"/>
          <w:iCs w:val="1"/>
          <w:color w:val="auto"/>
        </w:rPr>
        <w:t>(In millions) (Unaudited)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5"/>
          </w:tcPr>
          <w:p>
            <w:pPr>
              <w:ind w:left="100"/>
              <w:spacing w:after="0"/>
              <w:rPr>
                <w:sz w:val="20"/>
                <w:szCs w:val="20"/>
                <w:color w:val="auto"/>
              </w:rPr>
            </w:pPr>
            <w:r>
              <w:rPr>
                <w:rFonts w:ascii="Arial" w:cs="Arial" w:eastAsia="Arial" w:hAnsi="Arial"/>
                <w:sz w:val="11"/>
                <w:szCs w:val="11"/>
                <w:b w:val="1"/>
                <w:bCs w:val="1"/>
                <w:color w:val="auto"/>
                <w:w w:val="99"/>
              </w:rPr>
              <w:t>Three Months Ended March 31, 2016</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5"/>
          </w:tcPr>
          <w:p>
            <w:pPr>
              <w:ind w:left="80"/>
              <w:spacing w:after="0"/>
              <w:rPr>
                <w:sz w:val="20"/>
                <w:szCs w:val="20"/>
                <w:color w:val="auto"/>
              </w:rPr>
            </w:pPr>
            <w:r>
              <w:rPr>
                <w:rFonts w:ascii="Arial" w:cs="Arial" w:eastAsia="Arial" w:hAnsi="Arial"/>
                <w:sz w:val="11"/>
                <w:szCs w:val="11"/>
                <w:b w:val="1"/>
                <w:bCs w:val="1"/>
                <w:color w:val="auto"/>
                <w:w w:val="97"/>
              </w:rPr>
              <w:t>Three Months Ended March 31, 2015</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Financial</w:t>
            </w:r>
          </w:p>
        </w:tc>
        <w:tc>
          <w:tcPr>
            <w:tcW w:w="120" w:type="dxa"/>
            <w:vAlign w:val="bottom"/>
          </w:tcPr>
          <w:p>
            <w:pPr>
              <w:spacing w:after="0"/>
              <w:rPr>
                <w:sz w:val="12"/>
                <w:szCs w:val="12"/>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Reclassification (a)</w:t>
            </w:r>
          </w:p>
        </w:tc>
        <w:tc>
          <w:tcPr>
            <w:tcW w:w="12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Consolidated</w:t>
            </w:r>
          </w:p>
        </w:tc>
        <w:tc>
          <w:tcPr>
            <w:tcW w:w="100" w:type="dxa"/>
            <w:vAlign w:val="bottom"/>
          </w:tcPr>
          <w:p>
            <w:pPr>
              <w:spacing w:after="0"/>
              <w:rPr>
                <w:sz w:val="12"/>
                <w:szCs w:val="12"/>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Financial</w:t>
            </w:r>
          </w:p>
        </w:tc>
        <w:tc>
          <w:tcPr>
            <w:tcW w:w="140" w:type="dxa"/>
            <w:vAlign w:val="bottom"/>
          </w:tcPr>
          <w:p>
            <w:pPr>
              <w:spacing w:after="0"/>
              <w:rPr>
                <w:sz w:val="12"/>
                <w:szCs w:val="12"/>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Reclassification (a)</w:t>
            </w:r>
          </w:p>
        </w:tc>
        <w:tc>
          <w:tcPr>
            <w:tcW w:w="120" w:type="dxa"/>
            <w:vAlign w:val="bottom"/>
          </w:tcPr>
          <w:p>
            <w:pPr>
              <w:spacing w:after="0"/>
              <w:rPr>
                <w:sz w:val="12"/>
                <w:szCs w:val="12"/>
                <w:color w:val="auto"/>
              </w:rPr>
            </w:pPr>
          </w:p>
        </w:tc>
        <w:tc>
          <w:tcPr>
            <w:tcW w:w="760" w:type="dxa"/>
            <w:vAlign w:val="bottom"/>
          </w:tcPr>
          <w:p>
            <w:pPr>
              <w:jc w:val="right"/>
              <w:ind w:right="77"/>
              <w:spacing w:after="0"/>
              <w:rPr>
                <w:sz w:val="20"/>
                <w:szCs w:val="20"/>
                <w:color w:val="auto"/>
              </w:rPr>
            </w:pPr>
            <w:r>
              <w:rPr>
                <w:rFonts w:ascii="Arial" w:cs="Arial" w:eastAsia="Arial" w:hAnsi="Arial"/>
                <w:sz w:val="11"/>
                <w:szCs w:val="11"/>
                <w:b w:val="1"/>
                <w:bCs w:val="1"/>
                <w:color w:val="auto"/>
                <w:w w:val="86"/>
              </w:rPr>
              <w:t>Consolidated</w:t>
            </w:r>
          </w:p>
        </w:tc>
        <w:tc>
          <w:tcPr>
            <w:tcW w:w="0" w:type="dxa"/>
            <w:vAlign w:val="bottom"/>
          </w:tcPr>
          <w:p>
            <w:pPr>
              <w:spacing w:after="0"/>
              <w:rPr>
                <w:sz w:val="1"/>
                <w:szCs w:val="1"/>
                <w:color w:val="auto"/>
              </w:rPr>
            </w:pPr>
          </w:p>
        </w:tc>
      </w:tr>
      <w:tr>
        <w:trPr>
          <w:trHeight w:val="22"/>
        </w:trPr>
        <w:tc>
          <w:tcPr>
            <w:tcW w:w="3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32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Cash flows from operating activities</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322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1,765</w:t>
            </w:r>
          </w:p>
        </w:tc>
        <w:tc>
          <w:tcPr>
            <w:tcW w:w="1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58"/>
              <w:spacing w:after="0"/>
              <w:rPr>
                <w:sz w:val="20"/>
                <w:szCs w:val="20"/>
                <w:color w:val="auto"/>
              </w:rPr>
            </w:pPr>
            <w:r>
              <w:rPr>
                <w:rFonts w:ascii="Arial" w:cs="Arial" w:eastAsia="Arial" w:hAnsi="Arial"/>
                <w:sz w:val="13"/>
                <w:szCs w:val="13"/>
                <w:color w:val="auto"/>
              </w:rPr>
              <w:t>166</w:t>
            </w:r>
          </w:p>
        </w:tc>
        <w:tc>
          <w:tcPr>
            <w:tcW w:w="1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1,931</w:t>
            </w:r>
          </w:p>
        </w:tc>
        <w:tc>
          <w:tcPr>
            <w:tcW w:w="1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759</w:t>
            </w:r>
          </w:p>
        </w:tc>
        <w:tc>
          <w:tcPr>
            <w:tcW w:w="1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ind w:right="38"/>
              <w:spacing w:after="0"/>
              <w:rPr>
                <w:sz w:val="20"/>
                <w:szCs w:val="20"/>
                <w:color w:val="auto"/>
              </w:rPr>
            </w:pPr>
            <w:r>
              <w:rPr>
                <w:rFonts w:ascii="Arial" w:cs="Arial" w:eastAsia="Arial" w:hAnsi="Arial"/>
                <w:sz w:val="13"/>
                <w:szCs w:val="13"/>
                <w:color w:val="auto"/>
              </w:rPr>
              <w:t>149</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color w:val="auto"/>
              </w:rPr>
              <w:t>908</w:t>
            </w:r>
          </w:p>
        </w:tc>
        <w:tc>
          <w:tcPr>
            <w:tcW w:w="0" w:type="dxa"/>
            <w:vAlign w:val="bottom"/>
          </w:tcPr>
          <w:p>
            <w:pPr>
              <w:spacing w:after="0"/>
              <w:rPr>
                <w:sz w:val="1"/>
                <w:szCs w:val="1"/>
                <w:color w:val="auto"/>
              </w:rPr>
            </w:pPr>
          </w:p>
        </w:tc>
      </w:tr>
      <w:tr>
        <w:trPr>
          <w:trHeight w:val="89"/>
        </w:trPr>
        <w:tc>
          <w:tcPr>
            <w:tcW w:w="32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Depreciation, amortization and impairment charges</w:t>
            </w: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1,362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58"/>
              <w:spacing w:after="0"/>
              <w:rPr>
                <w:sz w:val="20"/>
                <w:szCs w:val="20"/>
                <w:color w:val="auto"/>
              </w:rPr>
            </w:pPr>
            <w:r>
              <w:rPr>
                <w:rFonts w:ascii="Arial" w:cs="Arial" w:eastAsia="Arial" w:hAnsi="Arial"/>
                <w:sz w:val="13"/>
                <w:szCs w:val="13"/>
                <w:color w:val="auto"/>
              </w:rPr>
              <w:t>930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2,292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1,412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345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1,757</w:t>
            </w:r>
          </w:p>
        </w:tc>
        <w:tc>
          <w:tcPr>
            <w:tcW w:w="0" w:type="dxa"/>
            <w:vAlign w:val="bottom"/>
          </w:tcPr>
          <w:p>
            <w:pPr>
              <w:spacing w:after="0"/>
              <w:rPr>
                <w:sz w:val="1"/>
                <w:szCs w:val="1"/>
                <w:color w:val="auto"/>
              </w:rPr>
            </w:pPr>
          </w:p>
        </w:tc>
      </w:tr>
      <w:tr>
        <w:trPr>
          <w:trHeight w:val="97"/>
        </w:trPr>
        <w:tc>
          <w:tcPr>
            <w:tcW w:w="3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220" w:type="dxa"/>
            <w:vAlign w:val="bottom"/>
          </w:tcPr>
          <w:p>
            <w:pPr>
              <w:ind w:left="180"/>
              <w:spacing w:after="0"/>
              <w:rPr>
                <w:sz w:val="20"/>
                <w:szCs w:val="20"/>
                <w:color w:val="auto"/>
              </w:rPr>
            </w:pPr>
            <w:r>
              <w:rPr>
                <w:rFonts w:ascii="Arial" w:cs="Arial" w:eastAsia="Arial" w:hAnsi="Arial"/>
                <w:sz w:val="13"/>
                <w:szCs w:val="13"/>
                <w:color w:val="auto"/>
                <w:w w:val="92"/>
              </w:rPr>
              <w:t>Foreign currency remeasurement and transaction losses</w:t>
            </w:r>
          </w:p>
        </w:tc>
        <w:tc>
          <w:tcPr>
            <w:tcW w:w="120" w:type="dxa"/>
            <w:vAlign w:val="bottom"/>
          </w:tcPr>
          <w:p>
            <w:pPr>
              <w:spacing w:after="0"/>
              <w:rPr>
                <w:sz w:val="15"/>
                <w:szCs w:val="15"/>
                <w:color w:val="auto"/>
              </w:rPr>
            </w:pP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160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8"/>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162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183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restart"/>
          </w:tcPr>
          <w:p>
            <w:pPr>
              <w:jc w:val="right"/>
              <w:ind w:right="38"/>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89"/>
        </w:trPr>
        <w:tc>
          <w:tcPr>
            <w:tcW w:w="3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2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88"/>
              </w:rPr>
              <w:t>Amortization of discount and issuance costs on debt issues</w:t>
            </w: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58"/>
              <w:spacing w:after="0"/>
              <w:rPr>
                <w:sz w:val="20"/>
                <w:szCs w:val="20"/>
                <w:color w:val="auto"/>
              </w:rPr>
            </w:pPr>
            <w:r>
              <w:rPr>
                <w:rFonts w:ascii="Arial" w:cs="Arial" w:eastAsia="Arial" w:hAnsi="Arial"/>
                <w:sz w:val="13"/>
                <w:szCs w:val="13"/>
                <w:color w:val="auto"/>
              </w:rPr>
              <w:t>29</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97"/>
        </w:trPr>
        <w:tc>
          <w:tcPr>
            <w:tcW w:w="3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220" w:type="dxa"/>
            <w:vAlign w:val="bottom"/>
          </w:tcPr>
          <w:p>
            <w:pPr>
              <w:ind w:left="180"/>
              <w:spacing w:after="0"/>
              <w:rPr>
                <w:sz w:val="20"/>
                <w:szCs w:val="20"/>
                <w:color w:val="auto"/>
              </w:rPr>
            </w:pPr>
            <w:r>
              <w:rPr>
                <w:rFonts w:ascii="Arial" w:cs="Arial" w:eastAsia="Arial" w:hAnsi="Arial"/>
                <w:sz w:val="13"/>
                <w:szCs w:val="13"/>
                <w:color w:val="auto"/>
                <w:w w:val="94"/>
              </w:rPr>
              <w:t>Undistributed earnings of nonconsolidated affiliates, net</w:t>
            </w:r>
          </w:p>
        </w:tc>
        <w:tc>
          <w:tcPr>
            <w:tcW w:w="120" w:type="dxa"/>
            <w:vAlign w:val="bottom"/>
          </w:tcPr>
          <w:p>
            <w:pPr>
              <w:spacing w:after="0"/>
              <w:rPr>
                <w:sz w:val="15"/>
                <w:szCs w:val="15"/>
                <w:color w:val="auto"/>
              </w:rPr>
            </w:pP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(510)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18"/>
              <w:spacing w:after="0"/>
              <w:rPr>
                <w:sz w:val="20"/>
                <w:szCs w:val="20"/>
                <w:color w:val="auto"/>
              </w:rPr>
            </w:pPr>
            <w:r>
              <w:rPr>
                <w:rFonts w:ascii="Arial" w:cs="Arial" w:eastAsia="Arial" w:hAnsi="Arial"/>
                <w:sz w:val="13"/>
                <w:szCs w:val="13"/>
                <w:color w:val="auto"/>
              </w:rPr>
              <w:t>(9)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(519)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(511)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(539)</w:t>
            </w:r>
          </w:p>
        </w:tc>
        <w:tc>
          <w:tcPr>
            <w:tcW w:w="0" w:type="dxa"/>
            <w:vAlign w:val="bottom"/>
          </w:tcPr>
          <w:p>
            <w:pPr>
              <w:spacing w:after="0"/>
              <w:rPr>
                <w:sz w:val="1"/>
                <w:szCs w:val="1"/>
                <w:color w:val="auto"/>
              </w:rPr>
            </w:pPr>
          </w:p>
        </w:tc>
      </w:tr>
      <w:tr>
        <w:trPr>
          <w:trHeight w:val="89"/>
        </w:trPr>
        <w:tc>
          <w:tcPr>
            <w:tcW w:w="3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Pension contributions and OPEB payments</w:t>
            </w: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(1,921)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(392)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(393)</w:t>
            </w:r>
          </w:p>
        </w:tc>
        <w:tc>
          <w:tcPr>
            <w:tcW w:w="0" w:type="dxa"/>
            <w:vAlign w:val="bottom"/>
          </w:tcPr>
          <w:p>
            <w:pPr>
              <w:spacing w:after="0"/>
              <w:rPr>
                <w:sz w:val="1"/>
                <w:szCs w:val="1"/>
                <w:color w:val="auto"/>
              </w:rPr>
            </w:pPr>
          </w:p>
        </w:tc>
      </w:tr>
      <w:tr>
        <w:trPr>
          <w:trHeight w:val="97"/>
        </w:trPr>
        <w:tc>
          <w:tcPr>
            <w:tcW w:w="3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220" w:type="dxa"/>
            <w:vAlign w:val="bottom"/>
          </w:tcPr>
          <w:p>
            <w:pPr>
              <w:ind w:left="180"/>
              <w:spacing w:after="0"/>
              <w:rPr>
                <w:sz w:val="20"/>
                <w:szCs w:val="20"/>
                <w:color w:val="auto"/>
              </w:rPr>
            </w:pPr>
            <w:r>
              <w:rPr>
                <w:rFonts w:ascii="Arial" w:cs="Arial" w:eastAsia="Arial" w:hAnsi="Arial"/>
                <w:sz w:val="13"/>
                <w:szCs w:val="13"/>
                <w:color w:val="auto"/>
              </w:rPr>
              <w:t>Pension and OPEB (income) expense, net</w:t>
            </w:r>
          </w:p>
        </w:tc>
        <w:tc>
          <w:tcPr>
            <w:tcW w:w="120" w:type="dxa"/>
            <w:vAlign w:val="bottom"/>
          </w:tcPr>
          <w:p>
            <w:pPr>
              <w:spacing w:after="0"/>
              <w:rPr>
                <w:sz w:val="15"/>
                <w:szCs w:val="15"/>
                <w:color w:val="auto"/>
              </w:rPr>
            </w:pP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(152)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8"/>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restart"/>
          </w:tcPr>
          <w:p>
            <w:pPr>
              <w:jc w:val="right"/>
              <w:ind w:right="38"/>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89"/>
        </w:trPr>
        <w:tc>
          <w:tcPr>
            <w:tcW w:w="3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Provision for deferred taxes</w:t>
            </w: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706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58"/>
              <w:spacing w:after="0"/>
              <w:rPr>
                <w:sz w:val="20"/>
                <w:szCs w:val="20"/>
                <w:color w:val="auto"/>
              </w:rPr>
            </w:pPr>
            <w:r>
              <w:rPr>
                <w:rFonts w:ascii="Arial" w:cs="Arial" w:eastAsia="Arial" w:hAnsi="Arial"/>
                <w:sz w:val="13"/>
                <w:szCs w:val="13"/>
                <w:color w:val="auto"/>
              </w:rPr>
              <w:t>25</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731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312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343</w:t>
            </w:r>
          </w:p>
        </w:tc>
        <w:tc>
          <w:tcPr>
            <w:tcW w:w="0" w:type="dxa"/>
            <w:vAlign w:val="bottom"/>
          </w:tcPr>
          <w:p>
            <w:pPr>
              <w:spacing w:after="0"/>
              <w:rPr>
                <w:sz w:val="1"/>
                <w:szCs w:val="1"/>
                <w:color w:val="auto"/>
              </w:rPr>
            </w:pPr>
          </w:p>
        </w:tc>
      </w:tr>
      <w:tr>
        <w:trPr>
          <w:trHeight w:val="97"/>
        </w:trPr>
        <w:tc>
          <w:tcPr>
            <w:tcW w:w="3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220" w:type="dxa"/>
            <w:vAlign w:val="bottom"/>
          </w:tcPr>
          <w:p>
            <w:pPr>
              <w:ind w:left="180"/>
              <w:spacing w:after="0"/>
              <w:rPr>
                <w:sz w:val="20"/>
                <w:szCs w:val="20"/>
                <w:color w:val="auto"/>
              </w:rPr>
            </w:pPr>
            <w:r>
              <w:rPr>
                <w:rFonts w:ascii="Arial" w:cs="Arial" w:eastAsia="Arial" w:hAnsi="Arial"/>
                <w:sz w:val="13"/>
                <w:szCs w:val="13"/>
                <w:color w:val="auto"/>
              </w:rPr>
              <w:t>Change in other operating assets and liabilities</w:t>
            </w:r>
          </w:p>
        </w:tc>
        <w:tc>
          <w:tcPr>
            <w:tcW w:w="120" w:type="dxa"/>
            <w:vAlign w:val="bottom"/>
          </w:tcPr>
          <w:p>
            <w:pPr>
              <w:spacing w:after="0"/>
              <w:rPr>
                <w:sz w:val="15"/>
                <w:szCs w:val="15"/>
                <w:color w:val="auto"/>
              </w:rPr>
            </w:pP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(2,147)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8"/>
              <w:spacing w:after="0"/>
              <w:rPr>
                <w:sz w:val="20"/>
                <w:szCs w:val="20"/>
                <w:color w:val="auto"/>
              </w:rPr>
            </w:pPr>
            <w:r>
              <w:rPr>
                <w:rFonts w:ascii="Arial" w:cs="Arial" w:eastAsia="Arial" w:hAnsi="Arial"/>
                <w:sz w:val="13"/>
                <w:szCs w:val="13"/>
                <w:color w:val="auto"/>
              </w:rPr>
              <w:t>12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ind w:right="17"/>
              <w:spacing w:after="0"/>
              <w:rPr>
                <w:sz w:val="20"/>
                <w:szCs w:val="20"/>
                <w:color w:val="auto"/>
              </w:rPr>
            </w:pPr>
            <w:r>
              <w:rPr>
                <w:rFonts w:ascii="Arial" w:cs="Arial" w:eastAsia="Arial" w:hAnsi="Arial"/>
                <w:sz w:val="13"/>
                <w:szCs w:val="13"/>
                <w:color w:val="auto"/>
              </w:rPr>
              <w:t>(598)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(2,733)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(1,819)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restart"/>
          </w:tcPr>
          <w:p>
            <w:pPr>
              <w:jc w:val="right"/>
              <w:ind w:right="38"/>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(168)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(1,968)</w:t>
            </w:r>
          </w:p>
        </w:tc>
        <w:tc>
          <w:tcPr>
            <w:tcW w:w="0" w:type="dxa"/>
            <w:vAlign w:val="bottom"/>
          </w:tcPr>
          <w:p>
            <w:pPr>
              <w:spacing w:after="0"/>
              <w:rPr>
                <w:sz w:val="1"/>
                <w:szCs w:val="1"/>
                <w:color w:val="auto"/>
              </w:rPr>
            </w:pPr>
          </w:p>
        </w:tc>
      </w:tr>
      <w:tr>
        <w:trPr>
          <w:trHeight w:val="91"/>
        </w:trPr>
        <w:tc>
          <w:tcPr>
            <w:tcW w:w="32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32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Net cash provided by (used in) operating activities</w:t>
            </w: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(721)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58"/>
              <w:spacing w:after="0"/>
              <w:rPr>
                <w:sz w:val="20"/>
                <w:szCs w:val="20"/>
                <w:color w:val="auto"/>
              </w:rPr>
            </w:pPr>
            <w:r>
              <w:rPr>
                <w:rFonts w:ascii="Arial" w:cs="Arial" w:eastAsia="Arial" w:hAnsi="Arial"/>
                <w:sz w:val="13"/>
                <w:szCs w:val="13"/>
                <w:color w:val="auto"/>
              </w:rPr>
              <w:t>1,155</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(598)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540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97"/>
        </w:trPr>
        <w:tc>
          <w:tcPr>
            <w:tcW w:w="3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220" w:type="dxa"/>
            <w:vAlign w:val="bottom"/>
          </w:tcPr>
          <w:p>
            <w:pPr>
              <w:ind w:left="40"/>
              <w:spacing w:after="0"/>
              <w:rPr>
                <w:sz w:val="20"/>
                <w:szCs w:val="20"/>
                <w:color w:val="auto"/>
              </w:rPr>
            </w:pPr>
            <w:r>
              <w:rPr>
                <w:rFonts w:ascii="Arial" w:cs="Arial" w:eastAsia="Arial" w:hAnsi="Arial"/>
                <w:sz w:val="13"/>
                <w:szCs w:val="13"/>
                <w:b w:val="1"/>
                <w:bCs w:val="1"/>
                <w:color w:val="auto"/>
              </w:rPr>
              <w:t>Cash flows from investing activities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3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Expenditures for property</w:t>
            </w: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(2,265)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(20)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(1,667)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(1,684)</w:t>
            </w:r>
          </w:p>
        </w:tc>
        <w:tc>
          <w:tcPr>
            <w:tcW w:w="0" w:type="dxa"/>
            <w:vAlign w:val="bottom"/>
          </w:tcPr>
          <w:p>
            <w:pPr>
              <w:spacing w:after="0"/>
              <w:rPr>
                <w:sz w:val="1"/>
                <w:szCs w:val="1"/>
                <w:color w:val="auto"/>
              </w:rPr>
            </w:pPr>
          </w:p>
        </w:tc>
      </w:tr>
      <w:tr>
        <w:trPr>
          <w:trHeight w:val="97"/>
        </w:trPr>
        <w:tc>
          <w:tcPr>
            <w:tcW w:w="3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220" w:type="dxa"/>
            <w:vAlign w:val="bottom"/>
          </w:tcPr>
          <w:p>
            <w:pPr>
              <w:ind w:left="180"/>
              <w:spacing w:after="0"/>
              <w:rPr>
                <w:sz w:val="20"/>
                <w:szCs w:val="20"/>
                <w:color w:val="auto"/>
              </w:rPr>
            </w:pPr>
            <w:r>
              <w:rPr>
                <w:rFonts w:ascii="Arial" w:cs="Arial" w:eastAsia="Arial" w:hAnsi="Arial"/>
                <w:sz w:val="13"/>
                <w:szCs w:val="13"/>
                <w:color w:val="auto"/>
                <w:w w:val="99"/>
              </w:rPr>
              <w:t>Available-for-sale marketable securities, acquisitions</w:t>
            </w:r>
          </w:p>
        </w:tc>
        <w:tc>
          <w:tcPr>
            <w:tcW w:w="120" w:type="dxa"/>
            <w:vAlign w:val="bottom"/>
          </w:tcPr>
          <w:p>
            <w:pPr>
              <w:spacing w:after="0"/>
              <w:rPr>
                <w:sz w:val="15"/>
                <w:szCs w:val="15"/>
                <w:color w:val="auto"/>
              </w:rPr>
            </w:pP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(1,773)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(1,773)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(1,634)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(1,634)</w:t>
            </w:r>
          </w:p>
        </w:tc>
        <w:tc>
          <w:tcPr>
            <w:tcW w:w="0" w:type="dxa"/>
            <w:vAlign w:val="bottom"/>
          </w:tcPr>
          <w:p>
            <w:pPr>
              <w:spacing w:after="0"/>
              <w:rPr>
                <w:sz w:val="1"/>
                <w:szCs w:val="1"/>
                <w:color w:val="auto"/>
              </w:rPr>
            </w:pPr>
          </w:p>
        </w:tc>
      </w:tr>
      <w:tr>
        <w:trPr>
          <w:trHeight w:val="89"/>
        </w:trPr>
        <w:tc>
          <w:tcPr>
            <w:tcW w:w="3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Trading marketable securities, acquisitions</w:t>
            </w: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(104)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(522)</w:t>
            </w:r>
          </w:p>
        </w:tc>
        <w:tc>
          <w:tcPr>
            <w:tcW w:w="0" w:type="dxa"/>
            <w:vAlign w:val="bottom"/>
          </w:tcPr>
          <w:p>
            <w:pPr>
              <w:spacing w:after="0"/>
              <w:rPr>
                <w:sz w:val="1"/>
                <w:szCs w:val="1"/>
                <w:color w:val="auto"/>
              </w:rPr>
            </w:pPr>
          </w:p>
        </w:tc>
      </w:tr>
      <w:tr>
        <w:trPr>
          <w:trHeight w:val="97"/>
        </w:trPr>
        <w:tc>
          <w:tcPr>
            <w:tcW w:w="3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220" w:type="dxa"/>
            <w:vAlign w:val="bottom"/>
          </w:tcPr>
          <w:p>
            <w:pPr>
              <w:ind w:left="180"/>
              <w:spacing w:after="0"/>
              <w:rPr>
                <w:sz w:val="20"/>
                <w:szCs w:val="20"/>
                <w:color w:val="auto"/>
              </w:rPr>
            </w:pPr>
            <w:r>
              <w:rPr>
                <w:rFonts w:ascii="Arial" w:cs="Arial" w:eastAsia="Arial" w:hAnsi="Arial"/>
                <w:sz w:val="13"/>
                <w:szCs w:val="13"/>
                <w:color w:val="auto"/>
              </w:rPr>
              <w:t>Available-for-sale marketable securities, liquidations</w:t>
            </w:r>
          </w:p>
        </w:tc>
        <w:tc>
          <w:tcPr>
            <w:tcW w:w="120" w:type="dxa"/>
            <w:vAlign w:val="bottom"/>
          </w:tcPr>
          <w:p>
            <w:pPr>
              <w:spacing w:after="0"/>
              <w:rPr>
                <w:sz w:val="15"/>
                <w:szCs w:val="15"/>
                <w:color w:val="auto"/>
              </w:rPr>
            </w:pP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3,272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3,272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2,467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color w:val="auto"/>
              </w:rPr>
              <w:t>2,467</w:t>
            </w:r>
          </w:p>
        </w:tc>
        <w:tc>
          <w:tcPr>
            <w:tcW w:w="0" w:type="dxa"/>
            <w:vAlign w:val="bottom"/>
          </w:tcPr>
          <w:p>
            <w:pPr>
              <w:spacing w:after="0"/>
              <w:rPr>
                <w:sz w:val="1"/>
                <w:szCs w:val="1"/>
                <w:color w:val="auto"/>
              </w:rPr>
            </w:pPr>
          </w:p>
        </w:tc>
      </w:tr>
      <w:tr>
        <w:trPr>
          <w:trHeight w:val="89"/>
        </w:trPr>
        <w:tc>
          <w:tcPr>
            <w:tcW w:w="3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Trading marketable securities, liquidations</w:t>
            </w: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291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386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386</w:t>
            </w:r>
          </w:p>
        </w:tc>
        <w:tc>
          <w:tcPr>
            <w:tcW w:w="0" w:type="dxa"/>
            <w:vAlign w:val="bottom"/>
          </w:tcPr>
          <w:p>
            <w:pPr>
              <w:spacing w:after="0"/>
              <w:rPr>
                <w:sz w:val="1"/>
                <w:szCs w:val="1"/>
                <w:color w:val="auto"/>
              </w:rPr>
            </w:pPr>
          </w:p>
        </w:tc>
      </w:tr>
      <w:tr>
        <w:trPr>
          <w:trHeight w:val="97"/>
        </w:trPr>
        <w:tc>
          <w:tcPr>
            <w:tcW w:w="3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220" w:type="dxa"/>
            <w:vAlign w:val="bottom"/>
          </w:tcPr>
          <w:p>
            <w:pPr>
              <w:ind w:left="180"/>
              <w:spacing w:after="0"/>
              <w:rPr>
                <w:sz w:val="20"/>
                <w:szCs w:val="20"/>
                <w:color w:val="auto"/>
              </w:rPr>
            </w:pPr>
            <w:r>
              <w:rPr>
                <w:rFonts w:ascii="Arial" w:cs="Arial" w:eastAsia="Arial" w:hAnsi="Arial"/>
                <w:sz w:val="13"/>
                <w:szCs w:val="13"/>
                <w:color w:val="auto"/>
                <w:w w:val="88"/>
              </w:rPr>
              <w:t>Acquisition of companies/investments, net of cash acquired</w:t>
            </w:r>
          </w:p>
        </w:tc>
        <w:tc>
          <w:tcPr>
            <w:tcW w:w="120" w:type="dxa"/>
            <w:vAlign w:val="bottom"/>
          </w:tcPr>
          <w:p>
            <w:pPr>
              <w:spacing w:after="0"/>
              <w:rPr>
                <w:sz w:val="15"/>
                <w:szCs w:val="15"/>
                <w:color w:val="auto"/>
              </w:rPr>
            </w:pP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(516)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(516)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(1,049)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(1,051)</w:t>
            </w:r>
          </w:p>
        </w:tc>
        <w:tc>
          <w:tcPr>
            <w:tcW w:w="0" w:type="dxa"/>
            <w:vAlign w:val="bottom"/>
          </w:tcPr>
          <w:p>
            <w:pPr>
              <w:spacing w:after="0"/>
              <w:rPr>
                <w:sz w:val="1"/>
                <w:szCs w:val="1"/>
                <w:color w:val="auto"/>
              </w:rPr>
            </w:pPr>
          </w:p>
        </w:tc>
      </w:tr>
      <w:tr>
        <w:trPr>
          <w:trHeight w:val="89"/>
        </w:trPr>
        <w:tc>
          <w:tcPr>
            <w:tcW w:w="3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2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9"/>
              </w:rPr>
              <w:t>Increase in restricted cash and marketable securities</w:t>
            </w: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(236)</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(221)</w:t>
            </w:r>
          </w:p>
        </w:tc>
        <w:tc>
          <w:tcPr>
            <w:tcW w:w="0" w:type="dxa"/>
            <w:vAlign w:val="bottom"/>
          </w:tcPr>
          <w:p>
            <w:pPr>
              <w:spacing w:after="0"/>
              <w:rPr>
                <w:sz w:val="1"/>
                <w:szCs w:val="1"/>
                <w:color w:val="auto"/>
              </w:rPr>
            </w:pPr>
          </w:p>
        </w:tc>
      </w:tr>
      <w:tr>
        <w:trPr>
          <w:trHeight w:val="97"/>
        </w:trPr>
        <w:tc>
          <w:tcPr>
            <w:tcW w:w="3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220" w:type="dxa"/>
            <w:vAlign w:val="bottom"/>
          </w:tcPr>
          <w:p>
            <w:pPr>
              <w:ind w:left="180"/>
              <w:spacing w:after="0"/>
              <w:rPr>
                <w:sz w:val="20"/>
                <w:szCs w:val="20"/>
                <w:color w:val="auto"/>
              </w:rPr>
            </w:pPr>
            <w:r>
              <w:rPr>
                <w:rFonts w:ascii="Arial" w:cs="Arial" w:eastAsia="Arial" w:hAnsi="Arial"/>
                <w:sz w:val="13"/>
                <w:szCs w:val="13"/>
                <w:color w:val="auto"/>
                <w:w w:val="97"/>
              </w:rPr>
              <w:t>Decrease in restricted cash and marketable securities</w:t>
            </w:r>
          </w:p>
        </w:tc>
        <w:tc>
          <w:tcPr>
            <w:tcW w:w="120" w:type="dxa"/>
            <w:vAlign w:val="bottom"/>
          </w:tcPr>
          <w:p>
            <w:pPr>
              <w:spacing w:after="0"/>
              <w:rPr>
                <w:sz w:val="15"/>
                <w:szCs w:val="15"/>
                <w:color w:val="auto"/>
              </w:rPr>
            </w:pP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58"/>
              <w:spacing w:after="0"/>
              <w:rPr>
                <w:sz w:val="20"/>
                <w:szCs w:val="20"/>
                <w:color w:val="auto"/>
              </w:rPr>
            </w:pPr>
            <w:r>
              <w:rPr>
                <w:rFonts w:ascii="Arial" w:cs="Arial" w:eastAsia="Arial" w:hAnsi="Arial"/>
                <w:sz w:val="13"/>
                <w:szCs w:val="13"/>
                <w:color w:val="auto"/>
              </w:rPr>
              <w:t>60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55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restart"/>
          </w:tcPr>
          <w:p>
            <w:pPr>
              <w:jc w:val="right"/>
              <w:ind w:right="38"/>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89"/>
        </w:trPr>
        <w:tc>
          <w:tcPr>
            <w:tcW w:w="3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Purchases of finance receivables</w:t>
            </w:r>
          </w:p>
        </w:tc>
        <w:tc>
          <w:tcPr>
            <w:tcW w:w="12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(4,759)</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(4,161)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168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(4,067)</w:t>
            </w:r>
          </w:p>
        </w:tc>
        <w:tc>
          <w:tcPr>
            <w:tcW w:w="0" w:type="dxa"/>
            <w:vAlign w:val="bottom"/>
          </w:tcPr>
          <w:p>
            <w:pPr>
              <w:spacing w:after="0"/>
              <w:rPr>
                <w:sz w:val="1"/>
                <w:szCs w:val="1"/>
                <w:color w:val="auto"/>
              </w:rPr>
            </w:pPr>
          </w:p>
        </w:tc>
      </w:tr>
      <w:tr>
        <w:trPr>
          <w:trHeight w:val="97"/>
        </w:trPr>
        <w:tc>
          <w:tcPr>
            <w:tcW w:w="3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220" w:type="dxa"/>
            <w:vAlign w:val="bottom"/>
          </w:tcPr>
          <w:p>
            <w:pPr>
              <w:ind w:left="180"/>
              <w:spacing w:after="0"/>
              <w:rPr>
                <w:sz w:val="20"/>
                <w:szCs w:val="20"/>
                <w:color w:val="auto"/>
              </w:rPr>
            </w:pPr>
            <w:r>
              <w:rPr>
                <w:rFonts w:ascii="Arial" w:cs="Arial" w:eastAsia="Arial" w:hAnsi="Arial"/>
                <w:sz w:val="13"/>
                <w:szCs w:val="13"/>
                <w:color w:val="auto"/>
                <w:w w:val="89"/>
              </w:rPr>
              <w:t>Principal collections and recoveries on finance receivables</w:t>
            </w:r>
          </w:p>
        </w:tc>
        <w:tc>
          <w:tcPr>
            <w:tcW w:w="120" w:type="dxa"/>
            <w:vAlign w:val="bottom"/>
          </w:tcPr>
          <w:p>
            <w:pPr>
              <w:spacing w:after="0"/>
              <w:rPr>
                <w:sz w:val="15"/>
                <w:szCs w:val="15"/>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vMerge w:val="restart"/>
          </w:tcPr>
          <w:p>
            <w:pPr>
              <w:jc w:val="right"/>
              <w:ind w:right="58"/>
              <w:spacing w:after="0"/>
              <w:rPr>
                <w:sz w:val="20"/>
                <w:szCs w:val="20"/>
                <w:color w:val="auto"/>
              </w:rPr>
            </w:pPr>
            <w:r>
              <w:rPr>
                <w:rFonts w:ascii="Arial" w:cs="Arial" w:eastAsia="Arial" w:hAnsi="Arial"/>
                <w:sz w:val="13"/>
                <w:szCs w:val="13"/>
                <w:color w:val="auto"/>
              </w:rPr>
              <w:t>3,271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3,271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40" w:type="dxa"/>
            <w:vAlign w:val="bottom"/>
            <w:vMerge w:val="restart"/>
          </w:tcPr>
          <w:p>
            <w:pPr>
              <w:jc w:val="right"/>
              <w:ind w:right="38"/>
              <w:spacing w:after="0"/>
              <w:rPr>
                <w:sz w:val="20"/>
                <w:szCs w:val="20"/>
                <w:color w:val="auto"/>
              </w:rPr>
            </w:pPr>
            <w:r>
              <w:rPr>
                <w:rFonts w:ascii="Arial" w:cs="Arial" w:eastAsia="Arial" w:hAnsi="Arial"/>
                <w:sz w:val="13"/>
                <w:szCs w:val="13"/>
                <w:color w:val="auto"/>
              </w:rPr>
              <w:t>2,814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color w:val="auto"/>
              </w:rPr>
              <w:t>2,814</w:t>
            </w:r>
          </w:p>
        </w:tc>
        <w:tc>
          <w:tcPr>
            <w:tcW w:w="0" w:type="dxa"/>
            <w:vAlign w:val="bottom"/>
          </w:tcPr>
          <w:p>
            <w:pPr>
              <w:spacing w:after="0"/>
              <w:rPr>
                <w:sz w:val="1"/>
                <w:szCs w:val="1"/>
                <w:color w:val="auto"/>
              </w:rPr>
            </w:pPr>
          </w:p>
        </w:tc>
      </w:tr>
      <w:tr>
        <w:trPr>
          <w:trHeight w:val="89"/>
        </w:trPr>
        <w:tc>
          <w:tcPr>
            <w:tcW w:w="3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Purchases of leased vehicles, net</w:t>
            </w:r>
          </w:p>
        </w:tc>
        <w:tc>
          <w:tcPr>
            <w:tcW w:w="12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(5,111)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(5,111)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(2,252)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(2,252)</w:t>
            </w:r>
          </w:p>
        </w:tc>
        <w:tc>
          <w:tcPr>
            <w:tcW w:w="0" w:type="dxa"/>
            <w:vAlign w:val="bottom"/>
          </w:tcPr>
          <w:p>
            <w:pPr>
              <w:spacing w:after="0"/>
              <w:rPr>
                <w:sz w:val="1"/>
                <w:szCs w:val="1"/>
                <w:color w:val="auto"/>
              </w:rPr>
            </w:pPr>
          </w:p>
        </w:tc>
      </w:tr>
      <w:tr>
        <w:trPr>
          <w:trHeight w:val="97"/>
        </w:trPr>
        <w:tc>
          <w:tcPr>
            <w:tcW w:w="3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220" w:type="dxa"/>
            <w:vAlign w:val="bottom"/>
          </w:tcPr>
          <w:p>
            <w:pPr>
              <w:ind w:left="180"/>
              <w:spacing w:after="0"/>
              <w:rPr>
                <w:sz w:val="20"/>
                <w:szCs w:val="20"/>
                <w:color w:val="auto"/>
              </w:rPr>
            </w:pPr>
            <w:r>
              <w:rPr>
                <w:rFonts w:ascii="Arial" w:cs="Arial" w:eastAsia="Arial" w:hAnsi="Arial"/>
                <w:sz w:val="13"/>
                <w:szCs w:val="13"/>
                <w:color w:val="auto"/>
              </w:rPr>
              <w:t>Proceeds from termination of leased vehicles</w:t>
            </w:r>
          </w:p>
        </w:tc>
        <w:tc>
          <w:tcPr>
            <w:tcW w:w="120" w:type="dxa"/>
            <w:vAlign w:val="bottom"/>
          </w:tcPr>
          <w:p>
            <w:pPr>
              <w:spacing w:after="0"/>
              <w:rPr>
                <w:sz w:val="15"/>
                <w:szCs w:val="15"/>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vMerge w:val="restart"/>
          </w:tcPr>
          <w:p>
            <w:pPr>
              <w:jc w:val="right"/>
              <w:ind w:right="58"/>
              <w:spacing w:after="0"/>
              <w:rPr>
                <w:sz w:val="20"/>
                <w:szCs w:val="20"/>
                <w:color w:val="auto"/>
              </w:rPr>
            </w:pPr>
            <w:r>
              <w:rPr>
                <w:rFonts w:ascii="Arial" w:cs="Arial" w:eastAsia="Arial" w:hAnsi="Arial"/>
                <w:sz w:val="13"/>
                <w:szCs w:val="13"/>
                <w:color w:val="auto"/>
              </w:rPr>
              <w:t>481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481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40" w:type="dxa"/>
            <w:vAlign w:val="bottom"/>
            <w:vMerge w:val="restart"/>
          </w:tcPr>
          <w:p>
            <w:pPr>
              <w:jc w:val="right"/>
              <w:ind w:right="38"/>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89"/>
        </w:trPr>
        <w:tc>
          <w:tcPr>
            <w:tcW w:w="3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investing activities</w:t>
            </w: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58"/>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97"/>
        </w:trPr>
        <w:tc>
          <w:tcPr>
            <w:tcW w:w="3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220" w:type="dxa"/>
            <w:vAlign w:val="bottom"/>
          </w:tcPr>
          <w:p>
            <w:pPr>
              <w:ind w:left="40"/>
              <w:spacing w:after="0"/>
              <w:rPr>
                <w:sz w:val="20"/>
                <w:szCs w:val="20"/>
                <w:color w:val="auto"/>
              </w:rPr>
            </w:pPr>
            <w:r>
              <w:rPr>
                <w:rFonts w:ascii="Arial" w:cs="Arial" w:eastAsia="Arial" w:hAnsi="Arial"/>
                <w:sz w:val="13"/>
                <w:szCs w:val="13"/>
                <w:b w:val="1"/>
                <w:bCs w:val="1"/>
                <w:color w:val="auto"/>
              </w:rPr>
              <w:t>Net cash used in investing activities</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(1,107)</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vMerge w:val="restart"/>
          </w:tcPr>
          <w:p>
            <w:pPr>
              <w:jc w:val="right"/>
              <w:ind w:right="18"/>
              <w:spacing w:after="0"/>
              <w:rPr>
                <w:sz w:val="20"/>
                <w:szCs w:val="20"/>
                <w:color w:val="auto"/>
              </w:rPr>
            </w:pPr>
            <w:r>
              <w:rPr>
                <w:rFonts w:ascii="Arial" w:cs="Arial" w:eastAsia="Arial" w:hAnsi="Arial"/>
                <w:sz w:val="13"/>
                <w:szCs w:val="13"/>
                <w:color w:val="auto"/>
              </w:rPr>
              <w:t>(6,313)</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color w:val="auto"/>
              </w:rPr>
              <w:t>598</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(6,822)</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(933)</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(4,703)</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168</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(5,468)</w:t>
            </w:r>
          </w:p>
        </w:tc>
        <w:tc>
          <w:tcPr>
            <w:tcW w:w="0" w:type="dxa"/>
            <w:vAlign w:val="bottom"/>
          </w:tcPr>
          <w:p>
            <w:pPr>
              <w:spacing w:after="0"/>
              <w:rPr>
                <w:sz w:val="1"/>
                <w:szCs w:val="1"/>
                <w:color w:val="auto"/>
              </w:rPr>
            </w:pPr>
          </w:p>
        </w:tc>
      </w:tr>
      <w:tr>
        <w:trPr>
          <w:trHeight w:val="81"/>
        </w:trPr>
        <w:tc>
          <w:tcPr>
            <w:tcW w:w="3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01484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Cash flows from financing activities</w:t>
      </w:r>
    </w:p>
    <w:p>
      <w:pPr>
        <w:sectPr>
          <w:pgSz w:w="11900" w:h="16838" w:orient="portrait"/>
          <w:cols w:equalWidth="0" w:num="1">
            <w:col w:w="11060"/>
          </w:cols>
          <w:pgMar w:left="240" w:top="580" w:right="599" w:bottom="1440" w:gutter="0" w:footer="0" w:header="0"/>
        </w:sectPr>
      </w:pP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increase (decrease) in short-term debt</w:t>
      </w:r>
    </w:p>
    <w:p>
      <w:pPr>
        <w:spacing w:after="0" w:line="121" w:lineRule="exact"/>
        <w:rPr>
          <w:sz w:val="20"/>
          <w:szCs w:val="20"/>
          <w:color w:val="auto"/>
        </w:rPr>
      </w:pPr>
    </w:p>
    <w:p>
      <w:pPr>
        <w:ind w:left="340" w:hanging="161"/>
        <w:spacing w:after="0" w:line="237" w:lineRule="auto"/>
        <w:rPr>
          <w:sz w:val="20"/>
          <w:szCs w:val="20"/>
          <w:color w:val="auto"/>
        </w:rPr>
      </w:pPr>
      <w:r>
        <w:rPr>
          <w:rFonts w:ascii="Arial" w:cs="Arial" w:eastAsia="Arial" w:hAnsi="Arial"/>
          <w:sz w:val="13"/>
          <w:szCs w:val="13"/>
          <w:color w:val="auto"/>
        </w:rPr>
        <w:t>Proceeds from issuance of debt (original maturities greater than three months)</w:t>
      </w:r>
    </w:p>
    <w:p>
      <w:pPr>
        <w:spacing w:after="0" w:line="29" w:lineRule="exact"/>
        <w:rPr>
          <w:sz w:val="20"/>
          <w:szCs w:val="20"/>
          <w:color w:val="auto"/>
        </w:rPr>
      </w:pPr>
    </w:p>
    <w:p>
      <w:pPr>
        <w:ind w:left="340" w:right="140" w:hanging="161"/>
        <w:spacing w:after="0" w:line="237" w:lineRule="auto"/>
        <w:rPr>
          <w:sz w:val="20"/>
          <w:szCs w:val="20"/>
          <w:color w:val="auto"/>
        </w:rPr>
      </w:pPr>
      <w:r>
        <w:rPr>
          <w:rFonts w:ascii="Arial" w:cs="Arial" w:eastAsia="Arial" w:hAnsi="Arial"/>
          <w:sz w:val="13"/>
          <w:szCs w:val="13"/>
          <w:color w:val="auto"/>
        </w:rPr>
        <w:t>Payments on debt (original maturities greater than three months)</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Payments to purchase common stock</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Dividends paid</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financing activities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Net cash provided by (used in) financing activities</w:t>
      </w:r>
    </w:p>
    <w:p>
      <w:pPr>
        <w:spacing w:after="0" w:line="55" w:lineRule="exact"/>
        <w:rPr>
          <w:sz w:val="20"/>
          <w:szCs w:val="20"/>
          <w:color w:val="auto"/>
        </w:rPr>
      </w:pPr>
    </w:p>
    <w:p>
      <w:pPr>
        <w:ind w:left="340" w:right="460" w:hanging="161"/>
        <w:spacing w:after="0" w:line="237" w:lineRule="auto"/>
        <w:rPr>
          <w:sz w:val="20"/>
          <w:szCs w:val="20"/>
          <w:color w:val="auto"/>
        </w:rPr>
      </w:pPr>
      <w:r>
        <w:rPr>
          <w:rFonts w:ascii="Arial" w:cs="Arial" w:eastAsia="Arial" w:hAnsi="Arial"/>
          <w:sz w:val="13"/>
          <w:szCs w:val="13"/>
          <w:color w:val="auto"/>
        </w:rPr>
        <w:t>Effect of exchange rate changes on cash and cash equivalents</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transactions with Automotive/GM Financial(b)</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(decrease) in cash and cash equivalents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Cash and cash equivalents at beginning of period</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757</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738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198</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98</w:t>
            </w:r>
          </w:p>
        </w:tc>
      </w:tr>
      <w:tr>
        <w:trPr>
          <w:trHeight w:val="324"/>
        </w:trPr>
        <w:tc>
          <w:tcPr>
            <w:tcW w:w="22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2,049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w w:val="95"/>
              </w:rPr>
              <w:t>10,185</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12,234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6,147</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6,155</w:t>
            </w:r>
          </w:p>
        </w:tc>
      </w:tr>
      <w:tr>
        <w:trPr>
          <w:trHeight w:val="324"/>
        </w:trPr>
        <w:tc>
          <w:tcPr>
            <w:tcW w:w="220" w:type="dxa"/>
            <w:vAlign w:val="bottom"/>
          </w:tcPr>
          <w:p>
            <w:pPr>
              <w:spacing w:after="0"/>
              <w:rPr>
                <w:sz w:val="24"/>
                <w:szCs w:val="2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(5,492)</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(5,550)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(3,056)</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(3,109)</w:t>
            </w:r>
          </w:p>
        </w:tc>
      </w:tr>
      <w:tr>
        <w:trPr>
          <w:trHeight w:val="270"/>
        </w:trPr>
        <w:tc>
          <w:tcPr>
            <w:tcW w:w="220" w:type="dxa"/>
            <w:vAlign w:val="bottom"/>
          </w:tcPr>
          <w:p>
            <w:pPr>
              <w:spacing w:after="0"/>
              <w:rPr>
                <w:sz w:val="23"/>
                <w:szCs w:val="23"/>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(300)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3"/>
                <w:szCs w:val="23"/>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(300)</w:t>
            </w:r>
          </w:p>
        </w:tc>
        <w:tc>
          <w:tcPr>
            <w:tcW w:w="12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23"/>
                <w:szCs w:val="23"/>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(300)</w:t>
            </w:r>
          </w:p>
        </w:tc>
      </w:tr>
      <w:tr>
        <w:trPr>
          <w:trHeight w:val="270"/>
        </w:trPr>
        <w:tc>
          <w:tcPr>
            <w:tcW w:w="220" w:type="dxa"/>
            <w:vAlign w:val="bottom"/>
          </w:tcPr>
          <w:p>
            <w:pPr>
              <w:spacing w:after="0"/>
              <w:rPr>
                <w:sz w:val="23"/>
                <w:szCs w:val="23"/>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(588)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3"/>
                <w:szCs w:val="23"/>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(488)</w:t>
            </w:r>
          </w:p>
        </w:tc>
        <w:tc>
          <w:tcPr>
            <w:tcW w:w="12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23"/>
                <w:szCs w:val="23"/>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(488)</w:t>
            </w:r>
          </w:p>
        </w:tc>
      </w:tr>
      <w:tr>
        <w:trPr>
          <w:trHeight w:val="280"/>
        </w:trPr>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(26)</w:t>
            </w:r>
          </w:p>
        </w:tc>
        <w:tc>
          <w:tcPr>
            <w:tcW w:w="1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w:t>
            </w:r>
          </w:p>
        </w:tc>
      </w:tr>
      <w:tr>
        <w:trPr>
          <w:trHeight w:val="241"/>
        </w:trPr>
        <w:tc>
          <w:tcPr>
            <w:tcW w:w="220" w:type="dxa"/>
            <w:vAlign w:val="bottom"/>
          </w:tcPr>
          <w:p>
            <w:pPr>
              <w:spacing w:after="0"/>
              <w:rPr>
                <w:sz w:val="20"/>
                <w:szCs w:val="20"/>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5,424</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0"/>
                <w:szCs w:val="20"/>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6,483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(889)</w:t>
            </w:r>
          </w:p>
        </w:tc>
        <w:tc>
          <w:tcPr>
            <w:tcW w:w="120" w:type="dxa"/>
            <w:vAlign w:val="bottom"/>
          </w:tcPr>
          <w:p>
            <w:pPr>
              <w:spacing w:after="0"/>
              <w:rPr>
                <w:sz w:val="20"/>
                <w:szCs w:val="20"/>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3,248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0"/>
                <w:szCs w:val="20"/>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2,359</w:t>
            </w:r>
          </w:p>
        </w:tc>
      </w:tr>
      <w:tr>
        <w:trPr>
          <w:trHeight w:val="324"/>
        </w:trPr>
        <w:tc>
          <w:tcPr>
            <w:tcW w:w="22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114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45</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159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(343)</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(444)</w:t>
            </w:r>
          </w:p>
        </w:tc>
      </w:tr>
      <w:tr>
        <w:trPr>
          <w:trHeight w:val="280"/>
        </w:trPr>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474</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(474)</w:t>
            </w:r>
          </w:p>
        </w:tc>
        <w:tc>
          <w:tcPr>
            <w:tcW w:w="1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w:t>
            </w:r>
          </w:p>
        </w:tc>
        <w:tc>
          <w:tcPr>
            <w:tcW w:w="120" w:type="dxa"/>
            <w:vAlign w:val="bottom"/>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r>
      <w:tr>
        <w:trPr>
          <w:trHeight w:val="241"/>
        </w:trPr>
        <w:tc>
          <w:tcPr>
            <w:tcW w:w="220" w:type="dxa"/>
            <w:vAlign w:val="bottom"/>
          </w:tcPr>
          <w:p>
            <w:pPr>
              <w:spacing w:after="0"/>
              <w:rPr>
                <w:sz w:val="20"/>
                <w:szCs w:val="20"/>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(163)</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(2,325)</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(853)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0"/>
                <w:szCs w:val="20"/>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(3,178)</w:t>
            </w:r>
          </w:p>
        </w:tc>
      </w:tr>
      <w:tr>
        <w:trPr>
          <w:trHeight w:val="280"/>
        </w:trPr>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12,177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3,061</w:t>
            </w:r>
          </w:p>
        </w:tc>
        <w:tc>
          <w:tcPr>
            <w:tcW w:w="1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15,238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15,980</w:t>
            </w:r>
          </w:p>
        </w:tc>
        <w:tc>
          <w:tcPr>
            <w:tcW w:w="120" w:type="dxa"/>
            <w:vAlign w:val="bottom"/>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2,974</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18,954</w:t>
            </w:r>
          </w:p>
        </w:tc>
      </w:tr>
      <w:tr>
        <w:trPr>
          <w:trHeight w:val="227"/>
        </w:trPr>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11,996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2,898</w:t>
            </w:r>
          </w:p>
        </w:tc>
        <w:tc>
          <w:tcPr>
            <w:tcW w:w="140" w:type="dxa"/>
            <w:vAlign w:val="bottom"/>
          </w:tcPr>
          <w:p>
            <w:pPr>
              <w:spacing w:after="0"/>
              <w:rPr>
                <w:sz w:val="19"/>
                <w:szCs w:val="19"/>
                <w:color w:val="auto"/>
              </w:rPr>
            </w:pPr>
          </w:p>
        </w:tc>
        <w:tc>
          <w:tcPr>
            <w:tcW w:w="520" w:type="dxa"/>
            <w:vAlign w:val="bottom"/>
          </w:tcPr>
          <w:p>
            <w:pPr>
              <w:jc w:val="right"/>
              <w:ind w:right="377"/>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14,894</w:t>
            </w:r>
          </w:p>
        </w:tc>
        <w:tc>
          <w:tcPr>
            <w:tcW w:w="100" w:type="dxa"/>
            <w:vAlign w:val="bottom"/>
          </w:tcPr>
          <w:p>
            <w:pPr>
              <w:spacing w:after="0"/>
              <w:rPr>
                <w:sz w:val="19"/>
                <w:szCs w:val="19"/>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13,655</w:t>
            </w:r>
          </w:p>
        </w:tc>
        <w:tc>
          <w:tcPr>
            <w:tcW w:w="120" w:type="dxa"/>
            <w:vAlign w:val="bottom"/>
          </w:tcPr>
          <w:p>
            <w:pPr>
              <w:spacing w:after="0"/>
              <w:rPr>
                <w:sz w:val="19"/>
                <w:szCs w:val="19"/>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   2,121</w:t>
            </w:r>
          </w:p>
        </w:tc>
        <w:tc>
          <w:tcPr>
            <w:tcW w:w="100" w:type="dxa"/>
            <w:vAlign w:val="bottom"/>
          </w:tcPr>
          <w:p>
            <w:pPr>
              <w:spacing w:after="0"/>
              <w:rPr>
                <w:sz w:val="19"/>
                <w:szCs w:val="19"/>
                <w:color w:val="auto"/>
              </w:rPr>
            </w:pPr>
          </w:p>
        </w:tc>
        <w:tc>
          <w:tcPr>
            <w:tcW w:w="54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15,776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-1970405</wp:posOffset>
            </wp:positionV>
            <wp:extent cx="7014845"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4845" cy="20574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-1558290</wp:posOffset>
            </wp:positionV>
            <wp:extent cx="701484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4845" cy="17145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-1215390</wp:posOffset>
            </wp:positionV>
            <wp:extent cx="701484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4845" cy="17145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-872490</wp:posOffset>
            </wp:positionV>
            <wp:extent cx="7014845"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14845" cy="20574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-495300</wp:posOffset>
            </wp:positionV>
            <wp:extent cx="701484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14845" cy="17145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-152400</wp:posOffset>
            </wp:positionV>
            <wp:extent cx="701484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3120" w:space="100"/>
            <w:col w:w="7840"/>
          </w:cols>
          <w:pgMar w:left="240" w:top="580" w:right="599" w:bottom="1440" w:gutter="0" w:footer="0" w:header="0"/>
          <w:type w:val="continuous"/>
        </w:sectPr>
      </w:pPr>
    </w:p>
    <w:p>
      <w:pPr>
        <w:spacing w:after="0"/>
        <w:rPr>
          <w:sz w:val="20"/>
          <w:szCs w:val="20"/>
          <w:color w:val="auto"/>
        </w:rPr>
      </w:pPr>
      <w:r>
        <w:rPr>
          <w:rFonts w:ascii="Arial" w:cs="Arial" w:eastAsia="Arial" w:hAnsi="Arial"/>
          <w:sz w:val="18"/>
          <w:szCs w:val="18"/>
          <w:color w:val="auto"/>
        </w:rPr>
        <w:t>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-130175</wp:posOffset>
            </wp:positionV>
            <wp:extent cx="49739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73955" cy="8890"/>
                    </a:xfrm>
                    <a:prstGeom prst="rect">
                      <a:avLst/>
                    </a:prstGeom>
                    <a:noFill/>
                  </pic:spPr>
                </pic:pic>
              </a:graphicData>
            </a:graphic>
          </wp:anchor>
        </w:drawing>
      </w:r>
    </w:p>
    <w:p>
      <w:pPr>
        <w:ind w:left="340" w:hanging="332"/>
        <w:spacing w:after="0"/>
        <w:tabs>
          <w:tab w:leader="none" w:pos="340" w:val="left"/>
        </w:tabs>
        <w:numPr>
          <w:ilvl w:val="0"/>
          <w:numId w:val="7"/>
        </w:numPr>
        <w:rPr>
          <w:rFonts w:ascii="Arial" w:cs="Arial" w:eastAsia="Arial" w:hAnsi="Arial"/>
          <w:sz w:val="11"/>
          <w:szCs w:val="11"/>
          <w:color w:val="auto"/>
        </w:rPr>
      </w:pPr>
      <w:r>
        <w:rPr>
          <w:rFonts w:ascii="Arial" w:cs="Arial" w:eastAsia="Arial" w:hAnsi="Arial"/>
          <w:sz w:val="11"/>
          <w:szCs w:val="11"/>
          <w:color w:val="auto"/>
        </w:rPr>
        <w:t>Reclassification of purchases/collections of wholesale finance receivables resulting from vehicles sold by GM to dealers that have arranged their inventory floor plan financing through GM Financial.</w:t>
      </w:r>
    </w:p>
    <w:p>
      <w:pPr>
        <w:spacing w:after="0" w:line="22" w:lineRule="exact"/>
        <w:rPr>
          <w:rFonts w:ascii="Arial" w:cs="Arial" w:eastAsia="Arial" w:hAnsi="Arial"/>
          <w:sz w:val="11"/>
          <w:szCs w:val="11"/>
          <w:color w:val="auto"/>
        </w:rPr>
      </w:pPr>
    </w:p>
    <w:p>
      <w:pPr>
        <w:ind w:left="340" w:hanging="332"/>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Amounts loaned from GM Financial to Automotive used to fund company vehicles and for commercial loans to dealers we consolidate.</w:t>
      </w:r>
    </w:p>
    <w:p>
      <w:pPr>
        <w:sectPr>
          <w:pgSz w:w="11900" w:h="16838" w:orient="portrait"/>
          <w:cols w:equalWidth="0" w:num="1">
            <w:col w:w="11060"/>
          </w:cols>
          <w:pgMar w:left="240" w:top="580" w:right="599" w:bottom="1440" w:gutter="0" w:footer="0" w:header="0"/>
          <w:type w:val="continuous"/>
        </w:sectPr>
      </w:pPr>
    </w:p>
    <w:p>
      <w:pPr>
        <w:spacing w:after="0" w:line="232"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11</w:t>
      </w:r>
    </w:p>
    <w:sectPr>
      <w:pgSz w:w="11900" w:h="16838" w:orient="portrait"/>
      <w:cols w:equalWidth="0" w:num="1">
        <w:col w:w="11060"/>
      </w:cols>
      <w:pgMar w:left="240" w:top="580"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2019-12-08T19:30:22Z</dcterms:created>
  <dcterms:modified xsi:type="dcterms:W3CDTF">2019-12-08T19:30:22Z</dcterms:modified>
</cp:coreProperties>
</file>