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GENERAL MOTORS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37045V100</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37045V100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65837512</w:t>
      </w:r>
    </w:p>
    <w:p>
      <w:pPr>
        <w:spacing w:after="0" w:line="11" w:lineRule="exact"/>
        <w:rPr>
          <w:rFonts w:ascii="Courier New" w:cs="Courier New" w:eastAsia="Courier New" w:hAnsi="Courier New"/>
          <w:sz w:val="18"/>
          <w:szCs w:val="18"/>
          <w:color w:val="auto"/>
        </w:rPr>
      </w:pPr>
    </w:p>
    <w:p>
      <w:pPr>
        <w:ind w:left="120" w:right="77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72791</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78242620</w:t>
      </w:r>
    </w:p>
    <w:p>
      <w:pPr>
        <w:sectPr>
          <w:pgSz w:w="11900" w:h="16848" w:orient="portrait"/>
          <w:cols w:equalWidth="0" w:num="1">
            <w:col w:w="10219"/>
          </w:cols>
          <w:pgMar w:left="240" w:top="244" w:right="1440" w:bottom="0" w:gutter="0" w:footer="0" w:header="0"/>
        </w:sectPr>
      </w:pPr>
    </w:p>
    <w:bookmarkStart w:id="1" w:name="page2"/>
    <w:bookmarkEnd w:id="1"/>
    <w:p>
      <w:pPr>
        <w:ind w:right="7259" w:firstLine="8"/>
        <w:spacing w:after="0" w:line="470"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72791</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78315411</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5.1%</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 MOTORS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300 RENAISSANCE CENTER</w:t>
      </w:r>
    </w:p>
    <w:p>
      <w:pPr>
        <w:spacing w:after="0" w:line="238" w:lineRule="auto"/>
        <w:rPr>
          <w:sz w:val="20"/>
          <w:szCs w:val="20"/>
          <w:color w:val="auto"/>
        </w:rPr>
      </w:pPr>
      <w:r>
        <w:rPr>
          <w:rFonts w:ascii="Courier New" w:cs="Courier New" w:eastAsia="Courier New" w:hAnsi="Courier New"/>
          <w:sz w:val="18"/>
          <w:szCs w:val="18"/>
          <w:color w:val="auto"/>
        </w:rPr>
        <w:t>DETROIT MI 48265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78315411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65837512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72791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78242620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72791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GENERAL MOTORS.</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GENERAL MOTORS</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30, 2017</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(Luxembourg) S.A.</w:t>
      </w:r>
    </w:p>
    <w:p>
      <w:pPr>
        <w:spacing w:after="0" w:line="238" w:lineRule="auto"/>
        <w:rPr>
          <w:sz w:val="20"/>
          <w:szCs w:val="20"/>
          <w:color w:val="auto"/>
        </w:rPr>
      </w:pPr>
      <w:r>
        <w:rPr>
          <w:rFonts w:ascii="Courier New" w:cs="Courier New" w:eastAsia="Courier New" w:hAnsi="Courier New"/>
          <w:sz w:val="18"/>
          <w:szCs w:val="18"/>
          <w:color w:val="auto"/>
        </w:rPr>
        <w:t>BlackRock (Netherlands) B.V.</w:t>
      </w:r>
    </w:p>
    <w:p>
      <w:pPr>
        <w:spacing w:after="0"/>
        <w:rPr>
          <w:sz w:val="20"/>
          <w:szCs w:val="20"/>
          <w:color w:val="auto"/>
        </w:rPr>
      </w:pPr>
      <w:r>
        <w:rPr>
          <w:rFonts w:ascii="Courier New" w:cs="Courier New" w:eastAsia="Courier New" w:hAnsi="Courier New"/>
          <w:sz w:val="18"/>
          <w:szCs w:val="18"/>
          <w:color w:val="auto"/>
        </w:rPr>
        <w:t>BlackRock (Singapore) Limited</w:t>
      </w:r>
    </w:p>
    <w:p>
      <w:pPr>
        <w:spacing w:after="0" w:line="237" w:lineRule="auto"/>
        <w:rPr>
          <w:sz w:val="20"/>
          <w:szCs w:val="20"/>
          <w:color w:val="auto"/>
        </w:rPr>
      </w:pPr>
      <w:r>
        <w:rPr>
          <w:rFonts w:ascii="Courier New" w:cs="Courier New" w:eastAsia="Courier New" w:hAnsi="Courier New"/>
          <w:sz w:val="18"/>
          <w:szCs w:val="18"/>
          <w:color w:val="auto"/>
        </w:rPr>
        <w:t>BlackRock Advisors (UK) Limited</w:t>
      </w:r>
    </w:p>
    <w:p>
      <w:pPr>
        <w:spacing w:after="0" w:line="238"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rPr>
          <w:sz w:val="20"/>
          <w:szCs w:val="20"/>
          <w:color w:val="auto"/>
        </w:rPr>
      </w:pPr>
      <w:r>
        <w:rPr>
          <w:rFonts w:ascii="Courier New" w:cs="Courier New" w:eastAsia="Courier New" w:hAnsi="Courier New"/>
          <w:sz w:val="18"/>
          <w:szCs w:val="18"/>
          <w:color w:val="auto"/>
        </w:rPr>
        <w:t>BlackRock Asset Management North Asia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spacing w:after="0"/>
        <w:rPr>
          <w:sz w:val="20"/>
          <w:szCs w:val="20"/>
          <w:color w:val="auto"/>
        </w:rPr>
      </w:pPr>
      <w:r>
        <w:rPr>
          <w:rFonts w:ascii="Courier New" w:cs="Courier New" w:eastAsia="Courier New" w:hAnsi="Courier New"/>
          <w:sz w:val="18"/>
          <w:szCs w:val="18"/>
          <w:color w:val="auto"/>
        </w:rPr>
        <w:t>BlackRock Capital Management</w:t>
      </w:r>
    </w:p>
    <w:p>
      <w:pPr>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Fund Managers Ltd</w:t>
      </w:r>
    </w:p>
    <w:p>
      <w:pPr>
        <w:spacing w:after="0" w:line="237"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rPr>
          <w:sz w:val="20"/>
          <w:szCs w:val="20"/>
          <w:color w:val="auto"/>
        </w:rPr>
      </w:pPr>
      <w:r>
        <w:rPr>
          <w:rFonts w:ascii="Courier New" w:cs="Courier New" w:eastAsia="Courier New" w:hAnsi="Courier New"/>
          <w:sz w:val="18"/>
          <w:szCs w:val="18"/>
          <w:color w:val="auto"/>
        </w:rPr>
        <w:t>BlackRock International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rPr>
          <w:sz w:val="20"/>
          <w:szCs w:val="20"/>
          <w:color w:val="auto"/>
        </w:rPr>
      </w:pPr>
      <w:r>
        <w:rPr>
          <w:rFonts w:ascii="Courier New" w:cs="Courier New" w:eastAsia="Courier New" w:hAnsi="Courier New"/>
          <w:sz w:val="18"/>
          <w:szCs w:val="18"/>
          <w:color w:val="auto"/>
        </w:rPr>
        <w:t>BlackRock Investment Management (UK) Ltd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38" w:lineRule="auto"/>
        <w:rPr>
          <w:sz w:val="20"/>
          <w:szCs w:val="20"/>
          <w:color w:val="auto"/>
        </w:rPr>
      </w:pPr>
      <w:r>
        <w:rPr>
          <w:rFonts w:ascii="Courier New" w:cs="Courier New" w:eastAsia="Courier New" w:hAnsi="Courier New"/>
          <w:sz w:val="18"/>
          <w:szCs w:val="18"/>
          <w:color w:val="auto"/>
        </w:rPr>
        <w:t>BlackRock Japan Co Ltd</w:t>
      </w:r>
    </w:p>
    <w:p>
      <w:pPr>
        <w:spacing w:after="0"/>
        <w:rPr>
          <w:sz w:val="20"/>
          <w:szCs w:val="20"/>
          <w:color w:val="auto"/>
        </w:rPr>
      </w:pPr>
      <w:r>
        <w:rPr>
          <w:rFonts w:ascii="Courier New" w:cs="Courier New" w:eastAsia="Courier New" w:hAnsi="Courier New"/>
          <w:sz w:val="18"/>
          <w:szCs w:val="18"/>
          <w:color w:val="auto"/>
        </w:rPr>
        <w:t>BlackRock Life Limited</w:t>
      </w:r>
    </w:p>
    <w:p>
      <w:pPr>
        <w:spacing w:after="0" w:line="237" w:lineRule="auto"/>
        <w:rPr>
          <w:sz w:val="20"/>
          <w:szCs w:val="20"/>
          <w:color w:val="auto"/>
        </w:rPr>
      </w:pPr>
      <w:r>
        <w:rPr>
          <w:rFonts w:ascii="Courier New" w:cs="Courier New" w:eastAsia="Courier New" w:hAnsi="Courier New"/>
          <w:sz w:val="18"/>
          <w:szCs w:val="18"/>
          <w:color w:val="auto"/>
        </w:rPr>
        <w:t>FutureAdvisor,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ectPr>
          <w:pgSz w:w="11900" w:h="16838" w:orient="portrait"/>
          <w:cols w:equalWidth="0" w:num="1">
            <w:col w:w="10219"/>
          </w:cols>
          <w:pgMar w:left="240" w:top="339"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Title: Chief Investment Officer</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2019-12-15T20:05:34Z</dcterms:created>
  <dcterms:modified xsi:type="dcterms:W3CDTF">2019-12-15T20:05:34Z</dcterms:modified>
</cp:coreProperties>
</file>