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327453.xml.htm"/>
      <w:bookmarkStart w:id="1" w:name="kswkform4_17703274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Hatto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1240 WOODWARD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M/C: 482-22381-1003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DETROIT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48265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General Motors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1,965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13,972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86.29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13,446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6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3,413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3,413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converts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("RSUs") are awarded pursuant to the Company's 2020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do not have a conversion or exercise price. Upon vesting, they will be settled in shares of the Company's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Of these RSUs, one-third will vest on February 3, 2027, one-third will vest on February 3, 2028, and one-third will vest on February 3,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RSUs do not have a date on which they will expire.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were awarded on February 4, 2025. One-third of the RSUs vested on February 4, 2026, and the remaining two-thirds will vest on February 4, 2027 and February 4, 2028. Each RSU represents a right to receive one share of the Company's common stock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Tia Y. Turk, Attorney-In-Fact for Mr. Hatto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2153" TargetMode="External"/><Relationship Id="rId5" Type="http://schemas.openxmlformats.org/officeDocument/2006/relationships/hyperlink" Target="http://www.sec.gov/cgi-bin/browse-edgar?action=getcompany&amp;CIK=0001467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750</Words>
  <Characters>3943</Characters>
  <CharactersWithSpaces>4603</CharactersWithSpaces>
  <Paragraphs>134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