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775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7752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Tsien Matthew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01" w:lineRule="auto"/>
        <w:rPr>
          <w:sz w:val="20"/>
          <w:szCs w:val="20"/>
          <w:color w:val="auto"/>
        </w:rPr>
      </w:pPr>
      <w:r>
        <w:rPr>
          <w:rFonts w:ascii="Arial" w:cs="Arial" w:eastAsia="Arial" w:hAnsi="Arial"/>
          <w:sz w:val="18"/>
          <w:szCs w:val="18"/>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23"/>
          </w:cols>
          <w:pgMar w:left="240" w:top="226" w:right="179" w:bottom="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7"/>
          </w:tcPr>
          <w:p>
            <w:pPr>
              <w:jc w:val="right"/>
              <w:ind w:right="107"/>
              <w:spacing w:after="0" w:line="104" w:lineRule="exact"/>
              <w:rPr>
                <w:sz w:val="20"/>
                <w:szCs w:val="20"/>
                <w:color w:val="auto"/>
              </w:rPr>
            </w:pPr>
            <w:r>
              <w:rPr>
                <w:rFonts w:ascii="Arial" w:cs="Arial" w:eastAsia="Arial" w:hAnsi="Arial"/>
                <w:sz w:val="12"/>
                <w:szCs w:val="12"/>
                <w:color w:val="auto"/>
              </w:rPr>
              <w:t>4. If Amendment, Date of Original Filed (Month/Day/Year)</w:t>
            </w:r>
          </w:p>
        </w:tc>
        <w:tc>
          <w:tcPr>
            <w:tcW w:w="3740" w:type="dxa"/>
            <w:vAlign w:val="bottom"/>
            <w:gridSpan w:val="7"/>
          </w:tcPr>
          <w:p>
            <w:pPr>
              <w:ind w:left="380"/>
              <w:spacing w:after="0" w:line="104" w:lineRule="exact"/>
              <w:rPr>
                <w:sz w:val="20"/>
                <w:szCs w:val="20"/>
                <w:color w:val="auto"/>
              </w:rPr>
            </w:pPr>
            <w:r>
              <w:rPr>
                <w:rFonts w:ascii="Arial" w:cs="Arial" w:eastAsia="Arial" w:hAnsi="Arial"/>
                <w:sz w:val="12"/>
                <w:szCs w:val="12"/>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3"/>
          </w:tcPr>
          <w:p>
            <w:pPr>
              <w:jc w:val="right"/>
              <w:ind w:right="518"/>
              <w:spacing w:after="0" w:line="181" w:lineRule="exact"/>
              <w:rPr>
                <w:sz w:val="20"/>
                <w:szCs w:val="20"/>
                <w:color w:val="auto"/>
              </w:rPr>
            </w:pPr>
            <w:r>
              <w:rPr>
                <w:rFonts w:ascii="Arial" w:cs="Arial" w:eastAsia="Arial" w:hAnsi="Arial"/>
                <w:sz w:val="18"/>
                <w:szCs w:val="18"/>
                <w:color w:val="0000FF"/>
              </w:rPr>
              <w:t>01/05/2015</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4"/>
          </w:tcPr>
          <w:p>
            <w:pPr>
              <w:jc w:val="right"/>
              <w:ind w:right="618"/>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3"/>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79"/>
              </w:rPr>
              <w:t>99</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1,699</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79"/>
              </w:rPr>
              <w:t>51</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1,648</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79"/>
              </w:rPr>
              <w:t>48</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1,600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93"/>
              </w:rPr>
              <w:t>142</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1,742</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79"/>
              </w:rPr>
              <w:t>74</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1,668</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79"/>
              </w:rPr>
              <w:t>68</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1,600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93"/>
              </w:rPr>
              <w:t>244</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1,844</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93"/>
              </w:rPr>
              <w:t>127</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1,717</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79"/>
              </w:rPr>
              <w:t>117</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1,600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0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ind w:right="6"/>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9"/>
              </w:rPr>
              <w:t>99</w:t>
            </w:r>
          </w:p>
        </w:tc>
        <w:tc>
          <w:tcPr>
            <w:tcW w:w="220" w:type="dxa"/>
            <w:vAlign w:val="bottom"/>
          </w:tcPr>
          <w:p>
            <w:pPr>
              <w:spacing w:after="0"/>
              <w:rPr>
                <w:sz w:val="16"/>
                <w:szCs w:val="16"/>
                <w:color w:val="auto"/>
              </w:rPr>
            </w:pPr>
          </w:p>
        </w:tc>
        <w:tc>
          <w:tcPr>
            <w:tcW w:w="500" w:type="dxa"/>
            <w:vAlign w:val="bottom"/>
            <w:vMerge w:val="restart"/>
          </w:tcPr>
          <w:p>
            <w:pPr>
              <w:jc w:val="center"/>
              <w:ind w:right="148"/>
              <w:spacing w:after="0"/>
              <w:rPr>
                <w:sz w:val="20"/>
                <w:szCs w:val="20"/>
                <w:color w:val="auto"/>
              </w:rPr>
            </w:pPr>
            <w:r>
              <w:rPr>
                <w:rFonts w:ascii="Arial" w:cs="Arial" w:eastAsia="Arial" w:hAnsi="Arial"/>
                <w:sz w:val="24"/>
                <w:szCs w:val="24"/>
                <w:color w:val="000000"/>
                <w:w w:val="86"/>
                <w:vertAlign w:val="subscript"/>
              </w:rPr>
              <w:t>$</w:t>
            </w:r>
            <w:r>
              <w:rPr>
                <w:rFonts w:ascii="Arial" w:cs="Arial" w:eastAsia="Arial" w:hAnsi="Arial"/>
                <w:sz w:val="27"/>
                <w:szCs w:val="27"/>
                <w:color w:val="0000FF"/>
                <w:w w:val="86"/>
                <w:vertAlign w:val="subscript"/>
              </w:rPr>
              <w:t>0</w:t>
            </w:r>
            <w:r>
              <w:rPr>
                <w:rFonts w:ascii="Arial" w:cs="Arial" w:eastAsia="Arial" w:hAnsi="Arial"/>
                <w:sz w:val="11"/>
                <w:szCs w:val="11"/>
                <w:color w:val="008000"/>
                <w:w w:val="86"/>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jc w:val="center"/>
              <w:ind w:left="120"/>
              <w:spacing w:after="0"/>
              <w:rPr>
                <w:sz w:val="20"/>
                <w:szCs w:val="20"/>
                <w:color w:val="auto"/>
              </w:rPr>
            </w:pPr>
            <w:r>
              <w:rPr>
                <w:rFonts w:ascii="Arial" w:cs="Arial" w:eastAsia="Arial" w:hAnsi="Arial"/>
                <w:sz w:val="11"/>
                <w:szCs w:val="11"/>
                <w:color w:val="008000"/>
                <w:w w:val="88"/>
              </w:rPr>
              <w:t>(2)</w:t>
            </w: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12/31/2014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jc w:val="center"/>
              <w:ind w:left="278"/>
              <w:spacing w:after="0" w:line="146" w:lineRule="exact"/>
              <w:rPr>
                <w:sz w:val="20"/>
                <w:szCs w:val="20"/>
                <w:color w:val="auto"/>
              </w:rPr>
            </w:pPr>
            <w:r>
              <w:rPr>
                <w:rFonts w:ascii="Arial" w:cs="Arial" w:eastAsia="Arial" w:hAnsi="Arial"/>
                <w:sz w:val="14"/>
                <w:szCs w:val="14"/>
                <w:color w:val="0000FF"/>
                <w:w w:val="89"/>
              </w:rPr>
              <w:t>99</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85"/>
              </w:rPr>
              <w:t>196</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142</w:t>
            </w:r>
          </w:p>
        </w:tc>
        <w:tc>
          <w:tcPr>
            <w:tcW w:w="220" w:type="dxa"/>
            <w:vAlign w:val="bottom"/>
          </w:tcPr>
          <w:p>
            <w:pPr>
              <w:spacing w:after="0"/>
              <w:rPr>
                <w:sz w:val="16"/>
                <w:szCs w:val="16"/>
                <w:color w:val="auto"/>
              </w:rPr>
            </w:pPr>
          </w:p>
        </w:tc>
        <w:tc>
          <w:tcPr>
            <w:tcW w:w="500" w:type="dxa"/>
            <w:vAlign w:val="bottom"/>
            <w:vMerge w:val="restart"/>
          </w:tcPr>
          <w:p>
            <w:pPr>
              <w:jc w:val="center"/>
              <w:ind w:right="148"/>
              <w:spacing w:after="0"/>
              <w:rPr>
                <w:sz w:val="20"/>
                <w:szCs w:val="20"/>
                <w:color w:val="auto"/>
              </w:rPr>
            </w:pPr>
            <w:r>
              <w:rPr>
                <w:rFonts w:ascii="Arial" w:cs="Arial" w:eastAsia="Arial" w:hAnsi="Arial"/>
                <w:sz w:val="24"/>
                <w:szCs w:val="24"/>
                <w:color w:val="000000"/>
                <w:w w:val="86"/>
                <w:vertAlign w:val="subscript"/>
              </w:rPr>
              <w:t>$</w:t>
            </w:r>
            <w:r>
              <w:rPr>
                <w:rFonts w:ascii="Arial" w:cs="Arial" w:eastAsia="Arial" w:hAnsi="Arial"/>
                <w:sz w:val="27"/>
                <w:szCs w:val="27"/>
                <w:color w:val="0000FF"/>
                <w:w w:val="86"/>
                <w:vertAlign w:val="subscript"/>
              </w:rPr>
              <w:t>0</w:t>
            </w:r>
            <w:r>
              <w:rPr>
                <w:rFonts w:ascii="Arial" w:cs="Arial" w:eastAsia="Arial" w:hAnsi="Arial"/>
                <w:sz w:val="11"/>
                <w:szCs w:val="11"/>
                <w:color w:val="008000"/>
                <w:w w:val="86"/>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jc w:val="center"/>
              <w:ind w:left="120"/>
              <w:spacing w:after="0"/>
              <w:rPr>
                <w:sz w:val="20"/>
                <w:szCs w:val="20"/>
                <w:color w:val="auto"/>
              </w:rPr>
            </w:pPr>
            <w:r>
              <w:rPr>
                <w:rFonts w:ascii="Arial" w:cs="Arial" w:eastAsia="Arial" w:hAnsi="Arial"/>
                <w:sz w:val="11"/>
                <w:szCs w:val="11"/>
                <w:color w:val="008000"/>
                <w:w w:val="88"/>
              </w:rPr>
              <w:t>(2)</w:t>
            </w: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12/31/2014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jc w:val="center"/>
              <w:ind w:left="258"/>
              <w:spacing w:after="0" w:line="146" w:lineRule="exact"/>
              <w:rPr>
                <w:sz w:val="20"/>
                <w:szCs w:val="20"/>
                <w:color w:val="auto"/>
              </w:rPr>
            </w:pPr>
            <w:r>
              <w:rPr>
                <w:rFonts w:ascii="Arial" w:cs="Arial" w:eastAsia="Arial" w:hAnsi="Arial"/>
                <w:sz w:val="14"/>
                <w:szCs w:val="14"/>
                <w:color w:val="0000FF"/>
                <w:w w:val="85"/>
              </w:rPr>
              <w:t>142</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85"/>
              </w:rPr>
              <w:t>141</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jc w:val="center"/>
              <w:ind w:left="120"/>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244</w:t>
            </w:r>
          </w:p>
        </w:tc>
        <w:tc>
          <w:tcPr>
            <w:tcW w:w="220" w:type="dxa"/>
            <w:vAlign w:val="bottom"/>
          </w:tcPr>
          <w:p>
            <w:pPr>
              <w:spacing w:after="0"/>
              <w:rPr>
                <w:sz w:val="16"/>
                <w:szCs w:val="16"/>
                <w:color w:val="auto"/>
              </w:rPr>
            </w:pPr>
          </w:p>
        </w:tc>
        <w:tc>
          <w:tcPr>
            <w:tcW w:w="500" w:type="dxa"/>
            <w:vAlign w:val="bottom"/>
            <w:vMerge w:val="restart"/>
          </w:tcPr>
          <w:p>
            <w:pPr>
              <w:jc w:val="center"/>
              <w:ind w:right="148"/>
              <w:spacing w:after="0"/>
              <w:rPr>
                <w:sz w:val="20"/>
                <w:szCs w:val="20"/>
                <w:color w:val="auto"/>
              </w:rPr>
            </w:pPr>
            <w:r>
              <w:rPr>
                <w:rFonts w:ascii="Arial" w:cs="Arial" w:eastAsia="Arial" w:hAnsi="Arial"/>
                <w:sz w:val="24"/>
                <w:szCs w:val="24"/>
                <w:color w:val="000000"/>
                <w:w w:val="86"/>
                <w:vertAlign w:val="subscript"/>
              </w:rPr>
              <w:t>$</w:t>
            </w:r>
            <w:r>
              <w:rPr>
                <w:rFonts w:ascii="Arial" w:cs="Arial" w:eastAsia="Arial" w:hAnsi="Arial"/>
                <w:sz w:val="27"/>
                <w:szCs w:val="27"/>
                <w:color w:val="0000FF"/>
                <w:w w:val="86"/>
                <w:vertAlign w:val="subscript"/>
              </w:rPr>
              <w:t>0</w:t>
            </w:r>
            <w:r>
              <w:rPr>
                <w:rFonts w:ascii="Arial" w:cs="Arial" w:eastAsia="Arial" w:hAnsi="Arial"/>
                <w:sz w:val="11"/>
                <w:szCs w:val="11"/>
                <w:color w:val="008000"/>
                <w:w w:val="86"/>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12/31/2014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jc w:val="center"/>
              <w:ind w:left="258"/>
              <w:spacing w:after="0" w:line="146" w:lineRule="exact"/>
              <w:rPr>
                <w:sz w:val="20"/>
                <w:szCs w:val="20"/>
                <w:color w:val="auto"/>
              </w:rPr>
            </w:pPr>
            <w:r>
              <w:rPr>
                <w:rFonts w:ascii="Arial" w:cs="Arial" w:eastAsia="Arial" w:hAnsi="Arial"/>
                <w:sz w:val="14"/>
                <w:szCs w:val="14"/>
                <w:color w:val="0000FF"/>
                <w:w w:val="85"/>
              </w:rPr>
              <w:t>244</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jc w:val="center"/>
              <w:ind w:left="158"/>
              <w:spacing w:after="0" w:line="146" w:lineRule="exact"/>
              <w:rPr>
                <w:sz w:val="20"/>
                <w:szCs w:val="20"/>
                <w:color w:val="auto"/>
              </w:rPr>
            </w:pPr>
            <w:r>
              <w:rPr>
                <w:rFonts w:ascii="Arial" w:cs="Arial" w:eastAsia="Arial" w:hAnsi="Arial"/>
                <w:sz w:val="14"/>
                <w:szCs w:val="14"/>
                <w:color w:val="0000FF"/>
                <w:w w:val="76"/>
              </w:rPr>
              <w:t>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December 31, 2013 pursuant to the Company's Salary Stock Plan (the "GMSSP") and vested upon grant. The portion of this award currently payable was settled on December 31, 2014.</w:t>
      </w:r>
    </w:p>
    <w:p>
      <w:pPr>
        <w:spacing w:after="0" w:line="30" w:lineRule="exact"/>
        <w:rPr>
          <w:rFonts w:ascii="Arial" w:cs="Arial" w:eastAsia="Arial" w:hAnsi="Arial"/>
          <w:sz w:val="14"/>
          <w:szCs w:val="14"/>
          <w:color w:val="008000"/>
        </w:rPr>
      </w:pPr>
    </w:p>
    <w:p>
      <w:pPr>
        <w:ind w:left="40" w:right="1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SSUs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$35.17. The employee opted to have these settlements made by delivery of cash, less a portion withheld for taxes.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December 31,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December 31,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0000FF"/>
                <w:w w:val="86"/>
              </w:rPr>
              <w:t>/s/ Robert C. Shrosbree,</w:t>
            </w:r>
          </w:p>
        </w:tc>
        <w:tc>
          <w:tcPr>
            <w:tcW w:w="1400" w:type="dxa"/>
            <w:vAlign w:val="bottom"/>
            <w:gridSpan w:val="2"/>
          </w:tcPr>
          <w:p>
            <w:pPr>
              <w:jc w:val="right"/>
              <w:spacing w:after="0"/>
              <w:rPr>
                <w:sz w:val="20"/>
                <w:szCs w:val="20"/>
                <w:color w:val="auto"/>
              </w:rPr>
            </w:pPr>
            <w:r>
              <w:rPr>
                <w:rFonts w:ascii="Arial" w:cs="Arial" w:eastAsia="Arial" w:hAnsi="Arial"/>
                <w:sz w:val="18"/>
                <w:szCs w:val="18"/>
                <w:color w:val="0000FF"/>
              </w:rPr>
              <w:t>01/06/2015</w:t>
            </w:r>
          </w:p>
        </w:tc>
      </w:tr>
      <w:tr>
        <w:trPr>
          <w:trHeight w:val="20"/>
        </w:trPr>
        <w:tc>
          <w:tcPr>
            <w:tcW w:w="1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80"/>
          </w:cols>
          <w:pgMar w:left="240" w:top="226" w:right="17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attorney-in-fact for Mr. Tsien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04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04925"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941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2019-12-08T22:38:22Z</dcterms:created>
  <dcterms:modified xsi:type="dcterms:W3CDTF">2019-12-08T22:38:22Z</dcterms:modified>
</cp:coreProperties>
</file>