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July 2,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July 2, 2013, General Motors Company issued a news release announcing June 2013 U.S.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3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0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04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5"/>
        </w:trPr>
        <w:tc>
          <w:tcPr>
            <w:tcW w:w="30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6040" w:type="dxa"/>
            <w:vAlign w:val="bottom"/>
            <w:gridSpan w:val="4"/>
          </w:tcPr>
          <w:p>
            <w:pPr>
              <w:spacing w:after="0"/>
              <w:rPr>
                <w:sz w:val="20"/>
                <w:szCs w:val="20"/>
                <w:color w:val="auto"/>
              </w:rPr>
            </w:pPr>
            <w:r>
              <w:rPr>
                <w:rFonts w:ascii="Arial" w:cs="Arial" w:eastAsia="Arial" w:hAnsi="Arial"/>
                <w:sz w:val="18"/>
                <w:szCs w:val="18"/>
                <w:color w:val="auto"/>
              </w:rPr>
              <w:t>U.S. Sales Release and Charts Dated July 2, 2013</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0920"/>
          </w:cols>
          <w:pgMar w:left="240" w:top="796" w:right="7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00" w:type="dxa"/>
            <w:vAlign w:val="bottom"/>
            <w:vMerge w:val="restart"/>
          </w:tcPr>
          <w:p>
            <w:pPr>
              <w:spacing w:after="0"/>
              <w:rPr>
                <w:sz w:val="20"/>
                <w:szCs w:val="20"/>
                <w:color w:val="auto"/>
              </w:rPr>
            </w:pPr>
            <w:r>
              <w:rPr>
                <w:rFonts w:ascii="Arial" w:cs="Arial" w:eastAsia="Arial" w:hAnsi="Arial"/>
                <w:sz w:val="18"/>
                <w:szCs w:val="18"/>
                <w:color w:val="auto"/>
              </w:rPr>
              <w:t>Date: July 3, 2013</w:t>
            </w:r>
          </w:p>
        </w:tc>
        <w:tc>
          <w:tcPr>
            <w:tcW w:w="2740" w:type="dxa"/>
            <w:vAlign w:val="bottom"/>
            <w:vMerge w:val="restart"/>
          </w:tcPr>
          <w:p>
            <w:pPr>
              <w:ind w:left="208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00" w:type="dxa"/>
            <w:vAlign w:val="bottom"/>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July 2, 2013, 10 a.m. EDT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Reports Highest Monthly Sales Since September 2008</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Chevrolet and GMC large pickup sales up 29 percent in June; 23 percent in first half</w:t>
      </w:r>
    </w:p>
    <w:p>
      <w:pPr>
        <w:spacing w:after="0" w:line="200" w:lineRule="exact"/>
        <w:rPr>
          <w:sz w:val="20"/>
          <w:szCs w:val="20"/>
          <w:color w:val="auto"/>
        </w:rPr>
      </w:pPr>
    </w:p>
    <w:p>
      <w:pPr>
        <w:spacing w:after="0" w:line="223" w:lineRule="exact"/>
        <w:rPr>
          <w:sz w:val="20"/>
          <w:szCs w:val="20"/>
          <w:color w:val="auto"/>
        </w:rPr>
      </w:pPr>
    </w:p>
    <w:p>
      <w:pPr>
        <w:jc w:val="both"/>
        <w:ind w:right="34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sold 264,843 vehicles in the United States in June, up 6 percent compared with a</w:t>
      </w:r>
      <w:r>
        <w:rPr>
          <w:rFonts w:ascii="Arial" w:cs="Arial" w:eastAsia="Arial" w:hAnsi="Arial"/>
          <w:sz w:val="20"/>
          <w:szCs w:val="20"/>
          <w:b w:val="1"/>
          <w:bCs w:val="1"/>
          <w:color w:val="auto"/>
        </w:rPr>
        <w:t xml:space="preserve"> </w:t>
      </w:r>
      <w:r>
        <w:rPr>
          <w:rFonts w:ascii="Arial" w:cs="Arial" w:eastAsia="Arial" w:hAnsi="Arial"/>
          <w:sz w:val="20"/>
          <w:szCs w:val="20"/>
          <w:color w:val="auto"/>
        </w:rPr>
        <w:t>year ago. Deliveries to retail customers increased 14 percent while fleet sales declined 9 percent due to the timing of customer deliveries.</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Total crossover sales were up 9 percent compared with a year ago; passenger car sales were up 4 percent, and truck sales, which include pickups, vans and SUVs, were up 8 percent. All four GM brands posted higher retail sales, with Chevrolet, GMC and Cadillac posting double-digit increases.</w:t>
      </w:r>
    </w:p>
    <w:p>
      <w:pPr>
        <w:spacing w:after="0" w:line="20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“Our Chevrolet, Buick-GMC and Cadillac dealers reported strong retail deliveries across the board in June and for the first six months of the year,” said Kurt McNeil, vice president, U.S. Sales Operations. “We have good momentum heading into the second half of 2013: the economic outlook is solid and our launch vehicles are performing well in the marketplace.”</w:t>
      </w:r>
    </w:p>
    <w:p>
      <w:pPr>
        <w:spacing w:after="0" w:line="206"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color w:val="auto"/>
        </w:rPr>
        <w:t>GM estimates that the seasonally adjusted annual selling rate for light vehicles in June was 15.8 million units, the highest level since November 2007.</w:t>
      </w:r>
    </w:p>
    <w:p>
      <w:pPr>
        <w:spacing w:after="0" w:line="202"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“America's families are better off than they were at the beginning of the year and they believe - with good justification - that the economic expansion is going to continue,” said Mustafa Mohatarem, GM chief economist. “Even moderate economic growth will be enough to keep the auto sales rate in the second half of the year at healthy levels around the mid 15 million-unit mark.”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Sales Highlights (vs. 2012)</w:t>
      </w:r>
    </w:p>
    <w:p>
      <w:pPr>
        <w:spacing w:after="0" w:line="24" w:lineRule="exact"/>
        <w:rPr>
          <w:sz w:val="20"/>
          <w:szCs w:val="20"/>
          <w:color w:val="auto"/>
        </w:rPr>
      </w:pPr>
    </w:p>
    <w:p>
      <w:pPr>
        <w:ind w:left="34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sales of GM's mini, small and compact cars were up 59 percent. Large pickups were up 29 percent, luxury car sales were up 22 percent and compact crossovers were up 8 percent.</w:t>
      </w:r>
    </w:p>
    <w:p>
      <w:pPr>
        <w:spacing w:after="0" w:line="1" w:lineRule="exact"/>
        <w:rPr>
          <w:rFonts w:ascii="Arial" w:cs="Arial" w:eastAsia="Arial" w:hAnsi="Arial"/>
          <w:sz w:val="18"/>
          <w:szCs w:val="18"/>
          <w:color w:val="auto"/>
        </w:rPr>
      </w:pPr>
    </w:p>
    <w:p>
      <w:pPr>
        <w:ind w:left="340" w:right="54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passenger car sales increased 38 percent on the strength of the all-new ATS and XTS, helping drive the brand's fastest growth since 1976.</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mini, small and compact car sales were up 66 percent.</w:t>
      </w:r>
    </w:p>
    <w:p>
      <w:pPr>
        <w:ind w:left="340" w:right="20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sales of the Chevrolet Silverado and GMC Sierra increased 29 percent and 33 percent respectively. Combined, dealers delivered more than 6,000 all-new 2014 crew cab models, and the “days to turn” is 10 days.</w:t>
      </w:r>
    </w:p>
    <w:p>
      <w:pPr>
        <w:spacing w:after="0" w:line="1" w:lineRule="exact"/>
        <w:rPr>
          <w:rFonts w:ascii="Arial" w:cs="Arial" w:eastAsia="Arial" w:hAnsi="Arial"/>
          <w:sz w:val="18"/>
          <w:szCs w:val="18"/>
          <w:color w:val="auto"/>
        </w:rPr>
      </w:pPr>
    </w:p>
    <w:p>
      <w:pPr>
        <w:ind w:left="340" w:right="34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Chevrolet Cruze set an all-time monthly sales record, and Chevrolet Volt and Chevrolet Sonic each had their best-ever June sales.</w:t>
      </w:r>
    </w:p>
    <w:p>
      <w:pPr>
        <w:spacing w:after="0" w:line="1" w:lineRule="exact"/>
        <w:rPr>
          <w:rFonts w:ascii="Arial" w:cs="Arial" w:eastAsia="Arial" w:hAnsi="Arial"/>
          <w:sz w:val="18"/>
          <w:szCs w:val="18"/>
          <w:color w:val="auto"/>
        </w:rPr>
      </w:pPr>
    </w:p>
    <w:p>
      <w:pPr>
        <w:ind w:left="340" w:right="110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Chevrolet Equinox had its best month ever with sales up 14 percent. Equinox deliveries have increased for 18 consecutive months.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Impala retail deliveries rose 62 percent.</w:t>
      </w:r>
    </w:p>
    <w:p>
      <w:pPr>
        <w:ind w:left="340" w:right="20" w:hanging="332"/>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retail sales have increased for 14 consecutive months and the brand had its best June retail sales in seven years, on the strength of Buick Verano sales.</w:t>
      </w:r>
    </w:p>
    <w:p>
      <w:pPr>
        <w:sectPr>
          <w:pgSz w:w="11900" w:h="16838" w:orient="portrait"/>
          <w:cols w:equalWidth="0" w:num="1">
            <w:col w:w="11420"/>
          </w:cols>
          <w:pgMar w:left="240" w:top="81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Calendar Year-to-Date Sales Highlights (vs. 2012)</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Cadillac was the industry's fastest-growing luxury brand with a first-half sales increase of 33 percent.</w:t>
      </w:r>
    </w:p>
    <w:p>
      <w:pPr>
        <w:ind w:left="340" w:right="720" w:hanging="332"/>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Retail sales of GM's redesigned medium crossovers have been very strong: the Buick Enclave was up 24 percent, the Chevrolet Traverse 21 percent and the GMC Acadia 16 percent.</w:t>
      </w:r>
    </w:p>
    <w:p>
      <w:pPr>
        <w:spacing w:after="0" w:line="1" w:lineRule="exact"/>
        <w:rPr>
          <w:rFonts w:ascii="Arial" w:cs="Arial" w:eastAsia="Arial" w:hAnsi="Arial"/>
          <w:sz w:val="18"/>
          <w:szCs w:val="18"/>
          <w:color w:val="auto"/>
        </w:rPr>
      </w:pPr>
    </w:p>
    <w:p>
      <w:pPr>
        <w:ind w:left="340" w:right="140" w:hanging="332"/>
        <w:spacing w:after="0" w:line="23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Crossover sales were up 16 percent compared with a year ago, passenger car sales were up 1 percent and truck sales were up 11 percent.</w:t>
      </w:r>
    </w:p>
    <w:p>
      <w:pPr>
        <w:spacing w:after="0" w:line="1" w:lineRule="exact"/>
        <w:rPr>
          <w:rFonts w:ascii="Arial" w:cs="Arial" w:eastAsia="Arial" w:hAnsi="Arial"/>
          <w:sz w:val="18"/>
          <w:szCs w:val="18"/>
          <w:color w:val="auto"/>
        </w:rPr>
      </w:pPr>
    </w:p>
    <w:p>
      <w:pPr>
        <w:ind w:left="340" w:right="640" w:hanging="332"/>
        <w:spacing w:after="0" w:line="24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Large pickup sales were up 23 percent, including a 49 percent increase in Silverado and Sierra sales to small business customers, who are benefiting from the recovery in housing and overall economic growth.</w:t>
      </w:r>
    </w:p>
    <w:p>
      <w:pPr>
        <w:spacing w:after="0" w:line="18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tom.e.henderson@gm.com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87" w:right="2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June 2013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205740</wp:posOffset>
            </wp:positionV>
            <wp:extent cx="6586220" cy="3559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559175"/>
                    </a:xfrm>
                    <a:prstGeom prst="rect">
                      <a:avLst/>
                    </a:prstGeom>
                    <a:noFill/>
                  </pic:spPr>
                </pic:pic>
              </a:graphicData>
            </a:graphic>
          </wp:anchor>
        </w:drawing>
      </w:r>
    </w:p>
    <w:p>
      <w:pPr>
        <w:spacing w:after="0" w:line="32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6"/>
              </w:rPr>
              <w:t>Month</w:t>
            </w:r>
          </w:p>
        </w:tc>
        <w:tc>
          <w:tcPr>
            <w:tcW w:w="2060" w:type="dxa"/>
            <w:vAlign w:val="bottom"/>
          </w:tcPr>
          <w:p>
            <w:pPr>
              <w:ind w:left="66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ind w:left="580"/>
              <w:spacing w:after="0"/>
              <w:rPr>
                <w:sz w:val="20"/>
                <w:szCs w:val="20"/>
                <w:color w:val="auto"/>
              </w:rPr>
            </w:pPr>
            <w:r>
              <w:rPr>
                <w:rFonts w:ascii="Arial" w:cs="Arial" w:eastAsia="Arial" w:hAnsi="Arial"/>
                <w:sz w:val="18"/>
                <w:szCs w:val="18"/>
                <w:b w:val="1"/>
                <w:bCs w:val="1"/>
                <w:color w:val="auto"/>
              </w:rPr>
              <w:t>YOY Change</w:t>
            </w:r>
          </w:p>
        </w:tc>
        <w:tc>
          <w:tcPr>
            <w:tcW w:w="2000" w:type="dxa"/>
            <w:vAlign w:val="bottom"/>
          </w:tcPr>
          <w:p>
            <w:pPr>
              <w:ind w:left="56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ind w:left="54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193,460</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7.4%</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128,639</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13.5%</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39,376</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4.5%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34,445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17.2%</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18,078</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(4.1)%</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16,052</w:t>
            </w: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6.3%</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13,929</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14.9%</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13,129</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17.7%</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264,843</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192,265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13.8%</w:t>
            </w:r>
          </w:p>
        </w:tc>
      </w:tr>
    </w:tbl>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CYTD</w:t>
            </w:r>
          </w:p>
        </w:tc>
        <w:tc>
          <w:tcPr>
            <w:tcW w:w="2060" w:type="dxa"/>
            <w:vAlign w:val="bottom"/>
          </w:tcPr>
          <w:p>
            <w:pPr>
              <w:ind w:left="66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ind w:left="580"/>
              <w:spacing w:after="0"/>
              <w:rPr>
                <w:sz w:val="20"/>
                <w:szCs w:val="20"/>
                <w:color w:val="auto"/>
              </w:rPr>
            </w:pPr>
            <w:r>
              <w:rPr>
                <w:rFonts w:ascii="Arial" w:cs="Arial" w:eastAsia="Arial" w:hAnsi="Arial"/>
                <w:sz w:val="18"/>
                <w:szCs w:val="18"/>
                <w:b w:val="1"/>
                <w:bCs w:val="1"/>
                <w:color w:val="auto"/>
              </w:rPr>
              <w:t>YOY Change</w:t>
            </w:r>
          </w:p>
        </w:tc>
        <w:tc>
          <w:tcPr>
            <w:tcW w:w="2000" w:type="dxa"/>
            <w:vAlign w:val="bottom"/>
          </w:tcPr>
          <w:p>
            <w:pPr>
              <w:ind w:left="56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ind w:left="54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1,015,134</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5.6%</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688,630</w:t>
            </w: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7.8%</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220,696</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189,319</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13.5%</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100,837</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11.8%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90,165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14.9%</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83,679</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33.2%</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76,066</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26.6%</w:t>
            </w:r>
          </w:p>
        </w:tc>
      </w:tr>
      <w:tr>
        <w:trPr>
          <w:trHeight w:val="33"/>
        </w:trPr>
        <w:tc>
          <w:tcPr>
            <w:tcW w:w="204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ind w:left="17"/>
              <w:spacing w:after="0"/>
              <w:rPr>
                <w:sz w:val="20"/>
                <w:szCs w:val="20"/>
                <w:color w:val="auto"/>
              </w:rPr>
            </w:pPr>
            <w:r>
              <w:rPr>
                <w:rFonts w:ascii="Arial" w:cs="Arial" w:eastAsia="Arial" w:hAnsi="Arial"/>
                <w:sz w:val="16"/>
                <w:szCs w:val="16"/>
                <w:color w:val="auto"/>
                <w:w w:val="89"/>
              </w:rPr>
              <w:t>1,420,346</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8.0%</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1,044,180</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10.6%</w:t>
            </w:r>
          </w:p>
        </w:tc>
      </w:tr>
    </w:tbl>
    <w:p>
      <w:pPr>
        <w:spacing w:after="0" w:line="298" w:lineRule="exact"/>
        <w:rPr>
          <w:sz w:val="20"/>
          <w:szCs w:val="20"/>
          <w:color w:val="auto"/>
        </w:rPr>
      </w:pPr>
    </w:p>
    <w:tbl>
      <w:tblPr>
        <w:tblLayout w:type="fixed"/>
        <w:tblInd w:w="550" w:type="dxa"/>
        <w:tblCellMar>
          <w:top w:w="0" w:type="dxa"/>
          <w:left w:w="0" w:type="dxa"/>
          <w:bottom w:w="0" w:type="dxa"/>
          <w:right w:w="0" w:type="dxa"/>
        </w:tblCellMar>
      </w:tblPr>
      <w:tr>
        <w:trPr>
          <w:trHeight w:val="234"/>
        </w:trPr>
        <w:tc>
          <w:tcPr>
            <w:tcW w:w="2620" w:type="dxa"/>
            <w:vAlign w:val="bottom"/>
          </w:tcPr>
          <w:p>
            <w:pPr>
              <w:jc w:val="center"/>
              <w:ind w:right="455"/>
              <w:spacing w:after="0"/>
              <w:rPr>
                <w:sz w:val="20"/>
                <w:szCs w:val="20"/>
                <w:color w:val="auto"/>
              </w:rPr>
            </w:pPr>
            <w:r>
              <w:rPr>
                <w:rFonts w:ascii="Arial" w:cs="Arial" w:eastAsia="Arial" w:hAnsi="Arial"/>
                <w:sz w:val="18"/>
                <w:szCs w:val="18"/>
                <w:b w:val="1"/>
                <w:bCs w:val="1"/>
                <w:color w:val="auto"/>
                <w:w w:val="87"/>
              </w:rPr>
              <w:t>Fleet Segment</w:t>
            </w:r>
          </w:p>
        </w:tc>
        <w:tc>
          <w:tcPr>
            <w:tcW w:w="860" w:type="dxa"/>
            <w:vAlign w:val="bottom"/>
          </w:tcPr>
          <w:p>
            <w:pPr>
              <w:jc w:val="center"/>
              <w:ind w:left="54"/>
              <w:spacing w:after="0"/>
              <w:rPr>
                <w:sz w:val="20"/>
                <w:szCs w:val="20"/>
                <w:color w:val="auto"/>
              </w:rPr>
            </w:pPr>
            <w:r>
              <w:rPr>
                <w:rFonts w:ascii="Arial" w:cs="Arial" w:eastAsia="Arial" w:hAnsi="Arial"/>
                <w:sz w:val="18"/>
                <w:szCs w:val="18"/>
                <w:b w:val="1"/>
                <w:bCs w:val="1"/>
                <w:color w:val="auto"/>
                <w:w w:val="96"/>
              </w:rPr>
              <w:t>Month</w:t>
            </w:r>
          </w:p>
        </w:tc>
        <w:tc>
          <w:tcPr>
            <w:tcW w:w="1040" w:type="dxa"/>
            <w:vAlign w:val="bottom"/>
          </w:tcPr>
          <w:p>
            <w:pPr>
              <w:spacing w:after="0"/>
              <w:rPr>
                <w:sz w:val="20"/>
                <w:szCs w:val="20"/>
                <w:color w:val="auto"/>
              </w:rPr>
            </w:pPr>
          </w:p>
        </w:tc>
        <w:tc>
          <w:tcPr>
            <w:tcW w:w="1820" w:type="dxa"/>
            <w:vAlign w:val="bottom"/>
            <w:gridSpan w:val="2"/>
          </w:tcPr>
          <w:p>
            <w:pPr>
              <w:jc w:val="center"/>
              <w:ind w:right="374"/>
              <w:spacing w:after="0"/>
              <w:rPr>
                <w:sz w:val="20"/>
                <w:szCs w:val="20"/>
                <w:color w:val="auto"/>
              </w:rPr>
            </w:pPr>
            <w:r>
              <w:rPr>
                <w:rFonts w:ascii="Arial" w:cs="Arial" w:eastAsia="Arial" w:hAnsi="Arial"/>
                <w:sz w:val="18"/>
                <w:szCs w:val="18"/>
                <w:b w:val="1"/>
                <w:bCs w:val="1"/>
                <w:color w:val="auto"/>
                <w:w w:val="95"/>
              </w:rPr>
              <w:t>YOY Change</w:t>
            </w:r>
          </w:p>
        </w:tc>
        <w:tc>
          <w:tcPr>
            <w:tcW w:w="1440" w:type="dxa"/>
            <w:vAlign w:val="bottom"/>
          </w:tcPr>
          <w:p>
            <w:pPr>
              <w:jc w:val="center"/>
              <w:ind w:left="314"/>
              <w:spacing w:after="0"/>
              <w:rPr>
                <w:sz w:val="20"/>
                <w:szCs w:val="20"/>
                <w:color w:val="auto"/>
              </w:rPr>
            </w:pPr>
            <w:r>
              <w:rPr>
                <w:rFonts w:ascii="Arial" w:cs="Arial" w:eastAsia="Arial" w:hAnsi="Arial"/>
                <w:sz w:val="18"/>
                <w:szCs w:val="18"/>
                <w:b w:val="1"/>
                <w:bCs w:val="1"/>
                <w:color w:val="auto"/>
              </w:rPr>
              <w:t>CYTD</w:t>
            </w:r>
          </w:p>
        </w:tc>
        <w:tc>
          <w:tcPr>
            <w:tcW w:w="400" w:type="dxa"/>
            <w:vAlign w:val="bottom"/>
          </w:tcPr>
          <w:p>
            <w:pPr>
              <w:spacing w:after="0"/>
              <w:rPr>
                <w:sz w:val="20"/>
                <w:szCs w:val="20"/>
                <w:color w:val="auto"/>
              </w:rPr>
            </w:pPr>
          </w:p>
        </w:tc>
        <w:tc>
          <w:tcPr>
            <w:tcW w:w="2180" w:type="dxa"/>
            <w:vAlign w:val="bottom"/>
          </w:tcPr>
          <w:p>
            <w:pPr>
              <w:jc w:val="center"/>
              <w:ind w:left="35"/>
              <w:spacing w:after="0"/>
              <w:rPr>
                <w:sz w:val="20"/>
                <w:szCs w:val="20"/>
                <w:color w:val="auto"/>
              </w:rPr>
            </w:pPr>
            <w:r>
              <w:rPr>
                <w:rFonts w:ascii="Arial" w:cs="Arial" w:eastAsia="Arial" w:hAnsi="Arial"/>
                <w:sz w:val="18"/>
                <w:szCs w:val="18"/>
                <w:b w:val="1"/>
                <w:bCs w:val="1"/>
                <w:color w:val="auto"/>
                <w:w w:val="94"/>
              </w:rPr>
              <w:t>CYTD Change</w:t>
            </w:r>
          </w:p>
        </w:tc>
        <w:tc>
          <w:tcPr>
            <w:tcW w:w="0" w:type="dxa"/>
            <w:vAlign w:val="bottom"/>
          </w:tcPr>
          <w:p>
            <w:pPr>
              <w:spacing w:after="0"/>
              <w:rPr>
                <w:sz w:val="1"/>
                <w:szCs w:val="1"/>
                <w:color w:val="auto"/>
              </w:rPr>
            </w:pPr>
          </w:p>
        </w:tc>
      </w:tr>
      <w:tr>
        <w:trPr>
          <w:trHeight w:val="27"/>
        </w:trPr>
        <w:tc>
          <w:tcPr>
            <w:tcW w:w="2620" w:type="dxa"/>
            <w:vAlign w:val="bottom"/>
            <w:tcBorders>
              <w:bottom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1040" w:type="dxa"/>
            <w:vAlign w:val="bottom"/>
            <w:tcBorders>
              <w:bottom w:val="single" w:sz="8" w:color="BFBFBF"/>
            </w:tcBorders>
          </w:tcPr>
          <w:p>
            <w:pPr>
              <w:spacing w:after="0"/>
              <w:rPr>
                <w:sz w:val="2"/>
                <w:szCs w:val="2"/>
                <w:color w:val="auto"/>
              </w:rPr>
            </w:pPr>
          </w:p>
        </w:tc>
        <w:tc>
          <w:tcPr>
            <w:tcW w:w="680" w:type="dxa"/>
            <w:vAlign w:val="bottom"/>
            <w:tcBorders>
              <w:bottom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jc w:val="center"/>
              <w:ind w:right="455"/>
              <w:spacing w:after="0"/>
              <w:rPr>
                <w:sz w:val="20"/>
                <w:szCs w:val="20"/>
                <w:color w:val="auto"/>
              </w:rPr>
            </w:pPr>
            <w:r>
              <w:rPr>
                <w:rFonts w:ascii="Arial" w:cs="Arial" w:eastAsia="Arial" w:hAnsi="Arial"/>
                <w:sz w:val="16"/>
                <w:szCs w:val="16"/>
                <w:color w:val="auto"/>
                <w:w w:val="91"/>
              </w:rPr>
              <w:t>Fleet Share of Total GM Sales</w:t>
            </w:r>
          </w:p>
        </w:tc>
        <w:tc>
          <w:tcPr>
            <w:tcW w:w="860" w:type="dxa"/>
            <w:vAlign w:val="bottom"/>
          </w:tcPr>
          <w:p>
            <w:pPr>
              <w:jc w:val="center"/>
              <w:ind w:left="74"/>
              <w:spacing w:after="0"/>
              <w:rPr>
                <w:sz w:val="20"/>
                <w:szCs w:val="20"/>
                <w:color w:val="auto"/>
              </w:rPr>
            </w:pPr>
            <w:r>
              <w:rPr>
                <w:rFonts w:ascii="Arial" w:cs="Arial" w:eastAsia="Arial" w:hAnsi="Arial"/>
                <w:sz w:val="16"/>
                <w:szCs w:val="16"/>
                <w:color w:val="auto"/>
                <w:w w:val="92"/>
              </w:rPr>
              <w:t>27.4%</w:t>
            </w:r>
          </w:p>
        </w:tc>
        <w:tc>
          <w:tcPr>
            <w:tcW w:w="1040" w:type="dxa"/>
            <w:vAlign w:val="bottom"/>
          </w:tcPr>
          <w:p>
            <w:pPr>
              <w:spacing w:after="0"/>
              <w:rPr>
                <w:sz w:val="18"/>
                <w:szCs w:val="18"/>
                <w:color w:val="auto"/>
              </w:rPr>
            </w:pPr>
          </w:p>
        </w:tc>
        <w:tc>
          <w:tcPr>
            <w:tcW w:w="1820" w:type="dxa"/>
            <w:vAlign w:val="bottom"/>
            <w:gridSpan w:val="2"/>
          </w:tcPr>
          <w:p>
            <w:pPr>
              <w:jc w:val="center"/>
              <w:ind w:right="394"/>
              <w:spacing w:after="0"/>
              <w:rPr>
                <w:sz w:val="20"/>
                <w:szCs w:val="20"/>
                <w:color w:val="auto"/>
              </w:rPr>
            </w:pPr>
            <w:r>
              <w:rPr>
                <w:rFonts w:ascii="Arial" w:cs="Arial" w:eastAsia="Arial" w:hAnsi="Arial"/>
                <w:sz w:val="16"/>
                <w:szCs w:val="16"/>
                <w:color w:val="auto"/>
                <w:w w:val="92"/>
              </w:rPr>
              <w:t>(4.7) points</w:t>
            </w:r>
          </w:p>
        </w:tc>
        <w:tc>
          <w:tcPr>
            <w:tcW w:w="1440" w:type="dxa"/>
            <w:vAlign w:val="bottom"/>
          </w:tcPr>
          <w:p>
            <w:pPr>
              <w:jc w:val="center"/>
              <w:ind w:left="314"/>
              <w:spacing w:after="0"/>
              <w:rPr>
                <w:sz w:val="20"/>
                <w:szCs w:val="20"/>
                <w:color w:val="auto"/>
              </w:rPr>
            </w:pPr>
            <w:r>
              <w:rPr>
                <w:rFonts w:ascii="Arial" w:cs="Arial" w:eastAsia="Arial" w:hAnsi="Arial"/>
                <w:sz w:val="16"/>
                <w:szCs w:val="16"/>
                <w:color w:val="auto"/>
                <w:w w:val="88"/>
              </w:rPr>
              <w:t>26.5%</w:t>
            </w:r>
          </w:p>
        </w:tc>
        <w:tc>
          <w:tcPr>
            <w:tcW w:w="400" w:type="dxa"/>
            <w:vAlign w:val="bottom"/>
          </w:tcPr>
          <w:p>
            <w:pPr>
              <w:spacing w:after="0"/>
              <w:rPr>
                <w:sz w:val="18"/>
                <w:szCs w:val="18"/>
                <w:color w:val="auto"/>
              </w:rPr>
            </w:pPr>
          </w:p>
        </w:tc>
        <w:tc>
          <w:tcPr>
            <w:tcW w:w="2180" w:type="dxa"/>
            <w:vAlign w:val="bottom"/>
          </w:tcPr>
          <w:p>
            <w:pPr>
              <w:jc w:val="center"/>
              <w:ind w:left="35"/>
              <w:spacing w:after="0"/>
              <w:rPr>
                <w:sz w:val="20"/>
                <w:szCs w:val="20"/>
                <w:color w:val="auto"/>
              </w:rPr>
            </w:pPr>
            <w:r>
              <w:rPr>
                <w:rFonts w:ascii="Arial" w:cs="Arial" w:eastAsia="Arial" w:hAnsi="Arial"/>
                <w:sz w:val="16"/>
                <w:szCs w:val="16"/>
                <w:color w:val="auto"/>
                <w:w w:val="92"/>
              </w:rPr>
              <w:t>(1.7) points</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1720" w:type="dxa"/>
            <w:vAlign w:val="bottom"/>
            <w:tcBorders>
              <w:bottom w:val="single" w:sz="8" w:color="BFBFBF"/>
            </w:tcBorders>
            <w:gridSpan w:val="2"/>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spacing w:after="0"/>
              <w:rPr>
                <w:sz w:val="19"/>
                <w:szCs w:val="19"/>
                <w:color w:val="auto"/>
              </w:rPr>
            </w:pPr>
          </w:p>
        </w:tc>
        <w:tc>
          <w:tcPr>
            <w:tcW w:w="104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114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spacing w:after="0"/>
              <w:rPr>
                <w:sz w:val="19"/>
                <w:szCs w:val="19"/>
                <w:color w:val="auto"/>
              </w:rPr>
            </w:pPr>
          </w:p>
        </w:tc>
        <w:tc>
          <w:tcPr>
            <w:tcW w:w="400" w:type="dxa"/>
            <w:vAlign w:val="bottom"/>
            <w:tcBorders>
              <w:bottom w:val="single" w:sz="8" w:color="BFBFBF"/>
            </w:tcBorders>
          </w:tcPr>
          <w:p>
            <w:pPr>
              <w:spacing w:after="0"/>
              <w:rPr>
                <w:sz w:val="19"/>
                <w:szCs w:val="19"/>
                <w:color w:val="auto"/>
              </w:rPr>
            </w:pPr>
          </w:p>
        </w:tc>
        <w:tc>
          <w:tcPr>
            <w:tcW w:w="218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20" w:type="dxa"/>
            <w:vAlign w:val="bottom"/>
            <w:vMerge w:val="restart"/>
          </w:tcPr>
          <w:p>
            <w:pPr>
              <w:jc w:val="center"/>
              <w:ind w:right="455"/>
              <w:spacing w:after="0"/>
              <w:rPr>
                <w:sz w:val="20"/>
                <w:szCs w:val="20"/>
                <w:color w:val="auto"/>
              </w:rPr>
            </w:pPr>
            <w:r>
              <w:rPr>
                <w:rFonts w:ascii="Arial" w:cs="Arial" w:eastAsia="Arial" w:hAnsi="Arial"/>
                <w:sz w:val="18"/>
                <w:szCs w:val="18"/>
                <w:b w:val="1"/>
                <w:bCs w:val="1"/>
                <w:color w:val="auto"/>
                <w:w w:val="93"/>
              </w:rPr>
              <w:t>Inventory</w:t>
            </w:r>
          </w:p>
        </w:tc>
        <w:tc>
          <w:tcPr>
            <w:tcW w:w="860" w:type="dxa"/>
            <w:vAlign w:val="bottom"/>
          </w:tcPr>
          <w:p>
            <w:pPr>
              <w:jc w:val="center"/>
              <w:ind w:left="74"/>
              <w:spacing w:after="0"/>
              <w:rPr>
                <w:sz w:val="20"/>
                <w:szCs w:val="20"/>
                <w:color w:val="auto"/>
              </w:rPr>
            </w:pPr>
            <w:r>
              <w:rPr>
                <w:rFonts w:ascii="Arial" w:cs="Arial" w:eastAsia="Arial" w:hAnsi="Arial"/>
                <w:sz w:val="18"/>
                <w:szCs w:val="18"/>
                <w:b w:val="1"/>
                <w:bCs w:val="1"/>
                <w:color w:val="auto"/>
                <w:w w:val="99"/>
              </w:rPr>
              <w:t>Units at</w:t>
            </w:r>
          </w:p>
        </w:tc>
        <w:tc>
          <w:tcPr>
            <w:tcW w:w="2860" w:type="dxa"/>
            <w:vAlign w:val="bottom"/>
            <w:gridSpan w:val="3"/>
          </w:tcPr>
          <w:p>
            <w:pPr>
              <w:jc w:val="center"/>
              <w:ind w:left="494"/>
              <w:spacing w:after="0"/>
              <w:rPr>
                <w:sz w:val="20"/>
                <w:szCs w:val="20"/>
                <w:color w:val="auto"/>
              </w:rPr>
            </w:pPr>
            <w:r>
              <w:rPr>
                <w:rFonts w:ascii="Arial" w:cs="Arial" w:eastAsia="Arial" w:hAnsi="Arial"/>
                <w:sz w:val="18"/>
                <w:szCs w:val="18"/>
                <w:b w:val="1"/>
                <w:bCs w:val="1"/>
                <w:color w:val="auto"/>
                <w:w w:val="88"/>
              </w:rPr>
              <w:t>Days Supply (selling day</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rPr>
              <w:t>Units at Previous</w:t>
            </w:r>
          </w:p>
        </w:tc>
        <w:tc>
          <w:tcPr>
            <w:tcW w:w="2180" w:type="dxa"/>
            <w:vAlign w:val="bottom"/>
          </w:tcPr>
          <w:p>
            <w:pPr>
              <w:jc w:val="center"/>
              <w:ind w:left="15"/>
              <w:spacing w:after="0"/>
              <w:rPr>
                <w:sz w:val="20"/>
                <w:szCs w:val="20"/>
                <w:color w:val="auto"/>
              </w:rPr>
            </w:pPr>
            <w:r>
              <w:rPr>
                <w:rFonts w:ascii="Arial" w:cs="Arial" w:eastAsia="Arial" w:hAnsi="Arial"/>
                <w:sz w:val="18"/>
                <w:szCs w:val="18"/>
                <w:b w:val="1"/>
                <w:bCs w:val="1"/>
                <w:color w:val="auto"/>
                <w:w w:val="88"/>
              </w:rPr>
              <w:t>Days Supply (selling day</w:t>
            </w:r>
          </w:p>
        </w:tc>
        <w:tc>
          <w:tcPr>
            <w:tcW w:w="0" w:type="dxa"/>
            <w:vAlign w:val="bottom"/>
          </w:tcPr>
          <w:p>
            <w:pPr>
              <w:spacing w:after="0"/>
              <w:rPr>
                <w:sz w:val="1"/>
                <w:szCs w:val="1"/>
                <w:color w:val="auto"/>
              </w:rPr>
            </w:pPr>
          </w:p>
        </w:tc>
      </w:tr>
      <w:tr>
        <w:trPr>
          <w:trHeight w:val="126"/>
        </w:trPr>
        <w:tc>
          <w:tcPr>
            <w:tcW w:w="2620" w:type="dxa"/>
            <w:vAlign w:val="bottom"/>
            <w:vMerge w:val="continue"/>
          </w:tcPr>
          <w:p>
            <w:pPr>
              <w:spacing w:after="0"/>
              <w:rPr>
                <w:sz w:val="10"/>
                <w:szCs w:val="10"/>
                <w:color w:val="auto"/>
              </w:rPr>
            </w:pPr>
          </w:p>
        </w:tc>
        <w:tc>
          <w:tcPr>
            <w:tcW w:w="1900" w:type="dxa"/>
            <w:vAlign w:val="bottom"/>
            <w:gridSpan w:val="2"/>
            <w:vMerge w:val="restart"/>
          </w:tcPr>
          <w:p>
            <w:pPr>
              <w:jc w:val="center"/>
              <w:ind w:right="814"/>
              <w:spacing w:after="0"/>
              <w:rPr>
                <w:sz w:val="20"/>
                <w:szCs w:val="20"/>
                <w:color w:val="auto"/>
              </w:rPr>
            </w:pPr>
            <w:r>
              <w:rPr>
                <w:rFonts w:ascii="Arial" w:cs="Arial" w:eastAsia="Arial" w:hAnsi="Arial"/>
                <w:sz w:val="18"/>
                <w:szCs w:val="18"/>
                <w:b w:val="1"/>
                <w:bCs w:val="1"/>
                <w:color w:val="auto"/>
                <w:w w:val="99"/>
              </w:rPr>
              <w:t>Month-end</w:t>
            </w:r>
          </w:p>
        </w:tc>
        <w:tc>
          <w:tcPr>
            <w:tcW w:w="1820" w:type="dxa"/>
            <w:vAlign w:val="bottom"/>
            <w:gridSpan w:val="2"/>
            <w:vMerge w:val="restart"/>
          </w:tcPr>
          <w:p>
            <w:pPr>
              <w:jc w:val="center"/>
              <w:ind w:right="374"/>
              <w:spacing w:after="0"/>
              <w:rPr>
                <w:sz w:val="20"/>
                <w:szCs w:val="20"/>
                <w:color w:val="auto"/>
              </w:rPr>
            </w:pPr>
            <w:r>
              <w:rPr>
                <w:rFonts w:ascii="Arial" w:cs="Arial" w:eastAsia="Arial" w:hAnsi="Arial"/>
                <w:sz w:val="18"/>
                <w:szCs w:val="18"/>
                <w:b w:val="1"/>
                <w:bCs w:val="1"/>
                <w:color w:val="auto"/>
                <w:w w:val="89"/>
              </w:rPr>
              <w:t>adjusted)</w:t>
            </w:r>
          </w:p>
        </w:tc>
        <w:tc>
          <w:tcPr>
            <w:tcW w:w="1440" w:type="dxa"/>
            <w:vAlign w:val="bottom"/>
            <w:vMerge w:val="restart"/>
          </w:tcPr>
          <w:p>
            <w:pPr>
              <w:jc w:val="center"/>
              <w:ind w:left="314"/>
              <w:spacing w:after="0"/>
              <w:rPr>
                <w:sz w:val="20"/>
                <w:szCs w:val="20"/>
                <w:color w:val="auto"/>
              </w:rPr>
            </w:pPr>
            <w:r>
              <w:rPr>
                <w:rFonts w:ascii="Arial" w:cs="Arial" w:eastAsia="Arial" w:hAnsi="Arial"/>
                <w:sz w:val="18"/>
                <w:szCs w:val="18"/>
                <w:b w:val="1"/>
                <w:bCs w:val="1"/>
                <w:color w:val="auto"/>
                <w:w w:val="99"/>
              </w:rPr>
              <w:t>Month-end</w:t>
            </w:r>
          </w:p>
        </w:tc>
        <w:tc>
          <w:tcPr>
            <w:tcW w:w="400" w:type="dxa"/>
            <w:vAlign w:val="bottom"/>
          </w:tcPr>
          <w:p>
            <w:pPr>
              <w:spacing w:after="0"/>
              <w:rPr>
                <w:sz w:val="10"/>
                <w:szCs w:val="10"/>
                <w:color w:val="auto"/>
              </w:rPr>
            </w:pPr>
          </w:p>
        </w:tc>
        <w:tc>
          <w:tcPr>
            <w:tcW w:w="2180" w:type="dxa"/>
            <w:vAlign w:val="bottom"/>
            <w:vMerge w:val="restart"/>
          </w:tcPr>
          <w:p>
            <w:pPr>
              <w:jc w:val="center"/>
              <w:ind w:left="15"/>
              <w:spacing w:after="0"/>
              <w:rPr>
                <w:sz w:val="20"/>
                <w:szCs w:val="20"/>
                <w:color w:val="auto"/>
              </w:rPr>
            </w:pPr>
            <w:r>
              <w:rPr>
                <w:rFonts w:ascii="Arial" w:cs="Arial" w:eastAsia="Arial" w:hAnsi="Arial"/>
                <w:sz w:val="18"/>
                <w:szCs w:val="18"/>
                <w:b w:val="1"/>
                <w:bCs w:val="1"/>
                <w:color w:val="auto"/>
                <w:w w:val="89"/>
              </w:rPr>
              <w:t>adjusted)</w:t>
            </w:r>
          </w:p>
        </w:tc>
        <w:tc>
          <w:tcPr>
            <w:tcW w:w="0" w:type="dxa"/>
            <w:vAlign w:val="bottom"/>
          </w:tcPr>
          <w:p>
            <w:pPr>
              <w:spacing w:after="0"/>
              <w:rPr>
                <w:sz w:val="1"/>
                <w:szCs w:val="1"/>
                <w:color w:val="auto"/>
              </w:rPr>
            </w:pPr>
          </w:p>
        </w:tc>
      </w:tr>
      <w:tr>
        <w:trPr>
          <w:trHeight w:val="129"/>
        </w:trPr>
        <w:tc>
          <w:tcPr>
            <w:tcW w:w="2620" w:type="dxa"/>
            <w:vAlign w:val="bottom"/>
            <w:tcBorders>
              <w:bottom w:val="single" w:sz="8" w:color="BFBFBF"/>
            </w:tcBorders>
          </w:tcPr>
          <w:p>
            <w:pPr>
              <w:spacing w:after="0"/>
              <w:rPr>
                <w:sz w:val="11"/>
                <w:szCs w:val="11"/>
                <w:color w:val="auto"/>
              </w:rPr>
            </w:pPr>
          </w:p>
        </w:tc>
        <w:tc>
          <w:tcPr>
            <w:tcW w:w="1900" w:type="dxa"/>
            <w:vAlign w:val="bottom"/>
            <w:tcBorders>
              <w:bottom w:val="single" w:sz="8" w:color="BFBFBF"/>
            </w:tcBorders>
            <w:gridSpan w:val="2"/>
            <w:vMerge w:val="continue"/>
          </w:tcPr>
          <w:p>
            <w:pPr>
              <w:spacing w:after="0"/>
              <w:rPr>
                <w:sz w:val="11"/>
                <w:szCs w:val="11"/>
                <w:color w:val="auto"/>
              </w:rPr>
            </w:pPr>
          </w:p>
        </w:tc>
        <w:tc>
          <w:tcPr>
            <w:tcW w:w="1820" w:type="dxa"/>
            <w:vAlign w:val="bottom"/>
            <w:tcBorders>
              <w:bottom w:val="single" w:sz="8" w:color="BFBFBF"/>
            </w:tcBorders>
            <w:gridSpan w:val="2"/>
            <w:vMerge w:val="continue"/>
          </w:tcPr>
          <w:p>
            <w:pPr>
              <w:spacing w:after="0"/>
              <w:rPr>
                <w:sz w:val="11"/>
                <w:szCs w:val="11"/>
                <w:color w:val="auto"/>
              </w:rPr>
            </w:pPr>
          </w:p>
        </w:tc>
        <w:tc>
          <w:tcPr>
            <w:tcW w:w="1440" w:type="dxa"/>
            <w:vAlign w:val="bottom"/>
            <w:tcBorders>
              <w:bottom w:val="single" w:sz="8" w:color="BFBFBF"/>
            </w:tcBorders>
            <w:vMerge w:val="continue"/>
          </w:tcPr>
          <w:p>
            <w:pPr>
              <w:spacing w:after="0"/>
              <w:rPr>
                <w:sz w:val="11"/>
                <w:szCs w:val="11"/>
                <w:color w:val="auto"/>
              </w:rPr>
            </w:pPr>
          </w:p>
        </w:tc>
        <w:tc>
          <w:tcPr>
            <w:tcW w:w="400" w:type="dxa"/>
            <w:vAlign w:val="bottom"/>
            <w:tcBorders>
              <w:bottom w:val="single" w:sz="8" w:color="BFBFBF"/>
            </w:tcBorders>
          </w:tcPr>
          <w:p>
            <w:pPr>
              <w:spacing w:after="0"/>
              <w:rPr>
                <w:sz w:val="11"/>
                <w:szCs w:val="11"/>
                <w:color w:val="auto"/>
              </w:rPr>
            </w:pPr>
          </w:p>
        </w:tc>
        <w:tc>
          <w:tcPr>
            <w:tcW w:w="2180" w:type="dxa"/>
            <w:vAlign w:val="bottom"/>
            <w:tcBorders>
              <w:bottom w:val="single" w:sz="8" w:color="BFBFB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620" w:type="dxa"/>
            <w:vAlign w:val="bottom"/>
          </w:tcPr>
          <w:p>
            <w:pPr>
              <w:jc w:val="center"/>
              <w:ind w:right="455"/>
              <w:spacing w:after="0"/>
              <w:rPr>
                <w:sz w:val="20"/>
                <w:szCs w:val="20"/>
                <w:color w:val="auto"/>
              </w:rPr>
            </w:pPr>
            <w:r>
              <w:rPr>
                <w:rFonts w:ascii="Arial" w:cs="Arial" w:eastAsia="Arial" w:hAnsi="Arial"/>
                <w:sz w:val="16"/>
                <w:szCs w:val="16"/>
                <w:color w:val="auto"/>
                <w:w w:val="96"/>
              </w:rPr>
              <w:t>All Vehicles</w:t>
            </w:r>
          </w:p>
        </w:tc>
        <w:tc>
          <w:tcPr>
            <w:tcW w:w="860" w:type="dxa"/>
            <w:vAlign w:val="bottom"/>
          </w:tcPr>
          <w:p>
            <w:pPr>
              <w:jc w:val="center"/>
              <w:ind w:left="54"/>
              <w:spacing w:after="0"/>
              <w:rPr>
                <w:sz w:val="20"/>
                <w:szCs w:val="20"/>
                <w:color w:val="auto"/>
              </w:rPr>
            </w:pPr>
            <w:r>
              <w:rPr>
                <w:rFonts w:ascii="Arial" w:cs="Arial" w:eastAsia="Arial" w:hAnsi="Arial"/>
                <w:sz w:val="16"/>
                <w:szCs w:val="16"/>
                <w:color w:val="auto"/>
                <w:w w:val="89"/>
              </w:rPr>
              <w:t>708,229</w:t>
            </w:r>
          </w:p>
        </w:tc>
        <w:tc>
          <w:tcPr>
            <w:tcW w:w="1040" w:type="dxa"/>
            <w:vAlign w:val="bottom"/>
          </w:tcPr>
          <w:p>
            <w:pPr>
              <w:spacing w:after="0"/>
              <w:rPr>
                <w:sz w:val="19"/>
                <w:szCs w:val="19"/>
                <w:color w:val="auto"/>
              </w:rPr>
            </w:pPr>
          </w:p>
        </w:tc>
        <w:tc>
          <w:tcPr>
            <w:tcW w:w="1820" w:type="dxa"/>
            <w:vAlign w:val="bottom"/>
            <w:gridSpan w:val="2"/>
          </w:tcPr>
          <w:p>
            <w:pPr>
              <w:jc w:val="center"/>
              <w:ind w:right="374"/>
              <w:spacing w:after="0"/>
              <w:rPr>
                <w:sz w:val="20"/>
                <w:szCs w:val="20"/>
                <w:color w:val="auto"/>
              </w:rPr>
            </w:pPr>
            <w:r>
              <w:rPr>
                <w:rFonts w:ascii="Arial" w:cs="Arial" w:eastAsia="Arial" w:hAnsi="Arial"/>
                <w:sz w:val="16"/>
                <w:szCs w:val="16"/>
                <w:color w:val="auto"/>
                <w:w w:val="89"/>
              </w:rPr>
              <w:t>70</w:t>
            </w:r>
          </w:p>
        </w:tc>
        <w:tc>
          <w:tcPr>
            <w:tcW w:w="1440" w:type="dxa"/>
            <w:vAlign w:val="bottom"/>
          </w:tcPr>
          <w:p>
            <w:pPr>
              <w:jc w:val="center"/>
              <w:ind w:left="314"/>
              <w:spacing w:after="0"/>
              <w:rPr>
                <w:sz w:val="20"/>
                <w:szCs w:val="20"/>
                <w:color w:val="auto"/>
              </w:rPr>
            </w:pPr>
            <w:r>
              <w:rPr>
                <w:rFonts w:ascii="Arial" w:cs="Arial" w:eastAsia="Arial" w:hAnsi="Arial"/>
                <w:sz w:val="16"/>
                <w:szCs w:val="16"/>
                <w:color w:val="auto"/>
                <w:w w:val="89"/>
              </w:rPr>
              <w:t>708,939</w:t>
            </w:r>
          </w:p>
        </w:tc>
        <w:tc>
          <w:tcPr>
            <w:tcW w:w="400" w:type="dxa"/>
            <w:vAlign w:val="bottom"/>
          </w:tcPr>
          <w:p>
            <w:pPr>
              <w:spacing w:after="0"/>
              <w:rPr>
                <w:sz w:val="19"/>
                <w:szCs w:val="19"/>
                <w:color w:val="auto"/>
              </w:rPr>
            </w:pPr>
          </w:p>
        </w:tc>
        <w:tc>
          <w:tcPr>
            <w:tcW w:w="2180" w:type="dxa"/>
            <w:vAlign w:val="bottom"/>
          </w:tcPr>
          <w:p>
            <w:pPr>
              <w:jc w:val="center"/>
              <w:ind w:left="15"/>
              <w:spacing w:after="0"/>
              <w:rPr>
                <w:sz w:val="20"/>
                <w:szCs w:val="20"/>
                <w:color w:val="auto"/>
              </w:rPr>
            </w:pPr>
            <w:r>
              <w:rPr>
                <w:rFonts w:ascii="Arial" w:cs="Arial" w:eastAsia="Arial" w:hAnsi="Arial"/>
                <w:sz w:val="16"/>
                <w:szCs w:val="16"/>
                <w:color w:val="auto"/>
                <w:w w:val="89"/>
              </w:rPr>
              <w:t>73</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1040" w:type="dxa"/>
            <w:vAlign w:val="bottom"/>
            <w:tcBorders>
              <w:bottom w:val="single" w:sz="8" w:color="BFBFBF"/>
            </w:tcBorders>
          </w:tcPr>
          <w:p>
            <w:pPr>
              <w:spacing w:after="0"/>
              <w:rPr>
                <w:sz w:val="2"/>
                <w:szCs w:val="2"/>
                <w:color w:val="auto"/>
              </w:rPr>
            </w:pPr>
          </w:p>
        </w:tc>
        <w:tc>
          <w:tcPr>
            <w:tcW w:w="680" w:type="dxa"/>
            <w:vAlign w:val="bottom"/>
            <w:tcBorders>
              <w:bottom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Pr>
          <w:p>
            <w:pPr>
              <w:jc w:val="center"/>
              <w:ind w:right="455"/>
              <w:spacing w:after="0"/>
              <w:rPr>
                <w:sz w:val="20"/>
                <w:szCs w:val="20"/>
                <w:color w:val="auto"/>
              </w:rPr>
            </w:pPr>
            <w:r>
              <w:rPr>
                <w:rFonts w:ascii="Arial" w:cs="Arial" w:eastAsia="Arial" w:hAnsi="Arial"/>
                <w:sz w:val="16"/>
                <w:szCs w:val="16"/>
                <w:color w:val="auto"/>
                <w:w w:val="94"/>
              </w:rPr>
              <w:t>Full-size Pickups (GMT-900)</w:t>
            </w:r>
          </w:p>
        </w:tc>
        <w:tc>
          <w:tcPr>
            <w:tcW w:w="860" w:type="dxa"/>
            <w:vAlign w:val="bottom"/>
          </w:tcPr>
          <w:p>
            <w:pPr>
              <w:jc w:val="center"/>
              <w:ind w:left="54"/>
              <w:spacing w:after="0"/>
              <w:rPr>
                <w:sz w:val="20"/>
                <w:szCs w:val="20"/>
                <w:color w:val="auto"/>
              </w:rPr>
            </w:pPr>
            <w:r>
              <w:rPr>
                <w:rFonts w:ascii="Arial" w:cs="Arial" w:eastAsia="Arial" w:hAnsi="Arial"/>
                <w:sz w:val="16"/>
                <w:szCs w:val="16"/>
                <w:color w:val="auto"/>
                <w:w w:val="89"/>
              </w:rPr>
              <w:t>181,222</w:t>
            </w:r>
          </w:p>
        </w:tc>
        <w:tc>
          <w:tcPr>
            <w:tcW w:w="1040" w:type="dxa"/>
            <w:vAlign w:val="bottom"/>
          </w:tcPr>
          <w:p>
            <w:pPr>
              <w:spacing w:after="0"/>
              <w:rPr>
                <w:sz w:val="18"/>
                <w:szCs w:val="18"/>
                <w:color w:val="auto"/>
              </w:rPr>
            </w:pPr>
          </w:p>
        </w:tc>
        <w:tc>
          <w:tcPr>
            <w:tcW w:w="1820" w:type="dxa"/>
            <w:vAlign w:val="bottom"/>
            <w:gridSpan w:val="2"/>
          </w:tcPr>
          <w:p>
            <w:pPr>
              <w:jc w:val="center"/>
              <w:ind w:right="374"/>
              <w:spacing w:after="0"/>
              <w:rPr>
                <w:sz w:val="20"/>
                <w:szCs w:val="20"/>
                <w:color w:val="auto"/>
              </w:rPr>
            </w:pPr>
            <w:r>
              <w:rPr>
                <w:rFonts w:ascii="Arial" w:cs="Arial" w:eastAsia="Arial" w:hAnsi="Arial"/>
                <w:sz w:val="16"/>
                <w:szCs w:val="16"/>
                <w:color w:val="auto"/>
                <w:w w:val="89"/>
              </w:rPr>
              <w:t>86</w:t>
            </w:r>
          </w:p>
        </w:tc>
        <w:tc>
          <w:tcPr>
            <w:tcW w:w="1440" w:type="dxa"/>
            <w:vAlign w:val="bottom"/>
          </w:tcPr>
          <w:p>
            <w:pPr>
              <w:jc w:val="center"/>
              <w:ind w:left="314"/>
              <w:spacing w:after="0"/>
              <w:rPr>
                <w:sz w:val="20"/>
                <w:szCs w:val="20"/>
                <w:color w:val="auto"/>
              </w:rPr>
            </w:pPr>
            <w:r>
              <w:rPr>
                <w:rFonts w:ascii="Arial" w:cs="Arial" w:eastAsia="Arial" w:hAnsi="Arial"/>
                <w:sz w:val="16"/>
                <w:szCs w:val="16"/>
                <w:color w:val="auto"/>
                <w:w w:val="89"/>
              </w:rPr>
              <w:t>204,432</w:t>
            </w:r>
          </w:p>
        </w:tc>
        <w:tc>
          <w:tcPr>
            <w:tcW w:w="400" w:type="dxa"/>
            <w:vAlign w:val="bottom"/>
          </w:tcPr>
          <w:p>
            <w:pPr>
              <w:spacing w:after="0"/>
              <w:rPr>
                <w:sz w:val="18"/>
                <w:szCs w:val="18"/>
                <w:color w:val="auto"/>
              </w:rPr>
            </w:pPr>
          </w:p>
        </w:tc>
        <w:tc>
          <w:tcPr>
            <w:tcW w:w="2180" w:type="dxa"/>
            <w:vAlign w:val="bottom"/>
          </w:tcPr>
          <w:p>
            <w:pPr>
              <w:jc w:val="center"/>
              <w:ind w:left="15"/>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33"/>
        </w:trPr>
        <w:tc>
          <w:tcPr>
            <w:tcW w:w="262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gridSpan w:val="2"/>
          </w:tcPr>
          <w:p>
            <w:pPr>
              <w:spacing w:after="0"/>
              <w:rPr>
                <w:sz w:val="2"/>
                <w:szCs w:val="2"/>
                <w:color w:val="auto"/>
              </w:rPr>
            </w:pPr>
          </w:p>
        </w:tc>
        <w:tc>
          <w:tcPr>
            <w:tcW w:w="680" w:type="dxa"/>
            <w:vAlign w:val="bottom"/>
            <w:tcBorders>
              <w:bottom w:val="single" w:sz="8" w:color="BFBFBF"/>
            </w:tcBorders>
          </w:tcPr>
          <w:p>
            <w:pPr>
              <w:spacing w:after="0"/>
              <w:rPr>
                <w:sz w:val="2"/>
                <w:szCs w:val="2"/>
                <w:color w:val="auto"/>
              </w:rPr>
            </w:pPr>
          </w:p>
        </w:tc>
        <w:tc>
          <w:tcPr>
            <w:tcW w:w="2580" w:type="dxa"/>
            <w:vAlign w:val="bottom"/>
            <w:tcBorders>
              <w:bottom w:val="single" w:sz="8" w:color="BFBFBF"/>
            </w:tcBorders>
            <w:gridSpan w:val="2"/>
          </w:tcPr>
          <w:p>
            <w:pPr>
              <w:spacing w:after="0"/>
              <w:rPr>
                <w:sz w:val="2"/>
                <w:szCs w:val="2"/>
                <w:color w:val="auto"/>
              </w:rPr>
            </w:pPr>
          </w:p>
        </w:tc>
        <w:tc>
          <w:tcPr>
            <w:tcW w:w="2580" w:type="dxa"/>
            <w:vAlign w:val="bottom"/>
            <w:tcBorders>
              <w:bottom w:val="single" w:sz="8" w:color="BFBFB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620" w:type="dxa"/>
            <w:vAlign w:val="bottom"/>
            <w:tcBorders>
              <w:bottom w:val="single" w:sz="8" w:color="BFBFBF"/>
            </w:tcBorders>
          </w:tcPr>
          <w:p>
            <w:pPr>
              <w:spacing w:after="0"/>
              <w:rPr>
                <w:sz w:val="24"/>
                <w:szCs w:val="24"/>
                <w:color w:val="auto"/>
              </w:rPr>
            </w:pPr>
          </w:p>
        </w:tc>
        <w:tc>
          <w:tcPr>
            <w:tcW w:w="1900" w:type="dxa"/>
            <w:vAlign w:val="bottom"/>
            <w:tcBorders>
              <w:bottom w:val="single" w:sz="8" w:color="BFBFBF"/>
            </w:tcBorders>
            <w:gridSpan w:val="2"/>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2580" w:type="dxa"/>
            <w:vAlign w:val="bottom"/>
            <w:tcBorders>
              <w:bottom w:val="single" w:sz="8" w:color="BFBFBF"/>
            </w:tcBorders>
            <w:gridSpan w:val="2"/>
          </w:tcPr>
          <w:p>
            <w:pPr>
              <w:spacing w:after="0"/>
              <w:rPr>
                <w:sz w:val="24"/>
                <w:szCs w:val="24"/>
                <w:color w:val="auto"/>
              </w:rPr>
            </w:pPr>
          </w:p>
        </w:tc>
        <w:tc>
          <w:tcPr>
            <w:tcW w:w="2580" w:type="dxa"/>
            <w:vAlign w:val="bottom"/>
            <w:tcBorders>
              <w:bottom w:val="single" w:sz="8" w:color="BFBFB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1900" w:type="dxa"/>
            <w:vAlign w:val="bottom"/>
            <w:gridSpan w:val="2"/>
          </w:tcPr>
          <w:p>
            <w:pPr>
              <w:jc w:val="center"/>
              <w:ind w:left="554"/>
              <w:spacing w:after="0"/>
              <w:rPr>
                <w:sz w:val="20"/>
                <w:szCs w:val="20"/>
                <w:color w:val="auto"/>
              </w:rPr>
            </w:pPr>
            <w:r>
              <w:rPr>
                <w:rFonts w:ascii="Arial" w:cs="Arial" w:eastAsia="Arial" w:hAnsi="Arial"/>
                <w:sz w:val="18"/>
                <w:szCs w:val="18"/>
                <w:b w:val="1"/>
                <w:bCs w:val="1"/>
                <w:color w:val="auto"/>
                <w:w w:val="92"/>
              </w:rPr>
              <w:t>Month (est.)</w:t>
            </w:r>
          </w:p>
        </w:tc>
        <w:tc>
          <w:tcPr>
            <w:tcW w:w="680" w:type="dxa"/>
            <w:vAlign w:val="bottom"/>
            <w:tcBorders>
              <w:right w:val="single" w:sz="8" w:color="BFBFBF"/>
            </w:tcBorders>
          </w:tcPr>
          <w:p>
            <w:pPr>
              <w:spacing w:after="0"/>
              <w:rPr>
                <w:sz w:val="20"/>
                <w:szCs w:val="20"/>
                <w:color w:val="auto"/>
              </w:rPr>
            </w:pPr>
          </w:p>
        </w:tc>
        <w:tc>
          <w:tcPr>
            <w:tcW w:w="2580" w:type="dxa"/>
            <w:vAlign w:val="bottom"/>
            <w:tcBorders>
              <w:right w:val="single" w:sz="8" w:color="BFBFBF"/>
            </w:tcBorders>
            <w:gridSpan w:val="2"/>
          </w:tcPr>
          <w:p>
            <w:pPr>
              <w:jc w:val="center"/>
              <w:spacing w:after="0"/>
              <w:rPr>
                <w:sz w:val="20"/>
                <w:szCs w:val="20"/>
                <w:color w:val="auto"/>
              </w:rPr>
            </w:pPr>
            <w:r>
              <w:rPr>
                <w:rFonts w:ascii="Arial" w:cs="Arial" w:eastAsia="Arial" w:hAnsi="Arial"/>
                <w:sz w:val="18"/>
                <w:szCs w:val="18"/>
                <w:b w:val="1"/>
                <w:bCs w:val="1"/>
                <w:color w:val="auto"/>
                <w:w w:val="94"/>
              </w:rPr>
              <w:t>CYTD (est.)</w:t>
            </w:r>
          </w:p>
        </w:tc>
        <w:tc>
          <w:tcPr>
            <w:tcW w:w="2580" w:type="dxa"/>
            <w:vAlign w:val="bottom"/>
            <w:tcBorders>
              <w:right w:val="single" w:sz="8" w:color="BFBFBF"/>
            </w:tcBorders>
            <w:gridSpan w:val="2"/>
          </w:tcPr>
          <w:p>
            <w:pPr>
              <w:ind w:left="20"/>
              <w:spacing w:after="0"/>
              <w:rPr>
                <w:sz w:val="20"/>
                <w:szCs w:val="20"/>
                <w:color w:val="auto"/>
              </w:rPr>
            </w:pPr>
            <w:r>
              <w:rPr>
                <w:rFonts w:ascii="Arial" w:cs="Arial" w:eastAsia="Arial" w:hAnsi="Arial"/>
                <w:sz w:val="18"/>
                <w:szCs w:val="18"/>
                <w:b w:val="1"/>
                <w:bCs w:val="1"/>
                <w:color w:val="auto"/>
              </w:rPr>
              <w:t>GM Full-year Outlook</w:t>
            </w:r>
          </w:p>
        </w:tc>
        <w:tc>
          <w:tcPr>
            <w:tcW w:w="0" w:type="dxa"/>
            <w:vAlign w:val="bottom"/>
          </w:tcPr>
          <w:p>
            <w:pPr>
              <w:spacing w:after="0"/>
              <w:rPr>
                <w:sz w:val="1"/>
                <w:szCs w:val="1"/>
                <w:color w:val="auto"/>
              </w:rPr>
            </w:pPr>
          </w:p>
        </w:tc>
      </w:tr>
      <w:tr>
        <w:trPr>
          <w:trHeight w:val="27"/>
        </w:trPr>
        <w:tc>
          <w:tcPr>
            <w:tcW w:w="2620" w:type="dxa"/>
            <w:vAlign w:val="bottom"/>
            <w:tcBorders>
              <w:left w:val="single" w:sz="8" w:color="BFBFBF"/>
              <w:bottom w:val="single" w:sz="8" w:color="BFBFBF"/>
              <w:right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1040" w:type="dxa"/>
            <w:vAlign w:val="bottom"/>
            <w:tcBorders>
              <w:bottom w:val="single" w:sz="8" w:color="BFBFBF"/>
            </w:tcBorders>
          </w:tcPr>
          <w:p>
            <w:pPr>
              <w:spacing w:after="0"/>
              <w:rPr>
                <w:sz w:val="2"/>
                <w:szCs w:val="2"/>
                <w:color w:val="auto"/>
              </w:rPr>
            </w:pPr>
          </w:p>
        </w:tc>
        <w:tc>
          <w:tcPr>
            <w:tcW w:w="680" w:type="dxa"/>
            <w:vAlign w:val="bottom"/>
            <w:tcBorders>
              <w:bottom w:val="single" w:sz="8" w:color="BFBFBF"/>
              <w:right w:val="single" w:sz="8" w:color="BFBFBF"/>
            </w:tcBorders>
          </w:tcPr>
          <w:p>
            <w:pPr>
              <w:spacing w:after="0"/>
              <w:rPr>
                <w:sz w:val="2"/>
                <w:szCs w:val="2"/>
                <w:color w:val="auto"/>
              </w:rPr>
            </w:pPr>
          </w:p>
        </w:tc>
        <w:tc>
          <w:tcPr>
            <w:tcW w:w="2580" w:type="dxa"/>
            <w:vAlign w:val="bottom"/>
            <w:tcBorders>
              <w:bottom w:val="single" w:sz="8" w:color="BFBFBF"/>
              <w:right w:val="single" w:sz="8" w:color="BFBFBF"/>
            </w:tcBorders>
            <w:gridSpan w:val="2"/>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w w:val="96"/>
              </w:rPr>
              <w:t>SAAR</w:t>
            </w:r>
          </w:p>
        </w:tc>
        <w:tc>
          <w:tcPr>
            <w:tcW w:w="860" w:type="dxa"/>
            <w:vAlign w:val="bottom"/>
          </w:tcPr>
          <w:p>
            <w:pPr>
              <w:spacing w:after="0"/>
              <w:rPr>
                <w:sz w:val="18"/>
                <w:szCs w:val="18"/>
                <w:color w:val="auto"/>
              </w:rPr>
            </w:pPr>
          </w:p>
        </w:tc>
        <w:tc>
          <w:tcPr>
            <w:tcW w:w="1040" w:type="dxa"/>
            <w:vAlign w:val="bottom"/>
          </w:tcPr>
          <w:p>
            <w:pPr>
              <w:jc w:val="center"/>
              <w:ind w:right="114"/>
              <w:spacing w:after="0"/>
              <w:rPr>
                <w:sz w:val="20"/>
                <w:szCs w:val="20"/>
                <w:color w:val="auto"/>
              </w:rPr>
            </w:pPr>
            <w:r>
              <w:rPr>
                <w:rFonts w:ascii="Arial" w:cs="Arial" w:eastAsia="Arial" w:hAnsi="Arial"/>
                <w:sz w:val="16"/>
                <w:szCs w:val="16"/>
                <w:color w:val="auto"/>
                <w:w w:val="98"/>
              </w:rPr>
              <w:t>15.8 million</w:t>
            </w:r>
          </w:p>
        </w:tc>
        <w:tc>
          <w:tcPr>
            <w:tcW w:w="680" w:type="dxa"/>
            <w:vAlign w:val="bottom"/>
            <w:tcBorders>
              <w:right w:val="single" w:sz="8" w:color="BFBFBF"/>
            </w:tcBorders>
          </w:tcPr>
          <w:p>
            <w:pPr>
              <w:spacing w:after="0"/>
              <w:rPr>
                <w:sz w:val="18"/>
                <w:szCs w:val="18"/>
                <w:color w:val="auto"/>
              </w:rPr>
            </w:pPr>
          </w:p>
        </w:tc>
        <w:tc>
          <w:tcPr>
            <w:tcW w:w="2580" w:type="dxa"/>
            <w:vAlign w:val="bottom"/>
            <w:tcBorders>
              <w:right w:val="single" w:sz="8" w:color="BFBFBF"/>
            </w:tcBorders>
            <w:gridSpan w:val="2"/>
          </w:tcPr>
          <w:p>
            <w:pPr>
              <w:jc w:val="center"/>
              <w:spacing w:after="0"/>
              <w:rPr>
                <w:sz w:val="20"/>
                <w:szCs w:val="20"/>
                <w:color w:val="auto"/>
              </w:rPr>
            </w:pPr>
            <w:r>
              <w:rPr>
                <w:rFonts w:ascii="Arial" w:cs="Arial" w:eastAsia="Arial" w:hAnsi="Arial"/>
                <w:sz w:val="16"/>
                <w:szCs w:val="16"/>
                <w:color w:val="auto"/>
                <w:w w:val="98"/>
              </w:rPr>
              <w:t>15.4 million</w:t>
            </w:r>
          </w:p>
        </w:tc>
        <w:tc>
          <w:tcPr>
            <w:tcW w:w="400" w:type="dxa"/>
            <w:vAlign w:val="bottom"/>
          </w:tcPr>
          <w:p>
            <w:pPr>
              <w:spacing w:after="0"/>
              <w:rPr>
                <w:sz w:val="18"/>
                <w:szCs w:val="18"/>
                <w:color w:val="auto"/>
              </w:rPr>
            </w:pPr>
          </w:p>
        </w:tc>
        <w:tc>
          <w:tcPr>
            <w:tcW w:w="2180" w:type="dxa"/>
            <w:vAlign w:val="bottom"/>
            <w:tcBorders>
              <w:right w:val="single" w:sz="8" w:color="BFBFBF"/>
            </w:tcBorders>
          </w:tcPr>
          <w:p>
            <w:pPr>
              <w:ind w:left="280"/>
              <w:spacing w:after="0"/>
              <w:rPr>
                <w:sz w:val="20"/>
                <w:szCs w:val="20"/>
                <w:color w:val="auto"/>
              </w:rPr>
            </w:pPr>
            <w:r>
              <w:rPr>
                <w:rFonts w:ascii="Arial" w:cs="Arial" w:eastAsia="Arial" w:hAnsi="Arial"/>
                <w:sz w:val="16"/>
                <w:szCs w:val="16"/>
                <w:color w:val="auto"/>
              </w:rPr>
              <w:t>15.0 - 15.5 million</w:t>
            </w:r>
          </w:p>
        </w:tc>
        <w:tc>
          <w:tcPr>
            <w:tcW w:w="0" w:type="dxa"/>
            <w:vAlign w:val="bottom"/>
          </w:tcPr>
          <w:p>
            <w:pPr>
              <w:spacing w:after="0"/>
              <w:rPr>
                <w:sz w:val="1"/>
                <w:szCs w:val="1"/>
                <w:color w:val="auto"/>
              </w:rPr>
            </w:pPr>
          </w:p>
        </w:tc>
      </w:tr>
      <w:tr>
        <w:trPr>
          <w:trHeight w:val="33"/>
        </w:trPr>
        <w:tc>
          <w:tcPr>
            <w:tcW w:w="2620" w:type="dxa"/>
            <w:vAlign w:val="bottom"/>
            <w:tcBorders>
              <w:left w:val="single" w:sz="8" w:color="BFBFBF"/>
              <w:bottom w:val="single" w:sz="8" w:color="BFBFBF"/>
              <w:right w:val="single" w:sz="8" w:color="BFBFBF"/>
            </w:tcBorders>
          </w:tcPr>
          <w:p>
            <w:pPr>
              <w:spacing w:after="0"/>
              <w:rPr>
                <w:sz w:val="2"/>
                <w:szCs w:val="2"/>
                <w:color w:val="auto"/>
              </w:rPr>
            </w:pPr>
          </w:p>
        </w:tc>
        <w:tc>
          <w:tcPr>
            <w:tcW w:w="860" w:type="dxa"/>
            <w:vAlign w:val="bottom"/>
            <w:tcBorders>
              <w:bottom w:val="single" w:sz="8" w:color="BFBFBF"/>
            </w:tcBorders>
          </w:tcPr>
          <w:p>
            <w:pPr>
              <w:spacing w:after="0"/>
              <w:rPr>
                <w:sz w:val="2"/>
                <w:szCs w:val="2"/>
                <w:color w:val="auto"/>
              </w:rPr>
            </w:pPr>
          </w:p>
        </w:tc>
        <w:tc>
          <w:tcPr>
            <w:tcW w:w="1040" w:type="dxa"/>
            <w:vAlign w:val="bottom"/>
            <w:tcBorders>
              <w:bottom w:val="single" w:sz="8" w:color="BFBFBF"/>
            </w:tcBorders>
          </w:tcPr>
          <w:p>
            <w:pPr>
              <w:spacing w:after="0"/>
              <w:rPr>
                <w:sz w:val="2"/>
                <w:szCs w:val="2"/>
                <w:color w:val="auto"/>
              </w:rPr>
            </w:pPr>
          </w:p>
        </w:tc>
        <w:tc>
          <w:tcPr>
            <w:tcW w:w="680" w:type="dxa"/>
            <w:vAlign w:val="bottom"/>
            <w:tcBorders>
              <w:bottom w:val="single" w:sz="8" w:color="BFBFBF"/>
              <w:right w:val="single" w:sz="8" w:color="BFBFBF"/>
            </w:tcBorders>
          </w:tcPr>
          <w:p>
            <w:pPr>
              <w:spacing w:after="0"/>
              <w:rPr>
                <w:sz w:val="2"/>
                <w:szCs w:val="2"/>
                <w:color w:val="auto"/>
              </w:rPr>
            </w:pPr>
          </w:p>
        </w:tc>
        <w:tc>
          <w:tcPr>
            <w:tcW w:w="1140" w:type="dxa"/>
            <w:vAlign w:val="bottom"/>
            <w:tcBorders>
              <w:bottom w:val="single" w:sz="8" w:color="BFBFBF"/>
            </w:tcBorders>
          </w:tcPr>
          <w:p>
            <w:pPr>
              <w:spacing w:after="0"/>
              <w:rPr>
                <w:sz w:val="2"/>
                <w:szCs w:val="2"/>
                <w:color w:val="auto"/>
              </w:rPr>
            </w:pPr>
          </w:p>
        </w:tc>
        <w:tc>
          <w:tcPr>
            <w:tcW w:w="1440" w:type="dxa"/>
            <w:vAlign w:val="bottom"/>
            <w:tcBorders>
              <w:bottom w:val="single" w:sz="8" w:color="BFBFBF"/>
              <w:right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2180" w:type="dxa"/>
            <w:vAlign w:val="bottom"/>
            <w:tcBorders>
              <w:bottom w:val="single" w:sz="8" w:color="BFBFBF"/>
              <w:right w:val="single" w:sz="8" w:color="BFBFBF"/>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240" w:top="787" w:right="75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80" w:type="dxa"/>
            <w:vAlign w:val="bottom"/>
            <w:tcBorders>
              <w:top w:val="single" w:sz="8" w:color="auto"/>
              <w:left w:val="single" w:sz="8" w:color="auto"/>
              <w:right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14"/>
                <w:szCs w:val="14"/>
                <w:color w:val="auto"/>
              </w:rPr>
            </w:pPr>
          </w:p>
        </w:tc>
      </w:tr>
      <w:tr>
        <w:trPr>
          <w:trHeight w:val="188"/>
        </w:trPr>
        <w:tc>
          <w:tcPr>
            <w:tcW w:w="2480" w:type="dxa"/>
            <w:vAlign w:val="bottom"/>
            <w:tcBorders>
              <w:left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June</w:t>
            </w:r>
          </w:p>
        </w:tc>
        <w:tc>
          <w:tcPr>
            <w:tcW w:w="11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99"/>
              </w:rPr>
              <w:t>January - June</w:t>
            </w:r>
          </w:p>
        </w:tc>
        <w:tc>
          <w:tcPr>
            <w:tcW w:w="940" w:type="dxa"/>
            <w:vAlign w:val="bottom"/>
            <w:tcBorders>
              <w:bottom w:val="single" w:sz="8" w:color="auto"/>
              <w:right w:val="single" w:sz="8" w:color="auto"/>
            </w:tcBorders>
          </w:tcPr>
          <w:p>
            <w:pPr>
              <w:spacing w:after="0"/>
              <w:rPr>
                <w:sz w:val="16"/>
                <w:szCs w:val="16"/>
                <w:color w:val="auto"/>
              </w:rPr>
            </w:pPr>
          </w:p>
        </w:tc>
      </w:tr>
      <w:tr>
        <w:trPr>
          <w:trHeight w:val="156"/>
        </w:trPr>
        <w:tc>
          <w:tcPr>
            <w:tcW w:w="2480" w:type="dxa"/>
            <w:vAlign w:val="bottom"/>
            <w:tcBorders>
              <w:left w:val="single" w:sz="8" w:color="auto"/>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%Change</w:t>
            </w: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188"/>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Volume</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2013</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5,922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5,207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31,841</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27,866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2,280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12,252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3,999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7,206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(44.5)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24,482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30,892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(76.2)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943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1,383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2,326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(40.5)</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8,820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14,828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4,489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4,091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9.7</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23,433</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15,669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49.6</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18,078</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18,851</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(4.1)</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100,837</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90,198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11.8</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3,459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19,183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2,416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5,046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(52.1)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15,133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25,483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(79.7)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429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1,035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1,164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(11.1)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5,677</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5,994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667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658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1.4</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3,827</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3,747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186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31.0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1,159</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814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3,912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4,260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23,990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25,450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(81.8)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142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(95.1)</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2,234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753</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196.7</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14,684</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753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1,850.1</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13,929</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12,124</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14.9</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83,679</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62,812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33.2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1,712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1,719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(0.4)</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11,878</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11,002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56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(96.4)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7,236</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9,123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(20.7)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42,312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49,697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511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325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1,552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1,180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2,984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3,511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(15.0)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24,762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17,921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38.2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155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4,124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(96.2)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3,034</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21,457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(85.9)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853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1,475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(42.2)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5,673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7,022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32,871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18,983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73.2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133,689</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113,884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23,645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20,793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126,397</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110,890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8,868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8,104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9.4</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40,602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37,817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(90.9)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17,255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17,274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(0.1)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83,382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98,495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21,288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31,402</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(32.2)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111,100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141,437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43,259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33,566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28.9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242,586</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194,508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7,122</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6,785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44,905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42,240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3,104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17,588</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3,813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5,136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21,663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23,068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5,790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6,427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40,857</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33,274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10,295</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9,570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7.6</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53,294</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48,866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9.1</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2,698</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1,760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53.3</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9,855</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8,817</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11.8</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193,460</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180,098</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7.4</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1,015,134</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961,662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5.6</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9,174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9,796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(6.3)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46,492</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42,160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880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(92.7)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5,641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1,890</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2,105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8,210</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12,056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16,568</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12,479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32.8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87,633</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72,945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8,059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7,795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3.4</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50,676</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46,602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1,797</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2,279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(21.1)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12,105</w:t>
            </w:r>
          </w:p>
        </w:tc>
        <w:tc>
          <w:tcPr>
            <w:tcW w:w="1380" w:type="dxa"/>
            <w:vAlign w:val="bottom"/>
          </w:tcPr>
          <w:p>
            <w:pPr>
              <w:jc w:val="right"/>
              <w:ind w:right="308"/>
              <w:spacing w:after="0"/>
              <w:rPr>
                <w:sz w:val="20"/>
                <w:szCs w:val="20"/>
                <w:color w:val="auto"/>
              </w:rPr>
            </w:pPr>
            <w:r>
              <w:rPr>
                <w:rFonts w:ascii="Arial" w:cs="Arial" w:eastAsia="Arial" w:hAnsi="Arial"/>
                <w:sz w:val="14"/>
                <w:szCs w:val="14"/>
                <w:color w:val="auto"/>
              </w:rPr>
              <w:t>12,662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1,824</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2,343</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(22.2)</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14,704</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8,975</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63.8</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39,376</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37,677</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4.5</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220,696</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201,041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9.8</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264,843</w:t>
            </w: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248,750</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6.5</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1,420,346</w:t>
            </w:r>
          </w:p>
        </w:tc>
        <w:tc>
          <w:tcPr>
            <w:tcW w:w="13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1,315,713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8.0</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20"/>
        <w:spacing w:after="0"/>
        <w:rPr>
          <w:sz w:val="20"/>
          <w:szCs w:val="20"/>
          <w:color w:val="auto"/>
        </w:rPr>
      </w:pPr>
      <w:r>
        <w:rPr>
          <w:rFonts w:ascii="Arial" w:cs="Arial" w:eastAsia="Arial" w:hAnsi="Arial"/>
          <w:sz w:val="13"/>
          <w:szCs w:val="13"/>
          <w:color w:val="auto"/>
        </w:rPr>
        <w:t>26 selling days for the June period this year and 27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2019-12-07T20:49:40Z</dcterms:created>
  <dcterms:modified xsi:type="dcterms:W3CDTF">2019-12-07T20:49:40Z</dcterms:modified>
</cp:coreProperties>
</file>