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80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051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07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Harvey Rory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20"/>
        <w:spacing w:after="0" w:line="31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08/05/2025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0" w:lineRule="exact"/>
        <w:rPr>
          <w:sz w:val="24"/>
          <w:szCs w:val="24"/>
          <w:color w:val="auto"/>
        </w:rPr>
      </w:pPr>
    </w:p>
    <w:p>
      <w:pPr>
        <w:sectPr>
          <w:pgSz w:w="11900" w:h="16838" w:orient="portrait"/>
          <w:cols w:equalWidth="0" w:num="3">
            <w:col w:w="3200" w:space="720"/>
            <w:col w:w="3103" w:space="720"/>
            <w:col w:w="3337"/>
          </w:cols>
          <w:pgMar w:left="460" w:top="216" w:right="359" w:bottom="1077"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48265</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4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08/05/2025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8"/>
              </w:rPr>
              <w:t>11,454</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53.05</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15,384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08/05/2025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6,871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52.69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4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08/05/2025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9"/>
              </w:rPr>
              <w:t>5,652</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14,165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40" w:type="dxa"/>
            <w:vAlign w:val="bottom"/>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08/05/2025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9"/>
              </w:rPr>
              <w:t>5,652</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53.32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8,513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5,652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08/05/2025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5,652</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02/07/2033</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5,652</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$52.95 to $53.27, inclusive. The Reporting Person undertakes to provide to the SEC, GM and any security holder, upon request, full information regarding the number of shares sold at each price point within the ranges set forth in this footnote.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$52.34 to $53.15, inclusive. The Reporting Person undertakes to provide to the SEC, GM and any security holder, upon request, full information regarding the number of shares sold at each price point within the ranges set forth in this footnote.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7, 2023, and two-thirds have vested. The remaining installment will vest on February 7,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Lubna R. Malik, Attorney-</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08/07/2025</w:t>
            </w:r>
          </w:p>
        </w:tc>
        <w:tc>
          <w:tcPr>
            <w:tcW w:w="0" w:type="dxa"/>
            <w:vAlign w:val="bottom"/>
          </w:tcPr>
          <w:p>
            <w:pPr>
              <w:spacing w:after="0"/>
              <w:rPr>
                <w:sz w:val="1"/>
                <w:szCs w:val="1"/>
                <w:color w:val="auto"/>
              </w:rPr>
            </w:pPr>
          </w:p>
        </w:tc>
      </w:tr>
      <w:tr>
        <w:trPr>
          <w:trHeight w:val="84"/>
        </w:trPr>
        <w:tc>
          <w:tcPr>
            <w:tcW w:w="15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Mr. Harvey</w:t>
            </w:r>
          </w:p>
        </w:tc>
        <w:tc>
          <w:tcPr>
            <w:tcW w:w="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4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79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2025-08-07T15:59:35Z</dcterms:created>
  <dcterms:modified xsi:type="dcterms:W3CDTF">2025-08-07T15:59:35Z</dcterms:modified>
</cp:coreProperties>
</file>