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909"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Reuss Mark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909"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3"/>
          </w:tcPr>
          <w:p>
            <w:pPr>
              <w:ind w:left="160"/>
              <w:spacing w:after="0" w:line="181" w:lineRule="exact"/>
              <w:rPr>
                <w:sz w:val="20"/>
                <w:szCs w:val="20"/>
                <w:color w:val="auto"/>
              </w:rPr>
            </w:pPr>
            <w:r>
              <w:rPr>
                <w:rFonts w:ascii="Arial" w:cs="Arial" w:eastAsia="Arial" w:hAnsi="Arial"/>
                <w:sz w:val="18"/>
                <w:szCs w:val="18"/>
                <w:color w:val="0000FF"/>
              </w:rPr>
              <w:t>04/02/2015</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jc w:val="center"/>
              <w:ind w:left="625"/>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5"/>
              </w:rPr>
              <w:t>Common Stock</w:t>
            </w:r>
            <w:r>
              <w:rPr>
                <w:rFonts w:ascii="Arial" w:cs="Arial" w:eastAsia="Arial" w:hAnsi="Arial"/>
                <w:sz w:val="22"/>
                <w:szCs w:val="22"/>
                <w:color w:val="008000"/>
                <w:w w:val="85"/>
                <w:vertAlign w:val="superscript"/>
              </w:rPr>
              <w:t>(1)(2)(3)</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7,590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1"/>
              </w:rPr>
              <w:t>44,314</w:t>
            </w:r>
            <w:r>
              <w:rPr>
                <w:rFonts w:ascii="Arial" w:cs="Arial" w:eastAsia="Arial" w:hAnsi="Arial"/>
                <w:sz w:val="22"/>
                <w:szCs w:val="22"/>
                <w:color w:val="008000"/>
                <w:w w:val="81"/>
                <w:vertAlign w:val="superscript"/>
              </w:rPr>
              <w:t>(1)(2)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5"/>
              <w:spacing w:after="0"/>
              <w:rPr>
                <w:sz w:val="20"/>
                <w:szCs w:val="20"/>
                <w:color w:val="auto"/>
              </w:rPr>
            </w:pPr>
            <w:r>
              <w:rPr>
                <w:rFonts w:ascii="Arial" w:cs="Arial" w:eastAsia="Arial" w:hAnsi="Arial"/>
                <w:sz w:val="14"/>
                <w:szCs w:val="14"/>
                <w:color w:val="0000FF"/>
                <w:w w:val="98"/>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4,081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1"/>
              </w:rPr>
              <w:t>40,233</w:t>
            </w:r>
            <w:r>
              <w:rPr>
                <w:rFonts w:ascii="Arial" w:cs="Arial" w:eastAsia="Arial" w:hAnsi="Arial"/>
                <w:sz w:val="22"/>
                <w:szCs w:val="22"/>
                <w:color w:val="008000"/>
                <w:w w:val="81"/>
                <w:vertAlign w:val="superscript"/>
              </w:rPr>
              <w:t>(1)(2)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3,509</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36,724</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7,081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FF"/>
                <w:w w:val="75"/>
                <w:vertAlign w:val="subscript"/>
              </w:rPr>
              <w:t>43,805</w:t>
            </w:r>
            <w:r>
              <w:rPr>
                <w:rFonts w:ascii="Arial" w:cs="Arial" w:eastAsia="Arial" w:hAnsi="Arial"/>
                <w:sz w:val="11"/>
                <w:szCs w:val="11"/>
                <w:color w:val="008000"/>
                <w:w w:val="75"/>
              </w:rPr>
              <w:t>(1)(2)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5"/>
              <w:spacing w:after="0"/>
              <w:rPr>
                <w:sz w:val="20"/>
                <w:szCs w:val="20"/>
                <w:color w:val="auto"/>
              </w:rPr>
            </w:pPr>
            <w:r>
              <w:rPr>
                <w:rFonts w:ascii="Arial" w:cs="Arial" w:eastAsia="Arial" w:hAnsi="Arial"/>
                <w:sz w:val="14"/>
                <w:szCs w:val="14"/>
                <w:color w:val="0000FF"/>
                <w:w w:val="98"/>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3,806</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FF"/>
                <w:w w:val="75"/>
                <w:vertAlign w:val="subscript"/>
              </w:rPr>
              <w:t>39,999</w:t>
            </w:r>
            <w:r>
              <w:rPr>
                <w:rFonts w:ascii="Arial" w:cs="Arial" w:eastAsia="Arial" w:hAnsi="Arial"/>
                <w:sz w:val="11"/>
                <w:szCs w:val="11"/>
                <w:color w:val="008000"/>
                <w:w w:val="75"/>
              </w:rPr>
              <w:t>(1)(2)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3,275</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1"/>
              </w:rPr>
              <w:t>36,724</w:t>
            </w:r>
            <w:r>
              <w:rPr>
                <w:rFonts w:ascii="Arial" w:cs="Arial" w:eastAsia="Arial" w:hAnsi="Arial"/>
                <w:sz w:val="22"/>
                <w:szCs w:val="22"/>
                <w:color w:val="008000"/>
                <w:w w:val="81"/>
                <w:vertAlign w:val="superscript"/>
              </w:rPr>
              <w:t>(1)(2)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jc w:val="right"/>
              <w:ind w:right="66"/>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jc w:val="right"/>
              <w:ind w:right="386"/>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(6)</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7,590</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7,590</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(7)</w:t>
            </w:r>
          </w:p>
        </w:tc>
        <w:tc>
          <w:tcPr>
            <w:tcW w:w="220" w:type="dxa"/>
            <w:vAlign w:val="bottom"/>
          </w:tcPr>
          <w:p>
            <w:pPr>
              <w:spacing w:after="0"/>
              <w:rPr>
                <w:sz w:val="7"/>
                <w:szCs w:val="7"/>
                <w:color w:val="auto"/>
              </w:rPr>
            </w:pPr>
          </w:p>
        </w:tc>
        <w:tc>
          <w:tcPr>
            <w:tcW w:w="560" w:type="dxa"/>
            <w:vAlign w:val="bottom"/>
            <w:vMerge w:val="restart"/>
          </w:tcPr>
          <w:p>
            <w:pPr>
              <w:jc w:val="right"/>
              <w:ind w:right="286"/>
              <w:spacing w:after="0"/>
              <w:rPr>
                <w:sz w:val="20"/>
                <w:szCs w:val="20"/>
                <w:color w:val="auto"/>
              </w:rPr>
            </w:pPr>
            <w:r>
              <w:rPr>
                <w:rFonts w:ascii="Arial" w:cs="Arial" w:eastAsia="Arial" w:hAnsi="Arial"/>
                <w:sz w:val="11"/>
                <w:szCs w:val="11"/>
                <w:color w:val="008000"/>
              </w:rPr>
              <w:t>(7)</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(6)</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7,081</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7,081</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(7)</w:t>
            </w:r>
          </w:p>
        </w:tc>
        <w:tc>
          <w:tcPr>
            <w:tcW w:w="220" w:type="dxa"/>
            <w:vAlign w:val="bottom"/>
          </w:tcPr>
          <w:p>
            <w:pPr>
              <w:spacing w:after="0"/>
              <w:rPr>
                <w:sz w:val="7"/>
                <w:szCs w:val="7"/>
                <w:color w:val="auto"/>
              </w:rPr>
            </w:pPr>
          </w:p>
        </w:tc>
        <w:tc>
          <w:tcPr>
            <w:tcW w:w="560" w:type="dxa"/>
            <w:vAlign w:val="bottom"/>
            <w:vMerge w:val="restart"/>
          </w:tcPr>
          <w:p>
            <w:pPr>
              <w:jc w:val="right"/>
              <w:ind w:right="286"/>
              <w:spacing w:after="0"/>
              <w:rPr>
                <w:sz w:val="20"/>
                <w:szCs w:val="20"/>
                <w:color w:val="auto"/>
              </w:rPr>
            </w:pPr>
            <w:r>
              <w:rPr>
                <w:rFonts w:ascii="Arial" w:cs="Arial" w:eastAsia="Arial" w:hAnsi="Arial"/>
                <w:sz w:val="11"/>
                <w:szCs w:val="11"/>
                <w:color w:val="008000"/>
              </w:rPr>
              <w:t>(7)</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7,079</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(8)</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amended Form 4 is being filed to correct the Form 4 filed by the Reporting Person on April 2, 2015 (the "Latest Form 4 Filing"), which incorrectly reported in Column 5 of Table I the amount of securities beneficially owned following each of the reported transactions. The Form 4 filings that were filed on July 5, 2011, October 4, 2011 and January 4, 2012 inadvertently reported the receipt of 13,039, 19,520 and 19,607 Salary Stock Units, respectively, in Table I as shares beneficially owned, instead of in Table II as derivative securities beneficially owned. (Continued in next footnote.)</w:t>
      </w:r>
    </w:p>
    <w:p>
      <w:pPr>
        <w:spacing w:after="0" w:line="2" w:lineRule="exact"/>
        <w:rPr>
          <w:rFonts w:ascii="Arial" w:cs="Arial" w:eastAsia="Arial" w:hAnsi="Arial"/>
          <w:sz w:val="12"/>
          <w:szCs w:val="12"/>
          <w:color w:val="008000"/>
        </w:rPr>
      </w:pPr>
    </w:p>
    <w:p>
      <w:pPr>
        <w:ind w:left="40" w:right="1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prior footnote). Additionally, the Reporting Person filed a Form 4 on April 2, 2013 that contained a partially offsetting inadvertent computational error of 9,330 shares, and filed a Form 4 on July 2, 2013 that contained a further overstating inadvertent computational error of 18,860 shares. The errors in these filings carried forward in subsequent Form 4 filings and resulted in overstatements in the amounts of securities beneficially owned. Each of the amounts reported in Column 5 of Table I in the Latest Form 4 Filing was overstated by 61,696 shares.</w:t>
      </w:r>
    </w:p>
    <w:p>
      <w:pPr>
        <w:spacing w:after="0" w:line="2" w:lineRule="exact"/>
        <w:rPr>
          <w:rFonts w:ascii="Arial" w:cs="Arial" w:eastAsia="Arial" w:hAnsi="Arial"/>
          <w:sz w:val="12"/>
          <w:szCs w:val="12"/>
          <w:color w:val="008000"/>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2015 in cash, less a portion withheld for taxes.</w:t>
      </w: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2015 in cash, less a portion withheld for taxes.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2012 and were settled on March 31, 2015.</w:t>
      </w:r>
    </w:p>
    <w:p>
      <w:pPr>
        <w:spacing w:after="0" w:line="41" w:lineRule="exact"/>
        <w:rPr>
          <w:rFonts w:ascii="Arial" w:cs="Arial" w:eastAsia="Arial" w:hAnsi="Arial"/>
          <w:sz w:val="14"/>
          <w:szCs w:val="14"/>
          <w:color w:val="008000"/>
        </w:rPr>
      </w:pPr>
    </w:p>
    <w:p>
      <w:pPr>
        <w:ind w:left="40" w:right="1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$37.75.</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2013 and began being settled in three equal, annual installments on March 31,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tbl>
      <w:tblPr>
        <w:tblLayout w:type="fixed"/>
        <w:tblInd w:w="686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0000FF"/>
              </w:rPr>
              <w:t>/s/ Robert C. Shrosbree,</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w w:val="93"/>
              </w:rPr>
              <w:t>07/02/2015</w:t>
            </w:r>
          </w:p>
        </w:tc>
        <w:tc>
          <w:tcPr>
            <w:tcW w:w="0" w:type="dxa"/>
            <w:vAlign w:val="bottom"/>
          </w:tcPr>
          <w:p>
            <w:pPr>
              <w:spacing w:after="0"/>
              <w:rPr>
                <w:sz w:val="1"/>
                <w:szCs w:val="1"/>
                <w:color w:val="auto"/>
              </w:rPr>
            </w:pPr>
          </w:p>
        </w:tc>
      </w:tr>
      <w:tr>
        <w:trPr>
          <w:trHeight w:val="222"/>
        </w:trPr>
        <w:tc>
          <w:tcPr>
            <w:tcW w:w="2240" w:type="dxa"/>
            <w:vAlign w:val="bottom"/>
          </w:tcPr>
          <w:p>
            <w:pPr>
              <w:spacing w:after="0"/>
              <w:rPr>
                <w:sz w:val="20"/>
                <w:szCs w:val="20"/>
                <w:color w:val="auto"/>
              </w:rPr>
            </w:pPr>
            <w:r>
              <w:rPr>
                <w:rFonts w:ascii="Arial" w:cs="Arial" w:eastAsia="Arial" w:hAnsi="Arial"/>
                <w:sz w:val="18"/>
                <w:szCs w:val="18"/>
                <w:color w:val="0000FF"/>
                <w:w w:val="91"/>
              </w:rPr>
              <w:t>Attorney-In-Fact for Mr. Reuss</w:t>
            </w: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-161290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-23495</wp:posOffset>
            </wp:positionV>
            <wp:extent cx="1393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931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-92710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909" w:orient="portrait"/>
          <w:cols w:equalWidth="0" w:num="1">
            <w:col w:w="11520"/>
          </w:cols>
          <w:pgMar w:left="240" w:top="226" w:right="139" w:bottom="0" w:gutter="0" w:footer="0" w:header="0"/>
          <w:type w:val="continuous"/>
        </w:sectPr>
      </w:pPr>
    </w:p>
    <w:p>
      <w:pPr>
        <w:spacing w:after="0" w:line="5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909"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7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2019-12-08T22:14:18Z</dcterms:created>
  <dcterms:modified xsi:type="dcterms:W3CDTF">2019-12-08T22:14:18Z</dcterms:modified>
</cp:coreProperties>
</file>