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34" w:lineRule="exact"/>
        <w:rPr>
          <w:sz w:val="24"/>
          <w:szCs w:val="24"/>
          <w:color w:val="auto"/>
        </w:rPr>
      </w:pPr>
    </w:p>
    <w:p>
      <w:pPr>
        <w:ind w:left="660" w:right="2140" w:hanging="634"/>
        <w:spacing w:after="0" w:line="237"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7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21" w:lineRule="exact"/>
        <w:rPr>
          <w:sz w:val="24"/>
          <w:szCs w:val="24"/>
          <w:color w:val="auto"/>
        </w:rPr>
      </w:pPr>
    </w:p>
    <w:p>
      <w:pPr>
        <w:ind w:left="660" w:right="2120" w:hanging="634"/>
        <w:spacing w:after="0" w:line="23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5" w:lineRule="exact"/>
        <w:rPr>
          <w:sz w:val="24"/>
          <w:szCs w:val="24"/>
          <w:color w:val="auto"/>
        </w:rPr>
      </w:pPr>
    </w:p>
    <w:p>
      <w:pPr>
        <w:ind w:left="46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3339465</wp:posOffset>
            </wp:positionH>
            <wp:positionV relativeFrom="paragraph">
              <wp:posOffset>120015</wp:posOffset>
            </wp:positionV>
            <wp:extent cx="471805"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180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GENERAL MOTORS COMPANY</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24" w:lineRule="exact"/>
        <w:rPr>
          <w:sz w:val="24"/>
          <w:szCs w:val="24"/>
          <w:color w:val="auto"/>
        </w:rPr>
      </w:pPr>
    </w:p>
    <w:tbl>
      <w:tblPr>
        <w:tblLayout w:type="fixed"/>
        <w:tblInd w:w="1700" w:type="dxa"/>
        <w:tblCellMar>
          <w:top w:w="0" w:type="dxa"/>
          <w:left w:w="0" w:type="dxa"/>
          <w:bottom w:w="0" w:type="dxa"/>
          <w:right w:w="0" w:type="dxa"/>
        </w:tblCellMar>
      </w:tblPr>
      <w:tr>
        <w:trPr>
          <w:trHeight w:val="234"/>
        </w:trPr>
        <w:tc>
          <w:tcPr>
            <w:tcW w:w="5100" w:type="dxa"/>
            <w:vAlign w:val="bottom"/>
          </w:tcPr>
          <w:p>
            <w:pPr>
              <w:jc w:val="center"/>
              <w:ind w:right="1610"/>
              <w:spacing w:after="0"/>
              <w:rPr>
                <w:sz w:val="20"/>
                <w:szCs w:val="20"/>
                <w:color w:val="auto"/>
              </w:rPr>
            </w:pPr>
            <w:r>
              <w:rPr>
                <w:rFonts w:ascii="Arial" w:cs="Arial" w:eastAsia="Arial" w:hAnsi="Arial"/>
                <w:sz w:val="18"/>
                <w:szCs w:val="18"/>
                <w:b w:val="1"/>
                <w:bCs w:val="1"/>
                <w:color w:val="auto"/>
                <w:w w:val="91"/>
              </w:rPr>
              <w:t>Delaware</w:t>
            </w:r>
          </w:p>
        </w:tc>
        <w:tc>
          <w:tcPr>
            <w:tcW w:w="1920" w:type="dxa"/>
            <w:vAlign w:val="bottom"/>
          </w:tcPr>
          <w:p>
            <w:pPr>
              <w:jc w:val="right"/>
              <w:ind w:right="130"/>
              <w:spacing w:after="0"/>
              <w:rPr>
                <w:sz w:val="20"/>
                <w:szCs w:val="20"/>
                <w:color w:val="auto"/>
              </w:rPr>
            </w:pPr>
            <w:r>
              <w:rPr>
                <w:rFonts w:ascii="Arial" w:cs="Arial" w:eastAsia="Arial" w:hAnsi="Arial"/>
                <w:sz w:val="18"/>
                <w:szCs w:val="18"/>
                <w:b w:val="1"/>
                <w:bCs w:val="1"/>
                <w:color w:val="auto"/>
              </w:rPr>
              <w:t>27-0756180</w:t>
            </w:r>
          </w:p>
        </w:tc>
      </w:tr>
      <w:tr>
        <w:trPr>
          <w:trHeight w:val="230"/>
        </w:trPr>
        <w:tc>
          <w:tcPr>
            <w:tcW w:w="5100" w:type="dxa"/>
            <w:vAlign w:val="bottom"/>
          </w:tcPr>
          <w:p>
            <w:pPr>
              <w:jc w:val="center"/>
              <w:ind w:right="1610"/>
              <w:spacing w:after="0"/>
              <w:rPr>
                <w:sz w:val="20"/>
                <w:szCs w:val="20"/>
                <w:color w:val="auto"/>
              </w:rPr>
            </w:pPr>
            <w:r>
              <w:rPr>
                <w:rFonts w:ascii="Arial" w:cs="Arial" w:eastAsia="Arial" w:hAnsi="Arial"/>
                <w:sz w:val="18"/>
                <w:szCs w:val="18"/>
                <w:i w:val="1"/>
                <w:iCs w:val="1"/>
                <w:color w:val="auto"/>
                <w:w w:val="94"/>
              </w:rPr>
              <w:t>(State or other jurisdiction of</w:t>
            </w:r>
          </w:p>
        </w:tc>
        <w:tc>
          <w:tcPr>
            <w:tcW w:w="1920" w:type="dxa"/>
            <w:vAlign w:val="bottom"/>
          </w:tcPr>
          <w:p>
            <w:pPr>
              <w:jc w:val="center"/>
              <w:ind w:left="51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5100" w:type="dxa"/>
            <w:vAlign w:val="bottom"/>
          </w:tcPr>
          <w:p>
            <w:pPr>
              <w:jc w:val="center"/>
              <w:ind w:right="1630"/>
              <w:spacing w:after="0"/>
              <w:rPr>
                <w:sz w:val="20"/>
                <w:szCs w:val="20"/>
                <w:color w:val="auto"/>
              </w:rPr>
            </w:pPr>
            <w:r>
              <w:rPr>
                <w:rFonts w:ascii="Arial" w:cs="Arial" w:eastAsia="Arial" w:hAnsi="Arial"/>
                <w:sz w:val="18"/>
                <w:szCs w:val="18"/>
                <w:i w:val="1"/>
                <w:iCs w:val="1"/>
                <w:color w:val="auto"/>
                <w:w w:val="94"/>
              </w:rPr>
              <w:t>incorporation or organization)</w:t>
            </w:r>
          </w:p>
        </w:tc>
        <w:tc>
          <w:tcPr>
            <w:tcW w:w="1920" w:type="dxa"/>
            <w:vAlign w:val="bottom"/>
          </w:tcPr>
          <w:p>
            <w:pPr>
              <w:jc w:val="center"/>
              <w:ind w:left="510"/>
              <w:spacing w:after="0"/>
              <w:rPr>
                <w:sz w:val="20"/>
                <w:szCs w:val="20"/>
                <w:color w:val="auto"/>
              </w:rPr>
            </w:pPr>
            <w:r>
              <w:rPr>
                <w:rFonts w:ascii="Arial" w:cs="Arial" w:eastAsia="Arial" w:hAnsi="Arial"/>
                <w:sz w:val="18"/>
                <w:szCs w:val="18"/>
                <w:i w:val="1"/>
                <w:iCs w:val="1"/>
                <w:color w:val="auto"/>
                <w:w w:val="94"/>
              </w:rPr>
              <w:t>Identification No.)</w:t>
            </w:r>
          </w:p>
        </w:tc>
      </w:tr>
      <w:tr>
        <w:trPr>
          <w:trHeight w:val="322"/>
        </w:trPr>
        <w:tc>
          <w:tcPr>
            <w:tcW w:w="5100" w:type="dxa"/>
            <w:vAlign w:val="bottom"/>
          </w:tcPr>
          <w:p>
            <w:pPr>
              <w:jc w:val="center"/>
              <w:ind w:right="1650"/>
              <w:spacing w:after="0"/>
              <w:rPr>
                <w:sz w:val="20"/>
                <w:szCs w:val="20"/>
                <w:color w:val="auto"/>
              </w:rPr>
            </w:pPr>
            <w:r>
              <w:rPr>
                <w:rFonts w:ascii="Arial" w:cs="Arial" w:eastAsia="Arial" w:hAnsi="Arial"/>
                <w:sz w:val="18"/>
                <w:szCs w:val="18"/>
                <w:b w:val="1"/>
                <w:bCs w:val="1"/>
                <w:color w:val="auto"/>
                <w:w w:val="92"/>
              </w:rPr>
              <w:t>300 Renaissance Center, Detroit, Michigan</w:t>
            </w:r>
          </w:p>
        </w:tc>
        <w:tc>
          <w:tcPr>
            <w:tcW w:w="1920" w:type="dxa"/>
            <w:vAlign w:val="bottom"/>
          </w:tcPr>
          <w:p>
            <w:pPr>
              <w:jc w:val="right"/>
              <w:ind w:right="130"/>
              <w:spacing w:after="0"/>
              <w:rPr>
                <w:sz w:val="20"/>
                <w:szCs w:val="20"/>
                <w:color w:val="auto"/>
              </w:rPr>
            </w:pPr>
            <w:r>
              <w:rPr>
                <w:rFonts w:ascii="Arial" w:cs="Arial" w:eastAsia="Arial" w:hAnsi="Arial"/>
                <w:sz w:val="18"/>
                <w:szCs w:val="18"/>
                <w:b w:val="1"/>
                <w:bCs w:val="1"/>
                <w:color w:val="auto"/>
              </w:rPr>
              <w:t>48265 -3000</w:t>
            </w:r>
          </w:p>
        </w:tc>
      </w:tr>
      <w:tr>
        <w:trPr>
          <w:trHeight w:val="271"/>
        </w:trPr>
        <w:tc>
          <w:tcPr>
            <w:tcW w:w="5100" w:type="dxa"/>
            <w:vAlign w:val="bottom"/>
          </w:tcPr>
          <w:p>
            <w:pPr>
              <w:jc w:val="center"/>
              <w:ind w:right="161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920" w:type="dxa"/>
            <w:vAlign w:val="bottom"/>
          </w:tcPr>
          <w:p>
            <w:pPr>
              <w:jc w:val="center"/>
              <w:ind w:left="510"/>
              <w:spacing w:after="0"/>
              <w:rPr>
                <w:sz w:val="20"/>
                <w:szCs w:val="20"/>
                <w:color w:val="auto"/>
              </w:rPr>
            </w:pPr>
            <w:r>
              <w:rPr>
                <w:rFonts w:ascii="Arial" w:cs="Arial" w:eastAsia="Arial" w:hAnsi="Arial"/>
                <w:sz w:val="18"/>
                <w:szCs w:val="18"/>
                <w:i w:val="1"/>
                <w:iCs w:val="1"/>
                <w:color w:val="auto"/>
                <w:w w:val="94"/>
              </w:rPr>
              <w:t>(Zip Code)</w:t>
            </w:r>
          </w:p>
        </w:tc>
      </w:tr>
      <w:tr>
        <w:trPr>
          <w:trHeight w:val="297"/>
        </w:trPr>
        <w:tc>
          <w:tcPr>
            <w:tcW w:w="5100" w:type="dxa"/>
            <w:vAlign w:val="bottom"/>
          </w:tcPr>
          <w:p>
            <w:pPr>
              <w:jc w:val="right"/>
              <w:ind w:right="530"/>
              <w:spacing w:after="0"/>
              <w:rPr>
                <w:sz w:val="20"/>
                <w:szCs w:val="20"/>
                <w:color w:val="auto"/>
              </w:rPr>
            </w:pPr>
            <w:r>
              <w:rPr>
                <w:rFonts w:ascii="Arial" w:cs="Arial" w:eastAsia="Arial" w:hAnsi="Arial"/>
                <w:sz w:val="18"/>
                <w:szCs w:val="18"/>
                <w:b w:val="1"/>
                <w:bCs w:val="1"/>
                <w:color w:val="auto"/>
              </w:rPr>
              <w:t>(313) 667-1500</w:t>
            </w:r>
          </w:p>
        </w:tc>
        <w:tc>
          <w:tcPr>
            <w:tcW w:w="192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3" w:lineRule="exact"/>
        <w:rPr>
          <w:sz w:val="24"/>
          <w:szCs w:val="24"/>
          <w:color w:val="auto"/>
        </w:rPr>
      </w:pPr>
    </w:p>
    <w:tbl>
      <w:tblPr>
        <w:tblLayout w:type="fixed"/>
        <w:tblInd w:w="1360" w:type="dxa"/>
        <w:tblCellMar>
          <w:top w:w="0" w:type="dxa"/>
          <w:left w:w="0" w:type="dxa"/>
          <w:bottom w:w="0" w:type="dxa"/>
          <w:right w:w="0" w:type="dxa"/>
        </w:tblCellMar>
      </w:tblPr>
      <w:tr>
        <w:trPr>
          <w:trHeight w:val="195"/>
        </w:trPr>
        <w:tc>
          <w:tcPr>
            <w:tcW w:w="500" w:type="dxa"/>
            <w:vAlign w:val="bottom"/>
          </w:tcPr>
          <w:p>
            <w:pPr>
              <w:spacing w:after="0"/>
              <w:rPr>
                <w:sz w:val="16"/>
                <w:szCs w:val="16"/>
                <w:color w:val="auto"/>
              </w:rPr>
            </w:pPr>
          </w:p>
        </w:tc>
        <w:tc>
          <w:tcPr>
            <w:tcW w:w="2420" w:type="dxa"/>
            <w:vAlign w:val="bottom"/>
            <w:gridSpan w:val="2"/>
          </w:tcPr>
          <w:p>
            <w:pPr>
              <w:jc w:val="center"/>
              <w:ind w:right="1180"/>
              <w:spacing w:after="0"/>
              <w:rPr>
                <w:sz w:val="20"/>
                <w:szCs w:val="20"/>
                <w:color w:val="auto"/>
              </w:rPr>
            </w:pPr>
            <w:r>
              <w:rPr>
                <w:rFonts w:ascii="Arial" w:cs="Arial" w:eastAsia="Arial" w:hAnsi="Arial"/>
                <w:sz w:val="17"/>
                <w:szCs w:val="17"/>
                <w:color w:val="auto"/>
                <w:w w:val="91"/>
              </w:rPr>
              <w:t>Title of each class</w:t>
            </w:r>
          </w:p>
        </w:tc>
        <w:tc>
          <w:tcPr>
            <w:tcW w:w="2480" w:type="dxa"/>
            <w:vAlign w:val="bottom"/>
            <w:gridSpan w:val="3"/>
          </w:tcPr>
          <w:p>
            <w:pPr>
              <w:jc w:val="center"/>
              <w:ind w:left="94"/>
              <w:spacing w:after="0"/>
              <w:rPr>
                <w:sz w:val="20"/>
                <w:szCs w:val="20"/>
                <w:color w:val="auto"/>
              </w:rPr>
            </w:pPr>
            <w:r>
              <w:rPr>
                <w:rFonts w:ascii="Arial" w:cs="Arial" w:eastAsia="Arial" w:hAnsi="Arial"/>
                <w:sz w:val="17"/>
                <w:szCs w:val="17"/>
                <w:color w:val="auto"/>
                <w:w w:val="93"/>
              </w:rPr>
              <w:t>Trading Symbol(s)</w:t>
            </w:r>
          </w:p>
        </w:tc>
        <w:tc>
          <w:tcPr>
            <w:tcW w:w="3540" w:type="dxa"/>
            <w:vAlign w:val="bottom"/>
            <w:gridSpan w:val="2"/>
          </w:tcPr>
          <w:p>
            <w:pPr>
              <w:jc w:val="center"/>
              <w:ind w:left="394"/>
              <w:spacing w:after="0"/>
              <w:rPr>
                <w:sz w:val="20"/>
                <w:szCs w:val="20"/>
                <w:color w:val="auto"/>
              </w:rPr>
            </w:pPr>
            <w:r>
              <w:rPr>
                <w:rFonts w:ascii="Arial" w:cs="Arial" w:eastAsia="Arial" w:hAnsi="Arial"/>
                <w:sz w:val="17"/>
                <w:szCs w:val="17"/>
                <w:color w:val="auto"/>
                <w:w w:val="90"/>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r>
      <w:tr>
        <w:trPr>
          <w:trHeight w:val="235"/>
        </w:trPr>
        <w:tc>
          <w:tcPr>
            <w:tcW w:w="2920" w:type="dxa"/>
            <w:vAlign w:val="bottom"/>
            <w:gridSpan w:val="3"/>
          </w:tcPr>
          <w:p>
            <w:pPr>
              <w:jc w:val="center"/>
              <w:ind w:right="680"/>
              <w:spacing w:after="0"/>
              <w:rPr>
                <w:sz w:val="20"/>
                <w:szCs w:val="20"/>
                <w:color w:val="auto"/>
              </w:rPr>
            </w:pPr>
            <w:r>
              <w:rPr>
                <w:rFonts w:ascii="Arial" w:cs="Arial" w:eastAsia="Arial" w:hAnsi="Arial"/>
                <w:sz w:val="17"/>
                <w:szCs w:val="17"/>
                <w:color w:val="auto"/>
                <w:w w:val="92"/>
              </w:rPr>
              <w:t>Common Stock, $0.01 par value</w:t>
            </w:r>
          </w:p>
        </w:tc>
        <w:tc>
          <w:tcPr>
            <w:tcW w:w="680" w:type="dxa"/>
            <w:vAlign w:val="bottom"/>
          </w:tcPr>
          <w:p>
            <w:pPr>
              <w:spacing w:after="0"/>
              <w:rPr>
                <w:sz w:val="20"/>
                <w:szCs w:val="20"/>
                <w:color w:val="auto"/>
              </w:rPr>
            </w:pPr>
          </w:p>
        </w:tc>
        <w:tc>
          <w:tcPr>
            <w:tcW w:w="1800" w:type="dxa"/>
            <w:vAlign w:val="bottom"/>
            <w:gridSpan w:val="2"/>
          </w:tcPr>
          <w:p>
            <w:pPr>
              <w:jc w:val="center"/>
              <w:ind w:right="480"/>
              <w:spacing w:after="0"/>
              <w:rPr>
                <w:sz w:val="20"/>
                <w:szCs w:val="20"/>
                <w:color w:val="auto"/>
              </w:rPr>
            </w:pPr>
            <w:r>
              <w:rPr>
                <w:rFonts w:ascii="Arial" w:cs="Arial" w:eastAsia="Arial" w:hAnsi="Arial"/>
                <w:sz w:val="17"/>
                <w:szCs w:val="17"/>
                <w:color w:val="auto"/>
              </w:rPr>
              <w:t>GM</w:t>
            </w:r>
          </w:p>
        </w:tc>
        <w:tc>
          <w:tcPr>
            <w:tcW w:w="480" w:type="dxa"/>
            <w:vAlign w:val="bottom"/>
          </w:tcPr>
          <w:p>
            <w:pPr>
              <w:spacing w:after="0"/>
              <w:rPr>
                <w:sz w:val="20"/>
                <w:szCs w:val="20"/>
                <w:color w:val="auto"/>
              </w:rPr>
            </w:pPr>
          </w:p>
        </w:tc>
        <w:tc>
          <w:tcPr>
            <w:tcW w:w="3060" w:type="dxa"/>
            <w:vAlign w:val="bottom"/>
          </w:tcPr>
          <w:p>
            <w:pPr>
              <w:jc w:val="center"/>
              <w:spacing w:after="0"/>
              <w:rPr>
                <w:sz w:val="20"/>
                <w:szCs w:val="20"/>
                <w:color w:val="auto"/>
              </w:rPr>
            </w:pPr>
            <w:r>
              <w:rPr>
                <w:rFonts w:ascii="Arial" w:cs="Arial" w:eastAsia="Arial" w:hAnsi="Arial"/>
                <w:sz w:val="17"/>
                <w:szCs w:val="17"/>
                <w:color w:val="auto"/>
                <w:w w:val="93"/>
              </w:rPr>
              <w:t>New York Stock Exchange</w:t>
            </w:r>
          </w:p>
        </w:tc>
      </w:tr>
    </w:tbl>
    <w:p>
      <w:pPr>
        <w:spacing w:after="0" w:line="131" w:lineRule="exact"/>
        <w:rPr>
          <w:sz w:val="24"/>
          <w:szCs w:val="24"/>
          <w:color w:val="auto"/>
        </w:rPr>
      </w:pPr>
    </w:p>
    <w:p>
      <w:pPr>
        <w:jc w:val="both"/>
        <w:ind w:firstLine="81"/>
        <w:spacing w:after="0" w:line="21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4" w:lineRule="exact"/>
        <w:rPr>
          <w:sz w:val="24"/>
          <w:szCs w:val="24"/>
          <w:color w:val="auto"/>
        </w:rPr>
      </w:pPr>
    </w:p>
    <w:p>
      <w:pPr>
        <w:jc w:val="both"/>
        <w:ind w:firstLine="81"/>
        <w:spacing w:after="0" w:line="219"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4" w:lineRule="exact"/>
        <w:rPr>
          <w:sz w:val="24"/>
          <w:szCs w:val="24"/>
          <w:color w:val="auto"/>
        </w:rPr>
      </w:pPr>
    </w:p>
    <w:p>
      <w:pPr>
        <w:jc w:val="both"/>
        <w:ind w:firstLine="81"/>
        <w:spacing w:after="0" w:line="26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p>
      <w:pPr>
        <w:ind w:left="80"/>
        <w:spacing w:after="0" w:line="19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Non-accelerated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7"/>
          <w:szCs w:val="17"/>
          <w:color w:val="auto"/>
        </w:rPr>
        <w:t>☐</w:t>
      </w:r>
    </w:p>
    <w:p>
      <w:pPr>
        <w:spacing w:after="0" w:line="134" w:lineRule="exact"/>
        <w:rPr>
          <w:sz w:val="24"/>
          <w:szCs w:val="24"/>
          <w:color w:val="auto"/>
        </w:rPr>
      </w:pPr>
    </w:p>
    <w:p>
      <w:pPr>
        <w:jc w:val="both"/>
        <w:ind w:firstLine="81"/>
        <w:spacing w:after="0" w:line="227"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5" w:lineRule="exact"/>
        <w:rPr>
          <w:sz w:val="24"/>
          <w:szCs w:val="24"/>
          <w:color w:val="auto"/>
        </w:rPr>
      </w:pPr>
    </w:p>
    <w:p>
      <w:pPr>
        <w:ind w:left="80" w:right="2180"/>
        <w:spacing w:after="0" w:line="28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19, 2021 there were 1,450,670,870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743585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100" w:type="dxa"/>
            <w:vAlign w:val="bottom"/>
          </w:tcPr>
          <w:p>
            <w:pPr>
              <w:jc w:val="center"/>
              <w:ind w:left="110"/>
              <w:spacing w:after="0"/>
              <w:rPr>
                <w:sz w:val="20"/>
                <w:szCs w:val="20"/>
                <w:color w:val="auto"/>
              </w:rPr>
            </w:pPr>
            <w:r>
              <w:rPr>
                <w:rFonts w:ascii="Arial" w:cs="Arial" w:eastAsia="Arial" w:hAnsi="Arial"/>
                <w:sz w:val="18"/>
                <w:szCs w:val="18"/>
                <w:b w:val="1"/>
                <w:bCs w:val="1"/>
                <w:color w:val="auto"/>
              </w:rPr>
              <w:t>INDEX</w:t>
            </w: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10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98"/>
              </w:rPr>
              <w:t>PART I</w:t>
            </w:r>
          </w:p>
        </w:tc>
        <w:tc>
          <w:tcPr>
            <w:tcW w:w="2160" w:type="dxa"/>
            <w:vAlign w:val="bottom"/>
            <w:gridSpan w:val="6"/>
          </w:tcPr>
          <w:p>
            <w:pPr>
              <w:ind w:left="16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100" w:type="dxa"/>
            <w:vAlign w:val="bottom"/>
            <w:vMerge w:val="continue"/>
          </w:tcPr>
          <w:p>
            <w:pPr>
              <w:spacing w:after="0"/>
              <w:rPr>
                <w:sz w:val="21"/>
                <w:szCs w:val="21"/>
                <w:color w:val="auto"/>
              </w:rPr>
            </w:pPr>
          </w:p>
        </w:tc>
        <w:tc>
          <w:tcPr>
            <w:tcW w:w="16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8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822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Condensed Consolidated Financial Statements</w:t>
            </w:r>
          </w:p>
        </w:tc>
        <w:tc>
          <w:tcPr>
            <w:tcW w:w="2020" w:type="dxa"/>
            <w:vAlign w:val="bottom"/>
            <w:tcBorders>
              <w:bottom w:val="single" w:sz="8" w:color="CCEEFF"/>
            </w:tcBorders>
            <w:gridSpan w:val="4"/>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822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Condensed Consolidated Income Statements (Unaudited)</w:t>
            </w:r>
          </w:p>
        </w:tc>
        <w:tc>
          <w:tcPr>
            <w:tcW w:w="2140" w:type="dxa"/>
            <w:vAlign w:val="bottom"/>
            <w:gridSpan w:val="5"/>
          </w:tcPr>
          <w:p>
            <w:pPr>
              <w:jc w:val="right"/>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Borders>
              <w:bottom w:val="single" w:sz="8" w:color="CCEEFF"/>
            </w:tcBorders>
            <w:shd w:val="clear" w:color="auto" w:fill="CCEEFF"/>
          </w:tcPr>
          <w:p>
            <w:pPr>
              <w:spacing w:after="0"/>
              <w:rPr>
                <w:sz w:val="18"/>
                <w:szCs w:val="18"/>
                <w:color w:val="auto"/>
              </w:rPr>
            </w:pPr>
          </w:p>
        </w:tc>
        <w:tc>
          <w:tcPr>
            <w:tcW w:w="822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Condensed Consolidated Statements of Comprehensive Income (Unaudited)</w:t>
            </w:r>
          </w:p>
        </w:tc>
        <w:tc>
          <w:tcPr>
            <w:tcW w:w="2020" w:type="dxa"/>
            <w:vAlign w:val="bottom"/>
            <w:tcBorders>
              <w:bottom w:val="single" w:sz="8" w:color="CCEEFF"/>
            </w:tcBorders>
            <w:gridSpan w:val="4"/>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822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Condensed Consolidated Balance Sheets (Unaudited)</w:t>
            </w:r>
          </w:p>
        </w:tc>
        <w:tc>
          <w:tcPr>
            <w:tcW w:w="2140" w:type="dxa"/>
            <w:vAlign w:val="bottom"/>
            <w:gridSpan w:val="5"/>
          </w:tcPr>
          <w:p>
            <w:pPr>
              <w:jc w:val="right"/>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Borders>
              <w:bottom w:val="single" w:sz="8" w:color="CCEEFF"/>
            </w:tcBorders>
            <w:shd w:val="clear" w:color="auto" w:fill="CCEEFF"/>
          </w:tcPr>
          <w:p>
            <w:pPr>
              <w:spacing w:after="0"/>
              <w:rPr>
                <w:sz w:val="18"/>
                <w:szCs w:val="18"/>
                <w:color w:val="auto"/>
              </w:rPr>
            </w:pPr>
          </w:p>
        </w:tc>
        <w:tc>
          <w:tcPr>
            <w:tcW w:w="822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Condensed Consolidated Statements of Cash Flows (Unaudited)</w:t>
            </w:r>
          </w:p>
        </w:tc>
        <w:tc>
          <w:tcPr>
            <w:tcW w:w="2020" w:type="dxa"/>
            <w:vAlign w:val="bottom"/>
            <w:tcBorders>
              <w:bottom w:val="single" w:sz="8" w:color="CCEEFF"/>
            </w:tcBorders>
            <w:gridSpan w:val="4"/>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822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Condensed Consolidated Statements of Equity (Unaudited)</w:t>
            </w:r>
          </w:p>
        </w:tc>
        <w:tc>
          <w:tcPr>
            <w:tcW w:w="2140" w:type="dxa"/>
            <w:vAlign w:val="bottom"/>
            <w:gridSpan w:val="5"/>
          </w:tcPr>
          <w:p>
            <w:pPr>
              <w:jc w:val="right"/>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Borders>
              <w:bottom w:val="single" w:sz="8" w:color="CCEEFF"/>
            </w:tcBorders>
            <w:shd w:val="clear" w:color="auto" w:fill="CCEEFF"/>
          </w:tcPr>
          <w:p>
            <w:pPr>
              <w:spacing w:after="0"/>
              <w:rPr>
                <w:sz w:val="18"/>
                <w:szCs w:val="18"/>
                <w:color w:val="auto"/>
              </w:rPr>
            </w:pPr>
          </w:p>
        </w:tc>
        <w:tc>
          <w:tcPr>
            <w:tcW w:w="822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Notes to Condensed Consolidated Financial Statements</w:t>
            </w:r>
          </w:p>
        </w:tc>
        <w:tc>
          <w:tcPr>
            <w:tcW w:w="2020" w:type="dxa"/>
            <w:vAlign w:val="bottom"/>
            <w:tcBorders>
              <w:bottom w:val="single" w:sz="8" w:color="CCEEFF"/>
            </w:tcBorders>
            <w:gridSpan w:val="4"/>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w:t>
            </w:r>
          </w:p>
        </w:tc>
        <w:tc>
          <w:tcPr>
            <w:tcW w:w="7100" w:type="dxa"/>
            <w:vAlign w:val="bottom"/>
          </w:tcPr>
          <w:p>
            <w:pPr>
              <w:ind w:left="60"/>
              <w:spacing w:after="0" w:line="189" w:lineRule="exact"/>
              <w:rPr>
                <w:sz w:val="20"/>
                <w:szCs w:val="20"/>
                <w:color w:val="auto"/>
              </w:rPr>
            </w:pPr>
            <w:r>
              <w:rPr>
                <w:rFonts w:ascii="Arial" w:cs="Arial" w:eastAsia="Arial" w:hAnsi="Arial"/>
                <w:sz w:val="18"/>
                <w:szCs w:val="18"/>
                <w:color w:val="auto"/>
              </w:rPr>
              <w:t>Nature of Operations and Basis of Presentation</w:t>
            </w:r>
          </w:p>
        </w:tc>
        <w:tc>
          <w:tcPr>
            <w:tcW w:w="2140" w:type="dxa"/>
            <w:vAlign w:val="bottom"/>
            <w:gridSpan w:val="5"/>
          </w:tcPr>
          <w:p>
            <w:pPr>
              <w:jc w:val="right"/>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Arial" w:cs="Arial" w:eastAsia="Arial" w:hAnsi="Arial"/>
                <w:sz w:val="18"/>
                <w:szCs w:val="18"/>
                <w:color w:val="auto"/>
              </w:rPr>
              <w:t>Note 2.</w:t>
            </w:r>
          </w:p>
        </w:tc>
        <w:tc>
          <w:tcPr>
            <w:tcW w:w="7100" w:type="dxa"/>
            <w:vAlign w:val="bottom"/>
            <w:tcBorders>
              <w:bottom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Revenue</w:t>
            </w:r>
          </w:p>
        </w:tc>
        <w:tc>
          <w:tcPr>
            <w:tcW w:w="2020" w:type="dxa"/>
            <w:vAlign w:val="bottom"/>
            <w:tcBorders>
              <w:bottom w:val="single" w:sz="8" w:color="CCEEFF"/>
            </w:tcBorders>
            <w:gridSpan w:val="4"/>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3.</w:t>
            </w:r>
          </w:p>
        </w:tc>
        <w:tc>
          <w:tcPr>
            <w:tcW w:w="7100" w:type="dxa"/>
            <w:vAlign w:val="bottom"/>
          </w:tcPr>
          <w:p>
            <w:pPr>
              <w:ind w:left="60"/>
              <w:spacing w:after="0" w:line="189" w:lineRule="exact"/>
              <w:rPr>
                <w:sz w:val="20"/>
                <w:szCs w:val="20"/>
                <w:color w:val="auto"/>
              </w:rPr>
            </w:pPr>
            <w:r>
              <w:rPr>
                <w:rFonts w:ascii="Arial" w:cs="Arial" w:eastAsia="Arial" w:hAnsi="Arial"/>
                <w:sz w:val="18"/>
                <w:szCs w:val="18"/>
                <w:color w:val="auto"/>
              </w:rPr>
              <w:t>Marketable and Other Securities</w:t>
            </w:r>
          </w:p>
        </w:tc>
        <w:tc>
          <w:tcPr>
            <w:tcW w:w="2140" w:type="dxa"/>
            <w:vAlign w:val="bottom"/>
            <w:gridSpan w:val="5"/>
          </w:tcPr>
          <w:p>
            <w:pPr>
              <w:jc w:val="right"/>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7</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Arial" w:cs="Arial" w:eastAsia="Arial" w:hAnsi="Arial"/>
                <w:sz w:val="18"/>
                <w:szCs w:val="18"/>
                <w:color w:val="auto"/>
              </w:rPr>
              <w:t>Note 4.</w:t>
            </w:r>
          </w:p>
        </w:tc>
        <w:tc>
          <w:tcPr>
            <w:tcW w:w="7100" w:type="dxa"/>
            <w:vAlign w:val="bottom"/>
            <w:tcBorders>
              <w:bottom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GM Financial Receivables and Transactions</w:t>
            </w:r>
          </w:p>
        </w:tc>
        <w:tc>
          <w:tcPr>
            <w:tcW w:w="2020" w:type="dxa"/>
            <w:vAlign w:val="bottom"/>
            <w:tcBorders>
              <w:bottom w:val="single" w:sz="8" w:color="CCEEFF"/>
            </w:tcBorders>
            <w:gridSpan w:val="4"/>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5.</w:t>
            </w:r>
          </w:p>
        </w:tc>
        <w:tc>
          <w:tcPr>
            <w:tcW w:w="7100" w:type="dxa"/>
            <w:vAlign w:val="bottom"/>
          </w:tcPr>
          <w:p>
            <w:pPr>
              <w:ind w:left="60"/>
              <w:spacing w:after="0" w:line="189" w:lineRule="exact"/>
              <w:rPr>
                <w:sz w:val="20"/>
                <w:szCs w:val="20"/>
                <w:color w:val="auto"/>
              </w:rPr>
            </w:pPr>
            <w:r>
              <w:rPr>
                <w:rFonts w:ascii="Arial" w:cs="Arial" w:eastAsia="Arial" w:hAnsi="Arial"/>
                <w:sz w:val="18"/>
                <w:szCs w:val="18"/>
                <w:color w:val="auto"/>
              </w:rPr>
              <w:t>Inventories</w:t>
            </w:r>
          </w:p>
        </w:tc>
        <w:tc>
          <w:tcPr>
            <w:tcW w:w="2140" w:type="dxa"/>
            <w:vAlign w:val="bottom"/>
            <w:gridSpan w:val="5"/>
          </w:tcPr>
          <w:p>
            <w:pPr>
              <w:jc w:val="right"/>
              <w:spacing w:after="0" w:line="189" w:lineRule="exact"/>
              <w:rPr>
                <w:rFonts w:ascii="Arial" w:cs="Arial" w:eastAsia="Arial" w:hAnsi="Arial"/>
                <w:sz w:val="18"/>
                <w:szCs w:val="18"/>
                <w:color w:val="0000FF"/>
              </w:rPr>
            </w:pPr>
            <w:hyperlink w:anchor="page13">
              <w:r>
                <w:rPr>
                  <w:rFonts w:ascii="Arial" w:cs="Arial" w:eastAsia="Arial" w:hAnsi="Arial"/>
                  <w:sz w:val="18"/>
                  <w:szCs w:val="18"/>
                  <w:color w:val="0000FF"/>
                </w:rPr>
                <w:t>11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Arial" w:cs="Arial" w:eastAsia="Arial" w:hAnsi="Arial"/>
                <w:sz w:val="18"/>
                <w:szCs w:val="18"/>
                <w:color w:val="auto"/>
              </w:rPr>
              <w:t>Note 6.</w:t>
            </w:r>
          </w:p>
        </w:tc>
        <w:tc>
          <w:tcPr>
            <w:tcW w:w="7100" w:type="dxa"/>
            <w:vAlign w:val="bottom"/>
            <w:tcBorders>
              <w:bottom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Equipment on Operating Leases</w:t>
            </w:r>
          </w:p>
        </w:tc>
        <w:tc>
          <w:tcPr>
            <w:tcW w:w="194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0000FF"/>
              <w:right w:val="single" w:sz="8" w:color="CCEEFF"/>
            </w:tcBorders>
            <w:gridSpan w:val="3"/>
            <w:shd w:val="clear" w:color="auto" w:fill="CCEEFF"/>
          </w:tcPr>
          <w:p>
            <w:pPr>
              <w:jc w:val="right"/>
              <w:spacing w:after="0" w:line="189" w:lineRule="exact"/>
              <w:rPr>
                <w:rFonts w:ascii="Arial" w:cs="Arial" w:eastAsia="Arial" w:hAnsi="Arial"/>
                <w:sz w:val="18"/>
                <w:szCs w:val="18"/>
                <w:color w:val="0000FF"/>
                <w:w w:val="79"/>
              </w:rPr>
            </w:pPr>
            <w:hyperlink w:anchor="page13">
              <w:r>
                <w:rPr>
                  <w:rFonts w:ascii="Arial" w:cs="Arial" w:eastAsia="Arial" w:hAnsi="Arial"/>
                  <w:sz w:val="18"/>
                  <w:szCs w:val="18"/>
                  <w:color w:val="0000FF"/>
                  <w:w w:val="79"/>
                </w:rPr>
                <w:t>11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7.</w:t>
            </w:r>
          </w:p>
        </w:tc>
        <w:tc>
          <w:tcPr>
            <w:tcW w:w="7100" w:type="dxa"/>
            <w:vAlign w:val="bottom"/>
          </w:tcPr>
          <w:p>
            <w:pPr>
              <w:ind w:left="60"/>
              <w:spacing w:after="0" w:line="189" w:lineRule="exact"/>
              <w:rPr>
                <w:sz w:val="20"/>
                <w:szCs w:val="20"/>
                <w:color w:val="auto"/>
              </w:rPr>
            </w:pPr>
            <w:r>
              <w:rPr>
                <w:rFonts w:ascii="Arial" w:cs="Arial" w:eastAsia="Arial" w:hAnsi="Arial"/>
                <w:sz w:val="18"/>
                <w:szCs w:val="18"/>
                <w:color w:val="auto"/>
              </w:rPr>
              <w:t>Equity in Net Assets of Nonconsolidated Affiliates</w:t>
            </w:r>
          </w:p>
        </w:tc>
        <w:tc>
          <w:tcPr>
            <w:tcW w:w="2140" w:type="dxa"/>
            <w:vAlign w:val="bottom"/>
            <w:gridSpan w:val="5"/>
          </w:tcPr>
          <w:p>
            <w:pPr>
              <w:jc w:val="right"/>
              <w:spacing w:after="0" w:line="189" w:lineRule="exact"/>
              <w:rPr>
                <w:rFonts w:ascii="Arial" w:cs="Arial" w:eastAsia="Arial" w:hAnsi="Arial"/>
                <w:sz w:val="18"/>
                <w:szCs w:val="18"/>
                <w:color w:val="0000FF"/>
              </w:rPr>
            </w:pPr>
            <w:hyperlink w:anchor="page13">
              <w:r>
                <w:rPr>
                  <w:rFonts w:ascii="Arial" w:cs="Arial" w:eastAsia="Arial" w:hAnsi="Arial"/>
                  <w:sz w:val="18"/>
                  <w:szCs w:val="18"/>
                  <w:color w:val="0000FF"/>
                </w:rPr>
                <w:t>12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8.</w:t>
            </w:r>
          </w:p>
        </w:tc>
        <w:tc>
          <w:tcPr>
            <w:tcW w:w="71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Variable Interest Entities</w:t>
            </w:r>
          </w:p>
        </w:tc>
        <w:tc>
          <w:tcPr>
            <w:tcW w:w="2140" w:type="dxa"/>
            <w:vAlign w:val="bottom"/>
            <w:tcBorders>
              <w:right w:val="single" w:sz="8" w:color="CCEEFF"/>
            </w:tcBorders>
            <w:gridSpan w:val="5"/>
            <w:shd w:val="clear" w:color="auto" w:fill="CCEEFF"/>
          </w:tcPr>
          <w:p>
            <w:pPr>
              <w:jc w:val="right"/>
              <w:spacing w:after="0" w:line="189" w:lineRule="exact"/>
              <w:rPr>
                <w:rFonts w:ascii="Arial" w:cs="Arial" w:eastAsia="Arial" w:hAnsi="Arial"/>
                <w:sz w:val="18"/>
                <w:szCs w:val="18"/>
                <w:color w:val="0000FF"/>
              </w:rPr>
            </w:pPr>
            <w:hyperlink w:anchor="page14">
              <w:r>
                <w:rPr>
                  <w:rFonts w:ascii="Arial" w:cs="Arial" w:eastAsia="Arial" w:hAnsi="Arial"/>
                  <w:sz w:val="18"/>
                  <w:szCs w:val="18"/>
                  <w:color w:val="0000FF"/>
                </w:rPr>
                <w:t>12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9.</w:t>
            </w:r>
          </w:p>
        </w:tc>
        <w:tc>
          <w:tcPr>
            <w:tcW w:w="7100" w:type="dxa"/>
            <w:vAlign w:val="bottom"/>
          </w:tcPr>
          <w:p>
            <w:pPr>
              <w:ind w:left="60"/>
              <w:spacing w:after="0" w:line="189" w:lineRule="exact"/>
              <w:rPr>
                <w:sz w:val="20"/>
                <w:szCs w:val="20"/>
                <w:color w:val="auto"/>
              </w:rPr>
            </w:pPr>
            <w:r>
              <w:rPr>
                <w:rFonts w:ascii="Arial" w:cs="Arial" w:eastAsia="Arial" w:hAnsi="Arial"/>
                <w:sz w:val="18"/>
                <w:szCs w:val="18"/>
                <w:color w:val="auto"/>
              </w:rPr>
              <w:t>Debt</w:t>
            </w:r>
          </w:p>
        </w:tc>
        <w:tc>
          <w:tcPr>
            <w:tcW w:w="2140" w:type="dxa"/>
            <w:vAlign w:val="bottom"/>
            <w:gridSpan w:val="5"/>
          </w:tcPr>
          <w:p>
            <w:pPr>
              <w:jc w:val="right"/>
              <w:spacing w:after="0" w:line="189" w:lineRule="exact"/>
              <w:rPr>
                <w:rFonts w:ascii="Arial" w:cs="Arial" w:eastAsia="Arial" w:hAnsi="Arial"/>
                <w:sz w:val="18"/>
                <w:szCs w:val="18"/>
                <w:color w:val="0000FF"/>
              </w:rPr>
            </w:pPr>
            <w:hyperlink w:anchor="page15">
              <w:r>
                <w:rPr>
                  <w:rFonts w:ascii="Arial" w:cs="Arial" w:eastAsia="Arial" w:hAnsi="Arial"/>
                  <w:sz w:val="18"/>
                  <w:szCs w:val="18"/>
                  <w:color w:val="0000FF"/>
                </w:rPr>
                <w:t>13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10.</w:t>
            </w:r>
          </w:p>
        </w:tc>
        <w:tc>
          <w:tcPr>
            <w:tcW w:w="71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Derivative Financial Instruments</w:t>
            </w:r>
          </w:p>
        </w:tc>
        <w:tc>
          <w:tcPr>
            <w:tcW w:w="2140" w:type="dxa"/>
            <w:vAlign w:val="bottom"/>
            <w:tcBorders>
              <w:right w:val="single" w:sz="8" w:color="CCEEFF"/>
            </w:tcBorders>
            <w:gridSpan w:val="5"/>
            <w:shd w:val="clear" w:color="auto" w:fill="CCEEFF"/>
          </w:tcPr>
          <w:p>
            <w:pPr>
              <w:jc w:val="right"/>
              <w:spacing w:after="0" w:line="189" w:lineRule="exact"/>
              <w:rPr>
                <w:rFonts w:ascii="Arial" w:cs="Arial" w:eastAsia="Arial" w:hAnsi="Arial"/>
                <w:sz w:val="18"/>
                <w:szCs w:val="18"/>
                <w:color w:val="0000FF"/>
              </w:rPr>
            </w:pPr>
            <w:hyperlink w:anchor="page16">
              <w:r>
                <w:rPr>
                  <w:rFonts w:ascii="Arial" w:cs="Arial" w:eastAsia="Arial" w:hAnsi="Arial"/>
                  <w:sz w:val="18"/>
                  <w:szCs w:val="18"/>
                  <w:color w:val="0000FF"/>
                </w:rPr>
                <w:t>14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11.</w:t>
            </w:r>
          </w:p>
        </w:tc>
        <w:tc>
          <w:tcPr>
            <w:tcW w:w="7100" w:type="dxa"/>
            <w:vAlign w:val="bottom"/>
          </w:tcPr>
          <w:p>
            <w:pPr>
              <w:ind w:left="60"/>
              <w:spacing w:after="0" w:line="189" w:lineRule="exact"/>
              <w:rPr>
                <w:sz w:val="20"/>
                <w:szCs w:val="20"/>
                <w:color w:val="auto"/>
              </w:rPr>
            </w:pPr>
            <w:r>
              <w:rPr>
                <w:rFonts w:ascii="Arial" w:cs="Arial" w:eastAsia="Arial" w:hAnsi="Arial"/>
                <w:sz w:val="18"/>
                <w:szCs w:val="18"/>
                <w:color w:val="auto"/>
              </w:rPr>
              <w:t>Accrued and Other Liabilities</w:t>
            </w:r>
          </w:p>
        </w:tc>
        <w:tc>
          <w:tcPr>
            <w:tcW w:w="2140" w:type="dxa"/>
            <w:vAlign w:val="bottom"/>
            <w:gridSpan w:val="5"/>
          </w:tcPr>
          <w:p>
            <w:pPr>
              <w:jc w:val="right"/>
              <w:spacing w:after="0" w:line="189" w:lineRule="exact"/>
              <w:rPr>
                <w:rFonts w:ascii="Arial" w:cs="Arial" w:eastAsia="Arial" w:hAnsi="Arial"/>
                <w:sz w:val="18"/>
                <w:szCs w:val="18"/>
                <w:color w:val="0000FF"/>
              </w:rPr>
            </w:pPr>
            <w:hyperlink w:anchor="page17">
              <w:r>
                <w:rPr>
                  <w:rFonts w:ascii="Arial" w:cs="Arial" w:eastAsia="Arial" w:hAnsi="Arial"/>
                  <w:sz w:val="18"/>
                  <w:szCs w:val="18"/>
                  <w:color w:val="0000FF"/>
                </w:rPr>
                <w:t>16</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12.</w:t>
            </w:r>
          </w:p>
        </w:tc>
        <w:tc>
          <w:tcPr>
            <w:tcW w:w="71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Pensions and Other Postretirement Benefits</w:t>
            </w:r>
          </w:p>
        </w:tc>
        <w:tc>
          <w:tcPr>
            <w:tcW w:w="2140" w:type="dxa"/>
            <w:vAlign w:val="bottom"/>
            <w:tcBorders>
              <w:right w:val="single" w:sz="8" w:color="CCEEFF"/>
            </w:tcBorders>
            <w:gridSpan w:val="5"/>
            <w:shd w:val="clear" w:color="auto" w:fill="CCEEFF"/>
          </w:tcPr>
          <w:p>
            <w:pPr>
              <w:jc w:val="right"/>
              <w:spacing w:after="0" w:line="189" w:lineRule="exact"/>
              <w:rPr>
                <w:rFonts w:ascii="Arial" w:cs="Arial" w:eastAsia="Arial" w:hAnsi="Arial"/>
                <w:sz w:val="18"/>
                <w:szCs w:val="18"/>
                <w:color w:val="0000FF"/>
              </w:rPr>
            </w:pPr>
            <w:hyperlink w:anchor="page18">
              <w:r>
                <w:rPr>
                  <w:rFonts w:ascii="Arial" w:cs="Arial" w:eastAsia="Arial" w:hAnsi="Arial"/>
                  <w:sz w:val="18"/>
                  <w:szCs w:val="18"/>
                  <w:color w:val="0000FF"/>
                </w:rPr>
                <w:t>16</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13.</w:t>
            </w:r>
          </w:p>
        </w:tc>
        <w:tc>
          <w:tcPr>
            <w:tcW w:w="7100" w:type="dxa"/>
            <w:vAlign w:val="bottom"/>
          </w:tcPr>
          <w:p>
            <w:pPr>
              <w:ind w:left="60"/>
              <w:spacing w:after="0" w:line="189" w:lineRule="exact"/>
              <w:rPr>
                <w:sz w:val="20"/>
                <w:szCs w:val="20"/>
                <w:color w:val="auto"/>
              </w:rPr>
            </w:pPr>
            <w:r>
              <w:rPr>
                <w:rFonts w:ascii="Arial" w:cs="Arial" w:eastAsia="Arial" w:hAnsi="Arial"/>
                <w:sz w:val="18"/>
                <w:szCs w:val="18"/>
                <w:color w:val="auto"/>
              </w:rPr>
              <w:t>Commitments and Contingencies</w:t>
            </w:r>
          </w:p>
        </w:tc>
        <w:tc>
          <w:tcPr>
            <w:tcW w:w="2140" w:type="dxa"/>
            <w:vAlign w:val="bottom"/>
            <w:gridSpan w:val="5"/>
          </w:tcPr>
          <w:p>
            <w:pPr>
              <w:jc w:val="right"/>
              <w:spacing w:after="0" w:line="189" w:lineRule="exact"/>
              <w:rPr>
                <w:rFonts w:ascii="Arial" w:cs="Arial" w:eastAsia="Arial" w:hAnsi="Arial"/>
                <w:sz w:val="18"/>
                <w:szCs w:val="18"/>
                <w:color w:val="0000FF"/>
              </w:rPr>
            </w:pPr>
            <w:hyperlink w:anchor="page19">
              <w:r>
                <w:rPr>
                  <w:rFonts w:ascii="Arial" w:cs="Arial" w:eastAsia="Arial" w:hAnsi="Arial"/>
                  <w:sz w:val="18"/>
                  <w:szCs w:val="18"/>
                  <w:color w:val="0000FF"/>
                </w:rPr>
                <w:t>17</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14.</w:t>
            </w:r>
          </w:p>
        </w:tc>
        <w:tc>
          <w:tcPr>
            <w:tcW w:w="71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Income Taxes</w:t>
            </w:r>
          </w:p>
        </w:tc>
        <w:tc>
          <w:tcPr>
            <w:tcW w:w="2140" w:type="dxa"/>
            <w:vAlign w:val="bottom"/>
            <w:tcBorders>
              <w:right w:val="single" w:sz="8" w:color="CCEEFF"/>
            </w:tcBorders>
            <w:gridSpan w:val="5"/>
            <w:shd w:val="clear" w:color="auto" w:fill="CCEEFF"/>
          </w:tcPr>
          <w:p>
            <w:pPr>
              <w:jc w:val="right"/>
              <w:spacing w:after="0" w:line="189" w:lineRule="exact"/>
              <w:rPr>
                <w:rFonts w:ascii="Arial" w:cs="Arial" w:eastAsia="Arial" w:hAnsi="Arial"/>
                <w:sz w:val="18"/>
                <w:szCs w:val="18"/>
                <w:color w:val="0000FF"/>
              </w:rPr>
            </w:pPr>
            <w:hyperlink w:anchor="page21">
              <w:r>
                <w:rPr>
                  <w:rFonts w:ascii="Arial" w:cs="Arial" w:eastAsia="Arial" w:hAnsi="Arial"/>
                  <w:sz w:val="18"/>
                  <w:szCs w:val="18"/>
                  <w:color w:val="0000FF"/>
                </w:rPr>
                <w:t>19</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15.</w:t>
            </w:r>
          </w:p>
        </w:tc>
        <w:tc>
          <w:tcPr>
            <w:tcW w:w="7100" w:type="dxa"/>
            <w:vAlign w:val="bottom"/>
          </w:tcPr>
          <w:p>
            <w:pPr>
              <w:ind w:left="60"/>
              <w:spacing w:after="0" w:line="189" w:lineRule="exact"/>
              <w:rPr>
                <w:sz w:val="20"/>
                <w:szCs w:val="20"/>
                <w:color w:val="auto"/>
              </w:rPr>
            </w:pPr>
            <w:r>
              <w:rPr>
                <w:rFonts w:ascii="Arial" w:cs="Arial" w:eastAsia="Arial" w:hAnsi="Arial"/>
                <w:sz w:val="18"/>
                <w:szCs w:val="18"/>
                <w:color w:val="auto"/>
              </w:rPr>
              <w:t>Restructuring and Other Initiatives</w:t>
            </w:r>
          </w:p>
        </w:tc>
        <w:tc>
          <w:tcPr>
            <w:tcW w:w="2140" w:type="dxa"/>
            <w:vAlign w:val="bottom"/>
            <w:gridSpan w:val="5"/>
          </w:tcPr>
          <w:p>
            <w:pPr>
              <w:jc w:val="right"/>
              <w:spacing w:after="0" w:line="189" w:lineRule="exact"/>
              <w:rPr>
                <w:rFonts w:ascii="Arial" w:cs="Arial" w:eastAsia="Arial" w:hAnsi="Arial"/>
                <w:sz w:val="18"/>
                <w:szCs w:val="18"/>
                <w:color w:val="0000FF"/>
              </w:rPr>
            </w:pPr>
            <w:hyperlink w:anchor="page21">
              <w:r>
                <w:rPr>
                  <w:rFonts w:ascii="Arial" w:cs="Arial" w:eastAsia="Arial" w:hAnsi="Arial"/>
                  <w:sz w:val="18"/>
                  <w:szCs w:val="18"/>
                  <w:color w:val="0000FF"/>
                </w:rPr>
                <w:t>19</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16.</w:t>
            </w:r>
          </w:p>
        </w:tc>
        <w:tc>
          <w:tcPr>
            <w:tcW w:w="71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Stockholders' Equity and Noncontrolling Interests</w:t>
            </w:r>
          </w:p>
        </w:tc>
        <w:tc>
          <w:tcPr>
            <w:tcW w:w="2140" w:type="dxa"/>
            <w:vAlign w:val="bottom"/>
            <w:tcBorders>
              <w:right w:val="single" w:sz="8" w:color="CCEEFF"/>
            </w:tcBorders>
            <w:gridSpan w:val="5"/>
            <w:shd w:val="clear" w:color="auto" w:fill="CCEEFF"/>
          </w:tcPr>
          <w:p>
            <w:pPr>
              <w:jc w:val="right"/>
              <w:spacing w:after="0" w:line="189" w:lineRule="exact"/>
              <w:rPr>
                <w:rFonts w:ascii="Arial" w:cs="Arial" w:eastAsia="Arial" w:hAnsi="Arial"/>
                <w:sz w:val="18"/>
                <w:szCs w:val="18"/>
                <w:color w:val="0000FF"/>
              </w:rPr>
            </w:pPr>
            <w:hyperlink w:anchor="page22">
              <w:r>
                <w:rPr>
                  <w:rFonts w:ascii="Arial" w:cs="Arial" w:eastAsia="Arial" w:hAnsi="Arial"/>
                  <w:sz w:val="18"/>
                  <w:szCs w:val="18"/>
                  <w:color w:val="0000FF"/>
                </w:rPr>
                <w:t>20</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17.</w:t>
            </w:r>
          </w:p>
        </w:tc>
        <w:tc>
          <w:tcPr>
            <w:tcW w:w="7100" w:type="dxa"/>
            <w:vAlign w:val="bottom"/>
          </w:tcPr>
          <w:p>
            <w:pPr>
              <w:ind w:left="60"/>
              <w:spacing w:after="0" w:line="189" w:lineRule="exact"/>
              <w:rPr>
                <w:sz w:val="20"/>
                <w:szCs w:val="20"/>
                <w:color w:val="auto"/>
              </w:rPr>
            </w:pPr>
            <w:r>
              <w:rPr>
                <w:rFonts w:ascii="Arial" w:cs="Arial" w:eastAsia="Arial" w:hAnsi="Arial"/>
                <w:sz w:val="18"/>
                <w:szCs w:val="18"/>
                <w:color w:val="auto"/>
              </w:rPr>
              <w:t>Earnings Per Share</w:t>
            </w:r>
          </w:p>
        </w:tc>
        <w:tc>
          <w:tcPr>
            <w:tcW w:w="2140" w:type="dxa"/>
            <w:vAlign w:val="bottom"/>
            <w:gridSpan w:val="5"/>
          </w:tcPr>
          <w:p>
            <w:pPr>
              <w:jc w:val="right"/>
              <w:spacing w:after="0" w:line="189" w:lineRule="exact"/>
              <w:rPr>
                <w:rFonts w:ascii="Arial" w:cs="Arial" w:eastAsia="Arial" w:hAnsi="Arial"/>
                <w:sz w:val="18"/>
                <w:szCs w:val="18"/>
                <w:color w:val="0000FF"/>
              </w:rPr>
            </w:pPr>
            <w:hyperlink w:anchor="page23">
              <w:r>
                <w:rPr>
                  <w:rFonts w:ascii="Arial" w:cs="Arial" w:eastAsia="Arial" w:hAnsi="Arial"/>
                  <w:sz w:val="18"/>
                  <w:szCs w:val="18"/>
                  <w:color w:val="0000FF"/>
                </w:rPr>
                <w:t>21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18.</w:t>
            </w:r>
          </w:p>
        </w:tc>
        <w:tc>
          <w:tcPr>
            <w:tcW w:w="71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Segment Reporting</w:t>
            </w:r>
          </w:p>
        </w:tc>
        <w:tc>
          <w:tcPr>
            <w:tcW w:w="2140" w:type="dxa"/>
            <w:vAlign w:val="bottom"/>
            <w:tcBorders>
              <w:right w:val="single" w:sz="8" w:color="CCEEFF"/>
            </w:tcBorders>
            <w:gridSpan w:val="5"/>
            <w:shd w:val="clear" w:color="auto" w:fill="CCEEFF"/>
          </w:tcPr>
          <w:p>
            <w:pPr>
              <w:jc w:val="right"/>
              <w:spacing w:after="0" w:line="189" w:lineRule="exact"/>
              <w:rPr>
                <w:rFonts w:ascii="Arial" w:cs="Arial" w:eastAsia="Arial" w:hAnsi="Arial"/>
                <w:sz w:val="18"/>
                <w:szCs w:val="18"/>
                <w:color w:val="0000FF"/>
              </w:rPr>
            </w:pPr>
            <w:hyperlink w:anchor="page23">
              <w:r>
                <w:rPr>
                  <w:rFonts w:ascii="Arial" w:cs="Arial" w:eastAsia="Arial" w:hAnsi="Arial"/>
                  <w:sz w:val="18"/>
                  <w:szCs w:val="18"/>
                  <w:color w:val="0000FF"/>
                </w:rPr>
                <w:t>21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Item 2.</w:t>
            </w:r>
          </w:p>
        </w:tc>
        <w:tc>
          <w:tcPr>
            <w:tcW w:w="822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140" w:type="dxa"/>
            <w:vAlign w:val="bottom"/>
            <w:gridSpan w:val="5"/>
          </w:tcPr>
          <w:p>
            <w:pPr>
              <w:jc w:val="right"/>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24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822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2140" w:type="dxa"/>
            <w:vAlign w:val="bottom"/>
            <w:tcBorders>
              <w:right w:val="single" w:sz="8" w:color="CCEEFF"/>
            </w:tcBorders>
            <w:gridSpan w:val="5"/>
            <w:shd w:val="clear" w:color="auto" w:fill="CCEEFF"/>
          </w:tcPr>
          <w:p>
            <w:pPr>
              <w:jc w:val="right"/>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40</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Item 4.</w:t>
            </w:r>
          </w:p>
        </w:tc>
        <w:tc>
          <w:tcPr>
            <w:tcW w:w="822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Controls and Procedures</w:t>
            </w:r>
          </w:p>
        </w:tc>
        <w:tc>
          <w:tcPr>
            <w:tcW w:w="2140" w:type="dxa"/>
            <w:vAlign w:val="bottom"/>
            <w:gridSpan w:val="5"/>
          </w:tcPr>
          <w:p>
            <w:pPr>
              <w:jc w:val="right"/>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40</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100" w:type="dxa"/>
            <w:vAlign w:val="bottom"/>
            <w:shd w:val="clear" w:color="auto" w:fill="CCEEFF"/>
          </w:tcPr>
          <w:p>
            <w:pPr>
              <w:jc w:val="center"/>
              <w:ind w:left="70"/>
              <w:spacing w:after="0"/>
              <w:rPr>
                <w:sz w:val="20"/>
                <w:szCs w:val="20"/>
                <w:color w:val="auto"/>
              </w:rPr>
            </w:pPr>
            <w:r>
              <w:rPr>
                <w:rFonts w:ascii="Arial" w:cs="Arial" w:eastAsia="Arial" w:hAnsi="Arial"/>
                <w:sz w:val="18"/>
                <w:szCs w:val="18"/>
                <w:b w:val="1"/>
                <w:bCs w:val="1"/>
                <w:color w:val="auto"/>
              </w:rPr>
              <w:t>PART II</w:t>
            </w:r>
          </w:p>
        </w:tc>
        <w:tc>
          <w:tcPr>
            <w:tcW w:w="1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Item 1.</w:t>
            </w:r>
          </w:p>
        </w:tc>
        <w:tc>
          <w:tcPr>
            <w:tcW w:w="822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Legal Proceedings</w:t>
            </w:r>
          </w:p>
        </w:tc>
        <w:tc>
          <w:tcPr>
            <w:tcW w:w="2140" w:type="dxa"/>
            <w:vAlign w:val="bottom"/>
            <w:gridSpan w:val="5"/>
          </w:tcPr>
          <w:p>
            <w:pPr>
              <w:jc w:val="right"/>
              <w:spacing w:after="0" w:line="189" w:lineRule="exact"/>
              <w:rPr>
                <w:rFonts w:ascii="Arial" w:cs="Arial" w:eastAsia="Arial" w:hAnsi="Arial"/>
                <w:sz w:val="18"/>
                <w:szCs w:val="18"/>
                <w:color w:val="0000FF"/>
              </w:rPr>
            </w:pPr>
            <w:hyperlink w:anchor="page43">
              <w:r>
                <w:rPr>
                  <w:rFonts w:ascii="Arial" w:cs="Arial" w:eastAsia="Arial" w:hAnsi="Arial"/>
                  <w:sz w:val="18"/>
                  <w:szCs w:val="18"/>
                  <w:color w:val="0000FF"/>
                </w:rPr>
                <w:t>41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1A.</w:t>
            </w:r>
          </w:p>
        </w:tc>
        <w:tc>
          <w:tcPr>
            <w:tcW w:w="11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5"/>
              </w:rPr>
              <w:t>Risk Factors</w:t>
            </w:r>
          </w:p>
        </w:tc>
        <w:tc>
          <w:tcPr>
            <w:tcW w:w="7100" w:type="dxa"/>
            <w:vAlign w:val="bottom"/>
            <w:shd w:val="clear" w:color="auto" w:fill="CCEEFF"/>
          </w:tcPr>
          <w:p>
            <w:pPr>
              <w:spacing w:after="0"/>
              <w:rPr>
                <w:sz w:val="16"/>
                <w:szCs w:val="16"/>
                <w:color w:val="auto"/>
              </w:rPr>
            </w:pPr>
          </w:p>
        </w:tc>
        <w:tc>
          <w:tcPr>
            <w:tcW w:w="2140" w:type="dxa"/>
            <w:vAlign w:val="bottom"/>
            <w:tcBorders>
              <w:right w:val="single" w:sz="8" w:color="CCEEFF"/>
            </w:tcBorders>
            <w:gridSpan w:val="5"/>
            <w:shd w:val="clear" w:color="auto" w:fill="CCEEFF"/>
          </w:tcPr>
          <w:p>
            <w:pPr>
              <w:jc w:val="right"/>
              <w:spacing w:after="0" w:line="189" w:lineRule="exact"/>
              <w:rPr>
                <w:rFonts w:ascii="Arial" w:cs="Arial" w:eastAsia="Arial" w:hAnsi="Arial"/>
                <w:sz w:val="18"/>
                <w:szCs w:val="18"/>
                <w:color w:val="0000FF"/>
              </w:rPr>
            </w:pPr>
            <w:hyperlink w:anchor="page43">
              <w:r>
                <w:rPr>
                  <w:rFonts w:ascii="Arial" w:cs="Arial" w:eastAsia="Arial" w:hAnsi="Arial"/>
                  <w:sz w:val="18"/>
                  <w:szCs w:val="18"/>
                  <w:color w:val="0000FF"/>
                </w:rPr>
                <w:t>41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Item 2.</w:t>
            </w:r>
          </w:p>
        </w:tc>
        <w:tc>
          <w:tcPr>
            <w:tcW w:w="822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Unregistered Sales of Equity Securities and Use of Proceeds</w:t>
            </w:r>
          </w:p>
        </w:tc>
        <w:tc>
          <w:tcPr>
            <w:tcW w:w="2140" w:type="dxa"/>
            <w:vAlign w:val="bottom"/>
            <w:gridSpan w:val="5"/>
          </w:tcPr>
          <w:p>
            <w:pPr>
              <w:jc w:val="right"/>
              <w:spacing w:after="0" w:line="189" w:lineRule="exact"/>
              <w:rPr>
                <w:rFonts w:ascii="Arial" w:cs="Arial" w:eastAsia="Arial" w:hAnsi="Arial"/>
                <w:sz w:val="18"/>
                <w:szCs w:val="18"/>
                <w:color w:val="0000FF"/>
              </w:rPr>
            </w:pPr>
            <w:hyperlink w:anchor="page43">
              <w:r>
                <w:rPr>
                  <w:rFonts w:ascii="Arial" w:cs="Arial" w:eastAsia="Arial" w:hAnsi="Arial"/>
                  <w:sz w:val="18"/>
                  <w:szCs w:val="18"/>
                  <w:color w:val="0000FF"/>
                </w:rPr>
                <w:t>42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6.</w:t>
            </w:r>
          </w:p>
        </w:tc>
        <w:tc>
          <w:tcPr>
            <w:tcW w:w="11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Exhibits</w:t>
            </w:r>
          </w:p>
        </w:tc>
        <w:tc>
          <w:tcPr>
            <w:tcW w:w="7100" w:type="dxa"/>
            <w:vAlign w:val="bottom"/>
            <w:shd w:val="clear" w:color="auto" w:fill="CCEEFF"/>
          </w:tcPr>
          <w:p>
            <w:pPr>
              <w:spacing w:after="0"/>
              <w:rPr>
                <w:sz w:val="16"/>
                <w:szCs w:val="16"/>
                <w:color w:val="auto"/>
              </w:rPr>
            </w:pPr>
          </w:p>
        </w:tc>
        <w:tc>
          <w:tcPr>
            <w:tcW w:w="2140" w:type="dxa"/>
            <w:vAlign w:val="bottom"/>
            <w:tcBorders>
              <w:right w:val="single" w:sz="8" w:color="CCEEFF"/>
            </w:tcBorders>
            <w:gridSpan w:val="5"/>
            <w:shd w:val="clear" w:color="auto" w:fill="CCEEFF"/>
          </w:tcPr>
          <w:p>
            <w:pPr>
              <w:jc w:val="right"/>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43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Signature</w:t>
            </w:r>
          </w:p>
        </w:tc>
        <w:tc>
          <w:tcPr>
            <w:tcW w:w="11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2140" w:type="dxa"/>
            <w:vAlign w:val="bottom"/>
            <w:gridSpan w:val="5"/>
          </w:tcPr>
          <w:p>
            <w:pPr>
              <w:jc w:val="right"/>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9"/>
        </w:trPr>
        <w:tc>
          <w:tcPr>
            <w:tcW w:w="8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108"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March 31, 2021</w:t>
            </w:r>
          </w:p>
        </w:tc>
        <w:tc>
          <w:tcPr>
            <w:tcW w:w="2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March 31, 2020</w:t>
            </w:r>
          </w:p>
        </w:tc>
      </w:tr>
      <w:tr>
        <w:trPr>
          <w:trHeight w:val="200"/>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Net sales and revenue</w:t>
            </w:r>
          </w:p>
        </w:tc>
        <w:tc>
          <w:tcPr>
            <w:tcW w:w="2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19"/>
        </w:trPr>
        <w:tc>
          <w:tcPr>
            <w:tcW w:w="7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Automotive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29,150</w:t>
            </w:r>
          </w:p>
        </w:tc>
      </w:tr>
      <w:tr>
        <w:trPr>
          <w:trHeight w:val="213"/>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GM Financial</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3,559</w:t>
            </w:r>
          </w:p>
        </w:tc>
      </w:tr>
      <w:tr>
        <w:trPr>
          <w:trHeight w:val="213"/>
        </w:trPr>
        <w:tc>
          <w:tcPr>
            <w:tcW w:w="7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net sales and revenue (Note 2)</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32,474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32,709</w:t>
            </w:r>
          </w:p>
        </w:tc>
      </w:tr>
      <w:tr>
        <w:trPr>
          <w:trHeight w:val="193"/>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9"/>
        </w:trPr>
        <w:tc>
          <w:tcPr>
            <w:tcW w:w="7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Automotive and other cost of sales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26,726</w:t>
            </w:r>
          </w:p>
        </w:tc>
      </w:tr>
      <w:tr>
        <w:trPr>
          <w:trHeight w:val="213"/>
        </w:trPr>
        <w:tc>
          <w:tcPr>
            <w:tcW w:w="7720" w:type="dxa"/>
            <w:vAlign w:val="bottom"/>
          </w:tcPr>
          <w:p>
            <w:pPr>
              <w:ind w:left="140"/>
              <w:spacing w:after="0"/>
              <w:rPr>
                <w:sz w:val="20"/>
                <w:szCs w:val="20"/>
                <w:color w:val="auto"/>
              </w:rPr>
            </w:pPr>
            <w:r>
              <w:rPr>
                <w:rFonts w:ascii="Arial" w:cs="Arial" w:eastAsia="Arial" w:hAnsi="Arial"/>
                <w:sz w:val="16"/>
                <w:szCs w:val="16"/>
                <w:color w:val="auto"/>
              </w:rPr>
              <w:t>GM Financial interest, operating and other expenses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3,356</w:t>
            </w:r>
          </w:p>
        </w:tc>
      </w:tr>
      <w:tr>
        <w:trPr>
          <w:trHeight w:val="219"/>
        </w:trPr>
        <w:tc>
          <w:tcPr>
            <w:tcW w:w="7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Automotive and other selling, general and administrative expense</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1,970</w:t>
            </w:r>
          </w:p>
        </w:tc>
      </w:tr>
      <w:tr>
        <w:trPr>
          <w:trHeight w:val="207"/>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costs and expenses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29,197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32,052</w:t>
            </w:r>
          </w:p>
        </w:tc>
      </w:tr>
      <w:tr>
        <w:trPr>
          <w:trHeight w:val="212"/>
        </w:trPr>
        <w:tc>
          <w:tcPr>
            <w:tcW w:w="7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w:t>
            </w: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Automotive interest expense</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and other non-operating income, net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r>
      <w:tr>
        <w:trPr>
          <w:trHeight w:val="21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income (loss) (Note 7)</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r>
      <w:tr>
        <w:trPr>
          <w:trHeight w:val="212"/>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r>
      <w:tr>
        <w:trPr>
          <w:trHeight w:val="21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(Note 14)</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w:t>
            </w:r>
          </w:p>
        </w:tc>
      </w:tr>
      <w:tr>
        <w:trPr>
          <w:trHeight w:val="213"/>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r>
      <w:tr>
        <w:trPr>
          <w:trHeight w:val="21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attributable to noncontrolling interests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3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attributable to stockholders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1"/>
        </w:trPr>
        <w:tc>
          <w:tcPr>
            <w:tcW w:w="7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attributable to common stockholders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54"/>
        </w:trPr>
        <w:tc>
          <w:tcPr>
            <w:tcW w:w="7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16"/>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 (Note 17)</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7720" w:type="dxa"/>
            <w:vAlign w:val="bottom"/>
          </w:tcPr>
          <w:p>
            <w:pPr>
              <w:ind w:left="140"/>
              <w:spacing w:after="0"/>
              <w:rPr>
                <w:sz w:val="20"/>
                <w:szCs w:val="20"/>
                <w:color w:val="auto"/>
              </w:rPr>
            </w:pPr>
            <w:r>
              <w:rPr>
                <w:rFonts w:ascii="Arial" w:cs="Arial" w:eastAsia="Arial" w:hAnsi="Arial"/>
                <w:sz w:val="16"/>
                <w:szCs w:val="16"/>
                <w:color w:val="auto"/>
              </w:rPr>
              <w:t>Basic earnings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0.17</w:t>
            </w:r>
          </w:p>
        </w:tc>
      </w:tr>
      <w:tr>
        <w:trPr>
          <w:trHeight w:val="219"/>
        </w:trPr>
        <w:tc>
          <w:tcPr>
            <w:tcW w:w="7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Weighted-average common shares outstanding – basic</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w:t>
            </w:r>
          </w:p>
        </w:tc>
      </w:tr>
      <w:tr>
        <w:trPr>
          <w:trHeight w:val="54"/>
        </w:trPr>
        <w:tc>
          <w:tcPr>
            <w:tcW w:w="7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16"/>
        </w:trPr>
        <w:tc>
          <w:tcPr>
            <w:tcW w:w="7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 earnings per common share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r>
      <w:tr>
        <w:trPr>
          <w:trHeight w:val="250"/>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Weighted-average common shares outstanding – diluted</w:t>
            </w:r>
          </w:p>
        </w:tc>
        <w:tc>
          <w:tcPr>
            <w:tcW w:w="26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1,464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1,440</w:t>
            </w:r>
          </w:p>
        </w:tc>
      </w:tr>
      <w:tr>
        <w:trPr>
          <w:trHeight w:val="210"/>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Dividends declared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0.38</w:t>
            </w:r>
          </w:p>
        </w:tc>
      </w:tr>
    </w:tbl>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08"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March 31, 2021</w:t>
            </w:r>
          </w:p>
        </w:tc>
        <w:tc>
          <w:tcPr>
            <w:tcW w:w="2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321"/>
              <w:spacing w:after="0"/>
              <w:rPr>
                <w:sz w:val="20"/>
                <w:szCs w:val="20"/>
                <w:color w:val="auto"/>
              </w:rPr>
            </w:pPr>
            <w:r>
              <w:rPr>
                <w:rFonts w:ascii="Arial" w:cs="Arial" w:eastAsia="Arial" w:hAnsi="Arial"/>
                <w:sz w:val="13"/>
                <w:szCs w:val="13"/>
                <w:b w:val="1"/>
                <w:bCs w:val="1"/>
                <w:color w:val="auto"/>
              </w:rPr>
              <w:t>March 31, 2020</w:t>
            </w:r>
          </w:p>
        </w:tc>
      </w:tr>
      <w:tr>
        <w:trPr>
          <w:trHeight w:val="215"/>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 net of tax (Note 16)</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 and other</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w:t>
            </w:r>
          </w:p>
        </w:tc>
      </w:tr>
      <w:tr>
        <w:trPr>
          <w:trHeight w:val="213"/>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Defined benefit plans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r>
      <w:tr>
        <w:trPr>
          <w:trHeight w:val="213"/>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income (loss), net of tax</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w:t>
            </w: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3,169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(370)</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 attributable to 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 attributable to stockholders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r>
      <w:tr>
        <w:trPr>
          <w:trHeight w:val="21"/>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480" w:type="dxa"/>
            <w:vAlign w:val="bottom"/>
          </w:tcPr>
          <w:p>
            <w:pPr>
              <w:jc w:val="right"/>
              <w:ind w:right="159"/>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197"/>
        </w:trPr>
        <w:tc>
          <w:tcPr>
            <w:tcW w:w="7840" w:type="dxa"/>
            <w:vAlign w:val="bottom"/>
          </w:tcPr>
          <w:p>
            <w:pPr>
              <w:ind w:left="36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19,992</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Marketable debt securities (Note 3)</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7,771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9,046</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and notes receivable,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8,035</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GM Financial receivables, net (Note 4; Note 8 at VIEs)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24,583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26,209</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(Note 5)</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10,235</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 (Note 3; Note 8 at VIEs)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7,407</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80,924</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 Financial receivables, net (Note 4; Note 8 at VIEs)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31,783</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Equity in net assets of nonconsolidated affiliates (Note 7)</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8,979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8,406</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37,632</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Goodwill and intangible assets,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5,185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5,230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Equipment on operating leases, net (Note 6; Note 8 at VIEs)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39,819</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23,090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24,136</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 (Note 3; Note 8 at VIEs)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7,264</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non-current assets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156,320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154,270</w:t>
            </w:r>
          </w:p>
        </w:tc>
        <w:tc>
          <w:tcPr>
            <w:tcW w:w="0" w:type="dxa"/>
            <w:vAlign w:val="bottom"/>
          </w:tcPr>
          <w:p>
            <w:pPr>
              <w:spacing w:after="0"/>
              <w:rPr>
                <w:sz w:val="1"/>
                <w:szCs w:val="1"/>
                <w:color w:val="auto"/>
              </w:rPr>
            </w:pPr>
          </w:p>
        </w:tc>
      </w:tr>
      <w:tr>
        <w:trPr>
          <w:trHeight w:val="237"/>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238,411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235,194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880"/>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(principally trade)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19,928</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Short-term debt and current portion of long-term debt (Note 9)</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Automotive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0" w:type="dxa"/>
            <w:vAlign w:val="bottom"/>
          </w:tcPr>
          <w:p>
            <w:pPr>
              <w:spacing w:after="0"/>
              <w:rPr>
                <w:sz w:val="1"/>
                <w:szCs w:val="1"/>
                <w:color w:val="auto"/>
              </w:rPr>
            </w:pPr>
          </w:p>
        </w:tc>
      </w:tr>
      <w:tr>
        <w:trPr>
          <w:trHeight w:val="213"/>
        </w:trPr>
        <w:tc>
          <w:tcPr>
            <w:tcW w:w="7840" w:type="dxa"/>
            <w:vAlign w:val="bottom"/>
          </w:tcPr>
          <w:p>
            <w:pPr>
              <w:ind w:left="260"/>
              <w:spacing w:after="0"/>
              <w:rPr>
                <w:sz w:val="20"/>
                <w:szCs w:val="20"/>
                <w:color w:val="auto"/>
              </w:rPr>
            </w:pPr>
            <w:r>
              <w:rPr>
                <w:rFonts w:ascii="Arial" w:cs="Arial" w:eastAsia="Arial" w:hAnsi="Arial"/>
                <w:sz w:val="16"/>
                <w:szCs w:val="16"/>
                <w:color w:val="auto"/>
              </w:rPr>
              <w:t>GM Financial (Note 8 at VIEs)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33,922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35,637</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 (Note 11)</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20,809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23,069</w:t>
            </w:r>
          </w:p>
        </w:tc>
        <w:tc>
          <w:tcPr>
            <w:tcW w:w="0" w:type="dxa"/>
            <w:vAlign w:val="bottom"/>
          </w:tcPr>
          <w:p>
            <w:pPr>
              <w:spacing w:after="0"/>
              <w:rPr>
                <w:sz w:val="1"/>
                <w:szCs w:val="1"/>
                <w:color w:val="auto"/>
              </w:rPr>
            </w:pPr>
          </w:p>
        </w:tc>
      </w:tr>
      <w:tr>
        <w:trPr>
          <w:trHeight w:val="207"/>
        </w:trPr>
        <w:tc>
          <w:tcPr>
            <w:tcW w:w="7840" w:type="dxa"/>
            <w:vAlign w:val="bottom"/>
          </w:tcPr>
          <w:p>
            <w:pPr>
              <w:ind w:left="14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76,323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79,910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Long-term debt (Note 9)</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Automotive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16,193</w:t>
            </w:r>
          </w:p>
        </w:tc>
        <w:tc>
          <w:tcPr>
            <w:tcW w:w="0" w:type="dxa"/>
            <w:vAlign w:val="bottom"/>
          </w:tcPr>
          <w:p>
            <w:pPr>
              <w:spacing w:after="0"/>
              <w:rPr>
                <w:sz w:val="1"/>
                <w:szCs w:val="1"/>
                <w:color w:val="auto"/>
              </w:rPr>
            </w:pPr>
          </w:p>
        </w:tc>
      </w:tr>
      <w:tr>
        <w:trPr>
          <w:trHeight w:val="213"/>
        </w:trPr>
        <w:tc>
          <w:tcPr>
            <w:tcW w:w="7840" w:type="dxa"/>
            <w:vAlign w:val="bottom"/>
          </w:tcPr>
          <w:p>
            <w:pPr>
              <w:ind w:left="260"/>
              <w:spacing w:after="0"/>
              <w:rPr>
                <w:sz w:val="20"/>
                <w:szCs w:val="20"/>
                <w:color w:val="auto"/>
              </w:rPr>
            </w:pPr>
            <w:r>
              <w:rPr>
                <w:rFonts w:ascii="Arial" w:cs="Arial" w:eastAsia="Arial" w:hAnsi="Arial"/>
                <w:sz w:val="16"/>
                <w:szCs w:val="16"/>
                <w:color w:val="auto"/>
              </w:rPr>
              <w:t>GM Financial (Note 8 at VIEs)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59,773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56,788</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Postretirement benefits other than pensions (Note 12)</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6,277</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Pensions (Note 12)</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12,064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12,902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 (Note 11)</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13,166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13,447</w:t>
            </w:r>
          </w:p>
        </w:tc>
        <w:tc>
          <w:tcPr>
            <w:tcW w:w="0" w:type="dxa"/>
            <w:vAlign w:val="bottom"/>
          </w:tcPr>
          <w:p>
            <w:pPr>
              <w:spacing w:after="0"/>
              <w:rPr>
                <w:sz w:val="1"/>
                <w:szCs w:val="1"/>
                <w:color w:val="auto"/>
              </w:rPr>
            </w:pPr>
          </w:p>
        </w:tc>
      </w:tr>
      <w:tr>
        <w:trPr>
          <w:trHeight w:val="206"/>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non-current liabilities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107,645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105,607</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183,968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185,517</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Commitments and contingencies (Note 13)</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Equity (Note 16)</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Common stock, $0.01 par value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26,542</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34,988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31,962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(13,326)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(13,488)</w:t>
            </w:r>
          </w:p>
        </w:tc>
        <w:tc>
          <w:tcPr>
            <w:tcW w:w="0" w:type="dxa"/>
            <w:vAlign w:val="bottom"/>
          </w:tcPr>
          <w:p>
            <w:pPr>
              <w:spacing w:after="0"/>
              <w:rPr>
                <w:sz w:val="1"/>
                <w:szCs w:val="1"/>
                <w:color w:val="auto"/>
              </w:rPr>
            </w:pPr>
          </w:p>
        </w:tc>
      </w:tr>
      <w:tr>
        <w:trPr>
          <w:trHeight w:val="207"/>
        </w:trPr>
        <w:tc>
          <w:tcPr>
            <w:tcW w:w="7840" w:type="dxa"/>
            <w:vAlign w:val="bottom"/>
          </w:tcPr>
          <w:p>
            <w:pPr>
              <w:ind w:left="140"/>
              <w:spacing w:after="0"/>
              <w:rPr>
                <w:sz w:val="20"/>
                <w:szCs w:val="20"/>
                <w:color w:val="auto"/>
              </w:rPr>
            </w:pPr>
            <w:r>
              <w:rPr>
                <w:rFonts w:ascii="Arial" w:cs="Arial" w:eastAsia="Arial" w:hAnsi="Arial"/>
                <w:sz w:val="16"/>
                <w:szCs w:val="16"/>
                <w:color w:val="auto"/>
              </w:rPr>
              <w:t>Total stockholders’ equity</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48,343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45,030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4,647</w:t>
            </w:r>
          </w:p>
        </w:tc>
        <w:tc>
          <w:tcPr>
            <w:tcW w:w="0" w:type="dxa"/>
            <w:vAlign w:val="bottom"/>
          </w:tcPr>
          <w:p>
            <w:pPr>
              <w:spacing w:after="0"/>
              <w:rPr>
                <w:sz w:val="1"/>
                <w:szCs w:val="1"/>
                <w:color w:val="auto"/>
              </w:rPr>
            </w:pPr>
          </w:p>
        </w:tc>
      </w:tr>
      <w:tr>
        <w:trPr>
          <w:trHeight w:val="20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Equity</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54,443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49,677</w:t>
            </w:r>
          </w:p>
        </w:tc>
        <w:tc>
          <w:tcPr>
            <w:tcW w:w="0" w:type="dxa"/>
            <w:vAlign w:val="bottom"/>
          </w:tcPr>
          <w:p>
            <w:pPr>
              <w:spacing w:after="0"/>
              <w:rPr>
                <w:sz w:val="1"/>
                <w:szCs w:val="1"/>
                <w:color w:val="auto"/>
              </w:rPr>
            </w:pPr>
          </w:p>
        </w:tc>
      </w:tr>
      <w:tr>
        <w:trPr>
          <w:trHeight w:val="23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238,411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235,194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Arial" w:cs="Arial" w:eastAsia="Arial" w:hAnsi="Arial"/>
                <w:sz w:val="14"/>
                <w:szCs w:val="14"/>
                <w:b w:val="1"/>
                <w:bCs w:val="1"/>
                <w:color w:val="auto"/>
              </w:rPr>
              <w:t>March 31, 2020</w:t>
            </w:r>
          </w:p>
        </w:tc>
      </w:tr>
      <w:tr>
        <w:trPr>
          <w:trHeight w:val="196"/>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Depreciation and impairment of Equipment on operating leases,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1,806</w:t>
            </w: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amortization and impairment charges on Property,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w:t>
            </w: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Foreign currency remeasurement and transaction (gains)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Undistributed earnings of nonconsolidated affiliates,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Pension contributions and OPEB payments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and OPEB income,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Provision for deferred taxes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other operating assets and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(1,761)</w:t>
            </w: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1,266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1,561</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Expenditures for property</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(1,224)</w:t>
            </w: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Available-for-sale marketable securities, acquisitions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(4,091)</w:t>
            </w: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Available-for-sale marketable securities, liquidations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1,113</w:t>
            </w: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finance receivables,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(6,374)</w:t>
            </w: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Principal collections and recoveries on finance receivables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4,739</w:t>
            </w: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leased vehicles,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(3,733)</w:t>
            </w: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Proceeds from termination of leased vehicles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4,919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3,088</w:t>
            </w: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(2,984)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(6,570)</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Net increase in short-term debt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debt (original maturities greater than three months)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35,863</w:t>
            </w: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Payments on debt (original maturities greater than three months)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(12,702)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(11,339)</w:t>
            </w: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subsidiary preferred stock (Note 16)</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Dividends paid</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(590)</w:t>
            </w: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w:t>
            </w: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financing activities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3,617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23,680</w:t>
            </w:r>
          </w:p>
        </w:tc>
      </w:tr>
      <w:tr>
        <w:trPr>
          <w:trHeight w:val="21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w:t>
            </w:r>
          </w:p>
        </w:tc>
      </w:tr>
      <w:tr>
        <w:trPr>
          <w:trHeight w:val="206"/>
        </w:trPr>
        <w:tc>
          <w:tcPr>
            <w:tcW w:w="7840" w:type="dxa"/>
            <w:vAlign w:val="bottom"/>
          </w:tcPr>
          <w:p>
            <w:pPr>
              <w:ind w:left="140"/>
              <w:spacing w:after="0"/>
              <w:rPr>
                <w:sz w:val="20"/>
                <w:szCs w:val="20"/>
                <w:color w:val="auto"/>
              </w:rPr>
            </w:pPr>
            <w:r>
              <w:rPr>
                <w:rFonts w:ascii="Arial" w:cs="Arial" w:eastAsia="Arial" w:hAnsi="Arial"/>
                <w:sz w:val="16"/>
                <w:szCs w:val="16"/>
                <w:color w:val="auto"/>
              </w:rPr>
              <w:t>Net increase in cash, cash equivalents and restricted cash</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1,759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18,223</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23,117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22,943</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24,876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41,166</w:t>
            </w:r>
          </w:p>
        </w:tc>
      </w:tr>
      <w:tr>
        <w:trPr>
          <w:trHeight w:val="46"/>
        </w:trPr>
        <w:tc>
          <w:tcPr>
            <w:tcW w:w="78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13"/>
        </w:trPr>
        <w:tc>
          <w:tcPr>
            <w:tcW w:w="784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Significant Non-cash Investing and Financing Activity</w:t>
            </w:r>
          </w:p>
        </w:tc>
        <w:tc>
          <w:tcPr>
            <w:tcW w:w="2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property additions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(Unaudited)</w:t>
      </w:r>
    </w:p>
    <w:p>
      <w:pPr>
        <w:spacing w:after="0" w:line="135"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Common Stockholders’</w:t>
            </w: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4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24"/>
                <w:szCs w:val="2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24"/>
                <w:szCs w:val="2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Noncontrolling</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94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88"/>
        </w:trPr>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Comprehensive Loss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26,074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26,860</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(11,156)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4,165</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45,957</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Adoption of accounting standards</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subsidiary preferred stock</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Purchase of common stock</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Cash dividends paid on common stock</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to noncontrolling interests</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7"/>
        </w:trPr>
        <w:tc>
          <w:tcPr>
            <w:tcW w:w="4260" w:type="dxa"/>
            <w:vAlign w:val="bottom"/>
            <w:tcBorders>
              <w:top w:val="single" w:sz="8" w:color="CCEEFF"/>
              <w:bottom w:val="single" w:sz="8" w:color="CCEEFF"/>
            </w:tcBorders>
            <w:shd w:val="clear" w:color="auto" w:fill="CCEEFF"/>
          </w:tcPr>
          <w:p>
            <w:pPr>
              <w:ind w:left="20"/>
              <w:spacing w:after="0" w:line="172" w:lineRule="exact"/>
              <w:rPr>
                <w:sz w:val="20"/>
                <w:szCs w:val="20"/>
                <w:color w:val="auto"/>
              </w:rPr>
            </w:pPr>
            <w:r>
              <w:rPr>
                <w:rFonts w:ascii="Arial" w:cs="Arial" w:eastAsia="Arial" w:hAnsi="Arial"/>
                <w:sz w:val="16"/>
                <w:szCs w:val="16"/>
                <w:b w:val="1"/>
                <w:bCs w:val="1"/>
                <w:color w:val="auto"/>
              </w:rPr>
              <w:t>Balance at March 31,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26,014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25,885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(11,800)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44,317</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1, 2021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26,542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31,962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49,677</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3,022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3,014</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Issuance of subsidiary preferred stock (Note 16)</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1,537</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Dividends to noncontrolling interests</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3"/>
        </w:trPr>
        <w:tc>
          <w:tcPr>
            <w:tcW w:w="42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at March 31,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26,667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34,988</w:t>
            </w:r>
          </w:p>
        </w:tc>
        <w:tc>
          <w:tcPr>
            <w:tcW w:w="100" w:type="dxa"/>
            <w:vAlign w:val="bottom"/>
          </w:tcPr>
          <w:p>
            <w:pPr>
              <w:spacing w:after="0"/>
              <w:rPr>
                <w:sz w:val="15"/>
                <w:szCs w:val="15"/>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(13,326)</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6,100</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54,443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108" w:lineRule="exact"/>
        <w:rPr>
          <w:sz w:val="20"/>
          <w:szCs w:val="20"/>
          <w:color w:val="auto"/>
        </w:rPr>
      </w:pPr>
    </w:p>
    <w:p>
      <w:pPr>
        <w:jc w:val="both"/>
        <w:ind w:firstLine="162"/>
        <w:spacing w:after="0" w:line="258" w:lineRule="auto"/>
        <w:rPr>
          <w:sz w:val="20"/>
          <w:szCs w:val="20"/>
          <w:color w:val="auto"/>
        </w:rPr>
      </w:pPr>
      <w:r>
        <w:rPr>
          <w:rFonts w:ascii="Arial" w:cs="Arial" w:eastAsia="Arial" w:hAnsi="Arial"/>
          <w:sz w:val="16"/>
          <w:szCs w:val="16"/>
          <w:color w:val="auto"/>
        </w:rPr>
        <w:t>General Motors Company (sometimes referred to in this Quarterly Report on Form 10-Q as we, our, us, ourselves, the Company, General Motors or GM) designs, builds and sells trucks, crossovers, cars and automobile parts worldwide and is investing in and growing an autonomous vehicle business. We also provide automotive financing services through General Motors Financial Company, Inc. (GM Financial). We analyze the results of our operations through the following segments: GM North America (GMNA), GM International (GMI), Cruise, and GM Financial. Cruise is our global segment responsible for the development and commercialization of autonomous vehicle technology. Nonsegment operations are classified as Corporate. Corporate includes certain centrally recorded income and costs such as interest, income taxes, corporate expenditures and certain nonsegment-specific revenues and expenses.</w:t>
      </w:r>
    </w:p>
    <w:p>
      <w:pPr>
        <w:spacing w:after="0" w:line="204"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The condensed consolidated financial statements have been prepared in conformity with U.S. GAAP pursuant to the rules and regulations of the Securities and Exchange Commission (SEC) for interim financial information. Accordingly, they do not include all of the information and notes required by U.S. GAAP for complete financial statements. The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2020 Form 10-K. Except for per share amounts or as otherwise specified, amounts presented within tables are stated in millions.</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We consolidate entities that we control due to ownership of a majority voting interest and we consolidate variable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(VIEs) when we are the primary beneficiary. All intercompany balances and transactions have been eliminated in consolidation. Our share of earnings or losses of nonconsolidated affiliates is included in our consolidated operating results using the equity method of accounting when we are able to exercise significant influence over the operating and financial decisions of the affiliate.</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GM Financial </w:t>
      </w:r>
      <w:r>
        <w:rPr>
          <w:rFonts w:ascii="Arial" w:cs="Arial" w:eastAsia="Arial" w:hAnsi="Arial"/>
          <w:sz w:val="18"/>
          <w:szCs w:val="18"/>
          <w:color w:val="auto"/>
        </w:rPr>
        <w:t>The amounts presented for GM Financial have been adjusted to reflect the impact on GM Financial's deferred tax positions and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for income taxes resulting from the inclusion of GM Financial in our consolidated tax return and to eliminate the effect of transactions between GM Financial and the other members of the consolidated group. Accordingly, the amounts presented will differ from those presented by GM Financial on a stand-alone basis.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disaggregates our revenue by major source: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rPr>
              <w:t>Three Months Ended March 31, 2021</w:t>
            </w:r>
          </w:p>
        </w:tc>
        <w:tc>
          <w:tcPr>
            <w:tcW w:w="8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GMNA</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GMI</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ind w:left="240"/>
              <w:spacing w:after="0" w:line="13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Cruise</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GM</w:t>
            </w:r>
          </w:p>
        </w:tc>
        <w:tc>
          <w:tcPr>
            <w:tcW w:w="1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Eliminations/Reclassifications</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7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6"/>
              </w:rPr>
              <w:t>Automotive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2"/>
              </w:rPr>
              <w:t>Financial</w:t>
            </w:r>
          </w:p>
        </w:tc>
        <w:tc>
          <w:tcPr>
            <w:tcW w:w="12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center"/>
              <w:ind w:left="539"/>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27,721</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1140" w:type="dxa"/>
            <w:vAlign w:val="bottom"/>
            <w:gridSpan w:val="2"/>
          </w:tcPr>
          <w:p>
            <w:pPr>
              <w:jc w:val="center"/>
              <w:ind w:left="539"/>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Services and other</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639"/>
              <w:spacing w:after="0"/>
              <w:rPr>
                <w:sz w:val="20"/>
                <w:szCs w:val="20"/>
                <w:color w:val="auto"/>
              </w:rPr>
            </w:pPr>
            <w:r>
              <w:rPr>
                <w:rFonts w:ascii="Arial" w:cs="Arial" w:eastAsia="Arial" w:hAnsi="Arial"/>
                <w:sz w:val="16"/>
                <w:szCs w:val="16"/>
                <w:color w:val="auto"/>
                <w:w w:val="91"/>
              </w:rPr>
              <w:t>(25)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Arial" w:cs="Arial" w:eastAsia="Arial" w:hAnsi="Arial"/>
                <w:sz w:val="16"/>
                <w:szCs w:val="16"/>
                <w:color w:val="auto"/>
              </w:rPr>
              <w:t>Automotive net sales and revenue</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25,957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3,086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56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29,062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7"/>
                <w:szCs w:val="17"/>
                <w:color w:val="auto"/>
              </w:rPr>
            </w:pPr>
          </w:p>
        </w:tc>
        <w:tc>
          <w:tcPr>
            <w:tcW w:w="1020" w:type="dxa"/>
            <w:vAlign w:val="bottom"/>
          </w:tcPr>
          <w:p>
            <w:pPr>
              <w:jc w:val="center"/>
              <w:ind w:left="639"/>
              <w:spacing w:after="0"/>
              <w:rPr>
                <w:sz w:val="20"/>
                <w:szCs w:val="20"/>
                <w:color w:val="auto"/>
              </w:rPr>
            </w:pPr>
            <w:r>
              <w:rPr>
                <w:rFonts w:ascii="Arial" w:cs="Arial" w:eastAsia="Arial" w:hAnsi="Arial"/>
                <w:sz w:val="16"/>
                <w:szCs w:val="16"/>
                <w:color w:val="auto"/>
                <w:w w:val="91"/>
              </w:rPr>
              <w:t>(25)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29,067</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left="539"/>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2,321</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gridSpan w:val="2"/>
          </w:tcPr>
          <w:p>
            <w:pPr>
              <w:jc w:val="center"/>
              <w:ind w:left="539"/>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1,016</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65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7"/>
        </w:trPr>
        <w:tc>
          <w:tcPr>
            <w:tcW w:w="2780" w:type="dxa"/>
            <w:vAlign w:val="bottom"/>
          </w:tcPr>
          <w:p>
            <w:pPr>
              <w:ind w:left="140"/>
              <w:spacing w:after="0"/>
              <w:rPr>
                <w:sz w:val="20"/>
                <w:szCs w:val="20"/>
                <w:color w:val="auto"/>
              </w:rPr>
            </w:pPr>
            <w:r>
              <w:rPr>
                <w:rFonts w:ascii="Arial" w:cs="Arial" w:eastAsia="Arial" w:hAnsi="Arial"/>
                <w:sz w:val="16"/>
                <w:szCs w:val="16"/>
                <w:color w:val="auto"/>
              </w:rPr>
              <w:t>GM Financial net sales and revenue</w:t>
            </w:r>
          </w:p>
        </w:tc>
        <w:tc>
          <w:tcPr>
            <w:tcW w:w="16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3,407</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gridSpan w:val="2"/>
          </w:tcPr>
          <w:p>
            <w:pPr>
              <w:jc w:val="center"/>
              <w:ind w:left="539"/>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3,407</w:t>
            </w:r>
          </w:p>
        </w:tc>
        <w:tc>
          <w:tcPr>
            <w:tcW w:w="0" w:type="dxa"/>
            <w:vAlign w:val="bottom"/>
          </w:tcPr>
          <w:p>
            <w:pPr>
              <w:spacing w:after="0"/>
              <w:rPr>
                <w:sz w:val="1"/>
                <w:szCs w:val="1"/>
                <w:color w:val="auto"/>
              </w:rPr>
            </w:pPr>
          </w:p>
        </w:tc>
      </w:tr>
      <w:tr>
        <w:trPr>
          <w:trHeight w:val="23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center"/>
              <w:ind w:left="639"/>
              <w:spacing w:after="0"/>
              <w:rPr>
                <w:sz w:val="20"/>
                <w:szCs w:val="20"/>
                <w:color w:val="auto"/>
              </w:rPr>
            </w:pPr>
            <w:r>
              <w:rPr>
                <w:rFonts w:ascii="Arial" w:cs="Arial" w:eastAsia="Arial" w:hAnsi="Arial"/>
                <w:sz w:val="16"/>
                <w:szCs w:val="16"/>
                <w:color w:val="auto"/>
                <w:w w:val="91"/>
              </w:rPr>
              <w:t>(25)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32,474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8"/>
          </w:tcPr>
          <w:p>
            <w:pPr>
              <w:jc w:val="center"/>
              <w:ind w:right="540"/>
              <w:spacing w:after="0"/>
              <w:rPr>
                <w:sz w:val="20"/>
                <w:szCs w:val="20"/>
                <w:color w:val="auto"/>
              </w:rPr>
            </w:pPr>
            <w:r>
              <w:rPr>
                <w:rFonts w:ascii="Arial" w:cs="Arial" w:eastAsia="Arial" w:hAnsi="Arial"/>
                <w:sz w:val="14"/>
                <w:szCs w:val="14"/>
                <w:b w:val="1"/>
                <w:bCs w:val="1"/>
                <w:color w:val="auto"/>
                <w:w w:val="95"/>
              </w:rPr>
              <w:t>Three Months Ended March 31, 2020</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GMNA</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GMI</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2"/>
              </w:rPr>
              <w:t>Corporate</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ind w:left="280"/>
              <w:spacing w:after="0" w:line="13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Cruise</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GM</w:t>
            </w:r>
          </w:p>
        </w:tc>
        <w:tc>
          <w:tcPr>
            <w:tcW w:w="160" w:type="dxa"/>
            <w:vAlign w:val="bottom"/>
          </w:tcPr>
          <w:p>
            <w:pPr>
              <w:spacing w:after="0"/>
              <w:rPr>
                <w:sz w:val="11"/>
                <w:szCs w:val="11"/>
                <w:color w:val="auto"/>
              </w:rPr>
            </w:pPr>
          </w:p>
        </w:tc>
        <w:tc>
          <w:tcPr>
            <w:tcW w:w="140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0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Automotive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5"/>
              </w:rPr>
              <w:t>Financial</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2"/>
              </w:rPr>
              <w:t>Reclassifications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27,574</w:t>
            </w: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Services and other</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1,173</w:t>
            </w:r>
          </w:p>
        </w:tc>
        <w:tc>
          <w:tcPr>
            <w:tcW w:w="0" w:type="dxa"/>
            <w:vAlign w:val="bottom"/>
          </w:tcPr>
          <w:p>
            <w:pPr>
              <w:spacing w:after="0"/>
              <w:rPr>
                <w:sz w:val="1"/>
                <w:szCs w:val="1"/>
                <w:color w:val="auto"/>
              </w:rPr>
            </w:pPr>
          </w:p>
        </w:tc>
      </w:tr>
      <w:tr>
        <w:trPr>
          <w:trHeight w:val="207"/>
        </w:trPr>
        <w:tc>
          <w:tcPr>
            <w:tcW w:w="3020" w:type="dxa"/>
            <w:vAlign w:val="bottom"/>
          </w:tcPr>
          <w:p>
            <w:pPr>
              <w:ind w:left="140"/>
              <w:spacing w:after="0"/>
              <w:rPr>
                <w:sz w:val="20"/>
                <w:szCs w:val="20"/>
                <w:color w:val="auto"/>
              </w:rPr>
            </w:pPr>
            <w:r>
              <w:rPr>
                <w:rFonts w:ascii="Arial" w:cs="Arial" w:eastAsia="Arial" w:hAnsi="Arial"/>
                <w:sz w:val="16"/>
                <w:szCs w:val="16"/>
                <w:color w:val="auto"/>
              </w:rPr>
              <w:t>Automotive net sales and revenue</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25,831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3,280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29,149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ind w:left="3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29,150</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2,463</w:t>
            </w: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1,006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7"/>
        </w:trPr>
        <w:tc>
          <w:tcPr>
            <w:tcW w:w="3020" w:type="dxa"/>
            <w:vAlign w:val="bottom"/>
          </w:tcPr>
          <w:p>
            <w:pPr>
              <w:ind w:left="140"/>
              <w:spacing w:after="0"/>
              <w:rPr>
                <w:sz w:val="20"/>
                <w:szCs w:val="20"/>
                <w:color w:val="auto"/>
              </w:rPr>
            </w:pPr>
            <w:r>
              <w:rPr>
                <w:rFonts w:ascii="Arial" w:cs="Arial" w:eastAsia="Arial" w:hAnsi="Arial"/>
                <w:sz w:val="16"/>
                <w:szCs w:val="16"/>
                <w:color w:val="auto"/>
              </w:rPr>
              <w:t>GM Financial net sales and revenue</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3,561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3,559</w:t>
            </w:r>
          </w:p>
        </w:tc>
        <w:tc>
          <w:tcPr>
            <w:tcW w:w="0" w:type="dxa"/>
            <w:vAlign w:val="bottom"/>
          </w:tcPr>
          <w:p>
            <w:pPr>
              <w:spacing w:after="0"/>
              <w:rPr>
                <w:sz w:val="1"/>
                <w:szCs w:val="1"/>
                <w:color w:val="auto"/>
              </w:rPr>
            </w:pPr>
          </w:p>
        </w:tc>
      </w:tr>
      <w:tr>
        <w:trPr>
          <w:trHeight w:val="238"/>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32,709</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Revenue is measured as the amount of consideration we expect to receive in exchange for transferring goods or providing services. Adjustments to sales incentives for previously recognized sales increased revenue by an insignificant amount in the three months ended March 31, 2021 and 2020.</w:t>
      </w:r>
    </w:p>
    <w:p>
      <w:pPr>
        <w:spacing w:after="0" w:line="7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Contract liabilities in our Automotive segments primarily consist of maintenance, extended warranty and other service contracts of $2.4 billion at March 31, 2021 and December 31, 2020, which are included in Accrued liabilities and Other liabilities. We recognized revenue of $395 million and $386 million related to contract liabilities in the three months ended March 31, 2021 and 2020. We expect to recognize revenue of $969 million in the nine months ending December 31, 2021 and $598 million, $382 million and $499 million in the years ending December 31, 2022, 2023 and thereafter related to contract liabilities at March 31, 2021.</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Marketable and Other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fair value of cash equivalents and marketable debt securities, which approximates cost:</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14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86"/>
        </w:trPr>
        <w:tc>
          <w:tcPr>
            <w:tcW w:w="678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w:t>
            </w:r>
          </w:p>
        </w:tc>
        <w:tc>
          <w:tcPr>
            <w:tcW w:w="2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time deposits</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8,010</w:t>
            </w: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Available-for-sale debt securities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and agencies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Corporate debt</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Sovereign debt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Total available-for-sale debt securities – cash equivalents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6,897</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Total cash and cash equivalents(a)</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19,992</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Marketable debt securities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U.S. government and agencies</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927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8"/>
                <w:szCs w:val="18"/>
                <w:color w:val="auto"/>
              </w:rPr>
              <w:t>Mortgage and asset-backed</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Sovereign debt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Total available-for-sale debt securities – marketable securities(b)</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9,046</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Restricted cash</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Total restricted cash</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46"/>
        </w:trPr>
        <w:tc>
          <w:tcPr>
            <w:tcW w:w="678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78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w w:val="99"/>
              </w:rPr>
              <w:t>Available-for-sale debt securities included above with contractual maturities(c)</w:t>
            </w:r>
          </w:p>
        </w:tc>
        <w:tc>
          <w:tcPr>
            <w:tcW w:w="9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between one and five years</w:t>
            </w: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debt securities with contractual maturities</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$2.2 billion and $761 million in Cruise at March 31, 2021 and December 31, 2020.</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$1.9 billion and $943 million in Cruise at March 31, 2021 and December 31, 2020.</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Excludes mortgage- and asset-backed securities of $594 million at March 31, 2021 as these securities are not due at a single maturity date.</w:t>
      </w:r>
    </w:p>
    <w:p>
      <w:pPr>
        <w:spacing w:after="0" w:line="230"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color w:val="auto"/>
        </w:rPr>
        <w:t>Proceeds from the sale of available-for-sale debt securities sold prior to maturity were $504 million and $366 million in the three months ended March 31, 2021 and 2020. Net unrealized gains and losses on available-for-sale debt securities were insignificant in the three months ended March 31, 2021 and 2020. Cumulative unrealized gains and losses on available-for-sale debt securities were insignificant at March 31, 2021 and December 31, 2020.</w:t>
      </w:r>
    </w:p>
    <w:p>
      <w:pPr>
        <w:spacing w:after="0" w:line="2" w:lineRule="exact"/>
        <w:rPr>
          <w:sz w:val="20"/>
          <w:szCs w:val="20"/>
          <w:color w:val="auto"/>
        </w:rPr>
      </w:pPr>
    </w:p>
    <w:p>
      <w:pPr>
        <w:jc w:val="both"/>
        <w:ind w:firstLine="162"/>
        <w:spacing w:after="0" w:line="260"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 to the total shown in the condensed consolidated statement of cash flows: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Borders>
              <w:bottom w:val="single" w:sz="8" w:color="CCEEFF"/>
            </w:tcBorders>
          </w:tcPr>
          <w:p>
            <w:pPr>
              <w:spacing w:after="0"/>
              <w:rPr>
                <w:sz w:val="16"/>
                <w:szCs w:val="16"/>
                <w:color w:val="auto"/>
              </w:rPr>
            </w:pPr>
          </w:p>
        </w:tc>
        <w:tc>
          <w:tcPr>
            <w:tcW w:w="5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0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21,609</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50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Total</w:t>
            </w:r>
          </w:p>
        </w:tc>
        <w:tc>
          <w:tcPr>
            <w:tcW w:w="50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5080" w:type="dxa"/>
            <w:vAlign w:val="bottom"/>
            <w:vMerge w:val="restart"/>
          </w:tcPr>
          <w:p>
            <w:pPr>
              <w:jc w:val="right"/>
              <w:ind w:right="385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52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52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GM Financial Receivables and Transactions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Retail</w:t>
            </w:r>
          </w:p>
        </w:tc>
        <w:tc>
          <w:tcPr>
            <w:tcW w:w="12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Commercial(a)</w:t>
            </w:r>
          </w:p>
        </w:tc>
        <w:tc>
          <w:tcPr>
            <w:tcW w:w="200" w:type="dxa"/>
            <w:vAlign w:val="bottom"/>
          </w:tcPr>
          <w:p>
            <w:pPr>
              <w:spacing w:after="0"/>
              <w:rPr>
                <w:sz w:val="16"/>
                <w:szCs w:val="16"/>
                <w:color w:val="auto"/>
              </w:rPr>
            </w:pPr>
          </w:p>
        </w:tc>
        <w:tc>
          <w:tcPr>
            <w:tcW w:w="740" w:type="dxa"/>
            <w:vAlign w:val="bottom"/>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Commercial(a)</w:t>
            </w:r>
          </w:p>
        </w:tc>
        <w:tc>
          <w:tcPr>
            <w:tcW w:w="220" w:type="dxa"/>
            <w:vAlign w:val="bottom"/>
          </w:tcPr>
          <w:p>
            <w:pPr>
              <w:spacing w:after="0"/>
              <w:rPr>
                <w:sz w:val="16"/>
                <w:szCs w:val="16"/>
                <w:color w:val="auto"/>
              </w:rPr>
            </w:pPr>
          </w:p>
        </w:tc>
        <w:tc>
          <w:tcPr>
            <w:tcW w:w="740" w:type="dxa"/>
            <w:vAlign w:val="bottom"/>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receivables, net of fees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8"/>
              </w:rPr>
              <w:t>53,397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60,107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8"/>
              </w:rPr>
              <w:t>51,288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59,970</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loan losses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1"/>
              </w:rPr>
              <w:t>(1,784)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1"/>
              </w:rPr>
              <w:t>(1,915)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receivables,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8"/>
              </w:rPr>
              <w:t>51,613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8"/>
              </w:rPr>
              <w:t>49,373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57,992</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Fair value of GM Financial receivables utilizing Level 2</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6,659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inputs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20"/>
              <w:spacing w:after="0" w:line="176" w:lineRule="exact"/>
              <w:rPr>
                <w:sz w:val="20"/>
                <w:szCs w:val="20"/>
                <w:color w:val="auto"/>
              </w:rPr>
            </w:pPr>
            <w:r>
              <w:rPr>
                <w:rFonts w:ascii="Arial" w:cs="Arial" w:eastAsia="Arial" w:hAnsi="Arial"/>
                <w:sz w:val="18"/>
                <w:szCs w:val="18"/>
                <w:color w:val="auto"/>
                <w:w w:val="95"/>
              </w:rPr>
              <w:t>Fair value of GM Financial receivables utilizing Level 3</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53,524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51,645</w:t>
            </w: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rPr>
              <w:t>inputs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hanging="332"/>
        <w:spacing w:after="0" w:line="290" w:lineRule="auto"/>
        <w:tabs>
          <w:tab w:leader="none" w:pos="331" w:val="left"/>
        </w:tabs>
        <w:numPr>
          <w:ilvl w:val="0"/>
          <w:numId w:val="4"/>
        </w:numPr>
        <w:rPr>
          <w:rFonts w:ascii="Arial" w:cs="Arial" w:eastAsia="Arial" w:hAnsi="Arial"/>
          <w:sz w:val="15"/>
          <w:szCs w:val="15"/>
          <w:color w:val="auto"/>
        </w:rPr>
      </w:pPr>
      <w:r>
        <w:rPr>
          <w:rFonts w:ascii="Arial" w:cs="Arial" w:eastAsia="Arial" w:hAnsi="Arial"/>
          <w:sz w:val="15"/>
          <w:szCs w:val="15"/>
          <w:color w:val="auto"/>
        </w:rPr>
        <w:t>Net of dealer cash management balances of $1.5 billion and $1.4 billion at March 31, 2021 and December 31, 2020. Under the cash management program, subject to certain conditions, a dealer may choose to reduce the amount of interest on its floorplan line by making principal payments to GM Financial in advance.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52"/>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6"/>
                <w:szCs w:val="16"/>
                <w:color w:val="auto"/>
              </w:rPr>
            </w:pPr>
          </w:p>
        </w:tc>
        <w:tc>
          <w:tcPr>
            <w:tcW w:w="1420" w:type="dxa"/>
            <w:vAlign w:val="bottom"/>
          </w:tcPr>
          <w:p>
            <w:pPr>
              <w:jc w:val="right"/>
              <w:ind w:right="252"/>
              <w:spacing w:after="0"/>
              <w:rPr>
                <w:sz w:val="20"/>
                <w:szCs w:val="20"/>
                <w:color w:val="auto"/>
              </w:rPr>
            </w:pPr>
            <w:r>
              <w:rPr>
                <w:rFonts w:ascii="Arial" w:cs="Arial" w:eastAsia="Arial" w:hAnsi="Arial"/>
                <w:sz w:val="14"/>
                <w:szCs w:val="14"/>
                <w:b w:val="1"/>
                <w:bCs w:val="1"/>
                <w:color w:val="auto"/>
              </w:rPr>
              <w:t>March 31, 2020</w:t>
            </w:r>
          </w:p>
        </w:tc>
      </w:tr>
      <w:tr>
        <w:trPr>
          <w:trHeight w:val="224"/>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loan losses at beginning of period</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Impact of adoption ASU 2016-13</w:t>
            </w:r>
          </w:p>
        </w:tc>
        <w:tc>
          <w:tcPr>
            <w:tcW w:w="2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loan losses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Charge-offs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currency</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loan losses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The allowance for loan losses decreased by $131 million as of March 31, 2021 compared to March 31, 2020, primarily due to a reduction in the reserve levels established at March 31, 2020 at the onset of the COVID-19 pandemic, as a result of actual credit performance that was better than forecast; and favorable expectations for future charge-offs and recoveries, reflecting improved forecast economic conditions.</w:t>
      </w:r>
    </w:p>
    <w:p>
      <w:pPr>
        <w:spacing w:after="0" w:line="211" w:lineRule="exact"/>
        <w:rPr>
          <w:sz w:val="20"/>
          <w:szCs w:val="20"/>
          <w:color w:val="auto"/>
        </w:rPr>
      </w:pPr>
    </w:p>
    <w:p>
      <w:pPr>
        <w:jc w:val="both"/>
        <w:ind w:firstLine="162"/>
        <w:spacing w:after="0" w:line="311" w:lineRule="auto"/>
        <w:rPr>
          <w:sz w:val="20"/>
          <w:szCs w:val="20"/>
          <w:color w:val="auto"/>
        </w:rPr>
      </w:pPr>
      <w:r>
        <w:rPr>
          <w:rFonts w:ascii="Arial" w:cs="Arial" w:eastAsia="Arial" w:hAnsi="Arial"/>
          <w:sz w:val="16"/>
          <w:szCs w:val="16"/>
          <w:b w:val="1"/>
          <w:bCs w:val="1"/>
          <w:i w:val="1"/>
          <w:iCs w:val="1"/>
          <w:color w:val="auto"/>
        </w:rPr>
        <w:t xml:space="preserve">Retail Finance Receivables </w:t>
      </w:r>
      <w:r>
        <w:rPr>
          <w:rFonts w:ascii="Arial" w:cs="Arial" w:eastAsia="Arial" w:hAnsi="Arial"/>
          <w:sz w:val="16"/>
          <w:szCs w:val="16"/>
          <w:color w:val="auto"/>
        </w:rPr>
        <w:t>GM Financial's retail finance receivable portfolio includes loans made to consumers and businesses to finance the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vehicles for personal and commercial use. The following tables are consolidated summaries of the retail finance receivables by FICO score or its equivalent, determined at origination, for each vintage of the retail finance receivables portfolio at March 31, 2021 and December 31, 2020: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Year of Origination</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March 31, 2021</w:t>
            </w:r>
          </w:p>
        </w:tc>
      </w:tr>
      <w:tr>
        <w:trPr>
          <w:trHeight w:val="187"/>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Prior</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920" w:type="dxa"/>
            <w:vAlign w:val="bottom"/>
          </w:tcPr>
          <w:p>
            <w:pPr>
              <w:jc w:val="right"/>
              <w:ind w:right="148"/>
              <w:spacing w:after="0"/>
              <w:rPr>
                <w:sz w:val="20"/>
                <w:szCs w:val="20"/>
                <w:color w:val="auto"/>
              </w:rPr>
            </w:pPr>
            <w:r>
              <w:rPr>
                <w:rFonts w:ascii="Arial" w:cs="Arial" w:eastAsia="Arial" w:hAnsi="Arial"/>
                <w:sz w:val="14"/>
                <w:szCs w:val="14"/>
                <w:b w:val="1"/>
                <w:bCs w:val="1"/>
                <w:color w:val="auto"/>
              </w:rPr>
              <w:t>Percent</w:t>
            </w:r>
          </w:p>
        </w:tc>
      </w:tr>
      <w:tr>
        <w:trPr>
          <w:trHeight w:val="197"/>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Prime – FICO score 680 and greater</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5,554</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17,004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1,565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34,613</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64.8 %</w:t>
            </w: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Near-prime – FICO score 620 to 679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8,216</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15.4 %</w:t>
            </w: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Sub-prime – FICO score less than 620</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10,568</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19.8 %</w:t>
            </w:r>
          </w:p>
        </w:tc>
      </w:tr>
      <w:tr>
        <w:trPr>
          <w:trHeight w:val="183"/>
        </w:trPr>
        <w:tc>
          <w:tcPr>
            <w:tcW w:w="3780" w:type="dxa"/>
            <w:vAlign w:val="bottom"/>
          </w:tcPr>
          <w:p>
            <w:pPr>
              <w:ind w:left="20"/>
              <w:spacing w:after="0" w:line="183" w:lineRule="exact"/>
              <w:rPr>
                <w:sz w:val="20"/>
                <w:szCs w:val="20"/>
                <w:color w:val="auto"/>
              </w:rPr>
            </w:pPr>
            <w:r>
              <w:rPr>
                <w:rFonts w:ascii="Arial" w:cs="Arial" w:eastAsia="Arial" w:hAnsi="Arial"/>
                <w:sz w:val="16"/>
                <w:szCs w:val="16"/>
                <w:color w:val="auto"/>
              </w:rPr>
              <w:t>Retail finance receivables, net of fees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7,948</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23,897</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10,652</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6,420</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3,068</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1,412</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53,397</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Year of Origination</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December 31, 2020</w:t>
            </w:r>
          </w:p>
        </w:tc>
      </w:tr>
      <w:tr>
        <w:trPr>
          <w:trHeight w:val="187"/>
        </w:trPr>
        <w:tc>
          <w:tcPr>
            <w:tcW w:w="3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Prior</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920" w:type="dxa"/>
            <w:vAlign w:val="bottom"/>
          </w:tcPr>
          <w:p>
            <w:pPr>
              <w:jc w:val="right"/>
              <w:ind w:right="148"/>
              <w:spacing w:after="0"/>
              <w:rPr>
                <w:sz w:val="20"/>
                <w:szCs w:val="20"/>
                <w:color w:val="auto"/>
              </w:rPr>
            </w:pPr>
            <w:r>
              <w:rPr>
                <w:rFonts w:ascii="Arial" w:cs="Arial" w:eastAsia="Arial" w:hAnsi="Arial"/>
                <w:sz w:val="14"/>
                <w:szCs w:val="14"/>
                <w:b w:val="1"/>
                <w:bCs w:val="1"/>
                <w:color w:val="auto"/>
              </w:rPr>
              <w:t>Percent</w:t>
            </w:r>
          </w:p>
        </w:tc>
      </w:tr>
      <w:tr>
        <w:trPr>
          <w:trHeight w:val="197"/>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Prime – FICO score 680 and greater</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18,685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32,800</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64.0 %</w:t>
            </w:r>
          </w:p>
        </w:tc>
      </w:tr>
      <w:tr>
        <w:trPr>
          <w:trHeight w:val="213"/>
        </w:trPr>
        <w:tc>
          <w:tcPr>
            <w:tcW w:w="3800" w:type="dxa"/>
            <w:vAlign w:val="bottom"/>
          </w:tcPr>
          <w:p>
            <w:pPr>
              <w:ind w:left="20"/>
              <w:spacing w:after="0"/>
              <w:rPr>
                <w:sz w:val="20"/>
                <w:szCs w:val="20"/>
                <w:color w:val="auto"/>
              </w:rPr>
            </w:pPr>
            <w:r>
              <w:rPr>
                <w:rFonts w:ascii="Arial" w:cs="Arial" w:eastAsia="Arial" w:hAnsi="Arial"/>
                <w:sz w:val="16"/>
                <w:szCs w:val="16"/>
                <w:color w:val="auto"/>
              </w:rPr>
              <w:t>Near-prime – FICO score 620 to 679</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7,935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15.4 %</w:t>
            </w: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Sub-prime – FICO score less than 620</w:t>
            </w: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10,553</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20.6 %</w:t>
            </w:r>
          </w:p>
        </w:tc>
      </w:tr>
      <w:tr>
        <w:trPr>
          <w:trHeight w:val="183"/>
        </w:trPr>
        <w:tc>
          <w:tcPr>
            <w:tcW w:w="3800" w:type="dxa"/>
            <w:vAlign w:val="bottom"/>
          </w:tcPr>
          <w:p>
            <w:pPr>
              <w:ind w:left="20"/>
              <w:spacing w:after="0" w:line="183" w:lineRule="exact"/>
              <w:rPr>
                <w:sz w:val="20"/>
                <w:szCs w:val="20"/>
                <w:color w:val="auto"/>
              </w:rPr>
            </w:pPr>
            <w:r>
              <w:rPr>
                <w:rFonts w:ascii="Arial" w:cs="Arial" w:eastAsia="Arial" w:hAnsi="Arial"/>
                <w:sz w:val="16"/>
                <w:szCs w:val="16"/>
                <w:color w:val="auto"/>
              </w:rPr>
              <w:t>Retail finance receivables, net of fees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26,183</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12,050</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7,463</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3,693</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1,390</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51,288</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3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GM Financial reviews the ongoing credit quality of retail finance receivables based on customer payment activity. A retail account is considered delinquent if a substantial portion of a scheduled payment has not been received by the date the payment was contractually due. Retail finance receivables are collateralized by vehicle titles and, subject to local laws, GM Financial generally has the right to repossess the vehicle in the event the customer defaults on the payment terms of the contract. The accrual of finance charge income had been suspended on delinquent retail finance receivables with contractual amounts due of $538 million and $714 million at March 31, 2021 and December 31, 2020. The following tables are consolidated summaries of the delinquency status of the outstanding amortized cost of retail finance receivables for each vintage of the portfolio at March 31, 2021 and December 31, 2020, as well as summary totals for March 31, 2020: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of Origination</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4"/>
          </w:tcPr>
          <w:p>
            <w:pPr>
              <w:ind w:left="22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6"/>
                <w:szCs w:val="16"/>
                <w:color w:val="auto"/>
              </w:rPr>
            </w:pPr>
          </w:p>
        </w:tc>
        <w:tc>
          <w:tcPr>
            <w:tcW w:w="152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March 31, 2020</w:t>
            </w:r>
          </w:p>
        </w:tc>
      </w:tr>
      <w:tr>
        <w:trPr>
          <w:trHeight w:val="187"/>
        </w:trPr>
        <w:tc>
          <w:tcPr>
            <w:tcW w:w="2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8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8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Percent</w:t>
            </w:r>
          </w:p>
        </w:tc>
      </w:tr>
      <w:tr>
        <w:trPr>
          <w:trHeight w:val="211"/>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0-to-30 days</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23,640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10,363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52,367</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98.1 %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40,856</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96.2 %</w:t>
            </w:r>
          </w:p>
        </w:tc>
      </w:tr>
      <w:tr>
        <w:trPr>
          <w:trHeight w:val="230"/>
        </w:trPr>
        <w:tc>
          <w:tcPr>
            <w:tcW w:w="2180" w:type="dxa"/>
            <w:vAlign w:val="bottom"/>
          </w:tcPr>
          <w:p>
            <w:pPr>
              <w:ind w:left="20"/>
              <w:spacing w:after="0"/>
              <w:rPr>
                <w:sz w:val="20"/>
                <w:szCs w:val="20"/>
                <w:color w:val="auto"/>
              </w:rPr>
            </w:pPr>
            <w:r>
              <w:rPr>
                <w:rFonts w:ascii="Arial" w:cs="Arial" w:eastAsia="Arial" w:hAnsi="Arial"/>
                <w:sz w:val="18"/>
                <w:szCs w:val="18"/>
                <w:color w:val="auto"/>
              </w:rPr>
              <w:t>31-to-60 days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1,157</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2.7 %</w:t>
            </w:r>
          </w:p>
        </w:tc>
      </w:tr>
      <w:tr>
        <w:trPr>
          <w:trHeight w:val="229"/>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Greater-than-60 days</w:t>
            </w: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1.1 %</w:t>
            </w:r>
          </w:p>
        </w:tc>
      </w:tr>
      <w:tr>
        <w:trPr>
          <w:trHeight w:val="156"/>
        </w:trPr>
        <w:tc>
          <w:tcPr>
            <w:tcW w:w="2180" w:type="dxa"/>
            <w:vAlign w:val="bottom"/>
          </w:tcPr>
          <w:p>
            <w:pPr>
              <w:ind w:left="20"/>
              <w:spacing w:after="0" w:line="156" w:lineRule="exact"/>
              <w:rPr>
                <w:sz w:val="20"/>
                <w:szCs w:val="20"/>
                <w:color w:val="auto"/>
              </w:rPr>
            </w:pPr>
            <w:r>
              <w:rPr>
                <w:rFonts w:ascii="Arial" w:cs="Arial" w:eastAsia="Arial" w:hAnsi="Arial"/>
                <w:sz w:val="18"/>
                <w:szCs w:val="18"/>
                <w:color w:val="auto"/>
              </w:rPr>
              <w:t>Finance receivables more</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29"/>
        </w:trPr>
        <w:tc>
          <w:tcPr>
            <w:tcW w:w="2180" w:type="dxa"/>
            <w:vAlign w:val="bottom"/>
          </w:tcPr>
          <w:p>
            <w:pPr>
              <w:ind w:left="180"/>
              <w:spacing w:after="0"/>
              <w:rPr>
                <w:sz w:val="20"/>
                <w:szCs w:val="20"/>
                <w:color w:val="auto"/>
              </w:rPr>
            </w:pPr>
            <w:r>
              <w:rPr>
                <w:rFonts w:ascii="Arial" w:cs="Arial" w:eastAsia="Arial" w:hAnsi="Arial"/>
                <w:sz w:val="18"/>
                <w:szCs w:val="18"/>
                <w:color w:val="auto"/>
              </w:rPr>
              <w:t>than 30 days delinquent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998</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1,598</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3.8 %</w:t>
            </w:r>
          </w:p>
        </w:tc>
      </w:tr>
      <w:tr>
        <w:trPr>
          <w:trHeight w:val="229"/>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repossession</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56"/>
        </w:trPr>
        <w:tc>
          <w:tcPr>
            <w:tcW w:w="2180" w:type="dxa"/>
            <w:vAlign w:val="bottom"/>
          </w:tcPr>
          <w:p>
            <w:pPr>
              <w:ind w:left="20"/>
              <w:spacing w:after="0" w:line="156" w:lineRule="exact"/>
              <w:rPr>
                <w:sz w:val="20"/>
                <w:szCs w:val="20"/>
                <w:color w:val="auto"/>
              </w:rPr>
            </w:pPr>
            <w:r>
              <w:rPr>
                <w:rFonts w:ascii="Arial" w:cs="Arial" w:eastAsia="Arial" w:hAnsi="Arial"/>
                <w:sz w:val="18"/>
                <w:szCs w:val="18"/>
                <w:color w:val="auto"/>
              </w:rPr>
              <w:t>Finance receivables more</w:t>
            </w: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r>
      <w:tr>
        <w:trPr>
          <w:trHeight w:val="176"/>
        </w:trPr>
        <w:tc>
          <w:tcPr>
            <w:tcW w:w="2180" w:type="dxa"/>
            <w:vAlign w:val="bottom"/>
          </w:tcPr>
          <w:p>
            <w:pPr>
              <w:ind w:left="180"/>
              <w:spacing w:after="0" w:line="176" w:lineRule="exact"/>
              <w:rPr>
                <w:sz w:val="20"/>
                <w:szCs w:val="20"/>
                <w:color w:val="auto"/>
              </w:rPr>
            </w:pPr>
            <w:r>
              <w:rPr>
                <w:rFonts w:ascii="Arial" w:cs="Arial" w:eastAsia="Arial" w:hAnsi="Arial"/>
                <w:sz w:val="18"/>
                <w:szCs w:val="18"/>
                <w:color w:val="auto"/>
                <w:w w:val="93"/>
              </w:rPr>
              <w:t>than 30 days delinquent or</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9"/>
        </w:trPr>
        <w:tc>
          <w:tcPr>
            <w:tcW w:w="2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 repossession</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1,030</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1,618</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3.8 %</w:t>
            </w:r>
          </w:p>
        </w:tc>
      </w:tr>
      <w:tr>
        <w:trPr>
          <w:trHeight w:val="155"/>
        </w:trPr>
        <w:tc>
          <w:tcPr>
            <w:tcW w:w="21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Retail finance receivables,</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228"/>
        </w:trPr>
        <w:tc>
          <w:tcPr>
            <w:tcW w:w="21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net of fees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23,897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10,652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6,420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53,397</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42,474</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Year of Origination</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December 31, 2020</w:t>
            </w:r>
          </w:p>
        </w:tc>
      </w:tr>
      <w:tr>
        <w:trPr>
          <w:trHeight w:val="187"/>
        </w:trPr>
        <w:tc>
          <w:tcPr>
            <w:tcW w:w="2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140" w:type="dxa"/>
            <w:vAlign w:val="bottom"/>
          </w:tcPr>
          <w:p>
            <w:pPr>
              <w:jc w:val="right"/>
              <w:ind w:right="268"/>
              <w:spacing w:after="0"/>
              <w:rPr>
                <w:sz w:val="20"/>
                <w:szCs w:val="20"/>
                <w:color w:val="auto"/>
              </w:rPr>
            </w:pPr>
            <w:r>
              <w:rPr>
                <w:rFonts w:ascii="Arial" w:cs="Arial" w:eastAsia="Arial" w:hAnsi="Arial"/>
                <w:sz w:val="14"/>
                <w:szCs w:val="14"/>
                <w:b w:val="1"/>
                <w:bCs w:val="1"/>
                <w:color w:val="auto"/>
              </w:rPr>
              <w:t>Percent</w:t>
            </w:r>
          </w:p>
        </w:tc>
      </w:tr>
      <w:tr>
        <w:trPr>
          <w:trHeight w:val="211"/>
        </w:trPr>
        <w:tc>
          <w:tcPr>
            <w:tcW w:w="2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0-to-30 days</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25,894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11,591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7,131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49,740</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97.0 %</w:t>
            </w:r>
          </w:p>
        </w:tc>
      </w:tr>
      <w:tr>
        <w:trPr>
          <w:trHeight w:val="230"/>
        </w:trPr>
        <w:tc>
          <w:tcPr>
            <w:tcW w:w="2280" w:type="dxa"/>
            <w:vAlign w:val="bottom"/>
          </w:tcPr>
          <w:p>
            <w:pPr>
              <w:ind w:left="20"/>
              <w:spacing w:after="0"/>
              <w:rPr>
                <w:sz w:val="20"/>
                <w:szCs w:val="20"/>
                <w:color w:val="auto"/>
              </w:rPr>
            </w:pPr>
            <w:r>
              <w:rPr>
                <w:rFonts w:ascii="Arial" w:cs="Arial" w:eastAsia="Arial" w:hAnsi="Arial"/>
                <w:sz w:val="18"/>
                <w:szCs w:val="18"/>
                <w:color w:val="auto"/>
              </w:rPr>
              <w:t>31-to-60 days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1,103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2.1 %</w:t>
            </w: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Greater-than-60 days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0.8 %</w:t>
            </w:r>
          </w:p>
        </w:tc>
      </w:tr>
      <w:tr>
        <w:trPr>
          <w:trHeight w:val="155"/>
        </w:trPr>
        <w:tc>
          <w:tcPr>
            <w:tcW w:w="2280" w:type="dxa"/>
            <w:vAlign w:val="bottom"/>
          </w:tcPr>
          <w:p>
            <w:pPr>
              <w:ind w:left="20"/>
              <w:spacing w:after="0" w:line="156" w:lineRule="exact"/>
              <w:rPr>
                <w:sz w:val="20"/>
                <w:szCs w:val="20"/>
                <w:color w:val="auto"/>
              </w:rPr>
            </w:pPr>
            <w:r>
              <w:rPr>
                <w:rFonts w:ascii="Arial" w:cs="Arial" w:eastAsia="Arial" w:hAnsi="Arial"/>
                <w:sz w:val="18"/>
                <w:szCs w:val="18"/>
                <w:color w:val="auto"/>
                <w:w w:val="91"/>
              </w:rPr>
              <w:t>Finance receivables more than</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auto"/>
              </w:rPr>
              <w:t>30 days delinquent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1,515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2.9 %</w:t>
            </w:r>
          </w:p>
        </w:tc>
      </w:tr>
      <w:tr>
        <w:trPr>
          <w:trHeight w:val="22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repossession</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0.1 %</w:t>
            </w:r>
          </w:p>
        </w:tc>
      </w:tr>
      <w:tr>
        <w:trPr>
          <w:trHeight w:val="155"/>
        </w:trPr>
        <w:tc>
          <w:tcPr>
            <w:tcW w:w="2280" w:type="dxa"/>
            <w:vAlign w:val="bottom"/>
          </w:tcPr>
          <w:p>
            <w:pPr>
              <w:ind w:left="20"/>
              <w:spacing w:after="0" w:line="156" w:lineRule="exact"/>
              <w:rPr>
                <w:sz w:val="20"/>
                <w:szCs w:val="20"/>
                <w:color w:val="auto"/>
              </w:rPr>
            </w:pPr>
            <w:r>
              <w:rPr>
                <w:rFonts w:ascii="Arial" w:cs="Arial" w:eastAsia="Arial" w:hAnsi="Arial"/>
                <w:sz w:val="18"/>
                <w:szCs w:val="18"/>
                <w:color w:val="auto"/>
                <w:w w:val="91"/>
              </w:rPr>
              <w:t>Finance receivables more than</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6"/>
        </w:trPr>
        <w:tc>
          <w:tcPr>
            <w:tcW w:w="2280" w:type="dxa"/>
            <w:vAlign w:val="bottom"/>
          </w:tcPr>
          <w:p>
            <w:pPr>
              <w:ind w:left="180"/>
              <w:spacing w:after="0" w:line="176" w:lineRule="exact"/>
              <w:rPr>
                <w:sz w:val="20"/>
                <w:szCs w:val="20"/>
                <w:color w:val="auto"/>
              </w:rPr>
            </w:pPr>
            <w:r>
              <w:rPr>
                <w:rFonts w:ascii="Arial" w:cs="Arial" w:eastAsia="Arial" w:hAnsi="Arial"/>
                <w:sz w:val="18"/>
                <w:szCs w:val="18"/>
                <w:color w:val="auto"/>
              </w:rPr>
              <w:t>30 days delinquent or in</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29"/>
        </w:trPr>
        <w:tc>
          <w:tcPr>
            <w:tcW w:w="2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repossession</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1,548</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3.0 %</w:t>
            </w:r>
          </w:p>
        </w:tc>
      </w:tr>
      <w:tr>
        <w:trPr>
          <w:trHeight w:val="156"/>
        </w:trPr>
        <w:tc>
          <w:tcPr>
            <w:tcW w:w="22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3"/>
              </w:rPr>
              <w:t>Retail finance receivables, net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228"/>
        </w:trPr>
        <w:tc>
          <w:tcPr>
            <w:tcW w:w="22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of fees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26,183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12,050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1,390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51,288</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outstanding amortized cost of retail finance receivables that are considered troubled debt restructurings was $2.1 billion at March 31, 2021, including $214 million in nonaccrual loans.</w:t>
      </w:r>
    </w:p>
    <w:p>
      <w:pPr>
        <w:spacing w:after="0" w:line="19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Commercial Finance Receivables </w:t>
      </w:r>
      <w:r>
        <w:rPr>
          <w:rFonts w:ascii="Arial" w:cs="Arial" w:eastAsia="Arial" w:hAnsi="Arial"/>
          <w:sz w:val="17"/>
          <w:szCs w:val="17"/>
          <w:color w:val="auto"/>
        </w:rPr>
        <w:t>GM Financial's commercial finance receivables consist of dealer financings, primarily for inventory purchases.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models are used to assign a risk rating to each dealer. GM Financial performs periodic credit reviews of each dealership and adjusts the dealership's risk rating, if necessary. There were no commercial finance receivables on nonaccrual status at March 31, 2021.</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(Continued)</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GM Financial's commercial risk model and risk rating categories are as follows:</w:t>
      </w:r>
    </w:p>
    <w:p>
      <w:pPr>
        <w:sectPr>
          <w:pgSz w:w="11900" w:h="16838" w:orient="portrait"/>
          <w:cols w:equalWidth="0" w:num="1">
            <w:col w:w="11240"/>
          </w:cols>
          <w:pgMar w:left="320" w:top="125" w:right="339" w:bottom="1440" w:gutter="0" w:footer="0" w:header="0"/>
        </w:sectPr>
      </w:pP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Rating</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II</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III</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17145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Performing accounts with strong to acceptable financial metrics with at least satisfactory capacity to meet financial commitments.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Performing accounts experiencing potential weakness in financial metrics and repayment prospects resulting in increased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29210</wp:posOffset>
            </wp:positionV>
            <wp:extent cx="7132320"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6" w:lineRule="exact"/>
        <w:rPr>
          <w:sz w:val="20"/>
          <w:szCs w:val="20"/>
          <w:color w:val="auto"/>
        </w:rPr>
      </w:pPr>
    </w:p>
    <w:p>
      <w:pPr>
        <w:ind w:left="160" w:right="520" w:hanging="161"/>
        <w:spacing w:after="0" w:line="234" w:lineRule="auto"/>
        <w:rPr>
          <w:sz w:val="20"/>
          <w:szCs w:val="20"/>
          <w:color w:val="auto"/>
        </w:rPr>
      </w:pPr>
      <w:r>
        <w:rPr>
          <w:rFonts w:ascii="Arial" w:cs="Arial" w:eastAsia="Arial" w:hAnsi="Arial"/>
          <w:sz w:val="18"/>
          <w:szCs w:val="18"/>
          <w:color w:val="auto"/>
        </w:rPr>
        <w:t>Non-Performing accounts with inadequate paying capacity for current obligations and have the distinct possibility of creating a loss if deficiencies are not corrected.</w:t>
      </w:r>
    </w:p>
    <w:p>
      <w:pPr>
        <w:spacing w:after="0" w:line="1" w:lineRule="exact"/>
        <w:rPr>
          <w:sz w:val="20"/>
          <w:szCs w:val="20"/>
          <w:color w:val="auto"/>
        </w:rPr>
      </w:pPr>
    </w:p>
    <w:p>
      <w:pPr>
        <w:ind w:left="160" w:right="740" w:hanging="161"/>
        <w:spacing w:after="0" w:line="234" w:lineRule="auto"/>
        <w:rPr>
          <w:sz w:val="20"/>
          <w:szCs w:val="20"/>
          <w:color w:val="auto"/>
        </w:rPr>
      </w:pPr>
      <w:r>
        <w:rPr>
          <w:rFonts w:ascii="Arial" w:cs="Arial" w:eastAsia="Arial" w:hAnsi="Arial"/>
          <w:sz w:val="18"/>
          <w:szCs w:val="18"/>
          <w:color w:val="auto"/>
        </w:rPr>
        <w:t>Non-Performing accounts with inadequate paying capacity for current obligations and inherent weaknesses that make collection of liquidation in full highly questionable or improbable.</w:t>
      </w:r>
    </w:p>
    <w:p>
      <w:pPr>
        <w:spacing w:after="0" w:line="68" w:lineRule="exact"/>
        <w:rPr>
          <w:sz w:val="20"/>
          <w:szCs w:val="20"/>
          <w:color w:val="auto"/>
        </w:rPr>
      </w:pPr>
    </w:p>
    <w:p>
      <w:pPr>
        <w:sectPr>
          <w:pgSz w:w="11900" w:h="16838" w:orient="portrait"/>
          <w:cols w:equalWidth="0" w:num="2">
            <w:col w:w="540" w:space="560"/>
            <w:col w:w="10140"/>
          </w:cols>
          <w:pgMar w:left="320" w:top="125" w:right="339" w:bottom="1440" w:gutter="0" w:footer="0" w:header="0"/>
          <w:type w:val="continuous"/>
        </w:sectPr>
      </w:pPr>
    </w:p>
    <w:p>
      <w:pPr>
        <w:jc w:val="both"/>
        <w:ind w:firstLine="162"/>
        <w:spacing w:after="0" w:line="263" w:lineRule="auto"/>
        <w:rPr>
          <w:sz w:val="20"/>
          <w:szCs w:val="20"/>
          <w:color w:val="auto"/>
        </w:rPr>
      </w:pPr>
      <w:r>
        <w:rPr>
          <w:rFonts w:ascii="Arial" w:cs="Arial" w:eastAsia="Arial" w:hAnsi="Arial"/>
          <w:sz w:val="18"/>
          <w:szCs w:val="18"/>
          <w:color w:val="auto"/>
        </w:rPr>
        <w:t>Dealers with III and IV risk ratings are subject to additional monitoring and restrictions on funding, including suspension of lines of credit and liquidation of assets. The following tables summarize the credit risk profile by dealer risk rating of commercial finance receivables at March 31, 2021 and December 31,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4"/>
              </w:rPr>
              <w:t>Year of Origination(a)</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March 31, 2021</w:t>
            </w:r>
          </w:p>
        </w:tc>
      </w:tr>
      <w:tr>
        <w:trPr>
          <w:trHeight w:val="210"/>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Revolving</w:t>
            </w:r>
          </w:p>
        </w:tc>
        <w:tc>
          <w:tcPr>
            <w:tcW w:w="14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2021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b w:val="1"/>
                <w:bCs w:val="1"/>
                <w:color w:val="auto"/>
              </w:rPr>
              <w:t>Prior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Percent</w:t>
            </w:r>
          </w:p>
        </w:tc>
      </w:tr>
      <w:tr>
        <w:trPr>
          <w:trHeight w:val="212"/>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6,113</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91.1 %</w:t>
            </w: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II</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5.7 %</w:t>
            </w: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III</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IV</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38"/>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6"/>
              </w:rPr>
              <w:t>Commercial finance receivables, net of fees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Floorplan advances comprise 94% of the total revolving balance. Dealer term loans are presented by year of origination.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4"/>
              </w:rPr>
              <w:t>Year of Origination(a)</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b w:val="1"/>
                <w:bCs w:val="1"/>
                <w:color w:val="auto"/>
              </w:rPr>
              <w:t>December 31, 2020</w:t>
            </w:r>
          </w:p>
        </w:tc>
      </w:tr>
      <w:tr>
        <w:trPr>
          <w:trHeight w:val="210"/>
        </w:trPr>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6"/>
                <w:szCs w:val="16"/>
                <w:b w:val="1"/>
                <w:bCs w:val="1"/>
                <w:color w:val="auto"/>
              </w:rPr>
              <w:t>Revolving</w:t>
            </w:r>
          </w:p>
        </w:tc>
        <w:tc>
          <w:tcPr>
            <w:tcW w:w="14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b w:val="1"/>
                <w:bCs w:val="1"/>
                <w:color w:val="auto"/>
              </w:rPr>
              <w:t>Prior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Percent</w:t>
            </w:r>
          </w:p>
        </w:tc>
      </w:tr>
      <w:tr>
        <w:trPr>
          <w:trHeight w:val="212"/>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7,857</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90.5 %</w:t>
            </w:r>
          </w:p>
        </w:tc>
      </w:tr>
      <w:tr>
        <w:trPr>
          <w:trHeight w:val="213"/>
        </w:trPr>
        <w:tc>
          <w:tcPr>
            <w:tcW w:w="3020" w:type="dxa"/>
            <w:vAlign w:val="bottom"/>
          </w:tcPr>
          <w:p>
            <w:pPr>
              <w:ind w:left="20"/>
              <w:spacing w:after="0"/>
              <w:rPr>
                <w:sz w:val="20"/>
                <w:szCs w:val="20"/>
                <w:color w:val="auto"/>
              </w:rPr>
            </w:pPr>
            <w:r>
              <w:rPr>
                <w:rFonts w:ascii="Arial" w:cs="Arial" w:eastAsia="Arial" w:hAnsi="Arial"/>
                <w:sz w:val="16"/>
                <w:szCs w:val="16"/>
                <w:color w:val="auto"/>
              </w:rPr>
              <w:t>II</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568</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6.5 %</w:t>
            </w: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III</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13"/>
        </w:trPr>
        <w:tc>
          <w:tcPr>
            <w:tcW w:w="3020" w:type="dxa"/>
            <w:vAlign w:val="bottom"/>
          </w:tcPr>
          <w:p>
            <w:pPr>
              <w:ind w:left="20"/>
              <w:spacing w:after="0"/>
              <w:rPr>
                <w:sz w:val="20"/>
                <w:szCs w:val="20"/>
                <w:color w:val="auto"/>
              </w:rPr>
            </w:pPr>
            <w:r>
              <w:rPr>
                <w:rFonts w:ascii="Arial" w:cs="Arial" w:eastAsia="Arial" w:hAnsi="Arial"/>
                <w:sz w:val="16"/>
                <w:szCs w:val="16"/>
                <w:color w:val="auto"/>
              </w:rPr>
              <w:t>IV</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0.1 %</w:t>
            </w:r>
          </w:p>
        </w:tc>
      </w:tr>
      <w:tr>
        <w:trPr>
          <w:trHeight w:val="237"/>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6"/>
              </w:rPr>
              <w:t>Commercial finance receivables, net of fees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Floorplan advances comprise 97% of the total revolving balance. Dealer term loans are presented by year of origination.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Transactions with GM Financial </w:t>
      </w:r>
      <w:r>
        <w:rPr>
          <w:rFonts w:ascii="Arial" w:cs="Arial" w:eastAsia="Arial" w:hAnsi="Arial"/>
          <w:sz w:val="18"/>
          <w:szCs w:val="18"/>
          <w:color w:val="auto"/>
        </w:rPr>
        <w:t>The following table shows transactions between our Automotive segments and GM Financial. These amounts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presented in GM Financial's condensed consolidated balance sheets and statements of income.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December 31, 2020</w:t>
            </w:r>
          </w:p>
        </w:tc>
      </w:tr>
      <w:tr>
        <w:trPr>
          <w:trHeight w:val="216"/>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Condensed Consolidated Balance Sheets(a)</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finance receivables, net due from GM consolidated dealers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Subvention receivable(b)</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loan funding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345"/>
        </w:trPr>
        <w:tc>
          <w:tcPr>
            <w:tcW w:w="78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955"/>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480" w:type="dxa"/>
            <w:vAlign w:val="bottom"/>
          </w:tcPr>
          <w:p>
            <w:pPr>
              <w:jc w:val="right"/>
              <w:ind w:right="255"/>
              <w:spacing w:after="0"/>
              <w:rPr>
                <w:sz w:val="20"/>
                <w:szCs w:val="20"/>
                <w:color w:val="auto"/>
              </w:rPr>
            </w:pPr>
            <w:r>
              <w:rPr>
                <w:rFonts w:ascii="Arial" w:cs="Arial" w:eastAsia="Arial" w:hAnsi="Arial"/>
                <w:sz w:val="14"/>
                <w:szCs w:val="14"/>
                <w:b w:val="1"/>
                <w:bCs w:val="1"/>
                <w:color w:val="auto"/>
              </w:rPr>
              <w:t>March 31, 2020</w:t>
            </w:r>
          </w:p>
        </w:tc>
      </w:tr>
      <w:tr>
        <w:trPr>
          <w:trHeight w:val="212"/>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Condensed Consolidated Statements of Income</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subvention earned on finance receivables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Leased vehicle subvention earned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805</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balance sheet amounts are eliminated upon consolidation.</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Automotive segments made cash payments to GM Financial for subvention of $1.0 billion and $1.1 billion in the three months ended March 31, 2021 and 2020.</w:t>
      </w:r>
    </w:p>
    <w:p>
      <w:pPr>
        <w:spacing w:after="0" w:line="24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GM Financial's Board of Directors declared and paid dividends of $600 million and $400 million on its common stock in the three months ended March 31, 2021 and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December 31, 2020</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productive material, supplies and work in process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5,117</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product, including service parts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jc w:val="both"/>
        <w:ind w:firstLine="162"/>
        <w:spacing w:after="0" w:line="246" w:lineRule="auto"/>
        <w:rPr>
          <w:sz w:val="20"/>
          <w:szCs w:val="20"/>
          <w:color w:val="auto"/>
        </w:rPr>
      </w:pPr>
      <w:r>
        <w:rPr>
          <w:rFonts w:ascii="Arial" w:cs="Arial" w:eastAsia="Arial" w:hAnsi="Arial"/>
          <w:sz w:val="18"/>
          <w:szCs w:val="18"/>
          <w:color w:val="auto"/>
        </w:rPr>
        <w:t>Inventories at March 31, 2021 increased primarily due to certain vehicles being manufactured without final components as a result of the global semiconductor supply shortage.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Equipment on Operating Leases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Equipment on operating leases consists of leases to retail customers of GM Financial.</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480" w:type="dxa"/>
            <w:vAlign w:val="bottom"/>
          </w:tcPr>
          <w:p>
            <w:pPr>
              <w:ind w:left="80"/>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8"/>
              </w:rPr>
              <w:t>50,286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center"/>
              <w:ind w:left="755"/>
              <w:spacing w:after="0"/>
              <w:rPr>
                <w:sz w:val="20"/>
                <w:szCs w:val="20"/>
                <w:color w:val="auto"/>
              </w:rPr>
            </w:pPr>
            <w:r>
              <w:rPr>
                <w:rFonts w:ascii="Arial" w:cs="Arial" w:eastAsia="Arial" w:hAnsi="Arial"/>
                <w:sz w:val="18"/>
                <w:szCs w:val="18"/>
                <w:color w:val="auto"/>
                <w:w w:val="87"/>
              </w:rPr>
              <w:t>50,000</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w w:val="91"/>
              </w:rPr>
              <w:t>(9,943)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735"/>
              <w:spacing w:after="0"/>
              <w:rPr>
                <w:sz w:val="20"/>
                <w:szCs w:val="20"/>
                <w:color w:val="auto"/>
              </w:rPr>
            </w:pPr>
            <w:r>
              <w:rPr>
                <w:rFonts w:ascii="Arial" w:cs="Arial" w:eastAsia="Arial" w:hAnsi="Arial"/>
                <w:sz w:val="18"/>
                <w:szCs w:val="18"/>
                <w:color w:val="auto"/>
                <w:w w:val="92"/>
              </w:rPr>
              <w:t>(10,181)</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8"/>
              </w:rPr>
              <w:t>40,343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center"/>
              <w:ind w:left="755"/>
              <w:spacing w:after="0"/>
              <w:rPr>
                <w:sz w:val="20"/>
                <w:szCs w:val="20"/>
                <w:color w:val="auto"/>
              </w:rPr>
            </w:pPr>
            <w:r>
              <w:rPr>
                <w:rFonts w:ascii="Arial" w:cs="Arial" w:eastAsia="Arial" w:hAnsi="Arial"/>
                <w:sz w:val="18"/>
                <w:szCs w:val="18"/>
                <w:color w:val="auto"/>
                <w:w w:val="87"/>
              </w:rPr>
              <w:t>39,819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162"/>
        <w:spacing w:after="0" w:line="246" w:lineRule="auto"/>
        <w:rPr>
          <w:sz w:val="20"/>
          <w:szCs w:val="20"/>
          <w:color w:val="auto"/>
        </w:rPr>
      </w:pPr>
      <w:r>
        <w:rPr>
          <w:rFonts w:ascii="Arial" w:cs="Arial" w:eastAsia="Arial" w:hAnsi="Arial"/>
          <w:sz w:val="18"/>
          <w:szCs w:val="18"/>
          <w:color w:val="auto"/>
        </w:rPr>
        <w:t>The estimated residual value of our leased assets at the end of the lease term was $29.8 billion and $29.2 billion at March 31, 2021 and December 31, 2020.</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Depreciation expense related to Equipment on operating leases, net was $1.7 billion and $1.8 billion in the three months ended March 31, 2021 and 2020.</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lease payments due to GM Financial on leases to retail customers: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Year Ending December 31,</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7"/>
        </w:trPr>
        <w:tc>
          <w:tcPr>
            <w:tcW w:w="3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ind w:right="15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right"/>
              <w:ind w:right="550"/>
              <w:spacing w:after="0"/>
              <w:rPr>
                <w:sz w:val="20"/>
                <w:szCs w:val="20"/>
                <w:color w:val="auto"/>
              </w:rPr>
            </w:pPr>
            <w:r>
              <w:rPr>
                <w:rFonts w:ascii="Arial" w:cs="Arial" w:eastAsia="Arial" w:hAnsi="Arial"/>
                <w:sz w:val="14"/>
                <w:szCs w:val="14"/>
                <w:b w:val="1"/>
                <w:bCs w:val="1"/>
                <w:color w:val="auto"/>
              </w:rPr>
              <w:t>Thereafter</w:t>
            </w:r>
          </w:p>
        </w:tc>
        <w:tc>
          <w:tcPr>
            <w:tcW w:w="720" w:type="dxa"/>
            <w:vAlign w:val="bottom"/>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24"/>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receipts under operating leases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Equity in Net Assets of Nonconsolidated Affiliates</w:t>
      </w:r>
    </w:p>
    <w:p>
      <w:pPr>
        <w:spacing w:after="0" w:line="14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Nonconsolidated affiliates are entities in which we maintain an equity ownership interest and for which we use the equity method of accounting due to our ability to exert significant influence over decisions relating to their operating and financial affairs. Revenue and expenses of our joint ventures are not consolidated into our financial statements; rather, our proportionate share of the earnings of each joint venture is reflected as Equity income (loss).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400" w:type="dxa"/>
            <w:vAlign w:val="bottom"/>
            <w:tcBorders>
              <w:bottom w:val="single" w:sz="8" w:color="auto"/>
            </w:tcBorders>
            <w:gridSpan w:val="5"/>
          </w:tcPr>
          <w:p>
            <w:pPr>
              <w:jc w:val="right"/>
              <w:ind w:right="955"/>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8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2021</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March 31, 2020</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China equity income (loss)</w:t>
            </w:r>
          </w:p>
        </w:tc>
        <w:tc>
          <w:tcPr>
            <w:tcW w:w="1300" w:type="dxa"/>
            <w:vAlign w:val="bottom"/>
            <w:shd w:val="clear" w:color="auto" w:fill="CCEEFF"/>
          </w:tcPr>
          <w:p>
            <w:pPr>
              <w:jc w:val="right"/>
              <w:ind w:right="111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joint ventures equity income</w:t>
            </w:r>
          </w:p>
        </w:tc>
        <w:tc>
          <w:tcPr>
            <w:tcW w:w="1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 income (loss)</w:t>
            </w:r>
          </w:p>
        </w:tc>
        <w:tc>
          <w:tcPr>
            <w:tcW w:w="1300" w:type="dxa"/>
            <w:vAlign w:val="bottom"/>
            <w:tcBorders>
              <w:bottom w:val="single" w:sz="8" w:color="auto"/>
            </w:tcBorders>
            <w:shd w:val="clear" w:color="auto" w:fill="CCEEFF"/>
          </w:tcPr>
          <w:p>
            <w:pPr>
              <w:jc w:val="right"/>
              <w:ind w:right="111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There have been no significant ownership changes in our Automotive China joint ventures (Automotive China JVs) since December 31, 2020.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56"/>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6"/>
                <w:szCs w:val="16"/>
                <w:color w:val="auto"/>
              </w:rPr>
            </w:pPr>
          </w:p>
        </w:tc>
        <w:tc>
          <w:tcPr>
            <w:tcW w:w="1420" w:type="dxa"/>
            <w:vAlign w:val="bottom"/>
          </w:tcPr>
          <w:p>
            <w:pPr>
              <w:jc w:val="right"/>
              <w:ind w:right="256"/>
              <w:spacing w:after="0"/>
              <w:rPr>
                <w:sz w:val="20"/>
                <w:szCs w:val="20"/>
                <w:color w:val="auto"/>
              </w:rPr>
            </w:pPr>
            <w:r>
              <w:rPr>
                <w:rFonts w:ascii="Arial" w:cs="Arial" w:eastAsia="Arial" w:hAnsi="Arial"/>
                <w:sz w:val="14"/>
                <w:szCs w:val="14"/>
                <w:b w:val="1"/>
                <w:bCs w:val="1"/>
                <w:color w:val="auto"/>
              </w:rPr>
              <w:t>March 31, 2020</w:t>
            </w:r>
          </w:p>
        </w:tc>
      </w:tr>
      <w:tr>
        <w:trPr>
          <w:trHeight w:val="212"/>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Summarized Operating Data of Automotive China JVs</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China JVs' 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Automotive China JVs' net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(348)</w:t>
            </w:r>
          </w:p>
        </w:tc>
      </w:tr>
    </w:tbl>
    <w:p>
      <w:pPr>
        <w:spacing w:after="0" w:line="17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Dividends declared but not paid from our nonconsolidated affiliates were insignificant at March 31, 2021 and December 31, 2020. Dividends received from our nonconsolidated affiliates were insignificant in the three months ended March 31, 2021 and 2020. Undistributed earnings from our nonconsolidated affiliates were $1.9 billion and $1.6 billion at March 31, 2021 and December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Variable Interest Entities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GM Financial</w:t>
      </w:r>
    </w:p>
    <w:p>
      <w:pPr>
        <w:spacing w:after="0" w:line="121"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to provide additional financial support to these SPEs. While these subsidiaries are included in GM Financial's condensed consolidated financial statements, they are separate legal entities and their assets are legally owned by them and are not available to GM Financial's creditors.</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assets and liabilities related to GM Financial's consolidated VIEs: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December 31, 2020</w:t>
            </w:r>
          </w:p>
        </w:tc>
      </w:tr>
      <w:tr>
        <w:trPr>
          <w:trHeight w:val="229"/>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 current</w:t>
            </w:r>
          </w:p>
        </w:tc>
        <w:tc>
          <w:tcPr>
            <w:tcW w:w="26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Restricted cash – non-current</w:t>
            </w:r>
          </w:p>
        </w:tc>
        <w:tc>
          <w:tcPr>
            <w:tcW w:w="28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receivables, net of fees – current</w:t>
            </w:r>
          </w:p>
        </w:tc>
        <w:tc>
          <w:tcPr>
            <w:tcW w:w="2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17,211</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GM Financial receivables, net of fees – non-current</w:t>
            </w:r>
          </w:p>
        </w:tc>
        <w:tc>
          <w:tcPr>
            <w:tcW w:w="28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14,485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15,107</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equipment on operating leases, net</w:t>
            </w:r>
          </w:p>
        </w:tc>
        <w:tc>
          <w:tcPr>
            <w:tcW w:w="2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16,322</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w w:val="97"/>
              </w:rPr>
              <w:t>GM Financial short-term debt and current portion of long-term debt</w:t>
            </w:r>
          </w:p>
        </w:tc>
        <w:tc>
          <w:tcPr>
            <w:tcW w:w="28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18,228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20,450</w:t>
            </w: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long-term debt</w:t>
            </w:r>
          </w:p>
        </w:tc>
        <w:tc>
          <w:tcPr>
            <w:tcW w:w="2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18,974</w:t>
            </w:r>
          </w:p>
        </w:tc>
      </w:tr>
      <w:tr>
        <w:trPr>
          <w:trHeight w:val="661"/>
        </w:trPr>
        <w:tc>
          <w:tcPr>
            <w:tcW w:w="5220" w:type="dxa"/>
            <w:vAlign w:val="bottom"/>
          </w:tcPr>
          <w:p>
            <w:pPr>
              <w:spacing w:after="0"/>
              <w:rPr>
                <w:sz w:val="24"/>
                <w:szCs w:val="24"/>
                <w:color w:val="auto"/>
              </w:rPr>
            </w:pPr>
          </w:p>
        </w:tc>
        <w:tc>
          <w:tcPr>
            <w:tcW w:w="2620" w:type="dxa"/>
            <w:vAlign w:val="bottom"/>
          </w:tcPr>
          <w:p>
            <w:pPr>
              <w:jc w:val="right"/>
              <w:ind w:right="203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8"/>
        </w:trPr>
        <w:tc>
          <w:tcPr>
            <w:tcW w:w="52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GM Financial recognizes finance charge, leased vehicle and fee income on the Securitized Assets and interest expense on the secured debt issued in a securitization transaction and records a provision for loan losses to recognize loan losses expected over the remaining life of the finance receivables.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Nonconsolidated VIEs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Automotive</w:t>
      </w:r>
    </w:p>
    <w:p>
      <w:pPr>
        <w:spacing w:after="0" w:line="121"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Nonconsolidated VIEs principally include automotive related operating entities to which we provided financial support to ensure that our supply needs for production are met or are not disrupted. Our variable interests in these nonconsolidated VIEs include equity investments, accounts and loans receivable, committed financial support and other off-balance sheet arrangements. The carrying amounts of assets and liabilities related to our nonconsolidated VIEs were insignificant at March 31, 2021 and December 31, 2020. Our maximum exposure to loss as a result of our involvement with these VIEs was $1.2 billion, inclusive of $676 million and $776 million in committed capital contributions to Ultium Cells LLC at March 31, 2021 and December 31, 2020. We currently lack the power through voting or similar rights to direct the activities of these entities that most significantly affect their economic performance.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debt in our automotive operations: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5"/>
          </w:tcPr>
          <w:p>
            <w:pPr>
              <w:ind w:left="90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6"/>
                <w:szCs w:val="16"/>
                <w:color w:val="auto"/>
              </w:rPr>
            </w:pPr>
          </w:p>
        </w:tc>
        <w:tc>
          <w:tcPr>
            <w:tcW w:w="2840" w:type="dxa"/>
            <w:vAlign w:val="bottom"/>
            <w:gridSpan w:val="4"/>
          </w:tcPr>
          <w:p>
            <w:pPr>
              <w:jc w:val="right"/>
              <w:ind w:right="812"/>
              <w:spacing w:after="0"/>
              <w:rPr>
                <w:sz w:val="20"/>
                <w:szCs w:val="20"/>
                <w:color w:val="auto"/>
              </w:rPr>
            </w:pPr>
            <w:r>
              <w:rPr>
                <w:rFonts w:ascii="Arial" w:cs="Arial" w:eastAsia="Arial" w:hAnsi="Arial"/>
                <w:sz w:val="14"/>
                <w:szCs w:val="14"/>
                <w:b w:val="1"/>
                <w:bCs w:val="1"/>
                <w:color w:val="auto"/>
              </w:rPr>
              <w:t>December 31, 2020</w:t>
            </w:r>
          </w:p>
        </w:tc>
      </w:tr>
      <w:tr>
        <w:trPr>
          <w:trHeight w:val="187"/>
        </w:trPr>
        <w:tc>
          <w:tcPr>
            <w:tcW w:w="5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321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332</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Unsecured debt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20,270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20,988</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256</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Total automotive debt(a)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20,890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21,576</w:t>
            </w:r>
          </w:p>
        </w:tc>
      </w:tr>
      <w:tr>
        <w:trPr>
          <w:trHeight w:val="46"/>
        </w:trPr>
        <w:tc>
          <w:tcPr>
            <w:tcW w:w="5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0"/>
        </w:trPr>
        <w:tc>
          <w:tcPr>
            <w:tcW w:w="51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Fair value utilizing Level 1 inputs</w:t>
            </w:r>
          </w:p>
        </w:tc>
        <w:tc>
          <w:tcPr>
            <w:tcW w:w="1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tcBorders>
          </w:tcPr>
          <w:p>
            <w:pPr>
              <w:jc w:val="right"/>
              <w:ind w:right="132"/>
              <w:spacing w:after="0"/>
              <w:rPr>
                <w:sz w:val="20"/>
                <w:szCs w:val="20"/>
                <w:color w:val="auto"/>
              </w:rPr>
            </w:pPr>
            <w:r>
              <w:rPr>
                <w:rFonts w:ascii="Arial" w:cs="Arial" w:eastAsia="Arial" w:hAnsi="Arial"/>
                <w:sz w:val="18"/>
                <w:szCs w:val="18"/>
                <w:color w:val="auto"/>
              </w:rPr>
              <w:t>19,112</w:t>
            </w: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tcBorders>
          </w:tcPr>
          <w:p>
            <w:pPr>
              <w:jc w:val="right"/>
              <w:ind w:right="132"/>
              <w:spacing w:after="0"/>
              <w:rPr>
                <w:sz w:val="20"/>
                <w:szCs w:val="20"/>
                <w:color w:val="auto"/>
              </w:rPr>
            </w:pPr>
            <w:r>
              <w:rPr>
                <w:rFonts w:ascii="Arial" w:cs="Arial" w:eastAsia="Arial" w:hAnsi="Arial"/>
                <w:sz w:val="18"/>
                <w:szCs w:val="18"/>
                <w:color w:val="auto"/>
              </w:rPr>
              <w:t>19,826</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utilizing Level 2 inputs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1,750</w:t>
            </w:r>
          </w:p>
        </w:tc>
      </w:tr>
      <w:tr>
        <w:trPr>
          <w:trHeight w:val="54"/>
        </w:trPr>
        <w:tc>
          <w:tcPr>
            <w:tcW w:w="5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under credit facility agreements(b)</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18,210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18,222</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w w:val="98"/>
              </w:rPr>
              <w:t>Weighted-average interest rate on outstanding short-term debt(c)</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Weighted-average interest rate on outstanding long-term debt(c)</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net discount and debt issuance costs of $529 million and $540 million at March 31, 2021 and December 31, 2020.</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Excludes our 364-day, $2.0 billion facility allocated for exclusive use by GM Financial.</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coupon rates on debt denominated in various foreign currencies and interest free loans.</w:t>
      </w:r>
    </w:p>
    <w:p>
      <w:pPr>
        <w:spacing w:after="0" w:line="230"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Unsecured debt primarily consists of senior notes. In April 2021, we increased the total borrowing capacity of our five-year, $10.5 billion facility to $11.2 billion and extended the termination date for a $9.9 billion portion of the five-year facility by three years, now set to mature on April 18, 2026. The termination date of April 18, 2023 for the remaining portion of the five-year facility remains unchanged. We also renewed and increased the total borrowing capacity of our three-year, $4.0 billion facility to $4.3 billion, which now matures on April 7, 2024, and renewed our 364-day, $2.0 billion facility allocated for exclusive use by GM Financial, which now matures on April 6, 2022. We also terminated our 364-day, $2.0 billion revolving credit facility, entered into in May 2020. Additionally, the prior restrictions on share repurchases and dividends on our common shares were removed upon entrance into the renewed three-year, $4.3 billion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debt of GM Financial:</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5"/>
          </w:tcPr>
          <w:p>
            <w:pPr>
              <w:ind w:left="86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6"/>
                <w:szCs w:val="16"/>
                <w:color w:val="auto"/>
              </w:rPr>
            </w:pPr>
          </w:p>
        </w:tc>
        <w:tc>
          <w:tcPr>
            <w:tcW w:w="2840" w:type="dxa"/>
            <w:vAlign w:val="bottom"/>
            <w:gridSpan w:val="4"/>
          </w:tcPr>
          <w:p>
            <w:pPr>
              <w:jc w:val="right"/>
              <w:ind w:right="813"/>
              <w:spacing w:after="0"/>
              <w:rPr>
                <w:sz w:val="20"/>
                <w:szCs w:val="20"/>
                <w:color w:val="auto"/>
              </w:rPr>
            </w:pPr>
            <w:r>
              <w:rPr>
                <w:rFonts w:ascii="Arial" w:cs="Arial" w:eastAsia="Arial" w:hAnsi="Arial"/>
                <w:sz w:val="14"/>
                <w:szCs w:val="14"/>
                <w:b w:val="1"/>
                <w:bCs w:val="1"/>
                <w:color w:val="auto"/>
              </w:rPr>
              <w:t>December 31, 2020</w:t>
            </w:r>
          </w:p>
        </w:tc>
      </w:tr>
      <w:tr>
        <w:trPr>
          <w:trHeight w:val="187"/>
        </w:trPr>
        <w:tc>
          <w:tcPr>
            <w:tcW w:w="5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Amount</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debt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40,292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40,380</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Unsecured debt</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53,730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54,568</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GM Financial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94,948</w:t>
            </w:r>
          </w:p>
        </w:tc>
      </w:tr>
      <w:tr>
        <w:trPr>
          <w:trHeight w:val="21"/>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utilizing Level 2 inputs</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92,922</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Fair value utilizing Level 3 inputs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2,026</w:t>
            </w:r>
          </w:p>
        </w:tc>
      </w:tr>
    </w:tbl>
    <w:p>
      <w:pPr>
        <w:spacing w:after="0" w:line="30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Secured debt consists of revolving credit facilities and securitization notes payable. Most of the secured debt was issued by VIEs and is repayable only from proceeds related to the underlying pledged assets. Refer to Note 8 to our condensed consolidated financial statements for additional information on GM Financial's involvement with VIEs. In the three months ended March 31, 2021, GM Financial renewed revolving credit facilities with total borrowing capacity of $6.0 billion and issued $8.2 billion in aggregate principal amount of securitization notes payable with an initial weighted average interest rate of 0.82% and maturity dates ranging from 2022 to 2028.</w:t>
      </w:r>
    </w:p>
    <w:p>
      <w:pPr>
        <w:spacing w:after="0" w:line="215"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Unsecured debt consists of senior notes, credit facilities and other unsecured debt. In the three months ended March 31, 2021, GM Financial issued $3.8 billion in aggregate principal amount of senior notes with an initial weighted average interest rate of 1.44% and maturity dates ranging from 2025 to 2031.</w:t>
      </w:r>
    </w:p>
    <w:p>
      <w:pPr>
        <w:spacing w:after="0" w:line="15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April 2021, GM Financial issued $2.3 billion in senior notes with a weighted average interest rate of 1.60% and maturity dates ranging from 2024 to 2028.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 Financial Instruments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the notional amounts of derivative financial instruments in our automotive operations: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15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4"/>
                <w:szCs w:val="14"/>
                <w:color w:val="auto"/>
              </w:rPr>
            </w:pPr>
          </w:p>
        </w:tc>
        <w:tc>
          <w:tcPr>
            <w:tcW w:w="14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86"/>
        </w:trPr>
        <w:tc>
          <w:tcPr>
            <w:tcW w:w="678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w:t>
            </w:r>
          </w:p>
        </w:tc>
        <w:tc>
          <w:tcPr>
            <w:tcW w:w="2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hedges(a)</w:t>
            </w: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Commodity</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Stellantis warrants, formerly known as PSA warrants(b)</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Total derivative financial instruments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1"/>
        </w:trPr>
        <w:tc>
          <w:tcPr>
            <w:tcW w:w="6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hanging="332"/>
        <w:spacing w:after="0" w:line="246" w:lineRule="auto"/>
        <w:tabs>
          <w:tab w:leader="none" w:pos="331"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fair value of these derivative instruments at March 31, 2021 and December 31, 2020 and the gains/losses included in our condensed consolidated income statements for the three months ended March 31, 2021 and 2020 were insignificant, unless otherwise noted.</w:t>
      </w:r>
    </w:p>
    <w:p>
      <w:pPr>
        <w:jc w:val="both"/>
        <w:ind w:left="340" w:hanging="332"/>
        <w:spacing w:after="0" w:line="249"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a result of the merger of Peugeot, S.A. (PSA Group) and Fiat Chrysler Automobiles N.V. on January 16, 2021, our 39.7 million warrants in Stellantis N.V. (Stellantis) will convert into 69.2 million common shares of Stellantis upon exercise. These warrants will continue to be governed by the same terms and conditions that were applicable prior to the merger. The fair value of these warrants, located in Other assets, was $1.3 billion and $1.1 billion at March 31, 2021 and December 31, 2020. We recorded a gain of $210 million and loss of $417 million in Interest income and other non-operating income, net in the three months ended March 31, 2021 and 2020.</w:t>
      </w:r>
    </w:p>
    <w:p>
      <w:pPr>
        <w:spacing w:after="0" w:line="215" w:lineRule="exact"/>
        <w:rPr>
          <w:sz w:val="20"/>
          <w:szCs w:val="20"/>
          <w:color w:val="auto"/>
        </w:rPr>
      </w:pPr>
    </w:p>
    <w:p>
      <w:pPr>
        <w:ind w:firstLine="162"/>
        <w:spacing w:after="0" w:line="342" w:lineRule="auto"/>
        <w:rPr>
          <w:sz w:val="20"/>
          <w:szCs w:val="20"/>
          <w:color w:val="auto"/>
        </w:rPr>
      </w:pPr>
      <w:r>
        <w:rPr>
          <w:rFonts w:ascii="Arial" w:cs="Arial" w:eastAsia="Arial" w:hAnsi="Arial"/>
          <w:sz w:val="16"/>
          <w:szCs w:val="16"/>
          <w:color w:val="auto"/>
        </w:rPr>
        <w:t>We estimate the fair value of the Stellantis warrants using a Black-Scholes formula. The significant inputs to the model include the Stellantis stock price and the estimated dividend yield. We are entitled to receive any dividends declared by Stellantis through the conversion date upon exercise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the gross fair value amounts of GM Financial's derivative financial instruments and the associated notional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March 31, 2021</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Level</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7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020" w:type="dxa"/>
            <w:vAlign w:val="bottom"/>
            <w:tcBorders>
              <w:top w:val="single" w:sz="8" w:color="auto"/>
            </w:tcBorders>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95"/>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55"/>
              <w:spacing w:after="0" w:line="130" w:lineRule="exact"/>
              <w:rPr>
                <w:sz w:val="20"/>
                <w:szCs w:val="20"/>
                <w:color w:val="auto"/>
              </w:rPr>
            </w:pPr>
            <w:r>
              <w:rPr>
                <w:rFonts w:ascii="Arial" w:cs="Arial" w:eastAsia="Arial" w:hAnsi="Arial"/>
                <w:sz w:val="14"/>
                <w:szCs w:val="14"/>
                <w:b w:val="1"/>
                <w:bCs w:val="1"/>
                <w:color w:val="auto"/>
                <w:w w:val="95"/>
              </w:rPr>
              <w:t>Fair Value of</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w w:val="99"/>
              </w:rPr>
              <w:t>Notional</w:t>
            </w: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120"/>
              <w:spacing w:after="0" w:line="130" w:lineRule="exact"/>
              <w:rPr>
                <w:sz w:val="20"/>
                <w:szCs w:val="20"/>
                <w:color w:val="auto"/>
              </w:rPr>
            </w:pPr>
            <w:r>
              <w:rPr>
                <w:rFonts w:ascii="Arial" w:cs="Arial" w:eastAsia="Arial" w:hAnsi="Arial"/>
                <w:sz w:val="14"/>
                <w:szCs w:val="14"/>
                <w:b w:val="1"/>
                <w:bCs w:val="1"/>
                <w:color w:val="auto"/>
                <w:w w:val="95"/>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55"/>
              <w:spacing w:after="0" w:line="130" w:lineRule="exact"/>
              <w:rPr>
                <w:sz w:val="20"/>
                <w:szCs w:val="20"/>
                <w:color w:val="auto"/>
              </w:rPr>
            </w:pPr>
            <w:r>
              <w:rPr>
                <w:rFonts w:ascii="Arial" w:cs="Arial" w:eastAsia="Arial" w:hAnsi="Arial"/>
                <w:sz w:val="14"/>
                <w:szCs w:val="14"/>
                <w:b w:val="1"/>
                <w:bCs w:val="1"/>
                <w:color w:val="auto"/>
                <w:w w:val="92"/>
              </w:rPr>
              <w:t>Fair Value of</w:t>
            </w:r>
          </w:p>
        </w:tc>
        <w:tc>
          <w:tcPr>
            <w:tcW w:w="0" w:type="dxa"/>
            <w:vAlign w:val="bottom"/>
          </w:tcPr>
          <w:p>
            <w:pPr>
              <w:spacing w:after="0"/>
              <w:rPr>
                <w:sz w:val="1"/>
                <w:szCs w:val="1"/>
                <w:color w:val="auto"/>
              </w:rPr>
            </w:pPr>
          </w:p>
        </w:tc>
      </w:tr>
      <w:tr>
        <w:trPr>
          <w:trHeight w:val="186"/>
        </w:trPr>
        <w:tc>
          <w:tcPr>
            <w:tcW w:w="3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Liabilities</w:t>
            </w: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6"/>
                <w:szCs w:val="16"/>
                <w:color w:val="auto"/>
              </w:rPr>
            </w:pPr>
          </w:p>
        </w:tc>
        <w:tc>
          <w:tcPr>
            <w:tcW w:w="940" w:type="dxa"/>
            <w:vAlign w:val="bottom"/>
          </w:tcPr>
          <w:p>
            <w:pPr>
              <w:jc w:val="right"/>
              <w:ind w:right="135"/>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1"/>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Derivatives designated as hedges(a)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Fair value hedges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swaps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Arial" w:cs="Arial" w:eastAsia="Arial" w:hAnsi="Arial"/>
                <w:sz w:val="18"/>
                <w:szCs w:val="18"/>
                <w:color w:val="auto"/>
              </w:rPr>
              <w:t>Foreign currency swaps</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Arial" w:cs="Arial" w:eastAsia="Arial" w:hAnsi="Arial"/>
                <w:sz w:val="18"/>
                <w:szCs w:val="18"/>
                <w:color w:val="auto"/>
              </w:rPr>
              <w:t>Interest rate swaps</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swaps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hedges(a)</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Arial" w:cs="Arial" w:eastAsia="Arial" w:hAnsi="Arial"/>
                <w:sz w:val="18"/>
                <w:szCs w:val="18"/>
                <w:color w:val="auto"/>
              </w:rPr>
              <w:t>Total derivative financial instruments(b)</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134,372</w:t>
            </w:r>
          </w:p>
        </w:tc>
        <w:tc>
          <w:tcPr>
            <w:tcW w:w="10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129,566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jc w:val="both"/>
        <w:ind w:left="340" w:hanging="332"/>
        <w:spacing w:after="0" w:line="246" w:lineRule="auto"/>
        <w:tabs>
          <w:tab w:leader="none" w:pos="331"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gains/losses included in our condensed consolidated income statements and statements of comprehensive income for the three months ended March 31, 2021 and 2020 were insignificant, unless otherwise noted. Amounts accrued for interest payments in a net receivable position are included in Other assets. Amounts accrued for interest payments in a net payable position are included in Other liabilities.</w:t>
      </w:r>
    </w:p>
    <w:p>
      <w:pPr>
        <w:spacing w:after="0" w:line="1" w:lineRule="exact"/>
        <w:rPr>
          <w:rFonts w:ascii="Arial" w:cs="Arial" w:eastAsia="Arial" w:hAnsi="Arial"/>
          <w:sz w:val="16"/>
          <w:szCs w:val="16"/>
          <w:color w:val="auto"/>
        </w:rPr>
      </w:pPr>
    </w:p>
    <w:p>
      <w:pPr>
        <w:ind w:left="340" w:hanging="332"/>
        <w:spacing w:after="0" w:line="290" w:lineRule="auto"/>
        <w:tabs>
          <w:tab w:leader="none" w:pos="340" w:val="left"/>
        </w:tabs>
        <w:numPr>
          <w:ilvl w:val="0"/>
          <w:numId w:val="9"/>
        </w:numPr>
        <w:rPr>
          <w:rFonts w:ascii="Arial" w:cs="Arial" w:eastAsia="Arial" w:hAnsi="Arial"/>
          <w:sz w:val="15"/>
          <w:szCs w:val="15"/>
          <w:color w:val="auto"/>
        </w:rPr>
      </w:pPr>
      <w:r>
        <w:rPr>
          <w:rFonts w:ascii="Arial" w:cs="Arial" w:eastAsia="Arial" w:hAnsi="Arial"/>
          <w:sz w:val="15"/>
          <w:szCs w:val="15"/>
          <w:color w:val="auto"/>
        </w:rPr>
        <w:t>GM Financial held $450 million and $728 million of collateral from counterparties available for netting against GM Financial's asset positions, and posted an insignificant amount of collateral to counterparties available for netting against GM Financial's liability positions at March 31, 2021 and December 31, 2020.</w:t>
      </w:r>
    </w:p>
    <w:p>
      <w:pPr>
        <w:spacing w:after="0" w:line="18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19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amounts were recorded in the condensed consolidated balance sheets related to items designated and qualifying as hedged items in fair value hedging relationships: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700" w:type="dxa"/>
            <w:vAlign w:val="bottom"/>
            <w:gridSpan w:val="5"/>
          </w:tcPr>
          <w:p>
            <w:pPr>
              <w:ind w:left="1120"/>
              <w:spacing w:after="0"/>
              <w:rPr>
                <w:sz w:val="20"/>
                <w:szCs w:val="20"/>
                <w:color w:val="auto"/>
              </w:rPr>
            </w:pPr>
            <w:r>
              <w:rPr>
                <w:rFonts w:ascii="Arial" w:cs="Arial" w:eastAsia="Arial" w:hAnsi="Arial"/>
                <w:sz w:val="14"/>
                <w:szCs w:val="14"/>
                <w:b w:val="1"/>
                <w:bCs w:val="1"/>
                <w:color w:val="auto"/>
              </w:rPr>
              <w:t>March 31, 2021</w:t>
            </w:r>
          </w:p>
        </w:tc>
        <w:tc>
          <w:tcPr>
            <w:tcW w:w="420" w:type="dxa"/>
            <w:vAlign w:val="bottom"/>
          </w:tcPr>
          <w:p>
            <w:pPr>
              <w:spacing w:after="0"/>
              <w:rPr>
                <w:sz w:val="16"/>
                <w:szCs w:val="16"/>
                <w:color w:val="auto"/>
              </w:rPr>
            </w:pPr>
          </w:p>
        </w:tc>
        <w:tc>
          <w:tcPr>
            <w:tcW w:w="3620" w:type="dxa"/>
            <w:vAlign w:val="bottom"/>
            <w:gridSpan w:val="4"/>
          </w:tcPr>
          <w:p>
            <w:pPr>
              <w:jc w:val="right"/>
              <w:ind w:right="1361"/>
              <w:spacing w:after="0"/>
              <w:rPr>
                <w:sz w:val="20"/>
                <w:szCs w:val="20"/>
                <w:color w:val="auto"/>
              </w:rPr>
            </w:pPr>
            <w:r>
              <w:rPr>
                <w:rFonts w:ascii="Arial" w:cs="Arial" w:eastAsia="Arial" w:hAnsi="Arial"/>
                <w:sz w:val="14"/>
                <w:szCs w:val="14"/>
                <w:b w:val="1"/>
                <w:bCs w:val="1"/>
                <w:color w:val="auto"/>
              </w:rPr>
              <w:t>December 31, 2020</w:t>
            </w:r>
          </w:p>
        </w:tc>
      </w:tr>
      <w:tr>
        <w:trPr>
          <w:trHeight w:val="121"/>
        </w:trPr>
        <w:tc>
          <w:tcPr>
            <w:tcW w:w="3060" w:type="dxa"/>
            <w:vAlign w:val="bottom"/>
          </w:tcPr>
          <w:p>
            <w:pPr>
              <w:spacing w:after="0"/>
              <w:rPr>
                <w:sz w:val="10"/>
                <w:szCs w:val="10"/>
                <w:color w:val="auto"/>
              </w:rPr>
            </w:pPr>
          </w:p>
        </w:tc>
        <w:tc>
          <w:tcPr>
            <w:tcW w:w="1840" w:type="dxa"/>
            <w:vAlign w:val="bottom"/>
            <w:tcBorders>
              <w:top w:val="single" w:sz="8" w:color="auto"/>
            </w:tcBorders>
            <w:gridSpan w:val="3"/>
          </w:tcPr>
          <w:p>
            <w:pPr>
              <w:jc w:val="center"/>
              <w:ind w:right="100"/>
              <w:spacing w:after="0" w:line="121" w:lineRule="exact"/>
              <w:rPr>
                <w:sz w:val="20"/>
                <w:szCs w:val="20"/>
                <w:color w:val="auto"/>
              </w:rPr>
            </w:pPr>
            <w:r>
              <w:rPr>
                <w:rFonts w:ascii="Arial" w:cs="Arial" w:eastAsia="Arial" w:hAnsi="Arial"/>
                <w:sz w:val="13"/>
                <w:szCs w:val="13"/>
                <w:b w:val="1"/>
                <w:bCs w:val="1"/>
                <w:color w:val="auto"/>
                <w:w w:val="88"/>
              </w:rPr>
              <w:t>Carrying Amount of Hedged</w:t>
            </w:r>
          </w:p>
        </w:tc>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center"/>
              <w:ind w:right="41"/>
              <w:spacing w:after="0" w:line="121" w:lineRule="exact"/>
              <w:rPr>
                <w:sz w:val="20"/>
                <w:szCs w:val="20"/>
                <w:color w:val="auto"/>
              </w:rPr>
            </w:pPr>
            <w:r>
              <w:rPr>
                <w:rFonts w:ascii="Arial" w:cs="Arial" w:eastAsia="Arial" w:hAnsi="Arial"/>
                <w:sz w:val="13"/>
                <w:szCs w:val="13"/>
                <w:b w:val="1"/>
                <w:bCs w:val="1"/>
                <w:color w:val="auto"/>
                <w:w w:val="89"/>
              </w:rPr>
              <w:t>Cumulative Amount of Fair Value</w:t>
            </w:r>
          </w:p>
        </w:tc>
        <w:tc>
          <w:tcPr>
            <w:tcW w:w="100" w:type="dxa"/>
            <w:vAlign w:val="bottom"/>
          </w:tcPr>
          <w:p>
            <w:pPr>
              <w:spacing w:after="0"/>
              <w:rPr>
                <w:sz w:val="10"/>
                <w:szCs w:val="10"/>
                <w:color w:val="auto"/>
              </w:rPr>
            </w:pPr>
          </w:p>
        </w:tc>
        <w:tc>
          <w:tcPr>
            <w:tcW w:w="1860" w:type="dxa"/>
            <w:vAlign w:val="bottom"/>
            <w:tcBorders>
              <w:top w:val="single" w:sz="8" w:color="auto"/>
            </w:tcBorders>
            <w:gridSpan w:val="3"/>
          </w:tcPr>
          <w:p>
            <w:pPr>
              <w:jc w:val="center"/>
              <w:ind w:right="100"/>
              <w:spacing w:after="0" w:line="121" w:lineRule="exact"/>
              <w:rPr>
                <w:sz w:val="20"/>
                <w:szCs w:val="20"/>
                <w:color w:val="auto"/>
              </w:rPr>
            </w:pPr>
            <w:r>
              <w:rPr>
                <w:rFonts w:ascii="Arial" w:cs="Arial" w:eastAsia="Arial" w:hAnsi="Arial"/>
                <w:sz w:val="13"/>
                <w:szCs w:val="13"/>
                <w:b w:val="1"/>
                <w:bCs w:val="1"/>
                <w:color w:val="auto"/>
                <w:w w:val="89"/>
              </w:rPr>
              <w:t>Carrying Amount of Hedged</w:t>
            </w:r>
          </w:p>
        </w:tc>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right"/>
              <w:ind w:right="101"/>
              <w:spacing w:after="0" w:line="121" w:lineRule="exact"/>
              <w:rPr>
                <w:sz w:val="20"/>
                <w:szCs w:val="20"/>
                <w:color w:val="auto"/>
              </w:rPr>
            </w:pPr>
            <w:r>
              <w:rPr>
                <w:rFonts w:ascii="Arial" w:cs="Arial" w:eastAsia="Arial" w:hAnsi="Arial"/>
                <w:sz w:val="13"/>
                <w:szCs w:val="13"/>
                <w:b w:val="1"/>
                <w:bCs w:val="1"/>
                <w:color w:val="auto"/>
                <w:w w:val="89"/>
              </w:rPr>
              <w:t>Cumulative Amount of Fair Value</w:t>
            </w:r>
          </w:p>
        </w:tc>
      </w:tr>
      <w:tr>
        <w:trPr>
          <w:trHeight w:val="170"/>
        </w:trPr>
        <w:tc>
          <w:tcPr>
            <w:tcW w:w="3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88"/>
              </w:rPr>
              <w:t>Items</w:t>
            </w:r>
          </w:p>
        </w:tc>
        <w:tc>
          <w:tcPr>
            <w:tcW w:w="140" w:type="dxa"/>
            <w:vAlign w:val="bottom"/>
          </w:tcPr>
          <w:p>
            <w:pPr>
              <w:spacing w:after="0"/>
              <w:rPr>
                <w:sz w:val="14"/>
                <w:szCs w:val="14"/>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Hedging Adjustments(a)</w:t>
            </w:r>
          </w:p>
        </w:tc>
        <w:tc>
          <w:tcPr>
            <w:tcW w:w="42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8"/>
              </w:rPr>
              <w:t>Items</w:t>
            </w:r>
          </w:p>
        </w:tc>
        <w:tc>
          <w:tcPr>
            <w:tcW w:w="140" w:type="dxa"/>
            <w:vAlign w:val="bottom"/>
          </w:tcPr>
          <w:p>
            <w:pPr>
              <w:spacing w:after="0"/>
              <w:rPr>
                <w:sz w:val="14"/>
                <w:szCs w:val="14"/>
                <w:color w:val="auto"/>
              </w:rPr>
            </w:pPr>
          </w:p>
        </w:tc>
        <w:tc>
          <w:tcPr>
            <w:tcW w:w="2040" w:type="dxa"/>
            <w:vAlign w:val="bottom"/>
          </w:tcPr>
          <w:p>
            <w:pPr>
              <w:jc w:val="right"/>
              <w:ind w:right="361"/>
              <w:spacing w:after="0"/>
              <w:rPr>
                <w:sz w:val="20"/>
                <w:szCs w:val="20"/>
                <w:color w:val="auto"/>
              </w:rPr>
            </w:pPr>
            <w:r>
              <w:rPr>
                <w:rFonts w:ascii="Arial" w:cs="Arial" w:eastAsia="Arial" w:hAnsi="Arial"/>
                <w:sz w:val="13"/>
                <w:szCs w:val="13"/>
                <w:b w:val="1"/>
                <w:bCs w:val="1"/>
                <w:color w:val="auto"/>
              </w:rPr>
              <w:t>Hedging Adjustments(a)</w:t>
            </w:r>
          </w:p>
        </w:tc>
      </w:tr>
      <w:tr>
        <w:trPr>
          <w:trHeight w:val="229"/>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unsecured debt</w:t>
            </w: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unsecured debt</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r>
      <w:tr>
        <w:trPr>
          <w:trHeight w:val="248"/>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unsecured debt</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right="20" w:hanging="332"/>
        <w:spacing w:after="0" w:line="257" w:lineRule="auto"/>
        <w:tabs>
          <w:tab w:leader="none" w:pos="33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$201 million and $200 million of unamortized gains remaining on hedged items for which hedge accounting has been discontinued at March 31, 2021 and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Accrued and Other Liabilities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2020</w:t>
            </w: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Accrued 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Dealer and customer allowances, claims and discounts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7,300</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3,104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3,132</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warranty and related liabilities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3,048</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Payrolls and employee benefits excluding postemployment benefits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1,864</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7,725</w:t>
            </w: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color w:val="auto"/>
              </w:rPr>
              <w:t>Total accrued liabilities</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20,809</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gridSpan w:val="2"/>
          </w:tcPr>
          <w:p>
            <w:pPr>
              <w:jc w:val="right"/>
              <w:ind w:right="80"/>
              <w:spacing w:after="0" w:line="196" w:lineRule="exact"/>
              <w:rPr>
                <w:sz w:val="20"/>
                <w:szCs w:val="20"/>
                <w:color w:val="auto"/>
              </w:rPr>
            </w:pPr>
            <w:r>
              <w:rPr>
                <w:rFonts w:ascii="Arial" w:cs="Arial" w:eastAsia="Arial" w:hAnsi="Arial"/>
                <w:sz w:val="18"/>
                <w:szCs w:val="18"/>
                <w:color w:val="auto"/>
              </w:rPr>
              <w:t>23,069</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23"/>
        </w:trPr>
        <w:tc>
          <w:tcPr>
            <w:tcW w:w="7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2,715</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Product warranty and related liabilities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4,964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5,193</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969</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Employee benefits excluding postemployment benefits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822</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Postemployment benefits including facility idling reserves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739</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2,997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3,009</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13,447</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r>
      <w:tr>
        <w:trPr>
          <w:trHeight w:val="265"/>
        </w:trPr>
        <w:tc>
          <w:tcPr>
            <w:tcW w:w="7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20" w:type="dxa"/>
            <w:vAlign w:val="bottom"/>
            <w:gridSpan w:val="6"/>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77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w w:val="98"/>
              </w:rPr>
              <w:t>March 31, 2021</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6"/>
                <w:szCs w:val="16"/>
                <w:color w:val="auto"/>
              </w:rPr>
            </w:pPr>
          </w:p>
        </w:tc>
      </w:tr>
      <w:tr>
        <w:trPr>
          <w:trHeight w:val="212"/>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Product Warranty and Related Liabilities</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balance at beginning of period</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8,242</w:t>
            </w: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100" w:type="dxa"/>
            <w:vAlign w:val="bottom"/>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Warranties issued and assumed in period – recall campaigns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Warranties issued and assumed in period – product warranty</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Payments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pre-existing warranties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currency and other</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balance at end of period</w:t>
            </w: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7,398</w:t>
            </w:r>
          </w:p>
        </w:tc>
        <w:tc>
          <w:tcPr>
            <w:tcW w:w="100" w:type="dxa"/>
            <w:vAlign w:val="bottom"/>
          </w:tcPr>
          <w:p>
            <w:pPr>
              <w:spacing w:after="0"/>
              <w:rPr>
                <w:sz w:val="21"/>
                <w:szCs w:val="2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We estimate our reasonably possible loss in excess of amounts accrued for recall campaigns to be insignificant at March 31, 2021. Refer to Note 13 to our condensed consolidated financial statements for more details on Takata Corporation (Takata) matters.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Pensions and Other Postretirement Benefits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5"/>
              </w:rPr>
              <w:t>Three Months Ended March 31, 2021</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Three Months Ended March 31, 2020</w:t>
            </w: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5"/>
          </w:tcPr>
          <w:p>
            <w:pPr>
              <w:jc w:val="right"/>
              <w:ind w:right="49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1"/>
                <w:szCs w:val="21"/>
                <w:color w:val="auto"/>
              </w:rPr>
            </w:pPr>
          </w:p>
        </w:tc>
        <w:tc>
          <w:tcPr>
            <w:tcW w:w="11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Global OPEB</w:t>
            </w:r>
          </w:p>
        </w:tc>
        <w:tc>
          <w:tcPr>
            <w:tcW w:w="2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1"/>
                <w:szCs w:val="21"/>
                <w:color w:val="auto"/>
              </w:rPr>
            </w:pPr>
          </w:p>
        </w:tc>
        <w:tc>
          <w:tcPr>
            <w:tcW w:w="10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Global OPEB</w:t>
            </w:r>
          </w:p>
        </w:tc>
        <w:tc>
          <w:tcPr>
            <w:tcW w:w="0" w:type="dxa"/>
            <w:vAlign w:val="bottom"/>
          </w:tcPr>
          <w:p>
            <w:pPr>
              <w:spacing w:after="0"/>
              <w:rPr>
                <w:sz w:val="1"/>
                <w:szCs w:val="1"/>
                <w:color w:val="auto"/>
              </w:rPr>
            </w:pPr>
          </w:p>
        </w:tc>
      </w:tr>
      <w:tr>
        <w:trPr>
          <w:trHeight w:val="67"/>
        </w:trPr>
        <w:tc>
          <w:tcPr>
            <w:tcW w:w="4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114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5"/>
                <w:szCs w:val="5"/>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Plans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Plans</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actuarial losses</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Net periodic pension and OPEB (income) expense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9"/>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2"/>
        </w:trPr>
        <w:tc>
          <w:tcPr>
            <w:tcW w:w="4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gridSpan w:val="3"/>
          </w:tcPr>
          <w:p>
            <w:pPr>
              <w:jc w:val="right"/>
              <w:ind w:right="10"/>
              <w:spacing w:after="0"/>
              <w:rPr>
                <w:sz w:val="20"/>
                <w:szCs w:val="20"/>
                <w:color w:val="auto"/>
              </w:rPr>
            </w:pPr>
            <w:r>
              <w:rPr>
                <w:rFonts w:ascii="Arial" w:cs="Arial" w:eastAsia="Arial" w:hAnsi="Arial"/>
                <w:sz w:val="18"/>
                <w:szCs w:val="18"/>
                <w:color w:val="auto"/>
                <w:w w:val="89"/>
              </w:rPr>
              <w:t>16</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5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9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non-service cost components of net periodic pension and other postretirement benefits (OPEB) income of $483 million and $338 million in the three months ended March 31, 2021 and 2020 are presented in Interest income and other non-operating income, net.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Litigation-Related Liability and Tax Administrative Matters </w:t>
      </w:r>
      <w:r>
        <w:rPr>
          <w:rFonts w:ascii="Arial" w:cs="Arial" w:eastAsia="Arial" w:hAnsi="Arial"/>
          <w:sz w:val="18"/>
          <w:szCs w:val="18"/>
          <w:color w:val="auto"/>
        </w:rPr>
        <w:t>In the normal course of our business, we are named from time to time as a defendant in</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March 31, 2021 and December 31, 2020, we had accruals of $1.1 billion and $1.2 billion in Accrued liabilities and Other liabilities. In many matters, it is inherently difficult to determine whether loss is probable or reasonably possible or to estimate the size or range of the possible loss. Accordingly, adverse outcomes from such proceedings could exceed the amounts accrued by an amount that could be material to our results of operations or cash flows in any particular reporting period.</w:t>
      </w:r>
    </w:p>
    <w:p>
      <w:pPr>
        <w:spacing w:after="0" w:line="22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6"/>
          <w:szCs w:val="16"/>
          <w:b w:val="1"/>
          <w:bCs w:val="1"/>
          <w:i w:val="1"/>
          <w:iCs w:val="1"/>
          <w:color w:val="auto"/>
        </w:rPr>
        <w:t xml:space="preserve">GM Korea Wage Litigation </w:t>
      </w:r>
      <w:r>
        <w:rPr>
          <w:rFonts w:ascii="Arial" w:cs="Arial" w:eastAsia="Arial" w:hAnsi="Arial"/>
          <w:sz w:val="16"/>
          <w:szCs w:val="16"/>
          <w:color w:val="auto"/>
        </w:rPr>
        <w:t>GM Korea Company (GM Korea) is party to litigation with current and former salaried employees over whether to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fixed bonuses in the calculation of Ordinary Wages due under Korean regulations. In 2017, the Seoul High Court (an intermediate-level appellate court) held that certain workers are not barred from filing retroactive wage claims. GM Korea appealed this ruling to the Supreme Court of the Republic of Korea (Korean Supreme Court). The Korean Supreme Court has not yet rendered a decision. We estimate our reasonably possible loss in excess of amounts accrued to be approximately $180 million at March 31, 2021. Both the scope of claims asserted and GM Korea's assessment of any or all of the individual claim elements may change if new information becomes available or the legal or regulatory frameworks change.</w:t>
      </w:r>
    </w:p>
    <w:p>
      <w:pPr>
        <w:spacing w:after="0" w:line="188"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GM Korea is also party to litigation with current and former subcontract workers over allegations that they are entitled to the same wages and benefits provided to full-time employees, and to be hired as full-time employees. In May 2018 and September 2020, the Korean labor authorities issued adverse administrative orders finding that GM Korea must hire certain current subcontract workers as full-time employees. GM Korea appealed the May 2018 and September 2020 orders. In June 2020, the Seoul High Court ruled against GM Korea in one of the subcontract worker claims. GM Korea has appealed this decision to the Korean Supreme Court. At March 31, 2021, our accrual covering certain asserted claims and claims that we believe are probable of assertion and for which liability is probable was approximately $250 million. We estimate the reasonably possible loss in excess of amounts accrued for other current subcontract workers who may assert similar claims to be approximately $120 million at March 31, 2021. We are currently unable to estimate any possible loss or range of loss that may result from additional claims that may be asserted by former subcontract workers.</w:t>
      </w:r>
    </w:p>
    <w:p>
      <w:pPr>
        <w:spacing w:after="0" w:line="19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GM Brazil Indirect Tax Claim </w:t>
      </w:r>
      <w:r>
        <w:rPr>
          <w:rFonts w:ascii="Arial" w:cs="Arial" w:eastAsia="Arial" w:hAnsi="Arial"/>
          <w:sz w:val="18"/>
          <w:szCs w:val="18"/>
          <w:color w:val="auto"/>
        </w:rPr>
        <w:t>In 2019, the Superior Court of Brazil rendered favorable decisions on three cases brought by GM Brazil that granted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the right to recover certain taxes collected by the government. As a result, GM Brazil recorded pre-tax recoveries of $1.4 billion in the year ended December 31, 2019 and we are currently realizing the recoveries as we have federal tax liabilities eligible for offset. A Motion of Clarification has been filed by the Brazilian IRS with the Brazilian Supreme Court and it is scheduled for decision in May 2021. We expect third parties will file claims asserting challenges, including entitlements, to some or all of the tax recoveries awarded and recognized by GM, and GM intends to defend against any such claims if they are filed.</w:t>
      </w:r>
    </w:p>
    <w:p>
      <w:pPr>
        <w:spacing w:after="0" w:line="219"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b w:val="1"/>
          <w:bCs w:val="1"/>
          <w:i w:val="1"/>
          <w:iCs w:val="1"/>
          <w:color w:val="auto"/>
        </w:rPr>
        <w:t xml:space="preserve">Other Litigation-Related Liability and Tax Administrative Matters </w:t>
      </w:r>
      <w:r>
        <w:rPr>
          <w:rFonts w:ascii="Arial" w:cs="Arial" w:eastAsia="Arial" w:hAnsi="Arial"/>
          <w:sz w:val="18"/>
          <w:szCs w:val="18"/>
          <w:color w:val="auto"/>
        </w:rPr>
        <w:t>Various other legal actions, including class actions, governmental investigations,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claims and proceedings are pending against us or our related companies or joint ventures, including matters arising out of alleged product defects; employment-related matters; product and workplace safety, vehicle emissions and fuel economy regulations; product warranties; financial services; dealer, supplier and other contractual relationships; government regulations relating to competition issues; tax-related matters not subject to the provision of Accounting Standards Codification 740, "Income Taxes" (indirect tax-related matters); product design, manufacture and performance; consumer protection laws; and environmental protection laws, including laws regulating air emissions, water discharges, waste management and environmental remediation from stationary sources.</w:t>
      </w:r>
    </w:p>
    <w:p>
      <w:pPr>
        <w:spacing w:after="0" w:line="22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There are several putative class actions pending against GM in federal courts in the U.S. and in the Provincial Courts in Canada alleging that various vehicles sold, including model year 2011-2016 Duramax Diesel Chevrolet Silverado and GMC Sierra vehicles, violate federal, state and foreign emission standards. We are unable to estimate any reasonably possible loss or range of loss that may result from these actions. GM has also faced a series of additional lawsuits in the U.S. based on these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allegations, including putative shareholder class actions claiming violations of federal securities law and a shareholder demand lawsuit. The securities lawsuits have been voluntarily dismissed by the plaintiffs in those actions.</w:t>
      </w:r>
    </w:p>
    <w:p>
      <w:pPr>
        <w:spacing w:after="0" w:line="19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believe that appropriate accruals have been established for losses that are probable and can be reasonably estimated. It is possible that the resolution of one or more of these matters could exceed the amounts accrued in an amount that could be material to our results of operations. We also from time to time receive subpoenas and other inquiries or requests for information from agencies or other representatives of U.S. federal, state and foreign governments on a variety of issues.</w:t>
      </w:r>
    </w:p>
    <w:p>
      <w:pPr>
        <w:spacing w:after="0" w:line="214"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administrative proceedings are indirect tax-related and may require that we deposit funds in escrow or provide an alternative form of security. Some of the matters may involve compensatory, punitive or other treble damage claims, environmental remediation programs or sanctions that, if granted, could require us to pay damages or make other expenditures in amounts that could not be reasonably estimated at March 31, 2021. We believe that appropriate accruals have been established for losses that are probable and can be reasonably estimated. For indirect tax-related matters we estimate our reasonably possible loss in excess of amounts accrued to be up to approximately $800 million at March 31, 2021.</w:t>
      </w:r>
    </w:p>
    <w:p>
      <w:pPr>
        <w:spacing w:after="0" w:line="21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Takata Matters </w:t>
      </w:r>
      <w:r>
        <w:rPr>
          <w:rFonts w:ascii="Arial" w:cs="Arial" w:eastAsia="Arial" w:hAnsi="Arial"/>
          <w:sz w:val="18"/>
          <w:szCs w:val="18"/>
          <w:color w:val="auto"/>
        </w:rPr>
        <w:t>In November 2020, the National Highway Traffic Safety Administration (NHTSA) directed that we replace the airbag inflators in our</w:t>
      </w:r>
      <w:r>
        <w:rPr>
          <w:rFonts w:ascii="Arial" w:cs="Arial" w:eastAsia="Arial" w:hAnsi="Arial"/>
          <w:sz w:val="18"/>
          <w:szCs w:val="18"/>
          <w:b w:val="1"/>
          <w:bCs w:val="1"/>
          <w:color w:val="auto"/>
        </w:rPr>
        <w:t xml:space="preserve"> </w:t>
      </w:r>
      <w:r>
        <w:rPr>
          <w:rFonts w:ascii="Arial" w:cs="Arial" w:eastAsia="Arial" w:hAnsi="Arial"/>
          <w:sz w:val="18"/>
          <w:szCs w:val="18"/>
          <w:color w:val="auto"/>
        </w:rPr>
        <w:t>GMT900 vehicles, which are full-size pickup trucks and sport utility vehicles (SUVs), and we decided not to contest NHTSA's decision. While we have already begun the process of executing the recall, given the number of vehicles in this population, the recall will take several years to be completed. Accordingly, in the three months ended December 31, 2020, we recorded a warranty accrual of $1.1 billion for the expected costs of complying with the recall remedy, and we believe the currently accrued amount remains reasonable.</w:t>
      </w:r>
    </w:p>
    <w:p>
      <w:pPr>
        <w:spacing w:after="0" w:line="21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Any additional recalls relating to these inflators could be material to our results of operations and cash flows.</w:t>
      </w:r>
    </w:p>
    <w:p>
      <w:pPr>
        <w:spacing w:after="0" w:line="21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There are several putative class actions that have been filed against GM, including in the federal courts in the U.S., in the Provincial Courts in Canada, and in Mexico and Israel, arising out of allegations that airbag inflators manufactured by Takata are defective. At this stage of these proceedings, we are unable to provide an estimate of the amounts or range of possible loss.</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Opel/Vauxhall Sale </w:t>
      </w:r>
      <w:r>
        <w:rPr>
          <w:rFonts w:ascii="Arial" w:cs="Arial" w:eastAsia="Arial" w:hAnsi="Arial"/>
          <w:sz w:val="17"/>
          <w:szCs w:val="17"/>
          <w:color w:val="auto"/>
        </w:rPr>
        <w:t>In 2017 we sold the Opel and Vauxhall businesses and certain other assets in Europe (the Opel/Vauxhall Business) to PSA Group (now</w:t>
      </w:r>
      <w:r>
        <w:rPr>
          <w:rFonts w:ascii="Arial" w:cs="Arial" w:eastAsia="Arial" w:hAnsi="Arial"/>
          <w:sz w:val="17"/>
          <w:szCs w:val="17"/>
          <w:b w:val="1"/>
          <w:bCs w:val="1"/>
          <w:color w:val="auto"/>
        </w:rPr>
        <w:t xml:space="preserve"> </w:t>
      </w:r>
      <w:r>
        <w:rPr>
          <w:rFonts w:ascii="Arial" w:cs="Arial" w:eastAsia="Arial" w:hAnsi="Arial"/>
          <w:sz w:val="17"/>
          <w:szCs w:val="17"/>
          <w:color w:val="auto"/>
        </w:rPr>
        <w:t>Stellantis as a result of the merger of PSA Group and Fiat Chrysler Automobiles N.V. on January 16, 2021) under a Master Agreement (the Agreement). We also sold the European financing subsidiaries and branches (the Fincos, and together with the Opel/Vauxhall Business, the European Business) to Banque PSA Finance S.A. and BNP Paribas Personal Finance S.A. Although the sale reduced our new vehicle presence in Europe, we may still be impacted by actions taken by regulators related to vehicles sold before the sale. Our wholly owned subsidiary (the Seller) agreed to indemnify Stellantis for certain losses resulting from any inaccuracy of the representations and warranties or breaches of our covenants included in the Agreement and for certain other liabilities, including certain emissions and product liabilities. The Company entered into a guarantee for the benefit of Stellantis and pursuant to which the Company agreed to guarantee the Seller's obligation to indemnify Stellantis. Certain of these indemnification obligations are subject to time limitations, thresholds and/or caps as to the amount of required payments.</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Product Liability </w:t>
      </w:r>
      <w:r>
        <w:rPr>
          <w:rFonts w:ascii="Arial" w:cs="Arial" w:eastAsia="Arial" w:hAnsi="Arial"/>
          <w:sz w:val="18"/>
          <w:szCs w:val="18"/>
          <w:color w:val="auto"/>
        </w:rPr>
        <w:t>We recorded liabilities of $588 million and $589 million in Accrued liabilities and Other liabilities at March 31, 2021 and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2020 for the 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 We believe that any judgment against us involving our products for actual damages will be adequately covered by our recorded accruals and, where applicable, excess liability insurance coverage.</w:t>
      </w:r>
    </w:p>
    <w:p>
      <w:pPr>
        <w:spacing w:after="0" w:line="21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Guarantees </w:t>
      </w:r>
      <w:r>
        <w:rPr>
          <w:rFonts w:ascii="Arial" w:cs="Arial" w:eastAsia="Arial" w:hAnsi="Arial"/>
          <w:sz w:val="18"/>
          <w:szCs w:val="18"/>
          <w:color w:val="auto"/>
        </w:rPr>
        <w:t>We enter into indemnification agreements for liability claims involving products manufactured primarily by certain joint ventures.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guarantees terminate in years ranging from 2021 to 2026 or upon the occurrence of specific events or are ongoing. We believe that the related potential costs incurred are adequately covered by our recorded accruals, which are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insignificant. The maximum future undiscounted payments mainly based on vehicles sold to date were $3.2 billion and $3.1 billion for these guarantees at March 31, 2021 and December 31, 2020, the majority of which relates to the indemnification agreements.</w:t>
      </w:r>
    </w:p>
    <w:p>
      <w:pPr>
        <w:spacing w:after="0" w:line="197"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We provide payment guarantees on commercial loans outstanding with third parties such as dealers. In some instances, certain assets of the party or our payables to the party whose debt or performance we have guaranteed may offset, to some degree, the amount of any potential future payments. We are also exposed to residual value guarantees associated with certain sales to rental car companies.</w:t>
      </w:r>
    </w:p>
    <w:p>
      <w:pPr>
        <w:spacing w:after="0" w:line="211" w:lineRule="exact"/>
        <w:rPr>
          <w:sz w:val="20"/>
          <w:szCs w:val="20"/>
          <w:color w:val="auto"/>
        </w:rPr>
      </w:pPr>
    </w:p>
    <w:p>
      <w:pPr>
        <w:jc w:val="both"/>
        <w:ind w:firstLine="162"/>
        <w:spacing w:after="0" w:line="301" w:lineRule="auto"/>
        <w:rPr>
          <w:sz w:val="20"/>
          <w:szCs w:val="20"/>
          <w:color w:val="auto"/>
        </w:rPr>
      </w:pPr>
      <w:r>
        <w:rPr>
          <w:rFonts w:ascii="Arial" w:cs="Arial" w:eastAsia="Arial" w:hAnsi="Arial"/>
          <w:sz w:val="16"/>
          <w:szCs w:val="16"/>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the Opel/Vauxhall Sale section of this note for additional information on our indemnification obligations to Stellantis under the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121" w:lineRule="exact"/>
        <w:rPr>
          <w:sz w:val="20"/>
          <w:szCs w:val="20"/>
          <w:color w:val="auto"/>
        </w:rPr>
      </w:pPr>
    </w:p>
    <w:p>
      <w:pPr>
        <w:jc w:val="both"/>
        <w:ind w:firstLine="162"/>
        <w:spacing w:after="0" w:line="311" w:lineRule="auto"/>
        <w:rPr>
          <w:sz w:val="20"/>
          <w:szCs w:val="20"/>
          <w:color w:val="auto"/>
        </w:rPr>
      </w:pPr>
      <w:r>
        <w:rPr>
          <w:rFonts w:ascii="Arial" w:cs="Arial" w:eastAsia="Arial" w:hAnsi="Arial"/>
          <w:sz w:val="16"/>
          <w:szCs w:val="16"/>
          <w:color w:val="auto"/>
        </w:rPr>
        <w:t>For interim income tax reporting, we estimate our annual effective tax rate and apply it to our year-to-date ordinary income (loss). Tax jurisdictions with a projected or year-to-date loss for which a tax benefit cannot be realized are excluded. The tax effects of unusual or infrequently occurring items, including changes in judgment about valuation allowances and effects of changes in tax laws or rates, are reported in the interim period in which they occur.</w:t>
      </w:r>
    </w:p>
    <w:p>
      <w:pPr>
        <w:spacing w:after="0" w:line="176"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In the three months ended March 31, 2021, Income tax expense of $1.2 billion was primarily due to tax expense attributable to entities included in our effective tax rate calculation and the establishment of a valuation allowance against Cruise deferred tax assets that are considered no longer realizable.</w:t>
      </w:r>
    </w:p>
    <w:p>
      <w:pPr>
        <w:spacing w:after="0" w:line="151" w:lineRule="exact"/>
        <w:rPr>
          <w:sz w:val="20"/>
          <w:szCs w:val="20"/>
          <w:color w:val="auto"/>
        </w:rPr>
      </w:pPr>
    </w:p>
    <w:p>
      <w:pPr>
        <w:jc w:val="both"/>
        <w:ind w:firstLine="162"/>
        <w:spacing w:after="0" w:line="301" w:lineRule="auto"/>
        <w:rPr>
          <w:sz w:val="20"/>
          <w:szCs w:val="20"/>
          <w:color w:val="auto"/>
        </w:rPr>
      </w:pPr>
      <w:r>
        <w:rPr>
          <w:rFonts w:ascii="Arial" w:cs="Arial" w:eastAsia="Arial" w:hAnsi="Arial"/>
          <w:sz w:val="16"/>
          <w:szCs w:val="16"/>
          <w:color w:val="auto"/>
        </w:rPr>
        <w:t>In the three months ended March 31, 2021, Cruise issued new preferred shares to investors. As a result of the issuance, Cruise fell below the ownership threshold required for inclusion in our U.S. consolidated income tax returns, and we established a valuation allowance of $316 million against deferred tax assets. Refer to Note 16 to our condensed consolidated financial statements for additional information regarding the Cruise preferred stock issuance. The effective tax rate is higher than the applicable statutory tax rate primarily due to tax expense related to the establishment of the valuation allowance.</w:t>
      </w:r>
    </w:p>
    <w:p>
      <w:pPr>
        <w:spacing w:after="0" w:line="18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2020, Income tax expense of $357 million was primarily due to tax expense attributable to entities included in our effective tax rate calculation and the establishment of a valuation allowance against deferred tax assets that were considered no longer realizable. The effective tax rate was higher than the applicable statutory tax rate primarily due to tax expense related to the establishment of the valuation allowance and losses for which a tax benefit cannot be realized.</w:t>
      </w:r>
    </w:p>
    <w:p>
      <w:pPr>
        <w:spacing w:after="0" w:line="214"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At March 31, 2021, we had $22.4 billion of net deferred tax assets consisting of net operating losses and income tax credits, capitalized research expenditures and other timing differences that are available to offset future income tax liabilities, partially offset by valuation allowances.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Restructuring and Other Initiatives</w:t>
      </w:r>
    </w:p>
    <w:p>
      <w:pPr>
        <w:spacing w:after="0" w:line="12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have executed various restructuring and other initiatives and we may execute additional initiatives in the future, if necessary, to streamline manufacturing capacity and reduce other costs to improve the utilization of remaining facilities. To the extent these programs involve voluntary separations, a liability is generally recorded at the time offers to employees are accepted. To the extent these programs provide separation benefits in accordance with pre-existing agreements, a liability is recorded once the amount is probable and reasonably estimable. If employees are involuntarily terminated, a liability is generally recorded at the communication date. Related charges are recorded in Automotive and other cost of sales and Automotive and other selling, general and administrative expense.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the reserves and charges related to restructuring and other initiatives, including postemployment benefit reserves and charges: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6"/>
                <w:szCs w:val="16"/>
                <w:color w:val="auto"/>
              </w:rPr>
            </w:pPr>
          </w:p>
        </w:tc>
        <w:tc>
          <w:tcPr>
            <w:tcW w:w="1260" w:type="dxa"/>
            <w:vAlign w:val="bottom"/>
          </w:tcPr>
          <w:p>
            <w:pPr>
              <w:jc w:val="right"/>
              <w:ind w:right="153"/>
              <w:spacing w:after="0"/>
              <w:rPr>
                <w:sz w:val="20"/>
                <w:szCs w:val="20"/>
                <w:color w:val="auto"/>
              </w:rPr>
            </w:pPr>
            <w:r>
              <w:rPr>
                <w:rFonts w:ascii="Arial" w:cs="Arial" w:eastAsia="Arial" w:hAnsi="Arial"/>
                <w:sz w:val="14"/>
                <w:szCs w:val="14"/>
                <w:b w:val="1"/>
                <w:bCs w:val="1"/>
                <w:color w:val="auto"/>
              </w:rPr>
              <w:t>March 31, 2020</w:t>
            </w:r>
          </w:p>
        </w:tc>
      </w:tr>
      <w:tr>
        <w:trPr>
          <w:trHeight w:val="224"/>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Additions, interest accretion and other</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Revisions to estimates and effect of foreign currency</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In the three months ended March 31, 2020, restructuring and other initiatives primarily included actions in GMI related to the wind-down of Holden sales, design and engineering operations in Australia and New Zealand and the execution of binding term sheets to sell our vehicle and powertrain manufacturing facilities in Thailand. We recorded charges of $489 million in the three months ended March 31, 2020, primarily consisting of $270 million in asset impairments related to property, inventory provisions and intangibles and sales allowances and other charges, not reflected in the table above, and $219 million in dealer restructurings and employee separation charges, which are reflected in the table above. These programs, including the execution of a binding term sheet to sell our manufacturing facility in India, had a total cost since inception of $687 million. We also recorded a $236 million charge to Income tax expense due to the establishment of a valuation allowance against deferred tax assets that are considered no longer realizable in Australia and New Zealand in the three months ended March 31, 2020. We incurred insignificant cash outflows resulting from these restructuring actions in the three months ended March 31, 2021 and 2020, and $221 million in net cash outflows since program inception, primarily for dealer restructuring payments and employee separation payments, which includes proceeds of $143 million from the sale of our manufacturing facilities in Thailand.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Stockholders' Equity and Noncontrolling Interests</w:t>
      </w:r>
    </w:p>
    <w:p>
      <w:pPr>
        <w:spacing w:after="0" w:line="12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We have 2.0 billion shares of preferred stock and 5.0 billion shares of common stock authorized for issuance. We had no shares of preferred stock issued and outstanding, 1.5 billion and 1.4 billion shares of common stock issued and 1.4 billion shares of common stock outstanding at March 31, 2021 and December 31, 2020.</w:t>
      </w:r>
    </w:p>
    <w:p>
      <w:pPr>
        <w:spacing w:after="0" w:line="21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Cruise Preferred Shares </w:t>
      </w:r>
      <w:r>
        <w:rPr>
          <w:rFonts w:ascii="Arial" w:cs="Arial" w:eastAsia="Arial" w:hAnsi="Arial"/>
          <w:sz w:val="18"/>
          <w:szCs w:val="18"/>
          <w:color w:val="auto"/>
        </w:rPr>
        <w:t>In the three months ended March 31, 2021, GM Cruise Holdings LLC (Cruise Holdings) issued $2.5 billion of Class 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Shares (Cruise Class G Preferred Shares) to Microsoft Corporation (Microsoft) and certain other investors, including $1.0 billion to General Motors Holdings LLC. All proceeds related to the Cruise Class G Preferred Shares are designated exclusively for working capital and general corporate purposes of Cruise Holdings. In addition, we, Cruise Holdings and Microsoft entered into a long-term strategic relationship to accelerate the commercialization of self-driving vehicles with Microsoft being the preferred public cloud provider.</w:t>
      </w:r>
    </w:p>
    <w:p>
      <w:pPr>
        <w:spacing w:after="0" w:line="215"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The Cruise Class G Preferred Shares participate pari passu with holders of Cruise Holdings common stock and Cruise Class F Preferred Shares in any dividends declared. Each Cruise Class G Preferred Share is entitled to one vote per Cruise Class G Preferred Share on all matters submitted for vote by or consent of the Cruise Holdings members. The holders of Cruise Class G Preferred Shares are restricted from transferring the Cruise Class G Preferred Shares for four years, without the written consent of both us and Cruise Holdings' Board of Directors. The Cruise Class G Preferred Shares convert into the class of shares to be issued to the public in an IPO at specified exchange ratios. No covenants or other events of default exist that can trigger redemption of the Cruise Class G Preferred Shares. The Cruise Class G Preferred Shares are entitled to receive the greater of their carrying value or a pro-rata share of any proceeds or distributions upon the occurrence of a merger, sale, liquidation or dissolution of Cruise Holdings, and are classified as noncontrolling interests in our condensed consolidated financial statements.</w:t>
      </w:r>
    </w:p>
    <w:p>
      <w:pPr>
        <w:spacing w:after="0" w:line="205"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Consistent with the Cruise Class G Preferred Shares, the Class A-1 Preferred Shares issued to SoftBank in 2018 (Cruise Class A-1 Preferred Shares) and Cruise Class F Preferred Shares convert into the class of shares to be issued to the public in an IPO at specified exchange ratios. Beginning on June 28, 2025, SoftBank has the option to convert all of the Cruise Class A-1 Preferred Shares into our common stock at a conversion ratio that is indexed to the fair value of Cruise Holdings at the time of conversion. In the event SoftBank exercises such option, we have the option to settle the conversion feature with our common shares or cash, and in certain situations with nonredeemable, nonconvertible preferred shares. The Cruise Class A-1 Preferred Shares and Cruise Class F Preferred Shares are entitled to receive the greater of their carrying value or a pro-rata share of any proceeds or distributions upon the occurrence of a merger, sale, liquidation, or dissolution of Cruise Holdings.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significant components of Accumulated other comprehensive loss: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52"/>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6"/>
                <w:szCs w:val="16"/>
                <w:color w:val="auto"/>
              </w:rPr>
            </w:pPr>
          </w:p>
        </w:tc>
        <w:tc>
          <w:tcPr>
            <w:tcW w:w="1420" w:type="dxa"/>
            <w:vAlign w:val="bottom"/>
          </w:tcPr>
          <w:p>
            <w:pPr>
              <w:jc w:val="right"/>
              <w:ind w:right="252"/>
              <w:spacing w:after="0"/>
              <w:rPr>
                <w:sz w:val="20"/>
                <w:szCs w:val="20"/>
                <w:color w:val="auto"/>
              </w:rPr>
            </w:pPr>
            <w:r>
              <w:rPr>
                <w:rFonts w:ascii="Arial" w:cs="Arial" w:eastAsia="Arial" w:hAnsi="Arial"/>
                <w:sz w:val="14"/>
                <w:szCs w:val="14"/>
                <w:b w:val="1"/>
                <w:bCs w:val="1"/>
                <w:color w:val="auto"/>
              </w:rPr>
              <w:t>March 31, 2020</w:t>
            </w:r>
          </w:p>
        </w:tc>
      </w:tr>
      <w:tr>
        <w:trPr>
          <w:trHeight w:val="212"/>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Foreign Currency Translation Adjustments</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4"/>
              </w:rPr>
              <w:t>Other comprehensive (loss) and noncontrolling interests, net of reclassification adjustment and tax(a)(b)</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Defined Benefit Plans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(10,654)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(8,857)</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before reclassification adjustment, net of tax(b)</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Reclassification adjustment, net of tax(b)</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tax(b)</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Balance at end of period(c)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(8,540)</w:t>
            </w: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noncontrolling interests and reclassification adjustment were insignificant in the three months ended March 31, 2021 and 2020.</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income tax effect was insignificant in the three months ended March 31, 2021 and 2020.</w:t>
      </w:r>
    </w:p>
    <w:p>
      <w:pPr>
        <w:spacing w:after="0" w:line="5" w:lineRule="exact"/>
        <w:rPr>
          <w:rFonts w:ascii="Arial" w:cs="Arial" w:eastAsia="Arial" w:hAnsi="Arial"/>
          <w:sz w:val="16"/>
          <w:szCs w:val="16"/>
          <w:color w:val="auto"/>
        </w:rPr>
      </w:pPr>
    </w:p>
    <w:p>
      <w:pPr>
        <w:ind w:left="340" w:hanging="332"/>
        <w:spacing w:after="0" w:line="257" w:lineRule="auto"/>
        <w:tabs>
          <w:tab w:leader="none" w:pos="331"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Primarily consists of unamortized actuarial loss on our defined benefit plans. Refer to Note 2. Significant Accounting Policies of our 2020 Form 10-K for additional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Earnings Per Share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52"/>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6"/>
                <w:szCs w:val="16"/>
                <w:color w:val="auto"/>
              </w:rPr>
            </w:pPr>
          </w:p>
        </w:tc>
        <w:tc>
          <w:tcPr>
            <w:tcW w:w="1420" w:type="dxa"/>
            <w:vAlign w:val="bottom"/>
          </w:tcPr>
          <w:p>
            <w:pPr>
              <w:jc w:val="right"/>
              <w:ind w:right="252"/>
              <w:spacing w:after="0"/>
              <w:rPr>
                <w:sz w:val="20"/>
                <w:szCs w:val="20"/>
                <w:color w:val="auto"/>
              </w:rPr>
            </w:pPr>
            <w:r>
              <w:rPr>
                <w:rFonts w:ascii="Arial" w:cs="Arial" w:eastAsia="Arial" w:hAnsi="Arial"/>
                <w:sz w:val="14"/>
                <w:szCs w:val="14"/>
                <w:b w:val="1"/>
                <w:bCs w:val="1"/>
                <w:color w:val="auto"/>
              </w:rPr>
              <w:t>March 31, 2020</w:t>
            </w:r>
          </w:p>
        </w:tc>
      </w:tr>
      <w:tr>
        <w:trPr>
          <w:trHeight w:val="212"/>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cumulative dividends on subsidiary preferred stock</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r>
      <w:tr>
        <w:trPr>
          <w:trHeight w:val="54"/>
        </w:trPr>
        <w:tc>
          <w:tcPr>
            <w:tcW w:w="7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 – 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54"/>
        </w:trPr>
        <w:tc>
          <w:tcPr>
            <w:tcW w:w="7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awards under stock incentive plans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Potentially dilutive securities(a)</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hanging="332"/>
        <w:spacing w:after="0" w:line="257" w:lineRule="auto"/>
        <w:tabs>
          <w:tab w:leader="none" w:pos="331" w:val="left"/>
        </w:tabs>
        <w:numPr>
          <w:ilvl w:val="0"/>
          <w:numId w:val="12"/>
        </w:numPr>
        <w:rPr>
          <w:rFonts w:ascii="Arial" w:cs="Arial" w:eastAsia="Arial" w:hAnsi="Arial"/>
          <w:sz w:val="16"/>
          <w:szCs w:val="16"/>
          <w:color w:val="auto"/>
        </w:rPr>
      </w:pPr>
      <w:r>
        <w:rPr>
          <w:rFonts w:ascii="Arial" w:cs="Arial" w:eastAsia="Arial" w:hAnsi="Arial"/>
          <w:sz w:val="16"/>
          <w:szCs w:val="16"/>
          <w:color w:val="auto"/>
        </w:rPr>
        <w:t>Potentially dilutive securities attributable to outstanding stock options at March 31, 2021 and 2020 and Restricted Stock Units (RSUs) at March 31, 2020, were excluded from the computation of diluted earnings per share (EPS) because the securities would have had an antidilutive effect.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Reporting</w:t>
      </w:r>
    </w:p>
    <w:p>
      <w:pPr>
        <w:spacing w:after="0" w:line="256" w:lineRule="exact"/>
        <w:rPr>
          <w:sz w:val="20"/>
          <w:szCs w:val="20"/>
          <w:color w:val="auto"/>
        </w:rPr>
      </w:pPr>
    </w:p>
    <w:p>
      <w:pPr>
        <w:jc w:val="both"/>
        <w:ind w:firstLine="162"/>
        <w:spacing w:after="0" w:line="301" w:lineRule="auto"/>
        <w:rPr>
          <w:sz w:val="20"/>
          <w:szCs w:val="20"/>
          <w:color w:val="auto"/>
        </w:rPr>
      </w:pPr>
      <w:r>
        <w:rPr>
          <w:rFonts w:ascii="Arial" w:cs="Arial" w:eastAsia="Arial" w:hAnsi="Arial"/>
          <w:sz w:val="16"/>
          <w:szCs w:val="16"/>
          <w:color w:val="auto"/>
        </w:rPr>
        <w:t>We analyze the results of our business through the following reportable segments: GMNA, GMI, Cruise and GM Financial. The chief operating decision maker evaluates the operating results and performance of our automotive segments and Cruise through earnings before interest and income taxes (EBIT)-adjusted, which is presented net of noncontrolling interests. The chief operating decision maker evaluates GM Financial through earnings before income taxes (EBT)-adjusted because interest income and interest expense are part of operating results when assessing and measuring the operational and financial</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performance of the segment. Each segment has a manager responsible for executing our strategic initiatives. While not all vehicles within a segment are individually profitable on a fully allocated cost basis, those vehicles attract customers to dealer showrooms and help maintain sales volumes for other, more profitable vehicles and contribute towards meeting required fuel efficiency standards. As a result of these and other factors, we do not manage our business on an individual brand or vehicle basis.</w:t>
      </w:r>
    </w:p>
    <w:p>
      <w:pPr>
        <w:spacing w:after="0" w:line="214"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21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GMNA meets the demands of customers in North America with vehicles developed, manufactured and/or marketed under the Buick, Cadillac, Chevrolet and GMC brands. GMI primarily meets the demands of customers outside North America with vehicles developed, manufactured and/or marketed under the Buick, Cadillac, Chevrolet and GMC brands. We also have equity ownership stakes in entities that meet the demands of customers in other countries, primarily China, with vehicles developed, manufactured and/or marketed under the Baojun, Buick, Cadillac, Chevrolet and Wuling brands. Cruise is our global segment responsible for the development and commercialization of autonomous vehicle technology, and includes autonomous vehicle-related engineering and other costs.</w:t>
      </w:r>
    </w:p>
    <w:p>
      <w:pPr>
        <w:spacing w:after="0" w:line="21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Our automotive interest income and interest expense, legacy costs from the Opel/Vauxhall Business (primarily pension costs), corporate expenditures and certain nonsegment-specific revenues and expenses are recorded centrally in Corporate. Corporate assets primarily consist of cash and cash equivalents, marketable debt securities, Stellantis warrants and intercompany balances. Retained net underfunded pension liabilities related to the European Business are also recorded in Corporate. All intersegment balances and transactions have been eliminated in consolidation.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2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11"/>
          </w:tcPr>
          <w:p>
            <w:pPr>
              <w:ind w:left="400"/>
              <w:spacing w:after="0"/>
              <w:rPr>
                <w:sz w:val="20"/>
                <w:szCs w:val="20"/>
                <w:color w:val="auto"/>
              </w:rPr>
            </w:pPr>
            <w:r>
              <w:rPr>
                <w:rFonts w:ascii="Arial" w:cs="Arial" w:eastAsia="Arial" w:hAnsi="Arial"/>
                <w:sz w:val="13"/>
                <w:szCs w:val="13"/>
                <w:b w:val="1"/>
                <w:bCs w:val="1"/>
                <w:color w:val="auto"/>
              </w:rPr>
              <w:t>At and For the Three Months Ended March 31, 2021</w:t>
            </w:r>
          </w:p>
        </w:tc>
        <w:tc>
          <w:tcPr>
            <w:tcW w:w="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0"/>
                <w:szCs w:val="10"/>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GMI</w:t>
            </w:r>
          </w:p>
        </w:tc>
        <w:tc>
          <w:tcPr>
            <w:tcW w:w="10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Cruise</w:t>
            </w:r>
          </w:p>
        </w:tc>
        <w:tc>
          <w:tcPr>
            <w:tcW w:w="100" w:type="dxa"/>
            <w:vAlign w:val="bottom"/>
          </w:tcPr>
          <w:p>
            <w:pPr>
              <w:spacing w:after="0"/>
              <w:rPr>
                <w:sz w:val="10"/>
                <w:szCs w:val="10"/>
                <w:color w:val="auto"/>
              </w:rPr>
            </w:pPr>
          </w:p>
        </w:tc>
        <w:tc>
          <w:tcPr>
            <w:tcW w:w="7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rPr>
              <w:t>GM</w:t>
            </w:r>
          </w:p>
        </w:tc>
        <w:tc>
          <w:tcPr>
            <w:tcW w:w="176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92"/>
              </w:rPr>
              <w:t>Eliminations/Reclassifications</w:t>
            </w:r>
          </w:p>
        </w:tc>
        <w:tc>
          <w:tcPr>
            <w:tcW w:w="140" w:type="dxa"/>
            <w:vAlign w:val="bottom"/>
          </w:tcPr>
          <w:p>
            <w:pPr>
              <w:spacing w:after="0"/>
              <w:rPr>
                <w:sz w:val="10"/>
                <w:szCs w:val="10"/>
                <w:color w:val="auto"/>
              </w:rPr>
            </w:pPr>
          </w:p>
        </w:tc>
        <w:tc>
          <w:tcPr>
            <w:tcW w:w="5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Automotive</w:t>
            </w: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7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25,957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29,062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3,407</w:t>
            </w: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32,474</w:t>
            </w:r>
          </w:p>
        </w:tc>
        <w:tc>
          <w:tcPr>
            <w:tcW w:w="0" w:type="dxa"/>
            <w:vAlign w:val="bottom"/>
          </w:tcPr>
          <w:p>
            <w:pPr>
              <w:spacing w:after="0"/>
              <w:rPr>
                <w:sz w:val="1"/>
                <w:szCs w:val="1"/>
                <w:color w:val="auto"/>
              </w:rPr>
            </w:pPr>
          </w:p>
        </w:tc>
      </w:tr>
      <w:tr>
        <w:trPr>
          <w:trHeight w:val="122"/>
        </w:trPr>
        <w:tc>
          <w:tcPr>
            <w:tcW w:w="2380" w:type="dxa"/>
            <w:vAlign w:val="bottom"/>
          </w:tcPr>
          <w:p>
            <w:pPr>
              <w:spacing w:after="0" w:line="122" w:lineRule="exact"/>
              <w:rPr>
                <w:sz w:val="20"/>
                <w:szCs w:val="20"/>
                <w:color w:val="auto"/>
              </w:rPr>
            </w:pPr>
            <w:r>
              <w:rPr>
                <w:rFonts w:ascii="Arial" w:cs="Arial" w:eastAsia="Arial" w:hAnsi="Arial"/>
                <w:sz w:val="13"/>
                <w:szCs w:val="13"/>
                <w:color w:val="auto"/>
                <w:w w:val="99"/>
              </w:rPr>
              <w:t>Earnings (loss) before interest and taxes-</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17"/>
              <w:spacing w:after="0"/>
              <w:rPr>
                <w:sz w:val="20"/>
                <w:szCs w:val="20"/>
                <w:color w:val="auto"/>
              </w:rPr>
            </w:pPr>
            <w:r>
              <w:rPr>
                <w:rFonts w:ascii="Arial" w:cs="Arial" w:eastAsia="Arial" w:hAnsi="Arial"/>
                <w:sz w:val="13"/>
                <w:szCs w:val="13"/>
                <w:color w:val="auto"/>
              </w:rPr>
              <w:t>3,134</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308</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3,472</w:t>
            </w:r>
          </w:p>
        </w:tc>
        <w:tc>
          <w:tcPr>
            <w:tcW w:w="120" w:type="dxa"/>
            <w:vAlign w:val="bottom"/>
          </w:tcPr>
          <w:p>
            <w:pPr>
              <w:spacing w:after="0"/>
              <w:rPr>
                <w:sz w:val="10"/>
                <w:szCs w:val="10"/>
                <w:color w:val="auto"/>
              </w:rPr>
            </w:pP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(229)</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1,182</w:t>
            </w:r>
          </w:p>
        </w:tc>
        <w:tc>
          <w:tcPr>
            <w:tcW w:w="120" w:type="dxa"/>
            <w:vAlign w:val="bottom"/>
          </w:tcPr>
          <w:p>
            <w:pPr>
              <w:spacing w:after="0"/>
              <w:rPr>
                <w:sz w:val="10"/>
                <w:szCs w:val="10"/>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0"/>
                <w:szCs w:val="10"/>
                <w:color w:val="auto"/>
              </w:rPr>
            </w:pP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4,417</w:t>
            </w:r>
          </w:p>
        </w:tc>
        <w:tc>
          <w:tcPr>
            <w:tcW w:w="0" w:type="dxa"/>
            <w:vAlign w:val="bottom"/>
          </w:tcPr>
          <w:p>
            <w:pPr>
              <w:spacing w:after="0"/>
              <w:rPr>
                <w:sz w:val="1"/>
                <w:szCs w:val="1"/>
                <w:color w:val="auto"/>
              </w:rPr>
            </w:pPr>
          </w:p>
        </w:tc>
      </w:tr>
      <w:tr>
        <w:trPr>
          <w:trHeight w:val="168"/>
        </w:trPr>
        <w:tc>
          <w:tcPr>
            <w:tcW w:w="2380" w:type="dxa"/>
            <w:vAlign w:val="bottom"/>
          </w:tcPr>
          <w:p>
            <w:pPr>
              <w:ind w:left="160"/>
              <w:spacing w:after="0"/>
              <w:rPr>
                <w:sz w:val="20"/>
                <w:szCs w:val="20"/>
                <w:color w:val="auto"/>
              </w:rPr>
            </w:pPr>
            <w:r>
              <w:rPr>
                <w:rFonts w:ascii="Arial" w:cs="Arial" w:eastAsia="Arial" w:hAnsi="Arial"/>
                <w:sz w:val="13"/>
                <w:szCs w:val="13"/>
                <w:color w:val="auto"/>
              </w:rPr>
              <w:t>adjusted</w:t>
            </w:r>
          </w:p>
        </w:tc>
        <w:tc>
          <w:tcPr>
            <w:tcW w:w="1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380" w:type="dxa"/>
            <w:vAlign w:val="bottom"/>
          </w:tcPr>
          <w:p>
            <w:pPr>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83"/>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0" w:type="dxa"/>
            <w:vAlign w:val="bottom"/>
          </w:tcPr>
          <w:p>
            <w:pPr>
              <w:spacing w:after="0"/>
              <w:rPr>
                <w:sz w:val="1"/>
                <w:szCs w:val="1"/>
                <w:color w:val="auto"/>
              </w:rPr>
            </w:pPr>
          </w:p>
        </w:tc>
      </w:tr>
      <w:tr>
        <w:trPr>
          <w:trHeight w:val="121"/>
        </w:trPr>
        <w:tc>
          <w:tcPr>
            <w:tcW w:w="2380" w:type="dxa"/>
            <w:vAlign w:val="bottom"/>
          </w:tcPr>
          <w:p>
            <w:pPr>
              <w:spacing w:after="0" w:line="122"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9"/>
        </w:trPr>
        <w:tc>
          <w:tcPr>
            <w:tcW w:w="238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4,191</w:t>
            </w:r>
          </w:p>
        </w:tc>
        <w:tc>
          <w:tcPr>
            <w:tcW w:w="0" w:type="dxa"/>
            <w:vAlign w:val="bottom"/>
          </w:tcPr>
          <w:p>
            <w:pPr>
              <w:spacing w:after="0"/>
              <w:rPr>
                <w:sz w:val="1"/>
                <w:szCs w:val="1"/>
                <w:color w:val="auto"/>
              </w:rPr>
            </w:pPr>
          </w:p>
        </w:tc>
      </w:tr>
      <w:tr>
        <w:trPr>
          <w:trHeight w:val="169"/>
        </w:trPr>
        <w:tc>
          <w:tcPr>
            <w:tcW w:w="23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Income tax expense</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(1,177)</w:t>
            </w: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3,014</w:t>
            </w:r>
          </w:p>
        </w:tc>
        <w:tc>
          <w:tcPr>
            <w:tcW w:w="0" w:type="dxa"/>
            <w:vAlign w:val="bottom"/>
          </w:tcPr>
          <w:p>
            <w:pPr>
              <w:spacing w:after="0"/>
              <w:rPr>
                <w:sz w:val="1"/>
                <w:szCs w:val="1"/>
                <w:color w:val="auto"/>
              </w:rPr>
            </w:pPr>
          </w:p>
        </w:tc>
      </w:tr>
      <w:tr>
        <w:trPr>
          <w:trHeight w:val="122"/>
        </w:trPr>
        <w:tc>
          <w:tcPr>
            <w:tcW w:w="2380" w:type="dxa"/>
            <w:vAlign w:val="bottom"/>
          </w:tcPr>
          <w:p>
            <w:pPr>
              <w:spacing w:after="0" w:line="122"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9"/>
        </w:trPr>
        <w:tc>
          <w:tcPr>
            <w:tcW w:w="238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3,022</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38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Equity in net assets of nonconsolidated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355</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6,994</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7,349</w:t>
            </w:r>
          </w:p>
        </w:tc>
        <w:tc>
          <w:tcPr>
            <w:tcW w:w="1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1,630</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1100" w:type="dxa"/>
            <w:vAlign w:val="bottom"/>
            <w:gridSpan w:val="2"/>
            <w:vMerge w:val="restart"/>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8,979</w:t>
            </w: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affiliates</w:t>
            </w:r>
          </w:p>
        </w:tc>
        <w:tc>
          <w:tcPr>
            <w:tcW w:w="12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380" w:type="dxa"/>
            <w:vAlign w:val="bottom"/>
          </w:tcPr>
          <w:p>
            <w:pPr>
              <w:spacing w:after="0"/>
              <w:rPr>
                <w:sz w:val="20"/>
                <w:szCs w:val="20"/>
                <w:color w:val="auto"/>
              </w:rPr>
            </w:pPr>
            <w:r>
              <w:rPr>
                <w:rFonts w:ascii="Arial" w:cs="Arial" w:eastAsia="Arial" w:hAnsi="Arial"/>
                <w:sz w:val="13"/>
                <w:szCs w:val="13"/>
                <w:color w:val="auto"/>
              </w:rPr>
              <w:t>Goodwill and intangibles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2,320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796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3,116</w:t>
            </w:r>
          </w:p>
        </w:tc>
        <w:tc>
          <w:tcPr>
            <w:tcW w:w="120" w:type="dxa"/>
            <w:vAlign w:val="bottom"/>
          </w:tcPr>
          <w:p>
            <w:pPr>
              <w:spacing w:after="0"/>
              <w:rPr>
                <w:sz w:val="14"/>
                <w:szCs w:val="14"/>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730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1,339</w:t>
            </w:r>
          </w:p>
        </w:tc>
        <w:tc>
          <w:tcPr>
            <w:tcW w:w="12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w:t>
            </w:r>
          </w:p>
        </w:tc>
        <w:tc>
          <w:tcPr>
            <w:tcW w:w="110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5,185</w:t>
            </w:r>
          </w:p>
        </w:tc>
        <w:tc>
          <w:tcPr>
            <w:tcW w:w="0" w:type="dxa"/>
            <w:vAlign w:val="bottom"/>
          </w:tcPr>
          <w:p>
            <w:pPr>
              <w:spacing w:after="0"/>
              <w:rPr>
                <w:sz w:val="1"/>
                <w:szCs w:val="1"/>
                <w:color w:val="auto"/>
              </w:rPr>
            </w:pPr>
          </w:p>
        </w:tc>
      </w:tr>
      <w:tr>
        <w:trPr>
          <w:trHeight w:val="183"/>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113,926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22,798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36,271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ind w:left="380"/>
              <w:spacing w:after="0"/>
              <w:rPr>
                <w:sz w:val="20"/>
                <w:szCs w:val="20"/>
                <w:color w:val="auto"/>
              </w:rPr>
            </w:pPr>
            <w:r>
              <w:rPr>
                <w:rFonts w:ascii="Arial" w:cs="Arial" w:eastAsia="Arial" w:hAnsi="Arial"/>
                <w:sz w:val="13"/>
                <w:szCs w:val="13"/>
                <w:color w:val="auto"/>
                <w:w w:val="90"/>
              </w:rPr>
              <w:t>(53,147)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119,848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5,324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114,597</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238,411</w:t>
            </w:r>
          </w:p>
        </w:tc>
        <w:tc>
          <w:tcPr>
            <w:tcW w:w="0" w:type="dxa"/>
            <w:vAlign w:val="bottom"/>
          </w:tcPr>
          <w:p>
            <w:pPr>
              <w:spacing w:after="0"/>
              <w:rPr>
                <w:sz w:val="1"/>
                <w:szCs w:val="1"/>
                <w:color w:val="auto"/>
              </w:rPr>
            </w:pPr>
          </w:p>
        </w:tc>
      </w:tr>
      <w:tr>
        <w:trPr>
          <w:trHeight w:val="168"/>
        </w:trPr>
        <w:tc>
          <w:tcPr>
            <w:tcW w:w="238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1,198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132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1,336</w:t>
            </w:r>
          </w:p>
        </w:tc>
        <w:tc>
          <w:tcPr>
            <w:tcW w:w="120" w:type="dxa"/>
            <w:vAlign w:val="bottom"/>
          </w:tcPr>
          <w:p>
            <w:pPr>
              <w:spacing w:after="0"/>
              <w:rPr>
                <w:sz w:val="14"/>
                <w:szCs w:val="14"/>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1,668</w:t>
            </w:r>
          </w:p>
        </w:tc>
        <w:tc>
          <w:tcPr>
            <w:tcW w:w="12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w:t>
            </w:r>
          </w:p>
        </w:tc>
        <w:tc>
          <w:tcPr>
            <w:tcW w:w="110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3,015</w:t>
            </w:r>
          </w:p>
        </w:tc>
        <w:tc>
          <w:tcPr>
            <w:tcW w:w="0" w:type="dxa"/>
            <w:vAlign w:val="bottom"/>
          </w:tcPr>
          <w:p>
            <w:pPr>
              <w:spacing w:after="0"/>
              <w:rPr>
                <w:sz w:val="1"/>
                <w:szCs w:val="1"/>
                <w:color w:val="auto"/>
              </w:rPr>
            </w:pPr>
          </w:p>
        </w:tc>
      </w:tr>
      <w:tr>
        <w:trPr>
          <w:trHeight w:val="183"/>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380" w:type="dxa"/>
            <w:vAlign w:val="bottom"/>
          </w:tcPr>
          <w:p>
            <w:pPr>
              <w:spacing w:after="0"/>
              <w:rPr>
                <w:sz w:val="20"/>
                <w:szCs w:val="20"/>
                <w:color w:val="auto"/>
              </w:rPr>
            </w:pPr>
            <w:r>
              <w:rPr>
                <w:rFonts w:ascii="Arial" w:cs="Arial" w:eastAsia="Arial" w:hAnsi="Arial"/>
                <w:sz w:val="13"/>
                <w:szCs w:val="13"/>
                <w:color w:val="auto"/>
              </w:rPr>
              <w:t>Equity income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307</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311</w:t>
            </w:r>
          </w:p>
        </w:tc>
        <w:tc>
          <w:tcPr>
            <w:tcW w:w="120" w:type="dxa"/>
            <w:vAlign w:val="bottom"/>
          </w:tcPr>
          <w:p>
            <w:pPr>
              <w:spacing w:after="0"/>
              <w:rPr>
                <w:sz w:val="13"/>
                <w:szCs w:val="13"/>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w:t>
            </w:r>
          </w:p>
        </w:tc>
        <w:tc>
          <w:tcPr>
            <w:tcW w:w="110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400"/>
              <w:spacing w:after="0"/>
              <w:rPr>
                <w:sz w:val="20"/>
                <w:szCs w:val="20"/>
                <w:color w:val="auto"/>
              </w:rPr>
            </w:pPr>
            <w:r>
              <w:rPr>
                <w:rFonts w:ascii="Arial" w:cs="Arial" w:eastAsia="Arial" w:hAnsi="Arial"/>
                <w:sz w:val="13"/>
                <w:szCs w:val="13"/>
                <w:b w:val="1"/>
                <w:bCs w:val="1"/>
                <w:color w:val="auto"/>
              </w:rPr>
              <w:t>At and For the Three Months Ended March 31, 2020</w:t>
            </w:r>
          </w:p>
        </w:tc>
        <w:tc>
          <w:tcPr>
            <w:tcW w:w="6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0"/>
                <w:szCs w:val="10"/>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GMI</w:t>
            </w:r>
          </w:p>
        </w:tc>
        <w:tc>
          <w:tcPr>
            <w:tcW w:w="12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Cruise</w:t>
            </w: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rPr>
              <w:t>GM</w:t>
            </w:r>
          </w:p>
        </w:tc>
        <w:tc>
          <w:tcPr>
            <w:tcW w:w="17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1"/>
              </w:rPr>
              <w:t>Eliminations/Reclassifications</w:t>
            </w:r>
          </w:p>
        </w:tc>
        <w:tc>
          <w:tcPr>
            <w:tcW w:w="160" w:type="dxa"/>
            <w:vAlign w:val="bottom"/>
          </w:tcPr>
          <w:p>
            <w:pPr>
              <w:spacing w:after="0"/>
              <w:rPr>
                <w:sz w:val="10"/>
                <w:szCs w:val="10"/>
                <w:color w:val="auto"/>
              </w:rPr>
            </w:pPr>
          </w:p>
        </w:tc>
        <w:tc>
          <w:tcPr>
            <w:tcW w:w="5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Automotive</w:t>
            </w: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7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25,831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29,149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3,561</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32,709</w:t>
            </w:r>
          </w:p>
        </w:tc>
        <w:tc>
          <w:tcPr>
            <w:tcW w:w="0" w:type="dxa"/>
            <w:vAlign w:val="bottom"/>
          </w:tcPr>
          <w:p>
            <w:pPr>
              <w:spacing w:after="0"/>
              <w:rPr>
                <w:sz w:val="1"/>
                <w:szCs w:val="1"/>
                <w:color w:val="auto"/>
              </w:rPr>
            </w:pPr>
          </w:p>
        </w:tc>
      </w:tr>
      <w:tr>
        <w:trPr>
          <w:trHeight w:val="122"/>
        </w:trPr>
        <w:tc>
          <w:tcPr>
            <w:tcW w:w="2400" w:type="dxa"/>
            <w:vAlign w:val="bottom"/>
          </w:tcPr>
          <w:p>
            <w:pPr>
              <w:ind w:left="20"/>
              <w:spacing w:after="0" w:line="122" w:lineRule="exact"/>
              <w:rPr>
                <w:sz w:val="20"/>
                <w:szCs w:val="20"/>
                <w:color w:val="auto"/>
              </w:rPr>
            </w:pPr>
            <w:r>
              <w:rPr>
                <w:rFonts w:ascii="Arial" w:cs="Arial" w:eastAsia="Arial" w:hAnsi="Arial"/>
                <w:sz w:val="13"/>
                <w:szCs w:val="13"/>
                <w:color w:val="auto"/>
                <w:w w:val="99"/>
              </w:rPr>
              <w:t>Earnings (loss) before interest and taxes-</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2,194</w:t>
            </w:r>
          </w:p>
        </w:tc>
        <w:tc>
          <w:tcPr>
            <w:tcW w:w="12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(551)</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(411)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1,232</w:t>
            </w:r>
          </w:p>
        </w:tc>
        <w:tc>
          <w:tcPr>
            <w:tcW w:w="10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(228)</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10"/>
                <w:szCs w:val="10"/>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1,250</w:t>
            </w:r>
          </w:p>
        </w:tc>
        <w:tc>
          <w:tcPr>
            <w:tcW w:w="0" w:type="dxa"/>
            <w:vAlign w:val="bottom"/>
          </w:tcPr>
          <w:p>
            <w:pPr>
              <w:spacing w:after="0"/>
              <w:rPr>
                <w:sz w:val="1"/>
                <w:szCs w:val="1"/>
                <w:color w:val="auto"/>
              </w:rPr>
            </w:pPr>
          </w:p>
        </w:tc>
      </w:tr>
      <w:tr>
        <w:trPr>
          <w:trHeight w:val="168"/>
        </w:trPr>
        <w:tc>
          <w:tcPr>
            <w:tcW w:w="2400" w:type="dxa"/>
            <w:vAlign w:val="bottom"/>
          </w:tcPr>
          <w:p>
            <w:pPr>
              <w:ind w:left="180"/>
              <w:spacing w:after="0"/>
              <w:rPr>
                <w:sz w:val="20"/>
                <w:szCs w:val="20"/>
                <w:color w:val="auto"/>
              </w:rPr>
            </w:pPr>
            <w:r>
              <w:rPr>
                <w:rFonts w:ascii="Arial" w:cs="Arial" w:eastAsia="Arial" w:hAnsi="Arial"/>
                <w:sz w:val="13"/>
                <w:szCs w:val="13"/>
                <w:color w:val="auto"/>
              </w:rPr>
              <w:t>adjusted</w:t>
            </w:r>
          </w:p>
        </w:tc>
        <w:tc>
          <w:tcPr>
            <w:tcW w:w="1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w:t>
            </w:r>
          </w:p>
        </w:tc>
        <w:tc>
          <w:tcPr>
            <w:tcW w:w="0" w:type="dxa"/>
            <w:vAlign w:val="bottom"/>
          </w:tcPr>
          <w:p>
            <w:pPr>
              <w:spacing w:after="0"/>
              <w:rPr>
                <w:sz w:val="1"/>
                <w:szCs w:val="1"/>
                <w:color w:val="auto"/>
              </w:rPr>
            </w:pPr>
          </w:p>
        </w:tc>
      </w:tr>
      <w:tr>
        <w:trPr>
          <w:trHeight w:val="168"/>
        </w:trPr>
        <w:tc>
          <w:tcPr>
            <w:tcW w:w="240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line="122"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9"/>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643</w:t>
            </w:r>
          </w:p>
        </w:tc>
        <w:tc>
          <w:tcPr>
            <w:tcW w:w="0" w:type="dxa"/>
            <w:vAlign w:val="bottom"/>
          </w:tcPr>
          <w:p>
            <w:pPr>
              <w:spacing w:after="0"/>
              <w:rPr>
                <w:sz w:val="1"/>
                <w:szCs w:val="1"/>
                <w:color w:val="auto"/>
              </w:rPr>
            </w:pPr>
          </w:p>
        </w:tc>
      </w:tr>
      <w:tr>
        <w:trPr>
          <w:trHeight w:val="169"/>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(357)</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w:t>
            </w: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line="122"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9"/>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40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Equity in net assets of nonconsolidated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5,991</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6,084</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1,437</w:t>
            </w: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7,521</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affiliates</w:t>
            </w:r>
          </w:p>
        </w:tc>
        <w:tc>
          <w:tcPr>
            <w:tcW w:w="12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400" w:type="dxa"/>
            <w:vAlign w:val="bottom"/>
          </w:tcPr>
          <w:p>
            <w:pPr>
              <w:ind w:left="20"/>
              <w:spacing w:after="0"/>
              <w:rPr>
                <w:sz w:val="20"/>
                <w:szCs w:val="20"/>
                <w:color w:val="auto"/>
              </w:rPr>
            </w:pPr>
            <w:r>
              <w:rPr>
                <w:rFonts w:ascii="Arial" w:cs="Arial" w:eastAsia="Arial" w:hAnsi="Arial"/>
                <w:sz w:val="13"/>
                <w:szCs w:val="13"/>
                <w:color w:val="auto"/>
              </w:rPr>
              <w:t>Goodwill and intangibles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2,432</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820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3,253</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634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1,338</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5,225</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109,159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45,965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ind w:left="380"/>
              <w:spacing w:after="0"/>
              <w:rPr>
                <w:sz w:val="20"/>
                <w:szCs w:val="20"/>
                <w:color w:val="auto"/>
              </w:rPr>
            </w:pPr>
            <w:r>
              <w:rPr>
                <w:rFonts w:ascii="Arial" w:cs="Arial" w:eastAsia="Arial" w:hAnsi="Arial"/>
                <w:sz w:val="13"/>
                <w:szCs w:val="13"/>
                <w:color w:val="auto"/>
                <w:w w:val="90"/>
              </w:rPr>
              <w:t>(49,766)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128,571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115,381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246,624</w:t>
            </w:r>
          </w:p>
        </w:tc>
        <w:tc>
          <w:tcPr>
            <w:tcW w:w="0" w:type="dxa"/>
            <w:vAlign w:val="bottom"/>
          </w:tcPr>
          <w:p>
            <w:pPr>
              <w:spacing w:after="0"/>
              <w:rPr>
                <w:sz w:val="1"/>
                <w:szCs w:val="1"/>
                <w:color w:val="auto"/>
              </w:rPr>
            </w:pPr>
          </w:p>
        </w:tc>
      </w:tr>
      <w:tr>
        <w:trPr>
          <w:trHeight w:val="168"/>
        </w:trPr>
        <w:tc>
          <w:tcPr>
            <w:tcW w:w="2400" w:type="dxa"/>
            <w:vAlign w:val="bottom"/>
          </w:tcPr>
          <w:p>
            <w:pPr>
              <w:ind w:left="2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1,227</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166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1,402</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1,788</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3,198</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60"/>
        </w:trPr>
        <w:tc>
          <w:tcPr>
            <w:tcW w:w="2400" w:type="dxa"/>
            <w:vAlign w:val="bottom"/>
          </w:tcPr>
          <w:p>
            <w:pPr>
              <w:ind w:left="20"/>
              <w:spacing w:after="0"/>
              <w:rPr>
                <w:sz w:val="20"/>
                <w:szCs w:val="20"/>
                <w:color w:val="auto"/>
              </w:rPr>
            </w:pPr>
            <w:r>
              <w:rPr>
                <w:rFonts w:ascii="Arial" w:cs="Arial" w:eastAsia="Arial" w:hAnsi="Arial"/>
                <w:sz w:val="13"/>
                <w:szCs w:val="13"/>
                <w:color w:val="auto"/>
              </w:rPr>
              <w:t>Equity income (loss)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(157)</w:t>
            </w:r>
          </w:p>
        </w:tc>
        <w:tc>
          <w:tcPr>
            <w:tcW w:w="10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1"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Consists of restructuring and other charges in Australia, New Zealand and Thailand.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jc w:val="both"/>
        <w:ind w:firstLine="162"/>
        <w:spacing w:after="0" w:line="26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This Management's Discussion and Analysis of Financial Condition and Results of Operations (MD&amp;A) should be read in</w:t>
      </w:r>
      <w:r>
        <w:rPr>
          <w:rFonts w:ascii="Arial" w:cs="Arial" w:eastAsia="Arial" w:hAnsi="Arial"/>
          <w:sz w:val="18"/>
          <w:szCs w:val="18"/>
          <w:b w:val="1"/>
          <w:bCs w:val="1"/>
          <w:color w:val="auto"/>
        </w:rPr>
        <w:t xml:space="preserve"> </w:t>
      </w:r>
      <w:r>
        <w:rPr>
          <w:rFonts w:ascii="Arial" w:cs="Arial" w:eastAsia="Arial" w:hAnsi="Arial"/>
          <w:sz w:val="18"/>
          <w:szCs w:val="18"/>
          <w:color w:val="auto"/>
        </w:rPr>
        <w:t>conjunction with the accompanying condensed consolidated financial statements and the notes thereto, and the audited consolidated financial statements and notes thereto included in our 2020 Form 10-K.</w:t>
      </w:r>
    </w:p>
    <w:p>
      <w:pPr>
        <w:spacing w:after="0" w:line="20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Forward-looking statements in this MD&amp;A are not guarantees of future performance and may involve risks and uncertainties that could cause actual results to differ materially from those projected. Refer to the "Forward-Looking Statements" section of this MD&amp;A and Part 1, Item 1A. Risk Factors of our 2020 Form 10-K for a discussion of these risks and uncertainties. Except for per share amounts or as otherwise specified, dollar amounts presented within tables are stated in millions.</w:t>
      </w:r>
    </w:p>
    <w:p>
      <w:pPr>
        <w:spacing w:after="0" w:line="21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Non-GAAP Measures </w:t>
      </w:r>
      <w:r>
        <w:rPr>
          <w:rFonts w:ascii="Arial" w:cs="Arial" w:eastAsia="Arial" w:hAnsi="Arial"/>
          <w:sz w:val="18"/>
          <w:szCs w:val="18"/>
          <w:color w:val="auto"/>
        </w:rPr>
        <w:t>Our non-GAAP measures include: EBIT-adjusted, presented net of noncontrolling interests; EBT-adjusted for our GM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EPS-diluted-adjusted; effective tax rate-adjusted (ETR-adjusted); return on invested capital-adjusted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14"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93"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b w:val="1"/>
          <w:bCs w:val="1"/>
          <w:i w:val="1"/>
          <w:iCs w:val="1"/>
          <w:color w:val="auto"/>
        </w:rPr>
        <w:t xml:space="preserve">EBIT-adjusted </w:t>
      </w:r>
      <w:r>
        <w:rPr>
          <w:rFonts w:ascii="Arial" w:cs="Arial" w:eastAsia="Arial" w:hAnsi="Arial"/>
          <w:sz w:val="16"/>
          <w:szCs w:val="16"/>
          <w:color w:val="auto"/>
        </w:rPr>
        <w:t>EBIT-adjusted is presented net of noncontrolling interests and is used by management and can be used by investors to review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19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EPS-diluted-adjusted </w:t>
      </w:r>
      <w:r>
        <w:rPr>
          <w:rFonts w:ascii="Arial" w:cs="Arial" w:eastAsia="Arial" w:hAnsi="Arial"/>
          <w:sz w:val="18"/>
          <w:szCs w:val="18"/>
          <w:color w:val="auto"/>
        </w:rPr>
        <w:t>EPS-diluted-adjusted is used by management and can be used by investors to review our consolidated diluted EPS results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21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ETR-adjusted </w:t>
      </w:r>
      <w:r>
        <w:rPr>
          <w:rFonts w:ascii="Arial" w:cs="Arial" w:eastAsia="Arial" w:hAnsi="Arial"/>
          <w:sz w:val="18"/>
          <w:szCs w:val="18"/>
          <w:color w:val="auto"/>
        </w:rPr>
        <w:t>ETR-adjusted is used by management and can be used by investors to review the consolidated effective tax rate for our core operations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21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ROIC-adjusted </w:t>
      </w:r>
      <w:r>
        <w:rPr>
          <w:rFonts w:ascii="Arial" w:cs="Arial" w:eastAsia="Arial" w:hAnsi="Arial"/>
          <w:sz w:val="18"/>
          <w:szCs w:val="18"/>
          <w:color w:val="auto"/>
        </w:rPr>
        <w:t>ROIC-adjusted is used by management and can be used by investors to review our investment and capital allocation decisions. We define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ROIC-adjusted as EBIT-adjusted for the trailing four quarters divided by ROIC-adjusted average net assets, which is considered to be the average equity balances adjusted for average automotive debt and interest liabilities, exclusive of finance leases; average automotive net pension and OPEB liabilities; and average automotive net income tax assets during the same period.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b w:val="1"/>
          <w:bCs w:val="1"/>
          <w:i w:val="1"/>
          <w:iCs w:val="1"/>
          <w:color w:val="auto"/>
        </w:rPr>
        <w:t xml:space="preserve">Adjusted automotive free cash flow </w:t>
      </w:r>
      <w:r>
        <w:rPr>
          <w:rFonts w:ascii="Arial" w:cs="Arial" w:eastAsia="Arial" w:hAnsi="Arial"/>
          <w:sz w:val="17"/>
          <w:szCs w:val="17"/>
          <w:color w:val="auto"/>
        </w:rPr>
        <w:t>Adjusted automotive free cash flow is used by management and can be used by investors to review the liquidity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Net income (loss) attributable to stockholders under U.S. GAAP to EBIT (loss)-adjusted: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ind w:left="3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6"/>
                <w:szCs w:val="16"/>
                <w:color w:val="auto"/>
              </w:rPr>
            </w:pPr>
          </w:p>
        </w:tc>
        <w:tc>
          <w:tcPr>
            <w:tcW w:w="176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24"/>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Net income (loss) attributable to stockholders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interest expense</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Automotive interest income</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140"/>
              <w:spacing w:after="0"/>
              <w:rPr>
                <w:sz w:val="20"/>
                <w:szCs w:val="20"/>
                <w:color w:val="auto"/>
              </w:rPr>
            </w:pPr>
            <w:r>
              <w:rPr>
                <w:rFonts w:ascii="Arial" w:cs="Arial" w:eastAsia="Arial" w:hAnsi="Arial"/>
                <w:sz w:val="18"/>
                <w:szCs w:val="18"/>
                <w:color w:val="auto"/>
              </w:rPr>
              <w:t>GMI restructuring(a)</w:t>
            </w:r>
          </w:p>
        </w:tc>
        <w:tc>
          <w:tcPr>
            <w:tcW w:w="2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Cadillac dealer strategy(b)</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520" w:type="dxa"/>
            <w:vAlign w:val="bottom"/>
          </w:tcPr>
          <w:p>
            <w:pPr>
              <w:ind w:left="140"/>
              <w:spacing w:after="0" w:line="176" w:lineRule="exact"/>
              <w:rPr>
                <w:sz w:val="20"/>
                <w:szCs w:val="20"/>
                <w:color w:val="auto"/>
              </w:rPr>
            </w:pPr>
            <w:r>
              <w:rPr>
                <w:rFonts w:ascii="Arial" w:cs="Arial" w:eastAsia="Arial" w:hAnsi="Arial"/>
                <w:sz w:val="18"/>
                <w:szCs w:val="18"/>
                <w:color w:val="auto"/>
              </w:rPr>
              <w:t>Ignition switch recall and related legal</w:t>
            </w:r>
          </w:p>
        </w:tc>
        <w:tc>
          <w:tcPr>
            <w:tcW w:w="200" w:type="dxa"/>
            <w:vAlign w:val="bottom"/>
          </w:tcPr>
          <w:p>
            <w:pPr>
              <w:spacing w:after="0"/>
              <w:rPr>
                <w:sz w:val="15"/>
                <w:szCs w:val="15"/>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tcPr>
          <w:p>
            <w:pPr>
              <w:ind w:left="300"/>
              <w:spacing w:after="0"/>
              <w:rPr>
                <w:sz w:val="20"/>
                <w:szCs w:val="20"/>
                <w:color w:val="auto"/>
              </w:rPr>
            </w:pPr>
            <w:r>
              <w:rPr>
                <w:rFonts w:ascii="Arial" w:cs="Arial" w:eastAsia="Arial" w:hAnsi="Arial"/>
                <w:sz w:val="18"/>
                <w:szCs w:val="18"/>
                <w:color w:val="auto"/>
              </w:rPr>
              <w:t>matters(c)</w:t>
            </w:r>
          </w:p>
        </w:tc>
        <w:tc>
          <w:tcPr>
            <w:tcW w:w="2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Transformation activities(d)</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9"/>
        </w:trPr>
        <w:tc>
          <w:tcPr>
            <w:tcW w:w="3520" w:type="dxa"/>
            <w:vAlign w:val="bottom"/>
          </w:tcPr>
          <w:p>
            <w:pPr>
              <w:ind w:left="140"/>
              <w:spacing w:after="0"/>
              <w:rPr>
                <w:sz w:val="20"/>
                <w:szCs w:val="20"/>
                <w:color w:val="auto"/>
              </w:rPr>
            </w:pPr>
            <w:r>
              <w:rPr>
                <w:rFonts w:ascii="Arial" w:cs="Arial" w:eastAsia="Arial" w:hAnsi="Arial"/>
                <w:sz w:val="18"/>
                <w:szCs w:val="18"/>
                <w:color w:val="auto"/>
              </w:rPr>
              <w:t>GM Brazil indirect tax recoveries(e)</w:t>
            </w:r>
          </w:p>
        </w:tc>
        <w:tc>
          <w:tcPr>
            <w:tcW w:w="2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FAW-GM divestiture(f)</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adjustments</w:t>
            </w:r>
          </w:p>
        </w:tc>
        <w:tc>
          <w:tcPr>
            <w:tcW w:w="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8"/>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 (loss)-adjusted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19" w:lineRule="exact"/>
        <w:rPr>
          <w:sz w:val="20"/>
          <w:szCs w:val="20"/>
          <w:color w:val="auto"/>
        </w:rPr>
      </w:pPr>
    </w:p>
    <w:p>
      <w:pPr>
        <w:jc w:val="both"/>
        <w:ind w:left="340" w:hanging="332"/>
        <w:spacing w:after="0" w:line="246" w:lineRule="auto"/>
        <w:tabs>
          <w:tab w:leader="none" w:pos="331"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These adjustments primarily consist of asset impairments, dealer restructurings, employee separation charges and sales allowances in Australia, New Zealand and Thailand in the three months ended March 31, 2020, employee separation charges in the three months ended December 31, 2020, supplier claims in the three months ended September 30, 2020 and inventory provisions in the three months ended June 30, 2020.</w:t>
      </w:r>
    </w:p>
    <w:p>
      <w:pPr>
        <w:spacing w:after="0" w:line="2"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adjustment was excluded because it relates to strategic activities to transition certain Cadillac dealers from the network as part of Cadillac's electric vehicle strategy.</w:t>
      </w:r>
    </w:p>
    <w:p>
      <w:pPr>
        <w:ind w:left="340" w:hanging="332"/>
        <w:spacing w:after="0" w:line="246" w:lineRule="auto"/>
        <w:tabs>
          <w:tab w:leader="none" w:pos="331"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adjustment was excluded because of the unique events associated with the ignition switch recall, which included various investigations, inquiries and complaints from constituents.</w:t>
      </w:r>
    </w:p>
    <w:p>
      <w:pPr>
        <w:jc w:val="both"/>
        <w:ind w:left="340" w:hanging="332"/>
        <w:spacing w:after="0" w:line="246"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adjustments were excluded because of a strategic decision to accelerate our transformation for the future to strengthen our core business, capitalize on the future of personal mobility and drive significant cost efficiencies. The adjustments primarily consist of accelerated depreciation and employee separation charges in the three months ended December 31, 2019, supplier-related charges and pension curtailment and other charges in the three months ended September 30, 2019 and supplier-related charges and accelerated depreciation in the three months ended June 30, 2019.</w:t>
      </w:r>
    </w:p>
    <w:p>
      <w:pPr>
        <w:spacing w:after="0" w:line="1" w:lineRule="exact"/>
        <w:rPr>
          <w:rFonts w:ascii="Arial" w:cs="Arial" w:eastAsia="Arial" w:hAnsi="Arial"/>
          <w:sz w:val="16"/>
          <w:szCs w:val="16"/>
          <w:color w:val="auto"/>
        </w:rPr>
      </w:pPr>
    </w:p>
    <w:p>
      <w:pPr>
        <w:ind w:left="340" w:hanging="332"/>
        <w:spacing w:after="0" w:line="246" w:lineRule="auto"/>
        <w:tabs>
          <w:tab w:leader="none" w:pos="331"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adjustments were excluded because of the unique events associated with decisions rendered by the Superior Judicial Court of Brazil resulting in retrospective recoveries of indirect taxes.</w:t>
      </w:r>
    </w:p>
    <w:p>
      <w:pPr>
        <w:ind w:left="340" w:hanging="332"/>
        <w:spacing w:after="0" w:line="257"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adjustment was excluded because we divested our joint venture FAW-GM Light Duty Commercial Vehicle Co., Ltd. (FAW-GM), as a result of a strategic decision by both shareholders, allowing us to focus our resources on opportunities expected to deliver higher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diluted earnings per common share under U.S. GAAP to EPS-diluted-adjusted: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7"/>
        </w:trPr>
        <w:tc>
          <w:tcPr>
            <w:tcW w:w="5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720"/>
              <w:spacing w:after="0"/>
              <w:rPr>
                <w:sz w:val="20"/>
                <w:szCs w:val="20"/>
                <w:color w:val="auto"/>
              </w:rPr>
            </w:pPr>
            <w:r>
              <w:rPr>
                <w:rFonts w:ascii="Arial" w:cs="Arial" w:eastAsia="Arial" w:hAnsi="Arial"/>
                <w:sz w:val="14"/>
                <w:szCs w:val="14"/>
                <w:b w:val="1"/>
                <w:bCs w:val="1"/>
                <w:color w:val="auto"/>
              </w:rPr>
              <w:t>March 31, 2021</w:t>
            </w:r>
          </w:p>
        </w:tc>
        <w:tc>
          <w:tcPr>
            <w:tcW w:w="1000" w:type="dxa"/>
            <w:vAlign w:val="bottom"/>
          </w:tcPr>
          <w:p>
            <w:pPr>
              <w:spacing w:after="0"/>
              <w:rPr>
                <w:sz w:val="16"/>
                <w:szCs w:val="16"/>
                <w:color w:val="auto"/>
              </w:rPr>
            </w:pPr>
          </w:p>
        </w:tc>
        <w:tc>
          <w:tcPr>
            <w:tcW w:w="198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 2020</w:t>
            </w:r>
          </w:p>
        </w:tc>
      </w:tr>
      <w:tr>
        <w:trPr>
          <w:trHeight w:val="183"/>
        </w:trPr>
        <w:tc>
          <w:tcPr>
            <w:tcW w:w="52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Per Share</w:t>
            </w:r>
          </w:p>
        </w:tc>
      </w:tr>
      <w:tr>
        <w:trPr>
          <w:trHeight w:val="224"/>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247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center"/>
              <w:ind w:left="633"/>
              <w:spacing w:after="0"/>
              <w:rPr>
                <w:sz w:val="20"/>
                <w:szCs w:val="20"/>
                <w:color w:val="auto"/>
              </w:rPr>
            </w:pPr>
            <w:r>
              <w:rPr>
                <w:rFonts w:ascii="Arial" w:cs="Arial" w:eastAsia="Arial" w:hAnsi="Arial"/>
                <w:sz w:val="18"/>
                <w:szCs w:val="18"/>
                <w:color w:val="auto"/>
                <w:w w:val="85"/>
              </w:rPr>
              <w:t>0.17</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Adjustments(a)</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center"/>
              <w:ind w:left="633"/>
              <w:spacing w:after="0"/>
              <w:rPr>
                <w:sz w:val="20"/>
                <w:szCs w:val="20"/>
                <w:color w:val="auto"/>
              </w:rPr>
            </w:pPr>
            <w:r>
              <w:rPr>
                <w:rFonts w:ascii="Arial" w:cs="Arial" w:eastAsia="Arial" w:hAnsi="Arial"/>
                <w:sz w:val="18"/>
                <w:szCs w:val="18"/>
                <w:color w:val="auto"/>
                <w:w w:val="85"/>
              </w:rPr>
              <w:t>0.34</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effect on adjustment(b)</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613"/>
              <w:spacing w:after="0"/>
              <w:rPr>
                <w:sz w:val="20"/>
                <w:szCs w:val="20"/>
                <w:color w:val="auto"/>
              </w:rPr>
            </w:pPr>
            <w:r>
              <w:rPr>
                <w:rFonts w:ascii="Arial" w:cs="Arial" w:eastAsia="Arial" w:hAnsi="Arial"/>
                <w:sz w:val="18"/>
                <w:szCs w:val="18"/>
                <w:color w:val="auto"/>
                <w:w w:val="93"/>
              </w:rPr>
              <w:t>(0.05)</w:t>
            </w:r>
          </w:p>
        </w:tc>
      </w:tr>
      <w:tr>
        <w:trPr>
          <w:trHeight w:val="22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adjustment(c)</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633"/>
              <w:spacing w:after="0"/>
              <w:rPr>
                <w:sz w:val="20"/>
                <w:szCs w:val="20"/>
                <w:color w:val="auto"/>
              </w:rPr>
            </w:pPr>
            <w:r>
              <w:rPr>
                <w:rFonts w:ascii="Arial" w:cs="Arial" w:eastAsia="Arial" w:hAnsi="Arial"/>
                <w:sz w:val="18"/>
                <w:szCs w:val="18"/>
                <w:color w:val="auto"/>
                <w:w w:val="85"/>
              </w:rPr>
              <w:t>0.16</w:t>
            </w: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EPS-diluted-adjusted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center"/>
              <w:ind w:left="633"/>
              <w:spacing w:after="0"/>
              <w:rPr>
                <w:sz w:val="20"/>
                <w:szCs w:val="20"/>
                <w:color w:val="auto"/>
              </w:rPr>
            </w:pPr>
            <w:r>
              <w:rPr>
                <w:rFonts w:ascii="Arial" w:cs="Arial" w:eastAsia="Arial" w:hAnsi="Arial"/>
                <w:sz w:val="18"/>
                <w:szCs w:val="18"/>
                <w:color w:val="auto"/>
                <w:w w:val="85"/>
              </w:rPr>
              <w:t>0.62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9" w:lineRule="exact"/>
        <w:rPr>
          <w:sz w:val="20"/>
          <w:szCs w:val="20"/>
          <w:color w:val="auto"/>
        </w:rPr>
      </w:pPr>
    </w:p>
    <w:p>
      <w:pPr>
        <w:ind w:left="340" w:right="20" w:hanging="332"/>
        <w:spacing w:after="0" w:line="246" w:lineRule="auto"/>
        <w:tabs>
          <w:tab w:leader="none" w:pos="331"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 (loss)-adjusted within this section of MD&amp;A for the details of each individual adjustment.</w:t>
      </w: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tax effect of each adjustment is determined based on the tax laws and valuation allowance status of the jurisdiction to which the adjustment relates.</w:t>
      </w:r>
    </w:p>
    <w:p>
      <w:pPr>
        <w:spacing w:after="0" w:line="5" w:lineRule="exact"/>
        <w:rPr>
          <w:rFonts w:ascii="Arial" w:cs="Arial" w:eastAsia="Arial" w:hAnsi="Arial"/>
          <w:sz w:val="16"/>
          <w:szCs w:val="16"/>
          <w:color w:val="auto"/>
        </w:rPr>
      </w:pPr>
    </w:p>
    <w:p>
      <w:pPr>
        <w:jc w:val="both"/>
        <w:ind w:left="340" w:hanging="332"/>
        <w:spacing w:after="0" w:line="251" w:lineRule="auto"/>
        <w:tabs>
          <w:tab w:leader="none" w:pos="331"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These adjustments consist of tax expense related to the establishment of a valuation allowance against deferred tax assets that are considered no longer realizable for Cruise in the three months ended March 31, 2021 and for GM in Australia and New Zealand for the three months ended March 31, 2020. These adjustments were excluded because significant impacts of valuation allowances are not considered part of our core operations.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our effective tax rate under U.S. GAAP to ETR-adjusted: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March 31, 2021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March 31, 2020</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640" w:type="dxa"/>
            <w:vAlign w:val="bottom"/>
          </w:tcPr>
          <w:p>
            <w:pPr>
              <w:spacing w:after="0"/>
              <w:rPr>
                <w:sz w:val="10"/>
                <w:szCs w:val="10"/>
                <w:color w:val="auto"/>
              </w:rPr>
            </w:pPr>
          </w:p>
        </w:tc>
        <w:tc>
          <w:tcPr>
            <w:tcW w:w="1060" w:type="dxa"/>
            <w:vAlign w:val="bottom"/>
            <w:gridSpan w:val="3"/>
          </w:tcPr>
          <w:p>
            <w:pPr>
              <w:jc w:val="center"/>
              <w:ind w:right="100"/>
              <w:spacing w:after="0" w:line="116" w:lineRule="exact"/>
              <w:rPr>
                <w:sz w:val="20"/>
                <w:szCs w:val="20"/>
                <w:color w:val="auto"/>
              </w:rPr>
            </w:pPr>
            <w:r>
              <w:rPr>
                <w:rFonts w:ascii="Arial" w:cs="Arial" w:eastAsia="Arial" w:hAnsi="Arial"/>
                <w:sz w:val="13"/>
                <w:szCs w:val="13"/>
                <w:b w:val="1"/>
                <w:bCs w:val="1"/>
                <w:color w:val="auto"/>
                <w:w w:val="85"/>
              </w:rPr>
              <w:t>Income before</w:t>
            </w:r>
          </w:p>
        </w:tc>
        <w:tc>
          <w:tcPr>
            <w:tcW w:w="140" w:type="dxa"/>
            <w:vAlign w:val="bottom"/>
          </w:tcPr>
          <w:p>
            <w:pPr>
              <w:spacing w:after="0"/>
              <w:rPr>
                <w:sz w:val="10"/>
                <w:szCs w:val="10"/>
                <w:color w:val="auto"/>
              </w:rPr>
            </w:pPr>
          </w:p>
        </w:tc>
        <w:tc>
          <w:tcPr>
            <w:tcW w:w="940" w:type="dxa"/>
            <w:vAlign w:val="bottom"/>
            <w:gridSpan w:val="2"/>
          </w:tcPr>
          <w:p>
            <w:pPr>
              <w:jc w:val="center"/>
              <w:ind w:right="260"/>
              <w:spacing w:after="0" w:line="116" w:lineRule="exact"/>
              <w:rPr>
                <w:sz w:val="20"/>
                <w:szCs w:val="20"/>
                <w:color w:val="auto"/>
              </w:rPr>
            </w:pPr>
            <w:r>
              <w:rPr>
                <w:rFonts w:ascii="Arial" w:cs="Arial" w:eastAsia="Arial" w:hAnsi="Arial"/>
                <w:sz w:val="13"/>
                <w:szCs w:val="13"/>
                <w:b w:val="1"/>
                <w:bCs w:val="1"/>
                <w:color w:val="auto"/>
                <w:w w:val="88"/>
              </w:rPr>
              <w:t>Income tax</w:t>
            </w:r>
          </w:p>
        </w:tc>
        <w:tc>
          <w:tcPr>
            <w:tcW w:w="12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Effective tax rate</w:t>
            </w:r>
          </w:p>
        </w:tc>
        <w:tc>
          <w:tcPr>
            <w:tcW w:w="1080" w:type="dxa"/>
            <w:vAlign w:val="bottom"/>
            <w:gridSpan w:val="3"/>
          </w:tcPr>
          <w:p>
            <w:pPr>
              <w:jc w:val="center"/>
              <w:ind w:right="100"/>
              <w:spacing w:after="0" w:line="116" w:lineRule="exact"/>
              <w:rPr>
                <w:sz w:val="20"/>
                <w:szCs w:val="20"/>
                <w:color w:val="auto"/>
              </w:rPr>
            </w:pPr>
            <w:r>
              <w:rPr>
                <w:rFonts w:ascii="Arial" w:cs="Arial" w:eastAsia="Arial" w:hAnsi="Arial"/>
                <w:sz w:val="13"/>
                <w:szCs w:val="13"/>
                <w:b w:val="1"/>
                <w:bCs w:val="1"/>
                <w:color w:val="auto"/>
                <w:w w:val="87"/>
              </w:rPr>
              <w:t>Income before</w:t>
            </w:r>
          </w:p>
        </w:tc>
        <w:tc>
          <w:tcPr>
            <w:tcW w:w="160" w:type="dxa"/>
            <w:vAlign w:val="bottom"/>
          </w:tcPr>
          <w:p>
            <w:pPr>
              <w:spacing w:after="0"/>
              <w:rPr>
                <w:sz w:val="10"/>
                <w:szCs w:val="10"/>
                <w:color w:val="auto"/>
              </w:rPr>
            </w:pPr>
          </w:p>
        </w:tc>
        <w:tc>
          <w:tcPr>
            <w:tcW w:w="920" w:type="dxa"/>
            <w:vAlign w:val="bottom"/>
            <w:gridSpan w:val="2"/>
          </w:tcPr>
          <w:p>
            <w:pPr>
              <w:jc w:val="center"/>
              <w:ind w:right="280"/>
              <w:spacing w:after="0" w:line="116" w:lineRule="exact"/>
              <w:rPr>
                <w:sz w:val="20"/>
                <w:szCs w:val="20"/>
                <w:color w:val="auto"/>
              </w:rPr>
            </w:pPr>
            <w:r>
              <w:rPr>
                <w:rFonts w:ascii="Arial" w:cs="Arial" w:eastAsia="Arial" w:hAnsi="Arial"/>
                <w:sz w:val="13"/>
                <w:szCs w:val="13"/>
                <w:b w:val="1"/>
                <w:bCs w:val="1"/>
                <w:color w:val="auto"/>
                <w:w w:val="88"/>
              </w:rPr>
              <w:t>Income tax</w:t>
            </w:r>
          </w:p>
        </w:tc>
        <w:tc>
          <w:tcPr>
            <w:tcW w:w="1100" w:type="dxa"/>
            <w:vAlign w:val="bottom"/>
            <w:vMerge w:val="restart"/>
          </w:tcPr>
          <w:p>
            <w:pPr>
              <w:jc w:val="right"/>
              <w:ind w:right="19"/>
              <w:spacing w:after="0"/>
              <w:rPr>
                <w:sz w:val="20"/>
                <w:szCs w:val="20"/>
                <w:color w:val="auto"/>
              </w:rPr>
            </w:pPr>
            <w:r>
              <w:rPr>
                <w:rFonts w:ascii="Arial" w:cs="Arial" w:eastAsia="Arial" w:hAnsi="Arial"/>
                <w:sz w:val="13"/>
                <w:szCs w:val="13"/>
                <w:b w:val="1"/>
                <w:bCs w:val="1"/>
                <w:color w:val="auto"/>
                <w:w w:val="94"/>
              </w:rPr>
              <w:t>Effective tax rate</w:t>
            </w:r>
          </w:p>
        </w:tc>
        <w:tc>
          <w:tcPr>
            <w:tcW w:w="0" w:type="dxa"/>
            <w:vAlign w:val="bottom"/>
          </w:tcPr>
          <w:p>
            <w:pPr>
              <w:spacing w:after="0"/>
              <w:rPr>
                <w:sz w:val="1"/>
                <w:szCs w:val="1"/>
                <w:color w:val="auto"/>
              </w:rPr>
            </w:pPr>
          </w:p>
        </w:tc>
      </w:tr>
      <w:tr>
        <w:trPr>
          <w:trHeight w:val="170"/>
        </w:trPr>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income taxes</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0"/>
              </w:rPr>
              <w:t>expense</w:t>
            </w: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income taxes</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0"/>
              </w:rPr>
              <w:t>expense</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55.5 %</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Adjustments(a)</w:t>
            </w:r>
          </w:p>
        </w:tc>
        <w:tc>
          <w:tcPr>
            <w:tcW w:w="1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adjustment(b)</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ETR-adjusted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20.5 %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9" w:lineRule="exact"/>
        <w:rPr>
          <w:sz w:val="20"/>
          <w:szCs w:val="20"/>
          <w:color w:val="auto"/>
        </w:rPr>
      </w:pPr>
    </w:p>
    <w:p>
      <w:pPr>
        <w:ind w:left="340" w:hanging="332"/>
        <w:spacing w:after="0" w:line="262" w:lineRule="auto"/>
        <w:tabs>
          <w:tab w:leader="none" w:pos="331"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Refer to the reconciliation of Net income (loss) attributable to stockholders under U.S. GAAP to EBIT (loss)-adjusted within this section of MD&amp;A for adjustment details. The tax effect of each adjustment is determined based on the tax laws and valuation allowance status of the jurisdiction to which the adjustment relates.</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Refer to the reconciliation of diluted earnings per common share under U.S. GAAP to EPS-diluted-adjusted within this section of MD&amp;A for adjustment details.</w:t>
      </w:r>
    </w:p>
    <w:p>
      <w:pPr>
        <w:spacing w:after="0" w:line="24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1055"/>
              <w:spacing w:after="0"/>
              <w:rPr>
                <w:sz w:val="20"/>
                <w:szCs w:val="20"/>
                <w:color w:val="auto"/>
              </w:rPr>
            </w:pPr>
            <w:r>
              <w:rPr>
                <w:rFonts w:ascii="Arial" w:cs="Arial" w:eastAsia="Arial" w:hAnsi="Arial"/>
                <w:sz w:val="14"/>
                <w:szCs w:val="14"/>
                <w:b w:val="1"/>
                <w:bCs w:val="1"/>
                <w:color w:val="auto"/>
              </w:rPr>
              <w:t>Four Quarters Ended</w:t>
            </w:r>
          </w:p>
        </w:tc>
      </w:tr>
      <w:tr>
        <w:trPr>
          <w:trHeight w:val="187"/>
        </w:trPr>
        <w:tc>
          <w:tcPr>
            <w:tcW w:w="7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Pr>
          <w:p>
            <w:pPr>
              <w:spacing w:after="0"/>
              <w:rPr>
                <w:sz w:val="16"/>
                <w:szCs w:val="16"/>
                <w:color w:val="auto"/>
              </w:rPr>
            </w:pPr>
          </w:p>
        </w:tc>
        <w:tc>
          <w:tcPr>
            <w:tcW w:w="1500" w:type="dxa"/>
            <w:vAlign w:val="bottom"/>
          </w:tcPr>
          <w:p>
            <w:pPr>
              <w:jc w:val="right"/>
              <w:ind w:right="315"/>
              <w:spacing w:after="0"/>
              <w:rPr>
                <w:sz w:val="20"/>
                <w:szCs w:val="20"/>
                <w:color w:val="auto"/>
              </w:rPr>
            </w:pPr>
            <w:r>
              <w:rPr>
                <w:rFonts w:ascii="Arial" w:cs="Arial" w:eastAsia="Arial" w:hAnsi="Arial"/>
                <w:sz w:val="14"/>
                <w:szCs w:val="14"/>
                <w:b w:val="1"/>
                <w:bCs w:val="1"/>
                <w:color w:val="auto"/>
              </w:rPr>
              <w:t>March 31, 2020</w:t>
            </w:r>
          </w:p>
        </w:tc>
      </w:tr>
      <w:tr>
        <w:trPr>
          <w:trHeight w:val="224"/>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stockholders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4.9</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Average equity(a)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7"/>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5"/>
              <w:spacing w:after="0"/>
              <w:rPr>
                <w:sz w:val="20"/>
                <w:szCs w:val="20"/>
                <w:color w:val="auto"/>
              </w:rPr>
            </w:pPr>
            <w:r>
              <w:rPr>
                <w:rFonts w:ascii="Arial" w:cs="Arial" w:eastAsia="Arial" w:hAnsi="Arial"/>
                <w:sz w:val="18"/>
                <w:szCs w:val="18"/>
                <w:color w:val="auto"/>
              </w:rPr>
              <w:t>43.6</w:t>
            </w: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Net income (loss) attributable to stockholders.</w:t>
      </w:r>
    </w:p>
    <w:p>
      <w:pPr>
        <w:spacing w:after="0" w:line="200" w:lineRule="exact"/>
        <w:rPr>
          <w:rFonts w:ascii="Arial" w:cs="Arial" w:eastAsia="Arial" w:hAnsi="Arial"/>
          <w:sz w:val="16"/>
          <w:szCs w:val="16"/>
          <w:color w:val="auto"/>
        </w:rPr>
      </w:pPr>
    </w:p>
    <w:p>
      <w:pPr>
        <w:spacing w:after="0" w:line="38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calculation of ROIC-adjusted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ind w:left="880"/>
              <w:spacing w:after="0"/>
              <w:rPr>
                <w:sz w:val="20"/>
                <w:szCs w:val="20"/>
                <w:color w:val="auto"/>
              </w:rPr>
            </w:pPr>
            <w:r>
              <w:rPr>
                <w:rFonts w:ascii="Arial" w:cs="Arial" w:eastAsia="Arial" w:hAnsi="Arial"/>
                <w:sz w:val="14"/>
                <w:szCs w:val="14"/>
                <w:b w:val="1"/>
                <w:bCs w:val="1"/>
                <w:color w:val="auto"/>
              </w:rPr>
              <w:t>Four Quarters Ended</w:t>
            </w:r>
          </w:p>
        </w:tc>
      </w:tr>
      <w:tr>
        <w:trPr>
          <w:trHeight w:val="187"/>
        </w:trPr>
        <w:tc>
          <w:tcPr>
            <w:tcW w:w="7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Pr>
          <w:p>
            <w:pPr>
              <w:spacing w:after="0"/>
              <w:rPr>
                <w:sz w:val="16"/>
                <w:szCs w:val="16"/>
                <w:color w:val="auto"/>
              </w:rPr>
            </w:pPr>
          </w:p>
        </w:tc>
        <w:tc>
          <w:tcPr>
            <w:tcW w:w="1500" w:type="dxa"/>
            <w:vAlign w:val="bottom"/>
          </w:tcPr>
          <w:p>
            <w:pPr>
              <w:jc w:val="right"/>
              <w:ind w:right="312"/>
              <w:spacing w:after="0"/>
              <w:rPr>
                <w:sz w:val="20"/>
                <w:szCs w:val="20"/>
                <w:color w:val="auto"/>
              </w:rPr>
            </w:pPr>
            <w:r>
              <w:rPr>
                <w:rFonts w:ascii="Arial" w:cs="Arial" w:eastAsia="Arial" w:hAnsi="Arial"/>
                <w:sz w:val="14"/>
                <w:szCs w:val="14"/>
                <w:b w:val="1"/>
                <w:bCs w:val="1"/>
                <w:color w:val="auto"/>
              </w:rPr>
              <w:t>March 31, 2020</w:t>
            </w:r>
          </w:p>
        </w:tc>
      </w:tr>
      <w:tr>
        <w:trPr>
          <w:trHeight w:val="224"/>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 (loss)-adjusted(a)</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7.3</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Average equity(b)</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ind w:left="960"/>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43.6</w:t>
            </w: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Average automotive debt and interest liabilities (excluding finance leases)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18.8</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Add: Average automotive net pension &amp; OPEB liability</w:t>
            </w:r>
          </w:p>
        </w:tc>
        <w:tc>
          <w:tcPr>
            <w:tcW w:w="260" w:type="dxa"/>
            <w:vAlign w:val="bottom"/>
          </w:tcPr>
          <w:p>
            <w:pPr>
              <w:spacing w:after="0"/>
              <w:rPr>
                <w:sz w:val="19"/>
                <w:szCs w:val="19"/>
                <w:color w:val="auto"/>
              </w:rPr>
            </w:pPr>
          </w:p>
        </w:tc>
        <w:tc>
          <w:tcPr>
            <w:tcW w:w="1500" w:type="dxa"/>
            <w:vAlign w:val="bottom"/>
          </w:tcPr>
          <w:p>
            <w:pPr>
              <w:ind w:left="96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16.9</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Average automotive and other net income tax asset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(23.7)</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ROIC-adjusted average net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55.6</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ROIC-adjusted</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2"/>
              </w:rPr>
              <w:t>20.0 %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13.2 %</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 (loss)-adjusted within this section of MD&amp;A.</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EBIT (loss)-adjusted.</w:t>
      </w:r>
    </w:p>
    <w:p>
      <w:pPr>
        <w:spacing w:after="0" w:line="22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Overview </w:t>
      </w:r>
      <w:r>
        <w:rPr>
          <w:rFonts w:ascii="Arial" w:cs="Arial" w:eastAsia="Arial" w:hAnsi="Arial"/>
          <w:sz w:val="16"/>
          <w:szCs w:val="16"/>
          <w:color w:val="auto"/>
        </w:rPr>
        <w:t>Our vision for the future is a world with zero crashes, zero emissions and zero congestion, which guides our growth-focused investment in</w:t>
      </w:r>
      <w:r>
        <w:rPr>
          <w:rFonts w:ascii="Arial" w:cs="Arial" w:eastAsia="Arial" w:hAnsi="Arial"/>
          <w:sz w:val="16"/>
          <w:szCs w:val="16"/>
          <w:b w:val="1"/>
          <w:bCs w:val="1"/>
          <w:color w:val="auto"/>
        </w:rPr>
        <w:t xml:space="preserve"> </w:t>
      </w:r>
      <w:r>
        <w:rPr>
          <w:rFonts w:ascii="Arial" w:cs="Arial" w:eastAsia="Arial" w:hAnsi="Arial"/>
          <w:sz w:val="16"/>
          <w:szCs w:val="16"/>
          <w:color w:val="auto"/>
        </w:rPr>
        <w:t>electrification, self-driving vehicles and new products and services. The all-electric future we are building integrates our technology, scale and manufacturing expertise to drive growth, profitability and deliver world-class customer interactions. Our strategy includes product leadership in electric vehicles and autonomous vehicles, continued leadership in trucks and SUVs, and developing and monetizing new software and services. We will execute our strategy with a diverse team and a steadfast commitment to good citizenship through sustainable operations and a leading health and safety culture.</w:t>
      </w:r>
    </w:p>
    <w:p>
      <w:pPr>
        <w:spacing w:after="0" w:line="212"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 COVID-19 pandemic and government actions and measures taken to prevent its spread continue to affect our operations. Government-imposed restrictions on businesses, operations and travel and the related economic uncertainty have impacted demand for our vehicles in most of our global markets. The extent of COVID-19’s impact on our future operations, liquidity and the demand for our products will depend upon, among other things, the duration and severity of the outbreak or subsequent outbreaks, related government responses, such as required physical distancing or restrictions on business operations and travel, the pace of recovery of economic activity and the impact to consumers, the effectiveness of available vaccines and any potential supply disruptions, all of which are uncertain and difficult to predict in light of the rapidly evolving landscape. Refer to Part I, Item 1A. Risk Factors of our 2020 Form 10-K for a full discussion of the risks associated with the COVID-19 pandemic.</w:t>
      </w:r>
    </w:p>
    <w:p>
      <w:pPr>
        <w:spacing w:after="0" w:line="20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automotive industry and GM are currently experiencing a global semiconductor supply shortage. The supply shortage has impacted multiple suppliers that incorporate semiconductors into the parts they supply to us. We expect the semiconductor supply shortage will have a temporary impact on our business. We do not expect this shortage to impact our growth and electric vehicle initiatives. We will continue prioritizing our most popular and in-demand vehicles, including our highly profitable full-size trucks and full-size SUVs, and electric vehicles. Refer to Part I, Item 1A. Risk Factors of our 2020 Form 10-K for further discussion of these risks.</w:t>
      </w:r>
    </w:p>
    <w:p>
      <w:pPr>
        <w:spacing w:after="0" w:line="215"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For the year ending December 31, 2021, we expect EPS-diluted of between $4.28 and $5.03, EPS-diluted-adjusted of between $4.50 and $5.25, Net income attributable to stockholders of between $6.8 billion and $7.6 billion and EBIT-adjusted at the high end of a $10.0 billion and $11.0 billion range. For the six months ending June 30, 2021, we expect Net income attributable to stockholders of approximately $3.5 billion and EBIT-adjusted of approximately $5.5 billion. We expect the six months ending December 31, 2021 to be slightly better than the six months ending June 30, 2021. Both the six months ending June 30, 2021 and year ending December 31, 2021 guidance are inclusive of the impact of the semiconductor supply shortage. We estimate the temporary semiconductor supply shortage to have a net EBIT-adjusted impact of approximately $1.5 billion to $2.0 billion in the year ending December 31, 2021. We do not consider the potential impact of future adjustments on our expected financial results.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reconciles expected Net income attributable to stockholders under U.S. GAAP to expected EBIT-adjusted (dollars in billions):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740" w:type="dxa"/>
            <w:vAlign w:val="bottom"/>
            <w:gridSpan w:val="2"/>
          </w:tcPr>
          <w:p>
            <w:pPr>
              <w:ind w:left="280"/>
              <w:spacing w:after="0"/>
              <w:rPr>
                <w:sz w:val="20"/>
                <w:szCs w:val="20"/>
                <w:color w:val="auto"/>
              </w:rPr>
            </w:pPr>
            <w:r>
              <w:rPr>
                <w:rFonts w:ascii="Arial" w:cs="Arial" w:eastAsia="Arial" w:hAnsi="Arial"/>
                <w:sz w:val="14"/>
                <w:szCs w:val="14"/>
                <w:b w:val="1"/>
                <w:bCs w:val="1"/>
                <w:color w:val="auto"/>
              </w:rPr>
              <w:t>Six Months Ending June 30, 2021</w:t>
            </w:r>
          </w:p>
        </w:tc>
        <w:tc>
          <w:tcPr>
            <w:tcW w:w="2660" w:type="dxa"/>
            <w:vAlign w:val="bottom"/>
          </w:tcPr>
          <w:p>
            <w:pPr>
              <w:jc w:val="right"/>
              <w:ind w:right="254"/>
              <w:spacing w:after="0"/>
              <w:rPr>
                <w:sz w:val="20"/>
                <w:szCs w:val="20"/>
                <w:color w:val="auto"/>
              </w:rPr>
            </w:pPr>
            <w:r>
              <w:rPr>
                <w:rFonts w:ascii="Arial" w:cs="Arial" w:eastAsia="Arial" w:hAnsi="Arial"/>
                <w:sz w:val="14"/>
                <w:szCs w:val="14"/>
                <w:b w:val="1"/>
                <w:bCs w:val="1"/>
                <w:color w:val="auto"/>
              </w:rPr>
              <w:t>Year Ending December 31, 2021</w:t>
            </w:r>
          </w:p>
        </w:tc>
      </w:tr>
      <w:tr>
        <w:trPr>
          <w:trHeight w:val="229"/>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~3.5</w:t>
            </w:r>
          </w:p>
        </w:tc>
        <w:tc>
          <w:tcPr>
            <w:tcW w:w="100" w:type="dxa"/>
            <w:vAlign w:val="bottom"/>
            <w:tcBorders>
              <w:top w:val="single" w:sz="8" w:color="CCEEFF"/>
            </w:tcBorders>
            <w:shd w:val="clear" w:color="auto" w:fill="CCEEFF"/>
          </w:tcPr>
          <w:p>
            <w:pPr>
              <w:spacing w:after="0"/>
              <w:rPr>
                <w:sz w:val="19"/>
                <w:szCs w:val="19"/>
                <w:color w:val="auto"/>
              </w:rPr>
            </w:pPr>
          </w:p>
        </w:tc>
        <w:tc>
          <w:tcPr>
            <w:tcW w:w="2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$ 6.8-7.6</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2.2-2.4</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interest expense, net</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EBIT-adjusted(a)</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~5.5</w:t>
            </w:r>
          </w:p>
        </w:tc>
        <w:tc>
          <w:tcPr>
            <w:tcW w:w="100" w:type="dxa"/>
            <w:vAlign w:val="bottom"/>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$ 10.0-11.0</w:t>
            </w:r>
          </w:p>
        </w:tc>
      </w:tr>
      <w:tr>
        <w:trPr>
          <w:trHeight w:val="20"/>
        </w:trPr>
        <w:tc>
          <w:tcPr>
            <w:tcW w:w="582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6"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We do not consider the potential future impact of adjustments on our expected financial results.</w:t>
      </w:r>
    </w:p>
    <w:p>
      <w:pPr>
        <w:spacing w:after="0" w:line="2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expected EPS-diluted under U.S. GAAP to expected EPS-diluted-adjusted: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25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Year Ending December 31, 2021</w:t>
            </w:r>
          </w:p>
        </w:tc>
      </w:tr>
      <w:tr>
        <w:trPr>
          <w:trHeight w:val="22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$ 4.28-5.03</w:t>
            </w:r>
          </w:p>
        </w:tc>
      </w:tr>
      <w:tr>
        <w:trPr>
          <w:trHeight w:val="229"/>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 - Cruise deferred income tax valuation allowance</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EPS-diluted-adjusted(a)</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$ 4.50-5.25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6"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We do not consider the potential future impact of adjustments on our expected financial results.</w:t>
      </w:r>
    </w:p>
    <w:p>
      <w:pPr>
        <w:spacing w:after="0" w:line="23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also face continuing market, operating and regulatory challenges in several countries across the globe due to, among other factors, weak economic conditions, competitive pressures, our product portfolio offerings, heightened emissions standards, labor disruptions, foreign exchange volatility, rising material prices, evolving trade policy and political uncertainty. Refer to Part I, Item 1A. Risk Factors of our 2020 Form 10-K for a discussion of these challenges.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 we continue to assess our performance and the needs of our evolving business, additional restructuring and rationalization actions could be required.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actions could give rise to future asset impairments or other charges, which may have a material impact on our operating results.</w:t>
      </w:r>
    </w:p>
    <w:p>
      <w:pPr>
        <w:spacing w:after="0" w:line="238"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 xml:space="preserve">GMNA </w:t>
      </w:r>
      <w:r>
        <w:rPr>
          <w:rFonts w:ascii="Arial" w:cs="Arial" w:eastAsia="Arial" w:hAnsi="Arial"/>
          <w:sz w:val="18"/>
          <w:szCs w:val="18"/>
          <w:color w:val="auto"/>
        </w:rPr>
        <w:t>Industry sales in North America were 4.7 million units in the three months ended March 31, 2021, representing an increase of 9.5%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corresponding period in 2020. U.S. industry sales were 4.0 million units in the three months ended March 31, 2021, representing an increase of 10.9% compared to the corresponding period in 2020.</w:t>
      </w:r>
    </w:p>
    <w:p>
      <w:pPr>
        <w:spacing w:after="0" w:line="21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Our total vehicle sales in the U.S., our largest market in North America, were 0.6 million units for market share of 16.2% in the three months ended March 31, 2021, representing a decrease of 1.1 percentage points compared to the corresponding period in 2020. We continue to lead the U.S. industry in market share.</w:t>
      </w:r>
    </w:p>
    <w:p>
      <w:pPr>
        <w:spacing w:after="0" w:line="211"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We expect to sustain relatively strong EBIT-adjusted margins in 2021 on the continued strength of favorable vehicle pricing and strong U.S. industry light vehicle sales, partially offset by higher costs associated with commodities and raw materials. Our outlook is dependent on the economic impact of the COVID-19 pandemic and the global shortage of semiconductors, both of which continue to evolve. As a result of the shortage of semiconductors, we have experienced interruptions to our planned production schedules and temporarily suspended certain manufacturing sites to prioritize production of our most popular and in-demand products, including our highly profitable full-size trucks and full-size SUVs. Additionally, we have been manufacturing vehicles, without the impacted components, representing an inventory carrying value of approximately $1.2 billion at March 31, 2021. We will hold these vehicles in our inventory until they are completed and sold to our dealers.</w:t>
      </w:r>
    </w:p>
    <w:p>
      <w:pPr>
        <w:spacing w:after="0" w:line="204"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b w:val="1"/>
          <w:bCs w:val="1"/>
          <w:i w:val="1"/>
          <w:iCs w:val="1"/>
          <w:color w:val="auto"/>
        </w:rPr>
        <w:t xml:space="preserve">GMI </w:t>
      </w:r>
      <w:r>
        <w:rPr>
          <w:rFonts w:ascii="Arial" w:cs="Arial" w:eastAsia="Arial" w:hAnsi="Arial"/>
          <w:sz w:val="18"/>
          <w:szCs w:val="18"/>
          <w:color w:val="auto"/>
        </w:rPr>
        <w:t>Industry sales in China were 6.7 million units in the three months ended March 31, 2021, representing an increase of 68.8%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corresponding period in 2020, which was adversely impacted by the COVID-19 pandemic. Our total vehicle sales in China were 0.8 million units for market share of 11.7% in the three months ended March 31, 2021, which was relatively flat compared to the corresponding period in 2020. The ongoing global semiconductor supply shortage, macro-economic impact of COVID-19 and geopolitical tensions may place pressure on China's automotive industry. Our Automotive China JVs generated equity income of $0.3 billion in the three months ended March 31, 2021. Although price competition, higher costs associated with commodities and raw materials and a more challenging regulatory environment related to emissions, fuel consumption and new energy vehicles will place pressure on our operations in China, we will continue to build on our strong brands, network, and partnerships in China as well as drive improvements in vehicle mix and cost.</w:t>
      </w:r>
    </w:p>
    <w:p>
      <w:pPr>
        <w:spacing w:after="0" w:line="21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Outside of China, industry sales were 5.9 million units in the three months ended March 31, 2021, representing an increase of 1.9% compared to the corresponding period in 2020. Our total vehicle sales outside of China were 0.2 million units for a market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share of 3.7% in the three months ended March 31, 2021, representing a decrease of 1.1 percentage points compared to the corresponding period in 2020.</w:t>
      </w:r>
    </w:p>
    <w:p>
      <w:pPr>
        <w:spacing w:after="0" w:line="27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Cruise </w:t>
      </w:r>
      <w:r>
        <w:rPr>
          <w:rFonts w:ascii="Arial" w:cs="Arial" w:eastAsia="Arial" w:hAnsi="Arial"/>
          <w:sz w:val="18"/>
          <w:szCs w:val="18"/>
          <w:color w:val="auto"/>
        </w:rPr>
        <w:t>We are actively testing our autonomous vehicles in the U.S. Gated by safety and regulation, we continue to make significant progress towards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commercialization of a network of on-demand autonomous vehicles in the U.S.</w:t>
      </w:r>
    </w:p>
    <w:p>
      <w:pPr>
        <w:spacing w:after="0" w:line="197"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7"/>
          <w:szCs w:val="17"/>
          <w:color w:val="auto"/>
        </w:rPr>
        <w:t>In the three months ended March 31, 2021, Cruise Holdings issued Cruise Class G Preferred Shares in exchange for $2.5 billion from Microsoft and other investors, including $1.0 billion from General Motors Holdings LLC. All proceeds related to the Cruise Class G Preferred Shares are designated exclusively for working capital and general corporate purposes of Cruise Holdings. In addition, Cruise Holdings, General Motors Holdings LLC and Microsoft entered into a long-term strategic relationship to accelerate the commercialization of self-driving vehicles with Microsoft being the preferred public cloud provider. Refer to Note 16 to our condensed consolidated financial statements for further details.</w:t>
      </w:r>
    </w:p>
    <w:p>
      <w:pPr>
        <w:spacing w:after="0" w:line="203"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b w:val="1"/>
          <w:bCs w:val="1"/>
          <w:i w:val="1"/>
          <w:iCs w:val="1"/>
          <w:color w:val="auto"/>
        </w:rPr>
        <w:t xml:space="preserve">Vehicle Sales </w:t>
      </w:r>
      <w:r>
        <w:rPr>
          <w:rFonts w:ascii="Arial" w:cs="Arial" w:eastAsia="Arial" w:hAnsi="Arial"/>
          <w:sz w:val="16"/>
          <w:szCs w:val="16"/>
          <w:color w:val="auto"/>
        </w:rPr>
        <w:t>The principal factors that determine consumer vehicle preferences in the markets in which we operate include overall vehicle design,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quality, available options, safety, reliability, fuel economy and functionality. Market leadership in individual countries in which we compete varies widely.</w:t>
      </w:r>
    </w:p>
    <w:p>
      <w:pPr>
        <w:spacing w:after="0" w:line="15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present both wholesale and total vehicle sales data to assist in the analysis of our revenue and our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three months ended March 31, 2021, 29.5% of our wholesale vehicle sales volume was generated outside the U.S. The following table summarizes wholesale vehicle sales by automotive segment (vehicles in thousands):</w:t>
      </w:r>
    </w:p>
    <w:p>
      <w:pPr>
        <w:spacing w:after="0" w:line="9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7"/>
        </w:trPr>
        <w:tc>
          <w:tcPr>
            <w:tcW w:w="412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b w:val="1"/>
                <w:bCs w:val="1"/>
                <w:color w:val="auto"/>
              </w:rPr>
              <w:t>March 31, 2021</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March 31, 2020</w:t>
            </w:r>
          </w:p>
        </w:tc>
        <w:tc>
          <w:tcPr>
            <w:tcW w:w="940" w:type="dxa"/>
            <w:vAlign w:val="bottom"/>
            <w:tcBorders>
              <w:bottom w:val="single" w:sz="8" w:color="auto"/>
            </w:tcBorders>
          </w:tcPr>
          <w:p>
            <w:pPr>
              <w:spacing w:after="0"/>
              <w:rPr>
                <w:sz w:val="16"/>
                <w:szCs w:val="16"/>
                <w:color w:val="auto"/>
              </w:rPr>
            </w:pPr>
          </w:p>
        </w:tc>
      </w:tr>
      <w:tr>
        <w:trPr>
          <w:trHeight w:val="22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GMNA</w:t>
            </w:r>
          </w:p>
        </w:tc>
        <w:tc>
          <w:tcPr>
            <w:tcW w:w="1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80.3 %</w:t>
            </w:r>
          </w:p>
        </w:tc>
      </w:tr>
      <w:tr>
        <w:trPr>
          <w:trHeight w:val="22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GMI</w:t>
            </w:r>
          </w:p>
        </w:tc>
        <w:tc>
          <w:tcPr>
            <w:tcW w:w="160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19.1 %</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19.7 %</w:t>
            </w: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Total vehicle sales data represents: (1) retail sales (i.e., sales to consumers who purchase new vehicles from dealers or distributors); (2) fleet sales (i.e., sales to large and small businesses, governments, and daily rental car companies); and (3) vehicles used by dealers in their businesses, including courtesy transportation vehicles.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we recognize during a particular period, we believe it is indicative of the underlying demand for our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summarizes industry and GM total vehicle sales and our related competitive position by geographic region (vehicles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1280" w:type="dxa"/>
            <w:vAlign w:val="bottom"/>
            <w:gridSpan w:val="2"/>
          </w:tcPr>
          <w:p>
            <w:pPr>
              <w:ind w:left="320"/>
              <w:spacing w:after="0"/>
              <w:rPr>
                <w:sz w:val="20"/>
                <w:szCs w:val="20"/>
                <w:color w:val="auto"/>
              </w:rPr>
            </w:pPr>
            <w:r>
              <w:rPr>
                <w:rFonts w:ascii="Arial" w:cs="Arial" w:eastAsia="Arial" w:hAnsi="Arial"/>
                <w:sz w:val="14"/>
                <w:szCs w:val="14"/>
                <w:b w:val="1"/>
                <w:bCs w:val="1"/>
                <w:color w:val="auto"/>
              </w:rPr>
              <w:t>Industry</w:t>
            </w:r>
          </w:p>
        </w:tc>
        <w:tc>
          <w:tcPr>
            <w:tcW w:w="1160" w:type="dxa"/>
            <w:vAlign w:val="bottom"/>
          </w:tcPr>
          <w:p>
            <w:pPr>
              <w:jc w:val="right"/>
              <w:ind w:right="38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7"/>
                <w:szCs w:val="17"/>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Market Share</w:t>
            </w:r>
          </w:p>
        </w:tc>
        <w:tc>
          <w:tcPr>
            <w:tcW w:w="1280" w:type="dxa"/>
            <w:vAlign w:val="bottom"/>
            <w:gridSpan w:val="2"/>
          </w:tcPr>
          <w:p>
            <w:pPr>
              <w:ind w:left="320"/>
              <w:spacing w:after="0"/>
              <w:rPr>
                <w:sz w:val="20"/>
                <w:szCs w:val="20"/>
                <w:color w:val="auto"/>
              </w:rPr>
            </w:pPr>
            <w:r>
              <w:rPr>
                <w:rFonts w:ascii="Arial" w:cs="Arial" w:eastAsia="Arial" w:hAnsi="Arial"/>
                <w:sz w:val="14"/>
                <w:szCs w:val="14"/>
                <w:b w:val="1"/>
                <w:bCs w:val="1"/>
                <w:color w:val="auto"/>
              </w:rPr>
              <w:t>Industry</w:t>
            </w:r>
          </w:p>
        </w:tc>
        <w:tc>
          <w:tcPr>
            <w:tcW w:w="1160" w:type="dxa"/>
            <w:vAlign w:val="bottom"/>
          </w:tcPr>
          <w:p>
            <w:pPr>
              <w:jc w:val="right"/>
              <w:ind w:right="38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7"/>
                <w:szCs w:val="17"/>
                <w:color w:val="auto"/>
              </w:rPr>
            </w:pPr>
          </w:p>
        </w:tc>
        <w:tc>
          <w:tcPr>
            <w:tcW w:w="1300" w:type="dxa"/>
            <w:vAlign w:val="bottom"/>
          </w:tcPr>
          <w:p>
            <w:pPr>
              <w:jc w:val="right"/>
              <w:ind w:right="148"/>
              <w:spacing w:after="0"/>
              <w:rPr>
                <w:sz w:val="20"/>
                <w:szCs w:val="20"/>
                <w:color w:val="auto"/>
              </w:rPr>
            </w:pPr>
            <w:r>
              <w:rPr>
                <w:rFonts w:ascii="Arial" w:cs="Arial" w:eastAsia="Arial" w:hAnsi="Arial"/>
                <w:sz w:val="14"/>
                <w:szCs w:val="14"/>
                <w:b w:val="1"/>
                <w:bCs w:val="1"/>
                <w:color w:val="auto"/>
              </w:rPr>
              <w:t>Market Share</w:t>
            </w:r>
          </w:p>
        </w:tc>
        <w:tc>
          <w:tcPr>
            <w:tcW w:w="0" w:type="dxa"/>
            <w:vAlign w:val="bottom"/>
          </w:tcPr>
          <w:p>
            <w:pPr>
              <w:spacing w:after="0"/>
              <w:rPr>
                <w:sz w:val="1"/>
                <w:szCs w:val="1"/>
                <w:color w:val="auto"/>
              </w:rPr>
            </w:pPr>
          </w:p>
        </w:tc>
      </w:tr>
      <w:tr>
        <w:trPr>
          <w:trHeight w:val="169"/>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North America</w:t>
            </w: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3,968</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16.2 %</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3,579</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17.3 %</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724</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14.4 %</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14.3 %</w:t>
            </w:r>
          </w:p>
        </w:tc>
        <w:tc>
          <w:tcPr>
            <w:tcW w:w="0" w:type="dxa"/>
            <w:vAlign w:val="bottom"/>
          </w:tcPr>
          <w:p>
            <w:pPr>
              <w:spacing w:after="0"/>
              <w:rPr>
                <w:sz w:val="1"/>
                <w:szCs w:val="1"/>
                <w:color w:val="auto"/>
              </w:rPr>
            </w:pPr>
          </w:p>
        </w:tc>
      </w:tr>
      <w:tr>
        <w:trPr>
          <w:trHeight w:val="186"/>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North America</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4,692</w:t>
            </w:r>
          </w:p>
        </w:tc>
        <w:tc>
          <w:tcPr>
            <w:tcW w:w="10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15.9 %</w:t>
            </w:r>
          </w:p>
        </w:tc>
        <w:tc>
          <w:tcPr>
            <w:tcW w:w="12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4,285</w:t>
            </w:r>
          </w:p>
        </w:tc>
        <w:tc>
          <w:tcPr>
            <w:tcW w:w="12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16.8 %</w:t>
            </w:r>
          </w:p>
        </w:tc>
        <w:tc>
          <w:tcPr>
            <w:tcW w:w="0" w:type="dxa"/>
            <w:vAlign w:val="bottom"/>
          </w:tcPr>
          <w:p>
            <w:pPr>
              <w:spacing w:after="0"/>
              <w:rPr>
                <w:sz w:val="1"/>
                <w:szCs w:val="1"/>
                <w:color w:val="auto"/>
              </w:rPr>
            </w:pPr>
          </w:p>
        </w:tc>
      </w:tr>
      <w:tr>
        <w:trPr>
          <w:trHeight w:val="168"/>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Asia/Pacific, Middle East and Africa</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China(a)</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6,661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11.7 %</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3,946</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11.7 %</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5,006</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2.0 %</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4,909</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2.9 %</w:t>
            </w:r>
          </w:p>
        </w:tc>
        <w:tc>
          <w:tcPr>
            <w:tcW w:w="0" w:type="dxa"/>
            <w:vAlign w:val="bottom"/>
          </w:tcPr>
          <w:p>
            <w:pPr>
              <w:spacing w:after="0"/>
              <w:rPr>
                <w:sz w:val="1"/>
                <w:szCs w:val="1"/>
                <w:color w:val="auto"/>
              </w:rPr>
            </w:pPr>
          </w:p>
        </w:tc>
      </w:tr>
      <w:tr>
        <w:trPr>
          <w:trHeight w:val="186"/>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Asia/Pacific, Middle East and Africa</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11,667</w:t>
            </w:r>
          </w:p>
        </w:tc>
        <w:tc>
          <w:tcPr>
            <w:tcW w:w="10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12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8,855</w:t>
            </w:r>
          </w:p>
        </w:tc>
        <w:tc>
          <w:tcPr>
            <w:tcW w:w="12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0" w:type="dxa"/>
            <w:vAlign w:val="bottom"/>
          </w:tcPr>
          <w:p>
            <w:pPr>
              <w:spacing w:after="0"/>
              <w:rPr>
                <w:sz w:val="1"/>
                <w:szCs w:val="1"/>
                <w:color w:val="auto"/>
              </w:rPr>
            </w:pPr>
          </w:p>
        </w:tc>
      </w:tr>
      <w:tr>
        <w:trPr>
          <w:trHeight w:val="168"/>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South America</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14.2 %</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17.0 %</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355</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12.1 %</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12.1 %</w:t>
            </w:r>
          </w:p>
        </w:tc>
        <w:tc>
          <w:tcPr>
            <w:tcW w:w="0" w:type="dxa"/>
            <w:vAlign w:val="bottom"/>
          </w:tcPr>
          <w:p>
            <w:pPr>
              <w:spacing w:after="0"/>
              <w:rPr>
                <w:sz w:val="1"/>
                <w:szCs w:val="1"/>
                <w:color w:val="auto"/>
              </w:rPr>
            </w:pPr>
          </w:p>
        </w:tc>
      </w:tr>
      <w:tr>
        <w:trPr>
          <w:trHeight w:val="186"/>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South America</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883</w:t>
            </w:r>
          </w:p>
        </w:tc>
        <w:tc>
          <w:tcPr>
            <w:tcW w:w="10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13.3 %</w:t>
            </w:r>
          </w:p>
        </w:tc>
        <w:tc>
          <w:tcPr>
            <w:tcW w:w="12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869</w:t>
            </w:r>
          </w:p>
        </w:tc>
        <w:tc>
          <w:tcPr>
            <w:tcW w:w="12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15.2 %</w:t>
            </w:r>
          </w:p>
        </w:tc>
        <w:tc>
          <w:tcPr>
            <w:tcW w:w="0" w:type="dxa"/>
            <w:vAlign w:val="bottom"/>
          </w:tcPr>
          <w:p>
            <w:pPr>
              <w:spacing w:after="0"/>
              <w:rPr>
                <w:sz w:val="1"/>
                <w:szCs w:val="1"/>
                <w:color w:val="auto"/>
              </w:rPr>
            </w:pPr>
          </w:p>
        </w:tc>
      </w:tr>
      <w:tr>
        <w:trPr>
          <w:trHeight w:val="179"/>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Total in GM markets</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17,242</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1,744</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10.1 %</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14,009</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1,456</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10.4 %</w:t>
            </w:r>
          </w:p>
        </w:tc>
        <w:tc>
          <w:tcPr>
            <w:tcW w:w="0" w:type="dxa"/>
            <w:vAlign w:val="bottom"/>
          </w:tcPr>
          <w:p>
            <w:pPr>
              <w:spacing w:after="0"/>
              <w:rPr>
                <w:sz w:val="1"/>
                <w:szCs w:val="1"/>
                <w:color w:val="auto"/>
              </w:rPr>
            </w:pPr>
          </w:p>
        </w:tc>
      </w:tr>
      <w:tr>
        <w:trPr>
          <w:trHeight w:val="192"/>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Europe</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3,887</w:t>
            </w:r>
          </w:p>
        </w:tc>
        <w:tc>
          <w:tcPr>
            <w:tcW w:w="10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3,712</w:t>
            </w:r>
          </w:p>
        </w:tc>
        <w:tc>
          <w:tcPr>
            <w:tcW w:w="12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Total Worldwide(b)</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21,129</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1,744</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8.3 %</w:t>
            </w: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17,721</w:t>
            </w: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1,456</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8.2 %</w:t>
            </w:r>
          </w:p>
        </w:tc>
        <w:tc>
          <w:tcPr>
            <w:tcW w:w="0" w:type="dxa"/>
            <w:vAlign w:val="bottom"/>
          </w:tcPr>
          <w:p>
            <w:pPr>
              <w:spacing w:after="0"/>
              <w:rPr>
                <w:sz w:val="1"/>
                <w:szCs w:val="1"/>
                <w:color w:val="auto"/>
              </w:rPr>
            </w:pP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United States</w:t>
            </w: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color w:val="auto"/>
              </w:rPr>
              <w:t>Cars</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846</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7.2 %</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891</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72</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8.1 %</w:t>
            </w:r>
          </w:p>
        </w:tc>
        <w:tc>
          <w:tcPr>
            <w:tcW w:w="0" w:type="dxa"/>
            <w:vAlign w:val="bottom"/>
          </w:tcPr>
          <w:p>
            <w:pPr>
              <w:spacing w:after="0"/>
              <w:rPr>
                <w:sz w:val="1"/>
                <w:szCs w:val="1"/>
                <w:color w:val="auto"/>
              </w:rPr>
            </w:pPr>
          </w:p>
        </w:tc>
      </w:tr>
      <w:tr>
        <w:trPr>
          <w:trHeight w:val="192"/>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Trucks</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1,048</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29.3 %</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30.8 %</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Crossovers</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2,074</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13.2 %</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1,742</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14.6 %</w:t>
            </w:r>
          </w:p>
        </w:tc>
        <w:tc>
          <w:tcPr>
            <w:tcW w:w="0" w:type="dxa"/>
            <w:vAlign w:val="bottom"/>
          </w:tcPr>
          <w:p>
            <w:pPr>
              <w:spacing w:after="0"/>
              <w:rPr>
                <w:sz w:val="1"/>
                <w:szCs w:val="1"/>
                <w:color w:val="auto"/>
              </w:rPr>
            </w:pPr>
          </w:p>
        </w:tc>
      </w:tr>
      <w:tr>
        <w:trPr>
          <w:trHeight w:val="211"/>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United States</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3,968</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642</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16.2 %</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3,579</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17.3 %</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China(a)</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40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SGMS</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SGMW</w:t>
            </w: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China</w:t>
            </w:r>
          </w:p>
        </w:tc>
        <w:tc>
          <w:tcPr>
            <w:tcW w:w="1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6,661</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11.7 %</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3,946</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11.7 %</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sales by the Automotive China JVs: SAIC General Motors Sales Co., Ltd. (SGMS) and SAIC GM Wuling Automobile Co., Ltd. (SGMW).</w:t>
      </w:r>
    </w:p>
    <w:p>
      <w:pPr>
        <w:spacing w:after="0" w:line="5"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Cuba, Iran, North Korea, Sudan and Syria are subject to broad economic sanctions. Accordingly, these countries are excluded from industry sales data and corresponding calculation of market share.</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three months ended March 31, 2021, we estimate we were the market share leader in North America.</w:t>
      </w:r>
    </w:p>
    <w:p>
      <w:pPr>
        <w:spacing w:after="0" w:line="252"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680" w:type="dxa"/>
            <w:vAlign w:val="bottom"/>
            <w:gridSpan w:val="4"/>
          </w:tcPr>
          <w:p>
            <w:pPr>
              <w:ind w:left="1140"/>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86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March 31, 2021</w:t>
            </w:r>
          </w:p>
        </w:tc>
        <w:tc>
          <w:tcPr>
            <w:tcW w:w="1760" w:type="dxa"/>
            <w:vAlign w:val="bottom"/>
            <w:tcBorders>
              <w:top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March 31, 2020</w:t>
            </w:r>
          </w:p>
        </w:tc>
        <w:tc>
          <w:tcPr>
            <w:tcW w:w="60" w:type="dxa"/>
            <w:vAlign w:val="bottom"/>
          </w:tcPr>
          <w:p>
            <w:pPr>
              <w:spacing w:after="0"/>
              <w:rPr>
                <w:sz w:val="16"/>
                <w:szCs w:val="16"/>
                <w:color w:val="auto"/>
              </w:rPr>
            </w:pPr>
          </w:p>
        </w:tc>
      </w:tr>
      <w:tr>
        <w:trPr>
          <w:trHeight w:val="224"/>
        </w:trPr>
        <w:tc>
          <w:tcPr>
            <w:tcW w:w="80" w:type="dxa"/>
            <w:vAlign w:val="bottom"/>
          </w:tcPr>
          <w:p>
            <w:pPr>
              <w:spacing w:after="0"/>
              <w:rPr>
                <w:sz w:val="19"/>
                <w:szCs w:val="19"/>
                <w:color w:val="auto"/>
              </w:rPr>
            </w:pPr>
          </w:p>
        </w:tc>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GMNA</w:t>
            </w:r>
          </w:p>
        </w:tc>
        <w:tc>
          <w:tcPr>
            <w:tcW w:w="304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133</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GMI</w:t>
            </w:r>
          </w:p>
        </w:tc>
        <w:tc>
          <w:tcPr>
            <w:tcW w:w="4780" w:type="dxa"/>
            <w:vAlign w:val="bottom"/>
            <w:gridSpan w:val="2"/>
          </w:tcPr>
          <w:p>
            <w:pPr>
              <w:jc w:val="right"/>
              <w:ind w:right="139"/>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760" w:type="dxa"/>
            <w:vAlign w:val="bottom"/>
          </w:tcPr>
          <w:p>
            <w:pPr>
              <w:jc w:val="right"/>
              <w:ind w:right="134"/>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9"/>
                <w:szCs w:val="19"/>
                <w:color w:val="auto"/>
              </w:rPr>
            </w:pPr>
          </w:p>
        </w:tc>
      </w:tr>
      <w:tr>
        <w:trPr>
          <w:trHeight w:val="248"/>
        </w:trPr>
        <w:tc>
          <w:tcPr>
            <w:tcW w:w="80" w:type="dxa"/>
            <w:vAlign w:val="bottom"/>
          </w:tcPr>
          <w:p>
            <w:pPr>
              <w:spacing w:after="0"/>
              <w:rPr>
                <w:sz w:val="21"/>
                <w:szCs w:val="21"/>
                <w:color w:val="auto"/>
              </w:rPr>
            </w:pPr>
          </w:p>
        </w:tc>
        <w:tc>
          <w:tcPr>
            <w:tcW w:w="4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fleet sales</w:t>
            </w:r>
          </w:p>
        </w:tc>
        <w:tc>
          <w:tcPr>
            <w:tcW w:w="304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278</w:t>
            </w:r>
          </w:p>
        </w:tc>
        <w:tc>
          <w:tcPr>
            <w:tcW w:w="6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80" w:type="dxa"/>
            <w:vAlign w:val="bottom"/>
          </w:tcPr>
          <w:p>
            <w:pPr>
              <w:spacing w:after="0"/>
              <w:rPr>
                <w:sz w:val="20"/>
                <w:szCs w:val="20"/>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Fleet sales as a percentage of total vehicle sales</w:t>
            </w: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19.1 %</w:t>
            </w:r>
          </w:p>
        </w:tc>
        <w:tc>
          <w:tcPr>
            <w:tcW w:w="60" w:type="dxa"/>
            <w:vAlign w:val="bottom"/>
          </w:tcPr>
          <w:p>
            <w:pPr>
              <w:spacing w:after="0"/>
              <w:rPr>
                <w:sz w:val="20"/>
                <w:szCs w:val="20"/>
                <w:color w:val="auto"/>
              </w:rPr>
            </w:pPr>
          </w:p>
        </w:tc>
      </w:tr>
      <w:tr>
        <w:trPr>
          <w:trHeight w:val="662"/>
        </w:trPr>
        <w:tc>
          <w:tcPr>
            <w:tcW w:w="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040" w:type="dxa"/>
            <w:vAlign w:val="bottom"/>
          </w:tcPr>
          <w:p>
            <w:pPr>
              <w:jc w:val="right"/>
              <w:ind w:right="1750"/>
              <w:spacing w:after="0"/>
              <w:rPr>
                <w:sz w:val="20"/>
                <w:szCs w:val="20"/>
                <w:color w:val="auto"/>
              </w:rPr>
            </w:pPr>
            <w:r>
              <w:rPr>
                <w:rFonts w:ascii="Arial" w:cs="Arial" w:eastAsia="Arial" w:hAnsi="Arial"/>
                <w:sz w:val="18"/>
                <w:szCs w:val="18"/>
                <w:color w:val="auto"/>
              </w:rPr>
              <w:t>30</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8"/>
        </w:trPr>
        <w:tc>
          <w:tcPr>
            <w:tcW w:w="8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6"/>
          <w:szCs w:val="16"/>
          <w:b w:val="1"/>
          <w:bCs w:val="1"/>
          <w:i w:val="1"/>
          <w:iCs w:val="1"/>
          <w:color w:val="auto"/>
        </w:rPr>
        <w:t xml:space="preserve">GM Financial </w:t>
      </w:r>
      <w:r>
        <w:rPr>
          <w:rFonts w:ascii="Arial" w:cs="Arial" w:eastAsia="Arial" w:hAnsi="Arial"/>
          <w:sz w:val="16"/>
          <w:szCs w:val="16"/>
          <w:color w:val="auto"/>
        </w:rPr>
        <w:t>We believe that offering a comprehensive suite of financing products will generate incremental sales of our vehicles, drive incremental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GM Financial earnings and help support our sales throughout various economic cycles. GM Financial's leasing program is exposed to residual values, which are heavily dependent on used vehicle prices. Used vehicle prices increased approximately 11% for the three months ended March 31, 2021, compared to the same period in 2020, primarily due to continued low new vehicle inventory compounded by the global semiconductor supply shortage impacting automotive production, and strong demand for new and used vehicles driven by economic recovery and government stimulus. In 2021, GM Financial expects used vehicle prices to increase by an amount in the low to mid single digits on a percentage basis, as compared to 2020 levels, primarily due to sustained low new vehicle inventory and continued strong demand. The increase in used vehicle prices resulted in gains on terminations of leased vehicles of $0.4 billion in GM Financial interest, operating and other expenses for the three months ended March 31, 2021, compared to gains of $0.1 billion in the corresponding period in 2020. The following table summarizes the estimated residual value based on GM Financial's most recent estimates and the number of units included in GM Financial Equipment on operating leases, net by vehicle type (units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March 31, 2021</w:t>
            </w:r>
          </w:p>
        </w:tc>
        <w:tc>
          <w:tcPr>
            <w:tcW w:w="1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5"/>
              </w:rPr>
              <w:t>December 31, 2020</w:t>
            </w:r>
          </w:p>
        </w:tc>
        <w:tc>
          <w:tcPr>
            <w:tcW w:w="1400" w:type="dxa"/>
            <w:vAlign w:val="bottom"/>
            <w:tcBorders>
              <w:bottom w:val="single" w:sz="8" w:color="auto"/>
            </w:tcBorders>
          </w:tcPr>
          <w:p>
            <w:pPr>
              <w:spacing w:after="0"/>
              <w:rPr>
                <w:sz w:val="16"/>
                <w:szCs w:val="16"/>
                <w:color w:val="auto"/>
              </w:rPr>
            </w:pPr>
          </w:p>
        </w:tc>
      </w:tr>
      <w:tr>
        <w:trPr>
          <w:trHeight w:val="187"/>
        </w:trPr>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Residual Value</w:t>
            </w: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rPr>
              <w:t>Units</w:t>
            </w:r>
          </w:p>
        </w:tc>
        <w:tc>
          <w:tcPr>
            <w:tcW w:w="1380" w:type="dxa"/>
            <w:vAlign w:val="bottom"/>
          </w:tcPr>
          <w:p>
            <w:pPr>
              <w:jc w:val="right"/>
              <w:ind w:right="253"/>
              <w:spacing w:after="0"/>
              <w:rPr>
                <w:sz w:val="20"/>
                <w:szCs w:val="20"/>
                <w:color w:val="auto"/>
              </w:rPr>
            </w:pPr>
            <w:r>
              <w:rPr>
                <w:rFonts w:ascii="Arial" w:cs="Arial" w:eastAsia="Arial" w:hAnsi="Arial"/>
                <w:sz w:val="14"/>
                <w:szCs w:val="14"/>
                <w:b w:val="1"/>
                <w:bCs w:val="1"/>
                <w:color w:val="auto"/>
              </w:rPr>
              <w:t>Percentage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Residual Value</w:t>
            </w: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rPr>
              <w:t>Units</w:t>
            </w:r>
          </w:p>
        </w:tc>
        <w:tc>
          <w:tcPr>
            <w:tcW w:w="1400" w:type="dxa"/>
            <w:vAlign w:val="bottom"/>
          </w:tcPr>
          <w:p>
            <w:pPr>
              <w:jc w:val="right"/>
              <w:ind w:right="273"/>
              <w:spacing w:after="0"/>
              <w:rPr>
                <w:sz w:val="20"/>
                <w:szCs w:val="20"/>
                <w:color w:val="auto"/>
              </w:rPr>
            </w:pPr>
            <w:r>
              <w:rPr>
                <w:rFonts w:ascii="Arial" w:cs="Arial" w:eastAsia="Arial" w:hAnsi="Arial"/>
                <w:sz w:val="14"/>
                <w:szCs w:val="14"/>
                <w:b w:val="1"/>
                <w:bCs w:val="1"/>
                <w:color w:val="auto"/>
              </w:rPr>
              <w:t>Percentage</w:t>
            </w:r>
          </w:p>
        </w:tc>
      </w:tr>
      <w:tr>
        <w:trPr>
          <w:trHeight w:val="224"/>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Crossovers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16,632</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16,334</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65.5 %</w:t>
            </w: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Trucks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7,838</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19.1 %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7,455</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18.7 %</w:t>
            </w:r>
          </w:p>
        </w:tc>
      </w:tr>
      <w:tr>
        <w:trPr>
          <w:trHeight w:val="22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SUVs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30"/>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Cars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8.8 %</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9.5 %</w:t>
            </w:r>
          </w:p>
        </w:tc>
      </w:tr>
      <w:tr>
        <w:trPr>
          <w:trHeight w:val="248"/>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7"/>
          <w:szCs w:val="17"/>
          <w:color w:val="auto"/>
        </w:rPr>
        <w:t>GM Financial's penetration of our retail sales in the U.S. was 44% in the three months ended March 31, 2021 and 45% in the corresponding period in 2020. Penetration levels vary depending on incentive financing programs available and competing third-party financing products in the market. GM Financial's prime loan originations as a percentage of total loan originations in North America increased to 72% in the three months ended March 31, 2021 from 65% in the three months ended March 31, 2020. In the three months ended March 31, 2021, GM Financial's revenue consisted of leased vehicle income of 68%, retail finance charge income of 28% and commercial finance charge income of 2%.</w:t>
      </w:r>
    </w:p>
    <w:p>
      <w:pPr>
        <w:spacing w:after="0" w:line="19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Consolidated Results </w:t>
      </w:r>
      <w:r>
        <w:rPr>
          <w:rFonts w:ascii="Arial" w:cs="Arial" w:eastAsia="Arial" w:hAnsi="Arial"/>
          <w:sz w:val="17"/>
          <w:szCs w:val="17"/>
          <w:color w:val="auto"/>
        </w:rPr>
        <w:t>We review changes in our results of operations under five categories: volume, mix, price, cost and other. Volume measures the</w:t>
      </w:r>
      <w:r>
        <w:rPr>
          <w:rFonts w:ascii="Arial" w:cs="Arial" w:eastAsia="Arial" w:hAnsi="Arial"/>
          <w:sz w:val="17"/>
          <w:szCs w:val="17"/>
          <w:b w:val="1"/>
          <w:bCs w:val="1"/>
          <w:color w:val="auto"/>
        </w:rPr>
        <w:t xml:space="preserve"> </w:t>
      </w:r>
      <w:r>
        <w:rPr>
          <w:rFonts w:ascii="Arial" w:cs="Arial" w:eastAsia="Arial" w:hAnsi="Arial"/>
          <w:sz w:val="17"/>
          <w:szCs w:val="17"/>
          <w:color w:val="auto"/>
        </w:rPr>
        <w:t>impact 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primarily includes: (1) material and freight; (2) manufacturing, engineering, advertising, administrative and selling and warranty expense; and (3) non-vehicle related activity. Other primarily includes foreign exchange and non-vehicle related automotive revenues as well as equity income or loss from our nonconsolidated affiliates. Refer to the regional sections of this MD&amp;A for additional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81"/>
              <w:spacing w:after="0"/>
              <w:rPr>
                <w:sz w:val="20"/>
                <w:szCs w:val="20"/>
                <w:color w:val="auto"/>
              </w:rPr>
            </w:pPr>
            <w:r>
              <w:rPr>
                <w:rFonts w:ascii="Arial" w:cs="Arial" w:eastAsia="Arial" w:hAnsi="Arial"/>
                <w:sz w:val="14"/>
                <w:szCs w:val="14"/>
                <w:b w:val="1"/>
                <w:bCs w:val="1"/>
                <w:color w:val="auto"/>
              </w:rPr>
              <w:t>Favorable/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r>
      <w:tr>
        <w:trPr>
          <w:trHeight w:val="199"/>
        </w:trPr>
        <w:tc>
          <w:tcPr>
            <w:tcW w:w="2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7"/>
                <w:szCs w:val="17"/>
                <w:color w:val="auto"/>
              </w:rPr>
            </w:pPr>
          </w:p>
        </w:tc>
        <w:tc>
          <w:tcPr>
            <w:tcW w:w="1040" w:type="dxa"/>
            <w:vAlign w:val="bottom"/>
          </w:tcPr>
          <w:p>
            <w:pPr>
              <w:jc w:val="right"/>
              <w:ind w:right="81"/>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101"/>
              <w:spacing w:after="0"/>
              <w:rPr>
                <w:sz w:val="20"/>
                <w:szCs w:val="20"/>
                <w:color w:val="auto"/>
              </w:rPr>
            </w:pPr>
            <w:r>
              <w:rPr>
                <w:rFonts w:ascii="Arial" w:cs="Arial" w:eastAsia="Arial" w:hAnsi="Arial"/>
                <w:sz w:val="14"/>
                <w:szCs w:val="14"/>
                <w:b w:val="1"/>
                <w:bCs w:val="1"/>
                <w:color w:val="auto"/>
                <w:w w:val="94"/>
              </w:rPr>
              <w:t>Volume</w:t>
            </w:r>
          </w:p>
        </w:tc>
        <w:tc>
          <w:tcPr>
            <w:tcW w:w="180" w:type="dxa"/>
            <w:vAlign w:val="bottom"/>
          </w:tcPr>
          <w:p>
            <w:pPr>
              <w:spacing w:after="0"/>
              <w:rPr>
                <w:sz w:val="17"/>
                <w:szCs w:val="17"/>
                <w:color w:val="auto"/>
              </w:rPr>
            </w:pPr>
          </w:p>
        </w:tc>
        <w:tc>
          <w:tcPr>
            <w:tcW w:w="620" w:type="dxa"/>
            <w:vAlign w:val="bottom"/>
          </w:tcPr>
          <w:p>
            <w:pPr>
              <w:jc w:val="right"/>
              <w:ind w:right="182"/>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17"/>
                <w:szCs w:val="17"/>
                <w:color w:val="auto"/>
              </w:rPr>
            </w:pPr>
          </w:p>
        </w:tc>
        <w:tc>
          <w:tcPr>
            <w:tcW w:w="600" w:type="dxa"/>
            <w:vAlign w:val="bottom"/>
          </w:tcPr>
          <w:p>
            <w:pPr>
              <w:jc w:val="right"/>
              <w:ind w:right="141"/>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rPr>
              <w:t>Other</w:t>
            </w:r>
          </w:p>
        </w:tc>
      </w:tr>
      <w:tr>
        <w:trPr>
          <w:trHeight w:val="183"/>
        </w:trPr>
        <w:tc>
          <w:tcPr>
            <w:tcW w:w="24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3"/>
          </w:tcPr>
          <w:p>
            <w:pPr>
              <w:jc w:val="right"/>
              <w:ind w:right="141"/>
              <w:spacing w:after="0"/>
              <w:rPr>
                <w:sz w:val="20"/>
                <w:szCs w:val="20"/>
                <w:color w:val="auto"/>
              </w:rPr>
            </w:pPr>
            <w:r>
              <w:rPr>
                <w:rFonts w:ascii="Arial" w:cs="Arial" w:eastAsia="Arial" w:hAnsi="Arial"/>
                <w:sz w:val="14"/>
                <w:szCs w:val="14"/>
                <w:b w:val="1"/>
                <w:bCs w:val="1"/>
                <w:color w:val="auto"/>
                <w:w w:val="95"/>
              </w:rPr>
              <w:t>(Dollars in billions)</w:t>
            </w:r>
          </w:p>
        </w:tc>
        <w:tc>
          <w:tcPr>
            <w:tcW w:w="2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r>
      <w:tr>
        <w:trPr>
          <w:trHeight w:val="231"/>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25,957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0.5 %</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center"/>
              <w:ind w:left="119"/>
              <w:spacing w:after="0"/>
              <w:rPr>
                <w:sz w:val="20"/>
                <w:szCs w:val="20"/>
                <w:color w:val="auto"/>
              </w:rPr>
            </w:pPr>
            <w:r>
              <w:rPr>
                <w:rFonts w:ascii="Arial" w:cs="Arial" w:eastAsia="Arial" w:hAnsi="Arial"/>
                <w:sz w:val="18"/>
                <w:szCs w:val="18"/>
                <w:color w:val="auto"/>
                <w:w w:val="87"/>
              </w:rPr>
              <w:t>0.1</w:t>
            </w: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color w:val="auto"/>
              </w:rPr>
              <w:t>GMI</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(194)</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(5.9)%</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(0.5)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2"/>
              <w:spacing w:after="0"/>
              <w:rPr>
                <w:sz w:val="20"/>
                <w:szCs w:val="20"/>
                <w:color w:val="auto"/>
              </w:rPr>
            </w:pPr>
            <w:r>
              <w:rPr>
                <w:rFonts w:ascii="Arial" w:cs="Arial" w:eastAsia="Arial" w:hAnsi="Arial"/>
                <w:sz w:val="16"/>
                <w:szCs w:val="16"/>
                <w:color w:val="auto"/>
              </w:rPr>
              <w:t>0.2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0.3</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center"/>
              <w:ind w:left="119"/>
              <w:spacing w:after="0"/>
              <w:rPr>
                <w:sz w:val="20"/>
                <w:szCs w:val="20"/>
                <w:color w:val="auto"/>
              </w:rPr>
            </w:pPr>
            <w:r>
              <w:rPr>
                <w:rFonts w:ascii="Arial" w:cs="Arial" w:eastAsia="Arial" w:hAnsi="Arial"/>
                <w:sz w:val="16"/>
                <w:szCs w:val="16"/>
                <w:color w:val="auto"/>
                <w:w w:val="91"/>
              </w:rPr>
              <w:t>(0.2)</w:t>
            </w:r>
          </w:p>
        </w:tc>
      </w:tr>
      <w:tr>
        <w:trPr>
          <w:trHeight w:val="21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(50.0)%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r>
      <w:tr>
        <w:trPr>
          <w:trHeight w:val="207"/>
        </w:trPr>
        <w:tc>
          <w:tcPr>
            <w:tcW w:w="2480" w:type="dxa"/>
            <w:vAlign w:val="bottom"/>
          </w:tcPr>
          <w:p>
            <w:pPr>
              <w:ind w:left="20"/>
              <w:spacing w:after="0"/>
              <w:rPr>
                <w:sz w:val="20"/>
                <w:szCs w:val="20"/>
                <w:color w:val="auto"/>
              </w:rPr>
            </w:pPr>
            <w:r>
              <w:rPr>
                <w:rFonts w:ascii="Arial" w:cs="Arial" w:eastAsia="Arial" w:hAnsi="Arial"/>
                <w:sz w:val="16"/>
                <w:szCs w:val="16"/>
                <w:color w:val="auto"/>
              </w:rPr>
              <w:t>Automotive</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29,062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29,149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(3.8)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2"/>
              <w:spacing w:after="0"/>
              <w:rPr>
                <w:sz w:val="20"/>
                <w:szCs w:val="20"/>
                <w:color w:val="auto"/>
              </w:rPr>
            </w:pPr>
            <w:r>
              <w:rPr>
                <w:rFonts w:ascii="Arial" w:cs="Arial" w:eastAsia="Arial" w:hAnsi="Arial"/>
                <w:sz w:val="16"/>
                <w:szCs w:val="16"/>
                <w:color w:val="auto"/>
              </w:rPr>
              <w:t>1.8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2.0</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center"/>
              <w:ind w:left="119"/>
              <w:spacing w:after="0"/>
              <w:rPr>
                <w:sz w:val="20"/>
                <w:szCs w:val="20"/>
                <w:color w:val="auto"/>
              </w:rPr>
            </w:pPr>
            <w:r>
              <w:rPr>
                <w:rFonts w:ascii="Arial" w:cs="Arial" w:eastAsia="Arial" w:hAnsi="Arial"/>
                <w:sz w:val="16"/>
                <w:szCs w:val="16"/>
                <w:color w:val="auto"/>
                <w:w w:val="91"/>
              </w:rPr>
              <w:t>(0.1)</w:t>
            </w:r>
          </w:p>
        </w:tc>
      </w:tr>
      <w:tr>
        <w:trPr>
          <w:trHeight w:val="21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Cruise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20.0 %</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color w:val="auto"/>
              </w:rPr>
              <w:t>GM Financial</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(4.3)%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center"/>
              <w:ind w:left="119"/>
              <w:spacing w:after="0"/>
              <w:rPr>
                <w:sz w:val="20"/>
                <w:szCs w:val="20"/>
                <w:color w:val="auto"/>
              </w:rPr>
            </w:pPr>
            <w:r>
              <w:rPr>
                <w:rFonts w:ascii="Arial" w:cs="Arial" w:eastAsia="Arial" w:hAnsi="Arial"/>
                <w:sz w:val="16"/>
                <w:szCs w:val="16"/>
                <w:color w:val="auto"/>
                <w:w w:val="91"/>
              </w:rPr>
              <w:t>(0.2)</w:t>
            </w: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Eliminations/reclassifications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r>
      <w:tr>
        <w:trPr>
          <w:trHeight w:val="253"/>
        </w:trPr>
        <w:tc>
          <w:tcPr>
            <w:tcW w:w="2480" w:type="dxa"/>
            <w:vAlign w:val="bottom"/>
          </w:tcPr>
          <w:p>
            <w:pPr>
              <w:ind w:left="20"/>
              <w:spacing w:after="0"/>
              <w:rPr>
                <w:sz w:val="20"/>
                <w:szCs w:val="20"/>
                <w:color w:val="auto"/>
              </w:rPr>
            </w:pPr>
            <w:r>
              <w:rPr>
                <w:rFonts w:ascii="Arial" w:cs="Arial" w:eastAsia="Arial" w:hAnsi="Arial"/>
                <w:sz w:val="16"/>
                <w:szCs w:val="16"/>
                <w:color w:val="auto"/>
              </w:rPr>
              <w:t>Total net sales and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32,474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32,709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(3.8)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2"/>
              <w:spacing w:after="0"/>
              <w:rPr>
                <w:sz w:val="20"/>
                <w:szCs w:val="20"/>
                <w:color w:val="auto"/>
              </w:rPr>
            </w:pPr>
            <w:r>
              <w:rPr>
                <w:rFonts w:ascii="Arial" w:cs="Arial" w:eastAsia="Arial" w:hAnsi="Arial"/>
                <w:sz w:val="16"/>
                <w:szCs w:val="16"/>
                <w:color w:val="auto"/>
              </w:rPr>
              <w:t>1.8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2.0</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center"/>
              <w:ind w:left="119"/>
              <w:spacing w:after="0"/>
              <w:rPr>
                <w:sz w:val="20"/>
                <w:szCs w:val="20"/>
                <w:color w:val="auto"/>
              </w:rPr>
            </w:pPr>
            <w:r>
              <w:rPr>
                <w:rFonts w:ascii="Arial" w:cs="Arial" w:eastAsia="Arial" w:hAnsi="Arial"/>
                <w:sz w:val="16"/>
                <w:szCs w:val="16"/>
                <w:color w:val="auto"/>
                <w:w w:val="91"/>
              </w:rPr>
              <w:t>(0.3)</w:t>
            </w:r>
          </w:p>
        </w:tc>
      </w:tr>
    </w:tbl>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the regional sections of this MD&amp;A for additional information on volume, mix and price.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 and Other Cost of Sales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81"/>
              <w:spacing w:after="0"/>
              <w:rPr>
                <w:sz w:val="20"/>
                <w:szCs w:val="20"/>
                <w:color w:val="auto"/>
              </w:rPr>
            </w:pPr>
            <w:r>
              <w:rPr>
                <w:rFonts w:ascii="Arial" w:cs="Arial" w:eastAsia="Arial" w:hAnsi="Arial"/>
                <w:sz w:val="14"/>
                <w:szCs w:val="14"/>
                <w:b w:val="1"/>
                <w:bCs w:val="1"/>
                <w:color w:val="auto"/>
              </w:rPr>
              <w:t>Favorable/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Variance Due To</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7"/>
                <w:szCs w:val="17"/>
                <w:color w:val="auto"/>
              </w:rPr>
            </w:pPr>
          </w:p>
        </w:tc>
        <w:tc>
          <w:tcPr>
            <w:tcW w:w="1040" w:type="dxa"/>
            <w:vAlign w:val="bottom"/>
          </w:tcPr>
          <w:p>
            <w:pPr>
              <w:jc w:val="right"/>
              <w:ind w:right="81"/>
              <w:spacing w:after="0"/>
              <w:rPr>
                <w:sz w:val="20"/>
                <w:szCs w:val="20"/>
                <w:color w:val="auto"/>
              </w:rPr>
            </w:pPr>
            <w:r>
              <w:rPr>
                <w:rFonts w:ascii="Arial" w:cs="Arial" w:eastAsia="Arial" w:hAnsi="Arial"/>
                <w:sz w:val="14"/>
                <w:szCs w:val="14"/>
                <w:b w:val="1"/>
                <w:bCs w:val="1"/>
                <w:color w:val="auto"/>
                <w:w w:val="95"/>
              </w:rPr>
              <w:t>(Unfavorable)</w:t>
            </w:r>
          </w:p>
        </w:tc>
        <w:tc>
          <w:tcPr>
            <w:tcW w:w="102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81"/>
              <w:spacing w:after="0"/>
              <w:rPr>
                <w:sz w:val="20"/>
                <w:szCs w:val="20"/>
                <w:color w:val="auto"/>
              </w:rPr>
            </w:pPr>
            <w:r>
              <w:rPr>
                <w:rFonts w:ascii="Arial" w:cs="Arial" w:eastAsia="Arial" w:hAnsi="Arial"/>
                <w:sz w:val="14"/>
                <w:szCs w:val="14"/>
                <w:b w:val="1"/>
                <w:bCs w:val="1"/>
                <w:color w:val="auto"/>
                <w:w w:val="94"/>
              </w:rPr>
              <w:t>Volume</w:t>
            </w:r>
          </w:p>
        </w:tc>
        <w:tc>
          <w:tcPr>
            <w:tcW w:w="220" w:type="dxa"/>
            <w:vAlign w:val="bottom"/>
          </w:tcPr>
          <w:p>
            <w:pPr>
              <w:spacing w:after="0"/>
              <w:rPr>
                <w:sz w:val="17"/>
                <w:szCs w:val="17"/>
                <w:color w:val="auto"/>
              </w:rPr>
            </w:pPr>
          </w:p>
        </w:tc>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17"/>
                <w:szCs w:val="17"/>
                <w:color w:val="auto"/>
              </w:rPr>
            </w:pPr>
          </w:p>
        </w:tc>
        <w:tc>
          <w:tcPr>
            <w:tcW w:w="620" w:type="dxa"/>
            <w:vAlign w:val="bottom"/>
          </w:tcPr>
          <w:p>
            <w:pPr>
              <w:jc w:val="right"/>
              <w:ind w:right="18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7"/>
                <w:szCs w:val="17"/>
                <w:color w:val="auto"/>
              </w:rPr>
            </w:pPr>
          </w:p>
        </w:tc>
        <w:tc>
          <w:tcPr>
            <w:tcW w:w="600" w:type="dxa"/>
            <w:vAlign w:val="bottom"/>
          </w:tcPr>
          <w:p>
            <w:pPr>
              <w:jc w:val="right"/>
              <w:ind w:right="101"/>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218"/>
        </w:trPr>
        <w:tc>
          <w:tcPr>
            <w:tcW w:w="2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5"/>
              </w:rPr>
              <w:t>(Dollars in billions)</w:t>
            </w: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21,962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400" w:type="dxa"/>
            <w:vAlign w:val="bottom"/>
          </w:tcPr>
          <w:p>
            <w:pPr>
              <w:ind w:left="20"/>
              <w:spacing w:after="0"/>
              <w:rPr>
                <w:sz w:val="20"/>
                <w:szCs w:val="20"/>
                <w:color w:val="auto"/>
              </w:rPr>
            </w:pPr>
            <w:r>
              <w:rPr>
                <w:rFonts w:ascii="Arial" w:cs="Arial" w:eastAsia="Arial" w:hAnsi="Arial"/>
                <w:sz w:val="16"/>
                <w:szCs w:val="16"/>
                <w:color w:val="auto"/>
              </w:rPr>
              <w:t>GMI</w:t>
            </w:r>
          </w:p>
        </w:tc>
        <w:tc>
          <w:tcPr>
            <w:tcW w:w="1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2,897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25.4 %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0.4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ind w:left="34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0.3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9"/>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72.9 %</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2400" w:type="dxa"/>
            <w:vAlign w:val="bottom"/>
          </w:tcPr>
          <w:p>
            <w:pPr>
              <w:ind w:left="20"/>
              <w:spacing w:after="0"/>
              <w:rPr>
                <w:sz w:val="20"/>
                <w:szCs w:val="20"/>
                <w:color w:val="auto"/>
              </w:rPr>
            </w:pPr>
            <w:r>
              <w:rPr>
                <w:rFonts w:ascii="Arial" w:cs="Arial" w:eastAsia="Arial" w:hAnsi="Arial"/>
                <w:sz w:val="16"/>
                <w:szCs w:val="16"/>
                <w:color w:val="auto"/>
              </w:rPr>
              <w:t>Cruise</w:t>
            </w:r>
          </w:p>
        </w:tc>
        <w:tc>
          <w:tcPr>
            <w:tcW w:w="1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400" w:type="dxa"/>
            <w:vAlign w:val="bottom"/>
          </w:tcPr>
          <w:p>
            <w:pPr>
              <w:ind w:left="20"/>
              <w:spacing w:after="0" w:line="146" w:lineRule="exact"/>
              <w:rPr>
                <w:sz w:val="20"/>
                <w:szCs w:val="20"/>
                <w:color w:val="auto"/>
              </w:rPr>
            </w:pPr>
            <w:r>
              <w:rPr>
                <w:rFonts w:ascii="Arial" w:cs="Arial" w:eastAsia="Arial" w:hAnsi="Arial"/>
                <w:sz w:val="16"/>
                <w:szCs w:val="16"/>
                <w:color w:val="auto"/>
                <w:w w:val="97"/>
              </w:rPr>
              <w:t>Total automotive and other cost of</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25,115</w:t>
            </w:r>
          </w:p>
        </w:tc>
        <w:tc>
          <w:tcPr>
            <w:tcW w:w="100" w:type="dxa"/>
            <w:vAlign w:val="bottom"/>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26,726</w:t>
            </w:r>
          </w:p>
        </w:tc>
        <w:tc>
          <w:tcPr>
            <w:tcW w:w="10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1,611</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6.0 %</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tcPr>
          <w:p>
            <w:pPr>
              <w:jc w:val="right"/>
              <w:ind w:right="21"/>
              <w:spacing w:after="0"/>
              <w:rPr>
                <w:sz w:val="20"/>
                <w:szCs w:val="20"/>
                <w:color w:val="auto"/>
              </w:rPr>
            </w:pPr>
            <w:r>
              <w:rPr>
                <w:rFonts w:ascii="Arial" w:cs="Arial" w:eastAsia="Arial" w:hAnsi="Arial"/>
                <w:sz w:val="16"/>
                <w:szCs w:val="16"/>
                <w:color w:val="auto"/>
              </w:rPr>
              <w:t>2.9</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ind w:right="1"/>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0"/>
        </w:trPr>
        <w:tc>
          <w:tcPr>
            <w:tcW w:w="2400" w:type="dxa"/>
            <w:vAlign w:val="bottom"/>
          </w:tcPr>
          <w:p>
            <w:pPr>
              <w:ind w:left="180"/>
              <w:spacing w:after="0"/>
              <w:rPr>
                <w:sz w:val="20"/>
                <w:szCs w:val="20"/>
                <w:color w:val="auto"/>
              </w:rPr>
            </w:pPr>
            <w:r>
              <w:rPr>
                <w:rFonts w:ascii="Arial" w:cs="Arial" w:eastAsia="Arial" w:hAnsi="Arial"/>
                <w:sz w:val="16"/>
                <w:szCs w:val="16"/>
                <w:color w:val="auto"/>
              </w:rPr>
              <w:t>sales</w:t>
            </w:r>
          </w:p>
        </w:tc>
        <w:tc>
          <w:tcPr>
            <w:tcW w:w="18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162"/>
        <w:spacing w:after="0" w:line="262" w:lineRule="auto"/>
        <w:rPr>
          <w:sz w:val="20"/>
          <w:szCs w:val="20"/>
          <w:color w:val="auto"/>
        </w:rPr>
      </w:pPr>
      <w:r>
        <w:rPr>
          <w:rFonts w:ascii="Arial" w:cs="Arial" w:eastAsia="Arial" w:hAnsi="Arial"/>
          <w:sz w:val="17"/>
          <w:szCs w:val="17"/>
          <w:color w:val="auto"/>
        </w:rPr>
        <w:t>In the three months ended March 31, 2021, increased Cost was primarily due to: (1) increased material and freight costs of $1.0 billion; and (2) increased engineering costs of $0.2 billion primarily related to accelerating our electric vehicle portfolio; partially offset by (3) charges of $0.4 billion in asset impairments and dealer restructuring charges in Australia, New Zealand, and Thailand in 2020. In the three months ended March 31, 2021, favorable Other was primarily due to the foreign currency effect resulting from the weakening of the Brazilian Real against the U.S. Dollar.</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the regional sections of this MD&amp;A for additional information on volume and mix.</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and other selling, general and administrative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4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Favorable/</w:t>
            </w:r>
          </w:p>
        </w:tc>
        <w:tc>
          <w:tcPr>
            <w:tcW w:w="860" w:type="dxa"/>
            <w:vAlign w:val="bottom"/>
          </w:tcPr>
          <w:p>
            <w:pPr>
              <w:spacing w:after="0"/>
              <w:rPr>
                <w:sz w:val="16"/>
                <w:szCs w:val="16"/>
                <w:color w:val="auto"/>
              </w:rPr>
            </w:pPr>
          </w:p>
        </w:tc>
      </w:tr>
      <w:tr>
        <w:trPr>
          <w:trHeight w:val="201"/>
        </w:trPr>
        <w:tc>
          <w:tcPr>
            <w:tcW w:w="56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5"/>
              </w:rPr>
              <w:t>(Unfavorable)</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w:t>
            </w:r>
          </w:p>
        </w:tc>
      </w:tr>
      <w:tr>
        <w:trPr>
          <w:trHeight w:val="21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and other selling, general and administrative expense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1,803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8.5 %</w:t>
            </w:r>
          </w:p>
        </w:tc>
      </w:tr>
    </w:tbl>
    <w:p>
      <w:pPr>
        <w:spacing w:after="0" w:line="31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2021, Automotive and other selling, general and administrative expense decreased primarily due to several insignificant items.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Income and Other Non-operating Income,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64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Favorable/</w:t>
            </w:r>
          </w:p>
        </w:tc>
        <w:tc>
          <w:tcPr>
            <w:tcW w:w="720" w:type="dxa"/>
            <w:vAlign w:val="bottom"/>
          </w:tcPr>
          <w:p>
            <w:pPr>
              <w:spacing w:after="0"/>
              <w:rPr>
                <w:sz w:val="16"/>
                <w:szCs w:val="16"/>
                <w:color w:val="auto"/>
              </w:rPr>
            </w:pPr>
          </w:p>
        </w:tc>
      </w:tr>
      <w:tr>
        <w:trPr>
          <w:trHeight w:val="201"/>
        </w:trPr>
        <w:tc>
          <w:tcPr>
            <w:tcW w:w="57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2021</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2020</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5"/>
              </w:rPr>
              <w:t>(Unfavorable)</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w:t>
            </w:r>
          </w:p>
        </w:tc>
      </w:tr>
      <w:tr>
        <w:trPr>
          <w:trHeight w:val="211"/>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and other non-operating income, net</w:t>
            </w:r>
          </w:p>
        </w:tc>
        <w:tc>
          <w:tcPr>
            <w:tcW w:w="1300" w:type="dxa"/>
            <w:vAlign w:val="bottom"/>
            <w:shd w:val="clear" w:color="auto" w:fill="CCEEFF"/>
          </w:tcPr>
          <w:p>
            <w:pPr>
              <w:jc w:val="right"/>
              <w:ind w:right="1125"/>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799</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44"/>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2"/>
              </w:rPr>
              <w:t>311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488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34"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Interest income and other non-operating, net increased primarily due to $0.2 billion in gains in the three months ended March 31, 2021 compared to $0.4 billion in losses in the three months ended March 31, 2020 related to Stellantis warrants.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62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Favorable/</w:t>
            </w:r>
          </w:p>
        </w:tc>
        <w:tc>
          <w:tcPr>
            <w:tcW w:w="720" w:type="dxa"/>
            <w:vAlign w:val="bottom"/>
          </w:tcPr>
          <w:p>
            <w:pPr>
              <w:spacing w:after="0"/>
              <w:rPr>
                <w:sz w:val="16"/>
                <w:szCs w:val="16"/>
                <w:color w:val="auto"/>
              </w:rPr>
            </w:pPr>
          </w:p>
        </w:tc>
      </w:tr>
      <w:tr>
        <w:trPr>
          <w:trHeight w:val="201"/>
        </w:trPr>
        <w:tc>
          <w:tcPr>
            <w:tcW w:w="57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2020</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5"/>
              </w:rPr>
              <w:t>(Unfavorable)</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w:t>
            </w:r>
          </w:p>
        </w:tc>
      </w:tr>
      <w:tr>
        <w:trPr>
          <w:trHeight w:val="211"/>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1,177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24"/>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357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three months ended March 31, 2021, Income tax expense increased primarily due to an increase in pre-tax income.</w:t>
      </w:r>
    </w:p>
    <w:p>
      <w:pPr>
        <w:spacing w:after="0" w:line="23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For the three months ended March 31, 2021, our ETR-adjusted was 20.5%. We expect our adjusted effective tax rate to be approximately 24% for the year ending December 31, 2021.</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14 to our condensed consolidated financial statements for additional information related to Income tax expense.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ind w:right="734"/>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center"/>
              <w:ind w:left="121"/>
              <w:spacing w:after="0"/>
              <w:rPr>
                <w:sz w:val="20"/>
                <w:szCs w:val="20"/>
                <w:color w:val="auto"/>
              </w:rPr>
            </w:pPr>
            <w:r>
              <w:rPr>
                <w:rFonts w:ascii="Arial" w:cs="Arial" w:eastAsia="Arial" w:hAnsi="Arial"/>
                <w:sz w:val="14"/>
                <w:szCs w:val="14"/>
                <w:b w:val="1"/>
                <w:bCs w:val="1"/>
                <w:color w:val="auto"/>
                <w:w w:val="92"/>
              </w:rPr>
              <w:t>Variance Due To</w:t>
            </w: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Pr>
          <w:p>
            <w:pPr>
              <w:spacing w:after="0"/>
              <w:rPr>
                <w:sz w:val="15"/>
                <w:szCs w:val="15"/>
                <w:color w:val="auto"/>
              </w:rPr>
            </w:pPr>
          </w:p>
        </w:tc>
        <w:tc>
          <w:tcPr>
            <w:tcW w:w="12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8"/>
              </w:rPr>
              <w:t>March 31, 2020</w:t>
            </w:r>
          </w:p>
        </w:tc>
        <w:tc>
          <w:tcPr>
            <w:tcW w:w="26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Favorable /</w:t>
            </w:r>
          </w:p>
        </w:tc>
        <w:tc>
          <w:tcPr>
            <w:tcW w:w="98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86"/>
              </w:rPr>
              <w:t>Volume</w:t>
            </w:r>
          </w:p>
        </w:tc>
        <w:tc>
          <w:tcPr>
            <w:tcW w:w="200" w:type="dxa"/>
            <w:vAlign w:val="bottom"/>
          </w:tcPr>
          <w:p>
            <w:pPr>
              <w:spacing w:after="0"/>
              <w:rPr>
                <w:sz w:val="15"/>
                <w:szCs w:val="15"/>
                <w:color w:val="auto"/>
              </w:rPr>
            </w:pPr>
          </w:p>
        </w:tc>
        <w:tc>
          <w:tcPr>
            <w:tcW w:w="46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Mix</w:t>
            </w:r>
          </w:p>
        </w:tc>
        <w:tc>
          <w:tcPr>
            <w:tcW w:w="200" w:type="dxa"/>
            <w:vAlign w:val="bottom"/>
          </w:tcPr>
          <w:p>
            <w:pPr>
              <w:spacing w:after="0"/>
              <w:rPr>
                <w:sz w:val="15"/>
                <w:szCs w:val="15"/>
                <w:color w:val="auto"/>
              </w:rPr>
            </w:pPr>
          </w:p>
        </w:tc>
        <w:tc>
          <w:tcPr>
            <w:tcW w:w="5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5"/>
                <w:szCs w:val="15"/>
                <w:color w:val="auto"/>
              </w:rPr>
            </w:pPr>
          </w:p>
        </w:tc>
        <w:tc>
          <w:tcPr>
            <w:tcW w:w="5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5"/>
                <w:szCs w:val="15"/>
                <w:color w:val="auto"/>
              </w:rPr>
            </w:pPr>
          </w:p>
        </w:tc>
        <w:tc>
          <w:tcPr>
            <w:tcW w:w="4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88"/>
        </w:trPr>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9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4"/>
          </w:tcPr>
          <w:p>
            <w:pPr>
              <w:jc w:val="center"/>
              <w:ind w:left="121"/>
              <w:spacing w:after="0"/>
              <w:rPr>
                <w:sz w:val="20"/>
                <w:szCs w:val="20"/>
                <w:color w:val="auto"/>
              </w:rPr>
            </w:pPr>
            <w:r>
              <w:rPr>
                <w:rFonts w:ascii="Arial" w:cs="Arial" w:eastAsia="Arial" w:hAnsi="Arial"/>
                <w:sz w:val="14"/>
                <w:szCs w:val="14"/>
                <w:b w:val="1"/>
                <w:bCs w:val="1"/>
                <w:color w:val="auto"/>
                <w:w w:val="93"/>
              </w:rPr>
              <w:t>(Dollars in billions)</w:t>
            </w:r>
          </w:p>
        </w:tc>
        <w:tc>
          <w:tcPr>
            <w:tcW w:w="5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Total net sales and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25,957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25,831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EBIT-adjusted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56"/>
              <w:spacing w:after="0"/>
              <w:rPr>
                <w:sz w:val="20"/>
                <w:szCs w:val="20"/>
                <w:color w:val="auto"/>
              </w:rPr>
            </w:pPr>
            <w:r>
              <w:rPr>
                <w:rFonts w:ascii="Arial" w:cs="Arial" w:eastAsia="Arial" w:hAnsi="Arial"/>
                <w:sz w:val="18"/>
                <w:szCs w:val="18"/>
                <w:color w:val="auto"/>
              </w:rPr>
              <w:t>3,134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2,194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6"/>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42.8 %</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1"/>
              <w:spacing w:after="0"/>
              <w:rPr>
                <w:sz w:val="20"/>
                <w:szCs w:val="20"/>
                <w:color w:val="auto"/>
              </w:rPr>
            </w:pPr>
            <w:r>
              <w:rPr>
                <w:rFonts w:ascii="Arial" w:cs="Arial" w:eastAsia="Arial" w:hAnsi="Arial"/>
                <w:sz w:val="18"/>
                <w:szCs w:val="18"/>
                <w:color w:val="auto"/>
              </w:rPr>
              <w:t>1.0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1.7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EBIT-adjusted margin</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664</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775</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GMNA Total Net Sales and Revenue </w:t>
      </w:r>
      <w:r>
        <w:rPr>
          <w:rFonts w:ascii="Arial" w:cs="Arial" w:eastAsia="Arial" w:hAnsi="Arial"/>
          <w:sz w:val="18"/>
          <w:szCs w:val="18"/>
          <w:color w:val="auto"/>
        </w:rPr>
        <w:t>In the three months ended March 31, 2021, Total net sales and revenue increased primarily due to: (1) favorable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 primarily due to the launch of our new full-size SUVs and lower incentives due to decreased dealer inventory levels; and (2) favorable mix associated with decreased sales of passenger cars and crossover vehicles and improved mix associated with our full-size pickup trucks; partially offset by (3) decreased net wholesale volumes across most vehicle lines due to lost production volumes resulting from the shortage of semiconductors in 2021, partially offset by lost production as a result of COVID-19 related shutdowns in 2020.</w:t>
      </w:r>
    </w:p>
    <w:p>
      <w:pPr>
        <w:spacing w:after="0" w:line="215"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 xml:space="preserve">GMNA EBIT-Adjusted </w:t>
      </w:r>
      <w:r>
        <w:rPr>
          <w:rFonts w:ascii="Arial" w:cs="Arial" w:eastAsia="Arial" w:hAnsi="Arial"/>
          <w:sz w:val="18"/>
          <w:szCs w:val="18"/>
          <w:color w:val="auto"/>
        </w:rPr>
        <w:t>In the three months ended March 31, 2021, EBIT-adjusted increased primarily due to: (1) favorable price; and (2) favorable mix;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partially offset by (3) increased Cost due to increased material and freight cost of $1.0 billion and increased engineering cost primarily related to accelerating our electric vehicle portfolio of $0.2 billion; and (4) decreased net wholesale volumes.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jc w:val="right"/>
              <w:ind w:right="693"/>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ind w:left="141"/>
              <w:spacing w:after="0"/>
              <w:rPr>
                <w:sz w:val="20"/>
                <w:szCs w:val="20"/>
                <w:color w:val="auto"/>
              </w:rPr>
            </w:pPr>
            <w:r>
              <w:rPr>
                <w:rFonts w:ascii="Arial" w:cs="Arial" w:eastAsia="Arial" w:hAnsi="Arial"/>
                <w:sz w:val="14"/>
                <w:szCs w:val="14"/>
                <w:b w:val="1"/>
                <w:bCs w:val="1"/>
                <w:color w:val="auto"/>
                <w:w w:val="92"/>
              </w:rPr>
              <w:t>Variance Due To</w:t>
            </w:r>
          </w:p>
        </w:tc>
        <w:tc>
          <w:tcPr>
            <w:tcW w:w="4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Pr>
          <w:p>
            <w:pPr>
              <w:spacing w:after="0"/>
              <w:rPr>
                <w:sz w:val="15"/>
                <w:szCs w:val="15"/>
                <w:color w:val="auto"/>
              </w:rPr>
            </w:pPr>
          </w:p>
        </w:tc>
        <w:tc>
          <w:tcPr>
            <w:tcW w:w="12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8"/>
              </w:rPr>
              <w:t>March 31, 2020</w:t>
            </w:r>
          </w:p>
        </w:tc>
        <w:tc>
          <w:tcPr>
            <w:tcW w:w="26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Favorable /</w:t>
            </w:r>
          </w:p>
        </w:tc>
        <w:tc>
          <w:tcPr>
            <w:tcW w:w="9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86"/>
              </w:rPr>
              <w:t>Volume</w:t>
            </w:r>
          </w:p>
        </w:tc>
        <w:tc>
          <w:tcPr>
            <w:tcW w:w="200" w:type="dxa"/>
            <w:vAlign w:val="bottom"/>
          </w:tcPr>
          <w:p>
            <w:pPr>
              <w:spacing w:after="0"/>
              <w:rPr>
                <w:sz w:val="15"/>
                <w:szCs w:val="15"/>
                <w:color w:val="auto"/>
              </w:rPr>
            </w:pPr>
          </w:p>
        </w:tc>
        <w:tc>
          <w:tcPr>
            <w:tcW w:w="4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Mix</w:t>
            </w:r>
          </w:p>
        </w:tc>
        <w:tc>
          <w:tcPr>
            <w:tcW w:w="200" w:type="dxa"/>
            <w:vAlign w:val="bottom"/>
          </w:tcPr>
          <w:p>
            <w:pPr>
              <w:spacing w:after="0"/>
              <w:rPr>
                <w:sz w:val="15"/>
                <w:szCs w:val="15"/>
                <w:color w:val="auto"/>
              </w:rPr>
            </w:pPr>
          </w:p>
        </w:tc>
        <w:tc>
          <w:tcPr>
            <w:tcW w:w="48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87"/>
              </w:rPr>
              <w:t>Price</w:t>
            </w:r>
          </w:p>
        </w:tc>
        <w:tc>
          <w:tcPr>
            <w:tcW w:w="240" w:type="dxa"/>
            <w:vAlign w:val="bottom"/>
          </w:tcPr>
          <w:p>
            <w:pPr>
              <w:spacing w:after="0"/>
              <w:rPr>
                <w:sz w:val="15"/>
                <w:szCs w:val="15"/>
                <w:color w:val="auto"/>
              </w:rPr>
            </w:pPr>
          </w:p>
        </w:tc>
        <w:tc>
          <w:tcPr>
            <w:tcW w:w="4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83"/>
              </w:rPr>
              <w:t>Cost</w:t>
            </w:r>
          </w:p>
        </w:tc>
        <w:tc>
          <w:tcPr>
            <w:tcW w:w="180" w:type="dxa"/>
            <w:vAlign w:val="bottom"/>
          </w:tcPr>
          <w:p>
            <w:pPr>
              <w:spacing w:after="0"/>
              <w:rPr>
                <w:sz w:val="15"/>
                <w:szCs w:val="15"/>
                <w:color w:val="auto"/>
              </w:rPr>
            </w:pP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88"/>
        </w:trPr>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94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4"/>
          </w:tcPr>
          <w:p>
            <w:pPr>
              <w:jc w:val="center"/>
              <w:ind w:left="141"/>
              <w:spacing w:after="0"/>
              <w:rPr>
                <w:sz w:val="20"/>
                <w:szCs w:val="20"/>
                <w:color w:val="auto"/>
              </w:rPr>
            </w:pPr>
            <w:r>
              <w:rPr>
                <w:rFonts w:ascii="Arial" w:cs="Arial" w:eastAsia="Arial" w:hAnsi="Arial"/>
                <w:sz w:val="14"/>
                <w:szCs w:val="14"/>
                <w:b w:val="1"/>
                <w:bCs w:val="1"/>
                <w:color w:val="auto"/>
                <w:w w:val="93"/>
              </w:rPr>
              <w:t>(Dollars in billions)</w:t>
            </w:r>
          </w:p>
        </w:tc>
        <w:tc>
          <w:tcPr>
            <w:tcW w:w="4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Total net sales and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3,086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3,280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EBIT (loss)-adjusted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5"/>
              <w:spacing w:after="0"/>
              <w:rPr>
                <w:sz w:val="20"/>
                <w:szCs w:val="20"/>
                <w:color w:val="auto"/>
              </w:rPr>
            </w:pPr>
            <w:r>
              <w:rPr>
                <w:rFonts w:ascii="Arial" w:cs="Arial" w:eastAsia="Arial" w:hAnsi="Arial"/>
                <w:sz w:val="18"/>
                <w:szCs w:val="18"/>
                <w:color w:val="auto"/>
              </w:rPr>
              <w:t>308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(551)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5"/>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9"/>
                <w:szCs w:val="19"/>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
              <w:spacing w:after="0"/>
              <w:rPr>
                <w:sz w:val="20"/>
                <w:szCs w:val="20"/>
                <w:color w:val="auto"/>
              </w:rPr>
            </w:pPr>
            <w:r>
              <w:rPr>
                <w:rFonts w:ascii="Arial" w:cs="Arial" w:eastAsia="Arial" w:hAnsi="Arial"/>
                <w:sz w:val="18"/>
                <w:szCs w:val="18"/>
                <w:color w:val="auto"/>
              </w:rPr>
              <w:t>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6"/>
              <w:spacing w:after="0"/>
              <w:rPr>
                <w:sz w:val="20"/>
                <w:szCs w:val="20"/>
                <w:color w:val="auto"/>
              </w:rPr>
            </w:pPr>
            <w:r>
              <w:rPr>
                <w:rFonts w:ascii="Arial" w:cs="Arial" w:eastAsia="Arial" w:hAnsi="Arial"/>
                <w:sz w:val="18"/>
                <w:szCs w:val="18"/>
                <w:color w:val="auto"/>
              </w:rPr>
              <w:t>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EBIT (loss)-adjusted margin</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4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Equity income (loss) —</w:t>
            </w:r>
          </w:p>
        </w:tc>
        <w:tc>
          <w:tcPr>
            <w:tcW w:w="160" w:type="dxa"/>
            <w:vAlign w:val="bottom"/>
            <w:vMerge w:val="restart"/>
          </w:tcPr>
          <w:p>
            <w:pPr>
              <w:jc w:val="right"/>
              <w:spacing w:after="0"/>
              <w:rPr>
                <w:sz w:val="20"/>
                <w:szCs w:val="20"/>
                <w:color w:val="auto"/>
              </w:rPr>
            </w:pPr>
            <w:r>
              <w:rPr>
                <w:rFonts w:ascii="Arial" w:cs="Arial" w:eastAsia="Arial" w:hAnsi="Arial"/>
                <w:sz w:val="18"/>
                <w:szCs w:val="18"/>
                <w:i w:val="1"/>
                <w:iCs w:val="1"/>
                <w:color w:val="auto"/>
                <w:w w:val="99"/>
              </w:rPr>
              <w:t>$</w:t>
            </w:r>
          </w:p>
        </w:tc>
        <w:tc>
          <w:tcPr>
            <w:tcW w:w="1240" w:type="dxa"/>
            <w:vAlign w:val="bottom"/>
            <w:vMerge w:val="restart"/>
          </w:tcPr>
          <w:p>
            <w:pPr>
              <w:jc w:val="right"/>
              <w:ind w:right="155"/>
              <w:spacing w:after="0"/>
              <w:rPr>
                <w:sz w:val="20"/>
                <w:szCs w:val="20"/>
                <w:color w:val="auto"/>
              </w:rPr>
            </w:pPr>
            <w:r>
              <w:rPr>
                <w:rFonts w:ascii="Arial" w:cs="Arial" w:eastAsia="Arial" w:hAnsi="Arial"/>
                <w:sz w:val="18"/>
                <w:szCs w:val="18"/>
                <w:i w:val="1"/>
                <w:iCs w:val="1"/>
                <w:color w:val="auto"/>
              </w:rPr>
              <w:t>308</w:t>
            </w:r>
          </w:p>
        </w:tc>
        <w:tc>
          <w:tcPr>
            <w:tcW w:w="26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1220" w:type="dxa"/>
            <w:vAlign w:val="bottom"/>
            <w:vMerge w:val="restart"/>
          </w:tcPr>
          <w:p>
            <w:pPr>
              <w:jc w:val="right"/>
              <w:ind w:right="93"/>
              <w:spacing w:after="0"/>
              <w:rPr>
                <w:sz w:val="20"/>
                <w:szCs w:val="20"/>
                <w:color w:val="auto"/>
              </w:rPr>
            </w:pPr>
            <w:r>
              <w:rPr>
                <w:rFonts w:ascii="Arial" w:cs="Arial" w:eastAsia="Arial" w:hAnsi="Arial"/>
                <w:sz w:val="18"/>
                <w:szCs w:val="18"/>
                <w:i w:val="1"/>
                <w:iCs w:val="1"/>
                <w:color w:val="auto"/>
              </w:rPr>
              <w:t>(167)</w:t>
            </w:r>
          </w:p>
        </w:tc>
        <w:tc>
          <w:tcPr>
            <w:tcW w:w="26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vMerge w:val="restart"/>
          </w:tcPr>
          <w:p>
            <w:pPr>
              <w:jc w:val="right"/>
              <w:ind w:right="135"/>
              <w:spacing w:after="0"/>
              <w:rPr>
                <w:sz w:val="20"/>
                <w:szCs w:val="20"/>
                <w:color w:val="auto"/>
              </w:rPr>
            </w:pPr>
            <w:r>
              <w:rPr>
                <w:rFonts w:ascii="Arial" w:cs="Arial" w:eastAsia="Arial" w:hAnsi="Arial"/>
                <w:sz w:val="18"/>
                <w:szCs w:val="18"/>
                <w:i w:val="1"/>
                <w:iCs w:val="1"/>
                <w:color w:val="auto"/>
              </w:rPr>
              <w:t>475</w:t>
            </w:r>
          </w:p>
        </w:tc>
        <w:tc>
          <w:tcPr>
            <w:tcW w:w="100" w:type="dxa"/>
            <w:vAlign w:val="bottom"/>
          </w:tcPr>
          <w:p>
            <w:pPr>
              <w:spacing w:after="0"/>
              <w:rPr>
                <w:sz w:val="15"/>
                <w:szCs w:val="15"/>
                <w:color w:val="auto"/>
              </w:rPr>
            </w:pPr>
          </w:p>
        </w:tc>
        <w:tc>
          <w:tcPr>
            <w:tcW w:w="106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8"/>
                <w:szCs w:val="18"/>
                <w:i w:val="1"/>
                <w:iCs w:val="1"/>
                <w:color w:val="auto"/>
              </w:rPr>
              <w:t>n.m.</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240" w:type="dxa"/>
            <w:vAlign w:val="bottom"/>
          </w:tcPr>
          <w:p>
            <w:pPr>
              <w:ind w:left="180"/>
              <w:spacing w:after="0"/>
              <w:rPr>
                <w:sz w:val="20"/>
                <w:szCs w:val="20"/>
                <w:color w:val="auto"/>
              </w:rPr>
            </w:pPr>
            <w:r>
              <w:rPr>
                <w:rFonts w:ascii="Arial" w:cs="Arial" w:eastAsia="Arial" w:hAnsi="Arial"/>
                <w:sz w:val="18"/>
                <w:szCs w:val="18"/>
                <w:i w:val="1"/>
                <w:iCs w:val="1"/>
                <w:color w:val="auto"/>
              </w:rPr>
              <w:t>Automotive China</w:t>
            </w:r>
          </w:p>
        </w:tc>
        <w:tc>
          <w:tcPr>
            <w:tcW w:w="16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right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EBIT (loss)-adjusted —</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4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i w:val="1"/>
                <w:iCs w:val="1"/>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22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i w:val="1"/>
                <w:iCs w:val="1"/>
                <w:color w:val="auto"/>
              </w:rPr>
              <w:t>(384)</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i w:val="1"/>
                <w:iCs w:val="1"/>
                <w:color w:val="auto"/>
              </w:rPr>
              <w:t>384</w:t>
            </w:r>
          </w:p>
        </w:tc>
        <w:tc>
          <w:tcPr>
            <w:tcW w:w="100" w:type="dxa"/>
            <w:vAlign w:val="bottom"/>
            <w:shd w:val="clear" w:color="auto" w:fill="CCEEFF"/>
          </w:tcPr>
          <w:p>
            <w:pPr>
              <w:spacing w:after="0"/>
              <w:rPr>
                <w:sz w:val="15"/>
                <w:szCs w:val="15"/>
                <w:color w:val="auto"/>
              </w:rPr>
            </w:pPr>
          </w:p>
        </w:tc>
        <w:tc>
          <w:tcPr>
            <w:tcW w:w="106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n.m.</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excluding Equity income</w:t>
            </w:r>
          </w:p>
        </w:tc>
        <w:tc>
          <w:tcPr>
            <w:tcW w:w="16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157</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4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vehicle sales of our Automotive China JVs are not recorded in Total net sales and revenue. The results of our joint ventures are recorded in Equity income, which is included in EBIT (loss)-adjusted above.</w:t>
      </w:r>
    </w:p>
    <w:p>
      <w:pPr>
        <w:spacing w:after="0" w:line="197" w:lineRule="exact"/>
        <w:rPr>
          <w:sz w:val="20"/>
          <w:szCs w:val="20"/>
          <w:color w:val="auto"/>
        </w:rPr>
      </w:pPr>
    </w:p>
    <w:p>
      <w:pPr>
        <w:jc w:val="both"/>
        <w:ind w:firstLine="162"/>
        <w:spacing w:after="0" w:line="241" w:lineRule="auto"/>
        <w:rPr>
          <w:sz w:val="20"/>
          <w:szCs w:val="20"/>
          <w:color w:val="auto"/>
        </w:rPr>
      </w:pPr>
      <w:r>
        <w:rPr>
          <w:rFonts w:ascii="Arial" w:cs="Arial" w:eastAsia="Arial" w:hAnsi="Arial"/>
          <w:sz w:val="18"/>
          <w:szCs w:val="18"/>
          <w:b w:val="1"/>
          <w:bCs w:val="1"/>
          <w:i w:val="1"/>
          <w:iCs w:val="1"/>
          <w:color w:val="auto"/>
        </w:rPr>
        <w:t xml:space="preserve">GMI Total Net Sales and Revenue </w:t>
      </w:r>
      <w:r>
        <w:rPr>
          <w:rFonts w:ascii="Arial" w:cs="Arial" w:eastAsia="Arial" w:hAnsi="Arial"/>
          <w:sz w:val="18"/>
          <w:szCs w:val="18"/>
          <w:color w:val="auto"/>
        </w:rPr>
        <w:t>In the three months ended March 31, 2021, Total net sales and revenue decreased primarily due to: (1) decreased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wholesale volumes due to lost production volumes resulting from the shortage of semiconductors in 2021 and the wind-down of our vehicle sales operations in Australia, New Zealand and Thailand; and (2) unfavorable Other primarily due to the foreign currency effect resulting from the weakening of the Brazilian Real and Argentinian Peso against the U.S. Dollar; partially offset by (3) favorable pricing across multiple vehicle lines in Brazil and Argentina; and (4) favorable mix in Brazil.</w:t>
      </w:r>
    </w:p>
    <w:p>
      <w:pPr>
        <w:spacing w:after="0" w:line="216" w:lineRule="exact"/>
        <w:rPr>
          <w:sz w:val="20"/>
          <w:szCs w:val="20"/>
          <w:color w:val="auto"/>
        </w:rPr>
      </w:pPr>
    </w:p>
    <w:p>
      <w:pPr>
        <w:jc w:val="both"/>
        <w:ind w:right="20" w:firstLine="162"/>
        <w:spacing w:after="0" w:line="243" w:lineRule="auto"/>
        <w:rPr>
          <w:sz w:val="20"/>
          <w:szCs w:val="20"/>
          <w:color w:val="auto"/>
        </w:rPr>
      </w:pPr>
      <w:r>
        <w:rPr>
          <w:rFonts w:ascii="Arial" w:cs="Arial" w:eastAsia="Arial" w:hAnsi="Arial"/>
          <w:sz w:val="18"/>
          <w:szCs w:val="18"/>
          <w:b w:val="1"/>
          <w:bCs w:val="1"/>
          <w:i w:val="1"/>
          <w:iCs w:val="1"/>
          <w:color w:val="auto"/>
        </w:rPr>
        <w:t xml:space="preserve">GMI EBIT (Loss)-Adjusted </w:t>
      </w:r>
      <w:r>
        <w:rPr>
          <w:rFonts w:ascii="Arial" w:cs="Arial" w:eastAsia="Arial" w:hAnsi="Arial"/>
          <w:sz w:val="18"/>
          <w:szCs w:val="18"/>
          <w:color w:val="auto"/>
        </w:rPr>
        <w:t>In the three months ended March 31, 2021, EBIT-adjusted increased primarily due to: (1) favorable pricing; (2) favorable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mix primarily in Brazil and Asia/Pacific; and (3) favorable Other primarily due to increased equity income; partially offset by (4) unfavorable Cost primarily due to increased material costs, partially offset by decreased advertising expenses inclusive of savings related to the wind-down of our vehicle sales operations in Australia, New Zealand and Thailand.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view the Chinese market as important to our global growth strategy and are employing a multi-brand strategy. In the coming years we plan to leverage our global architectures to increase the number of product offerings under the Buick, Chevrolet and Cadillac brands in China and continue to grow our business under the local Baojun and Wuling brands. We operate in the Chinese market through a number of joint ventures and maintaining strong relationships with our joint venture partners is an important part of our China growth strategy.</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certain key operational and financial data for the Automotive China JVs (vehicles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8"/>
          </w:tcPr>
          <w:p>
            <w:pPr>
              <w:ind w:left="920"/>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2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w w:val="94"/>
              </w:rPr>
              <w:t>March 31, 2021</w:t>
            </w: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Wholesale vehicle sales, including vehicles exported to markets outside of China</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675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Total net sales and revenue</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9,875</w:t>
            </w:r>
          </w:p>
        </w:tc>
        <w:tc>
          <w:tcPr>
            <w:tcW w:w="960" w:type="dxa"/>
            <w:vAlign w:val="bottom"/>
            <w:gridSpan w:val="3"/>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586</w:t>
            </w:r>
          </w:p>
        </w:tc>
        <w:tc>
          <w:tcPr>
            <w:tcW w:w="96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6260" w:type="dxa"/>
            <w:vAlign w:val="bottom"/>
          </w:tcPr>
          <w:p>
            <w:pPr>
              <w:spacing w:after="0"/>
              <w:rPr>
                <w:sz w:val="20"/>
                <w:szCs w:val="20"/>
                <w:color w:val="auto"/>
              </w:rPr>
            </w:pPr>
            <w:r>
              <w:rPr>
                <w:rFonts w:ascii="Arial" w:cs="Arial" w:eastAsia="Arial" w:hAnsi="Arial"/>
                <w:sz w:val="18"/>
                <w:szCs w:val="18"/>
                <w:b w:val="1"/>
                <w:bCs w:val="1"/>
                <w:color w:val="auto"/>
              </w:rPr>
              <w:t>Cruise</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6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642"/>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w w:val="98"/>
              </w:rPr>
              <w:t>March 31, 2021</w:t>
            </w:r>
          </w:p>
        </w:tc>
        <w:tc>
          <w:tcPr>
            <w:tcW w:w="10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March 31, 2020</w:t>
            </w:r>
          </w:p>
        </w:tc>
        <w:tc>
          <w:tcPr>
            <w:tcW w:w="4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4"/>
          </w:tcPr>
          <w:p>
            <w:pPr>
              <w:jc w:val="center"/>
              <w:ind w:right="320"/>
              <w:spacing w:after="0" w:line="122" w:lineRule="exact"/>
              <w:rPr>
                <w:sz w:val="20"/>
                <w:szCs w:val="20"/>
                <w:color w:val="auto"/>
              </w:rPr>
            </w:pPr>
            <w:r>
              <w:rPr>
                <w:rFonts w:ascii="Arial" w:cs="Arial" w:eastAsia="Arial" w:hAnsi="Arial"/>
                <w:sz w:val="14"/>
                <w:szCs w:val="14"/>
                <w:b w:val="1"/>
                <w:bCs w:val="1"/>
                <w:color w:val="auto"/>
                <w:w w:val="94"/>
              </w:rPr>
              <w:t>Favorable /</w:t>
            </w:r>
          </w:p>
        </w:tc>
        <w:tc>
          <w:tcPr>
            <w:tcW w:w="7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2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(Unfavorable)</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sales and revenue(a)</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ind w:left="900"/>
              <w:spacing w:after="0"/>
              <w:rPr>
                <w:sz w:val="20"/>
                <w:szCs w:val="20"/>
                <w:color w:val="auto"/>
              </w:rPr>
            </w:pPr>
            <w:r>
              <w:rPr>
                <w:rFonts w:ascii="Arial" w:cs="Arial" w:eastAsia="Arial" w:hAnsi="Arial"/>
                <w:sz w:val="16"/>
                <w:szCs w:val="16"/>
                <w:color w:val="auto"/>
              </w:rPr>
              <w:t>25</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8"/>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20.0 %</w:t>
            </w:r>
          </w:p>
        </w:tc>
        <w:tc>
          <w:tcPr>
            <w:tcW w:w="0" w:type="dxa"/>
            <w:vAlign w:val="bottom"/>
          </w:tcPr>
          <w:p>
            <w:pPr>
              <w:spacing w:after="0"/>
              <w:rPr>
                <w:sz w:val="1"/>
                <w:szCs w:val="1"/>
                <w:color w:val="auto"/>
              </w:rPr>
            </w:pPr>
          </w:p>
        </w:tc>
      </w:tr>
      <w:tr>
        <w:trPr>
          <w:trHeight w:val="210"/>
        </w:trPr>
        <w:tc>
          <w:tcPr>
            <w:tcW w:w="6260" w:type="dxa"/>
            <w:vAlign w:val="bottom"/>
          </w:tcPr>
          <w:p>
            <w:pPr>
              <w:ind w:left="20"/>
              <w:spacing w:after="0"/>
              <w:rPr>
                <w:sz w:val="20"/>
                <w:szCs w:val="20"/>
                <w:color w:val="auto"/>
              </w:rPr>
            </w:pPr>
            <w:r>
              <w:rPr>
                <w:rFonts w:ascii="Arial" w:cs="Arial" w:eastAsia="Arial" w:hAnsi="Arial"/>
                <w:sz w:val="16"/>
                <w:szCs w:val="16"/>
                <w:color w:val="auto"/>
              </w:rPr>
              <w:t>EBIT (loss)-adjusted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(228)</w:t>
            </w:r>
          </w:p>
        </w:tc>
        <w:tc>
          <w:tcPr>
            <w:tcW w:w="40" w:type="dxa"/>
            <w:vAlign w:val="bottom"/>
          </w:tcPr>
          <w:p>
            <w:pPr>
              <w:spacing w:after="0"/>
              <w:rPr>
                <w:sz w:val="18"/>
                <w:szCs w:val="18"/>
                <w:color w:val="auto"/>
              </w:rPr>
            </w:pPr>
          </w:p>
        </w:tc>
        <w:tc>
          <w:tcPr>
            <w:tcW w:w="280" w:type="dxa"/>
            <w:vAlign w:val="bottom"/>
            <w:gridSpan w:val="2"/>
          </w:tcPr>
          <w:p>
            <w:pPr>
              <w:jc w:val="right"/>
              <w:ind w:right="48"/>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hanging="332"/>
        <w:spacing w:after="0" w:line="257" w:lineRule="auto"/>
        <w:tabs>
          <w:tab w:leader="none" w:pos="331" w:val="left"/>
        </w:tabs>
        <w:numPr>
          <w:ilvl w:val="0"/>
          <w:numId w:val="20"/>
        </w:numPr>
        <w:rPr>
          <w:rFonts w:ascii="Arial" w:cs="Arial" w:eastAsia="Arial" w:hAnsi="Arial"/>
          <w:sz w:val="16"/>
          <w:szCs w:val="16"/>
          <w:color w:val="auto"/>
        </w:rPr>
      </w:pPr>
      <w:r>
        <w:rPr>
          <w:rFonts w:ascii="Arial" w:cs="Arial" w:eastAsia="Arial" w:hAnsi="Arial"/>
          <w:sz w:val="16"/>
          <w:szCs w:val="16"/>
          <w:color w:val="auto"/>
        </w:rPr>
        <w:t>Partially reclassified to Interest income and other non-operating income, net in our condensed consolidated income statements in the three months ended March 31, 2021 and 2020.</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2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5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tcPr>
          <w:p>
            <w:pPr>
              <w:ind w:left="140"/>
              <w:spacing w:after="0" w:line="122" w:lineRule="exact"/>
              <w:rPr>
                <w:sz w:val="20"/>
                <w:szCs w:val="20"/>
                <w:color w:val="auto"/>
              </w:rPr>
            </w:pPr>
            <w:r>
              <w:rPr>
                <w:rFonts w:ascii="Arial" w:cs="Arial" w:eastAsia="Arial" w:hAnsi="Arial"/>
                <w:sz w:val="14"/>
                <w:szCs w:val="14"/>
                <w:b w:val="1"/>
                <w:bCs w:val="1"/>
                <w:color w:val="auto"/>
              </w:rPr>
              <w:t>Increase/</w:t>
            </w:r>
          </w:p>
        </w:tc>
        <w:tc>
          <w:tcPr>
            <w:tcW w:w="84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58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3,407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3,561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Provision for loan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82"/>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1"/>
              <w:spacing w:after="0"/>
              <w:rPr>
                <w:sz w:val="20"/>
                <w:szCs w:val="20"/>
                <w:color w:val="auto"/>
              </w:rPr>
            </w:pPr>
            <w:r>
              <w:rPr>
                <w:rFonts w:ascii="Arial" w:cs="Arial" w:eastAsia="Arial" w:hAnsi="Arial"/>
                <w:sz w:val="16"/>
                <w:szCs w:val="16"/>
                <w:color w:val="auto"/>
              </w:rPr>
              <w:t>466</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2"/>
              <w:spacing w:after="0"/>
              <w:rPr>
                <w:sz w:val="20"/>
                <w:szCs w:val="20"/>
                <w:color w:val="auto"/>
              </w:rPr>
            </w:pPr>
            <w:r>
              <w:rPr>
                <w:rFonts w:ascii="Arial" w:cs="Arial" w:eastAsia="Arial" w:hAnsi="Arial"/>
                <w:sz w:val="16"/>
                <w:szCs w:val="16"/>
                <w:color w:val="auto"/>
              </w:rPr>
              <w:t>(492)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EBT-adjusted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1,182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230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952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Average debt outstanding (dollars in billions)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22"/>
              <w:spacing w:after="0"/>
              <w:rPr>
                <w:sz w:val="20"/>
                <w:szCs w:val="20"/>
                <w:color w:val="auto"/>
              </w:rPr>
            </w:pPr>
            <w:r>
              <w:rPr>
                <w:rFonts w:ascii="Arial" w:cs="Arial" w:eastAsia="Arial" w:hAnsi="Arial"/>
                <w:sz w:val="16"/>
                <w:szCs w:val="16"/>
                <w:color w:val="auto"/>
              </w:rPr>
              <w:t>93.9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1"/>
              <w:spacing w:after="0"/>
              <w:rPr>
                <w:sz w:val="20"/>
                <w:szCs w:val="20"/>
                <w:color w:val="auto"/>
              </w:rPr>
            </w:pPr>
            <w:r>
              <w:rPr>
                <w:rFonts w:ascii="Arial" w:cs="Arial" w:eastAsia="Arial" w:hAnsi="Arial"/>
                <w:sz w:val="16"/>
                <w:szCs w:val="16"/>
                <w:color w:val="auto"/>
              </w:rPr>
              <w:t>88.8</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rate of interest paid</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3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 Financial Revenue </w:t>
      </w:r>
      <w:r>
        <w:rPr>
          <w:rFonts w:ascii="Arial" w:cs="Arial" w:eastAsia="Arial" w:hAnsi="Arial"/>
          <w:sz w:val="18"/>
          <w:szCs w:val="18"/>
          <w:color w:val="auto"/>
        </w:rPr>
        <w:t>In the three months ended March 31, 2021, total revenue decreased primarily due to decreased leased vehicle income of $0.1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billion primarily due to a decrease in the leased vehicles portfolio, as terminations of leases exceeded purchases.</w:t>
      </w:r>
    </w:p>
    <w:p>
      <w:pPr>
        <w:spacing w:after="0" w:line="197"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b w:val="1"/>
          <w:bCs w:val="1"/>
          <w:i w:val="1"/>
          <w:iCs w:val="1"/>
          <w:color w:val="auto"/>
        </w:rPr>
        <w:t xml:space="preserve">GM Financial EBT-Adjusted </w:t>
      </w:r>
      <w:r>
        <w:rPr>
          <w:rFonts w:ascii="Arial" w:cs="Arial" w:eastAsia="Arial" w:hAnsi="Arial"/>
          <w:sz w:val="17"/>
          <w:szCs w:val="17"/>
          <w:color w:val="auto"/>
        </w:rPr>
        <w:t>In the three months ended March 31, 2021, EBT-adjusted increased primarily due to: (1) decreased provision for loan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losses of $0.5 billion primarily due to a reduction in the reserve levels established at March 31, 2020 at the onset of the COVID-19 pandemic, as a result of actual credit performance that was better than forecast; and favorable expectations for future charge-offs and recoveries, reflecting improved forecast economic conditions; (2) decreased leased vehicle expenses net of leased vehicle income of $0.3 billion primarily due to increased lease termination gains, due to the increase in used vehicle prices for the three months ended March 31, 2021 compared to the same period in 2020; and (3) decreased interest expense of $0.2 billion due to a decrease in the effective rate of interest on debt.</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Liquidity and Capital Resources </w:t>
      </w:r>
      <w:r>
        <w:rPr>
          <w:rFonts w:ascii="Arial" w:cs="Arial" w:eastAsia="Arial" w:hAnsi="Arial"/>
          <w:sz w:val="18"/>
          <w:szCs w:val="18"/>
          <w:color w:val="auto"/>
        </w:rPr>
        <w:t>We believe our current levels of cash, cash equivalents, marketable debt securities, available borrowing capacity under</w:t>
      </w:r>
      <w:r>
        <w:rPr>
          <w:rFonts w:ascii="Arial" w:cs="Arial" w:eastAsia="Arial" w:hAnsi="Arial"/>
          <w:sz w:val="18"/>
          <w:szCs w:val="18"/>
          <w:b w:val="1"/>
          <w:bCs w:val="1"/>
          <w:color w:val="auto"/>
        </w:rPr>
        <w:t xml:space="preserve"> </w:t>
      </w:r>
      <w:r>
        <w:rPr>
          <w:rFonts w:ascii="Arial" w:cs="Arial" w:eastAsia="Arial" w:hAnsi="Arial"/>
          <w:sz w:val="18"/>
          <w:szCs w:val="18"/>
          <w:color w:val="auto"/>
        </w:rPr>
        <w:t>our revolving credit facilities and other liquidity actions currently available to us are sufficient to meet our liquidity requirements. We also maintain access to the capital markets and may issue debt or equity securities, which may provide an additional source of liquidity. We have substantial cash requirements going forward, which</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we plan to fund through our total available liquidity, cash flows from operating activities and additional liquidity measures, if determined to be necessary.</w:t>
      </w:r>
    </w:p>
    <w:p>
      <w:pPr>
        <w:spacing w:after="0" w:line="275"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6"/>
          <w:szCs w:val="16"/>
          <w:color w:val="auto"/>
        </w:rPr>
        <w:t>Our known current material uses of cash include, among other possible demands: (1) capital expenditures of approximately $9.0 billion to $10.0 billion in 2021 in addition to payments for engineering and product development activities; (2) payments associated with previously announced vehicle recalls, the settlements of the multi-district litigation and any other recall-related contingencies; and (3) payments to service debt and other long-term obligations, including discretionary and mandatory contributions to our pension plans. Our material future uses of cash, which may vary from time to time based on market conditions and other factors, are focused on the three objectives of our capital allocation program: (1) grow our business at an average target ROIC-adjusted rate of 20% or greater; (2) maintain a strong investment-grade balance sheet, including a target average automotive cash balance of $18 billion; and (3) after the first two objectives are met, return available cash to shareholders. Our senior management evaluates our capital allocation program on an ongoing basis and recommends any modifications to the program to our Board of Directors, not less than once annually.</w:t>
      </w:r>
    </w:p>
    <w:p>
      <w:pPr>
        <w:spacing w:after="0" w:line="19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"Forward-Looking Statements" section of this MD&amp;A and Part I, Item 1A. Risk Factors of our 2020 Form 10-K, some of which are outside of our control.</w:t>
      </w:r>
    </w:p>
    <w:p>
      <w:pPr>
        <w:spacing w:after="0" w:line="19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continue to monitor and evaluate opportunities to strengthen our competitive position over the long term while maintaining a strong investment-grade balance sheet. These actions may include opportunistic payments to reduce our long-term obligations as well as the possibility of acquisitions, dispositions and investments with joint venture partners as well as strategic alliances that we believe would generate significant advantages and substantially strengthen our business.</w:t>
      </w:r>
    </w:p>
    <w:p>
      <w:pPr>
        <w:spacing w:after="0" w:line="214"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Cash flows occur amongst our Automotive, Cruise and GM Financial operations that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loans to Automotive from GM Financial, dividends issued by GM Financial to Automotive, tax payments by GM Financial to Automotive and Automotive cash injections in Cruise. The presentation of Automotive liquidity, Cruise liquidity and GM Financial liquidity presented below includes the impact of cash transactions amongst the sectors that are ultimately eliminated in consolidation.</w:t>
      </w: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 xml:space="preserve">Automotive Liquidity </w:t>
      </w:r>
      <w:r>
        <w:rPr>
          <w:rFonts w:ascii="Arial" w:cs="Arial" w:eastAsia="Arial" w:hAnsi="Arial"/>
          <w:sz w:val="17"/>
          <w:szCs w:val="17"/>
          <w:color w:val="auto"/>
        </w:rPr>
        <w:t>Total available liquidity includes cash, cash equivalents, marketable debt securities and funds available under credit facilities.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 of available liquidity is subject to seasonal fluctuations and includes balances held by various business units and subsidiaries worldwide that are needed to fund their operations. We have not significantly changed the management of our liquidity, including our allocation of available liquidity, our portfolio composition and our investment guidelines since December 31, 2020. Refer to Part II, Item 7. MD&amp;A of our 2020 Form 10-K.</w:t>
      </w:r>
    </w:p>
    <w:p>
      <w:pPr>
        <w:spacing w:after="0" w:line="199" w:lineRule="exact"/>
        <w:rPr>
          <w:sz w:val="20"/>
          <w:szCs w:val="20"/>
          <w:color w:val="auto"/>
        </w:rPr>
      </w:pPr>
    </w:p>
    <w:p>
      <w:pPr>
        <w:jc w:val="both"/>
        <w:ind w:firstLine="162"/>
        <w:spacing w:after="0" w:line="262" w:lineRule="auto"/>
        <w:rPr>
          <w:sz w:val="20"/>
          <w:szCs w:val="20"/>
          <w:color w:val="auto"/>
        </w:rPr>
      </w:pPr>
      <w:r>
        <w:rPr>
          <w:rFonts w:ascii="Arial" w:cs="Arial" w:eastAsia="Arial" w:hAnsi="Arial"/>
          <w:sz w:val="17"/>
          <w:szCs w:val="17"/>
          <w:color w:val="auto"/>
        </w:rPr>
        <w:t>We use credit facilities as a mechanism to provide additional flexibility in managing our global liquidity. Our Automotive borrowing capacity under credit facilities totaled $18.5 billion at March 31, 2021 and December 31, 2020. Total Automotive borrowing capacity under our credit facilities does not include our 364-day, $2.0 billion facility allocated for exclusive use by GM Financial. We did not have any borrowings against our primary facilities, but had letters of credit outstanding under our sub-facility of $0.3 billion at March 31, 2021 and December 31, 2020.</w:t>
      </w:r>
    </w:p>
    <w:p>
      <w:pPr>
        <w:spacing w:after="0" w:line="19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In April 2021, we increased the total borrowing capacity of our five-year, $10.5 billion facility to $11.2 billion and extended the termination date for a $9.9 billion portion of the five-year facility by three years, now set to mature on April 18, 2026. The termination date of April 18, 2023 for the remaining portion of the five-year facility remains unchanged. We also renewed and increased the total borrowing capacity of our three-year, $4.0 billion facility to $4.3 billion, which now matures on April 7, 2024, and renewed our 364-day, $2.0 billion facility allocated for exclusive use by GM Financial, which now matures on April 6, 2022. We also terminated our 364-day, $2.0 billion revolving credit facility, entered into in May 2020. Additionally, the prior restrictions on share repurchases and dividends on our common shares were removed upon entrance into the renewed three-year, $4.3 billion facility.</w:t>
      </w:r>
    </w:p>
    <w:p>
      <w:pPr>
        <w:spacing w:after="0" w:line="191" w:lineRule="exact"/>
        <w:rPr>
          <w:sz w:val="20"/>
          <w:szCs w:val="20"/>
          <w:color w:val="auto"/>
        </w:rPr>
      </w:pPr>
    </w:p>
    <w:p>
      <w:pPr>
        <w:jc w:val="both"/>
        <w:ind w:firstLine="162"/>
        <w:spacing w:after="0" w:line="296" w:lineRule="auto"/>
        <w:rPr>
          <w:sz w:val="20"/>
          <w:szCs w:val="20"/>
          <w:color w:val="auto"/>
        </w:rPr>
      </w:pPr>
      <w:r>
        <w:rPr>
          <w:rFonts w:ascii="Arial" w:cs="Arial" w:eastAsia="Arial" w:hAnsi="Arial"/>
          <w:sz w:val="16"/>
          <w:szCs w:val="16"/>
          <w:color w:val="auto"/>
        </w:rPr>
        <w:t>If available capacity permits, GM Financial continues to have access to our automotive credit facilities, except for the three-year, $2.0 billion transformation facility and the 364-day, $2.0 billion facility that we terminated in April 2021. GM Financial did not have borrowings outstanding against any of these facilities at March 31, 2021 and December 31, 2020. We had intercompany loans from GM Financial of $0.3 billion and $0.4 billion at March 31, 2021 and December 31, 2020, which primarily consisted of commercial loans to dealers we consolidate. We did not have intercompany loans to GM Financial at March 31, 2021 and December 31, 2020. Refer to Note 4 to our condensed consolidated financial statements for additional information.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GM Financial's Board of Directors declared and paid dividends of $0.6 billion and $0.4 billion on its common stock in the three months ended March 31, 2021 and 2020. Future dividends from GM Financial will depend on several factors including business and economic conditions, its financial condition, earnings, liquidity requirements and leverage ratio. In addition, we expect to continue to receive dividends from our Automotive China JVs on a normal cadence. In April 2021, our China JV nonconsolidated affiliates declared dividends of $0.6 billion to GM.</w:t>
      </w:r>
    </w:p>
    <w:p>
      <w:pPr>
        <w:spacing w:after="0" w:line="198"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Several of our loan facilities, including our revolving credit facilities, require compliance with certain financial and operational covenants as well as regular reporting to lenders. We have reviewed our covenants in effect as of March 31, 2021 and determined we are in compliance and expect to remain in compliance in the future.</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available liquidity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December 31, 2020</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cash and cash equivalents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Marketable debt securities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cash, cash equivalents and marketable debt securities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Cruise cash and cash equivalents(a)</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Cruise marketable debt securities(a)</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Available liquidity(b)</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under credit facilities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Total available liquidity(b)</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are designated exclusively for the use of Cruise.</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may not sum due to rounding.</w:t>
      </w:r>
    </w:p>
    <w:p>
      <w:pPr>
        <w:spacing w:after="0" w:line="2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changes in our Automotive available liquidity (excluding Cruise, dollars in billions):</w:t>
      </w:r>
    </w:p>
    <w:p>
      <w:pPr>
        <w:spacing w:after="0" w:line="126" w:lineRule="exact"/>
        <w:rPr>
          <w:sz w:val="20"/>
          <w:szCs w:val="20"/>
          <w:color w:val="auto"/>
        </w:rPr>
      </w:pPr>
    </w:p>
    <w:p>
      <w:pPr>
        <w:jc w:val="center"/>
        <w:ind w:left="9440"/>
        <w:spacing w:after="0"/>
        <w:rPr>
          <w:sz w:val="20"/>
          <w:szCs w:val="20"/>
          <w:color w:val="auto"/>
        </w:rPr>
      </w:pPr>
      <w:r>
        <w:rPr>
          <w:rFonts w:ascii="Arial" w:cs="Arial" w:eastAsia="Arial" w:hAnsi="Arial"/>
          <w:sz w:val="14"/>
          <w:szCs w:val="14"/>
          <w:b w:val="1"/>
          <w:bCs w:val="1"/>
          <w:color w:val="auto"/>
        </w:rPr>
        <w:t>Three Months Ended</w:t>
      </w:r>
    </w:p>
    <w:p>
      <w:pPr>
        <w:jc w:val="center"/>
        <w:ind w:left="9440"/>
        <w:spacing w:after="0"/>
        <w:rPr>
          <w:sz w:val="20"/>
          <w:szCs w:val="20"/>
          <w:color w:val="auto"/>
        </w:rPr>
      </w:pPr>
      <w:r>
        <w:rPr>
          <w:rFonts w:ascii="Arial" w:cs="Arial" w:eastAsia="Arial" w:hAnsi="Arial"/>
          <w:sz w:val="14"/>
          <w:szCs w:val="14"/>
          <w:b w:val="1"/>
          <w:bCs w:val="1"/>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cash flow</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GM investment in Cruise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Capital expenditures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non-operating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change in automotive available liquidity</w:t>
      </w:r>
    </w:p>
    <w:p>
      <w:pPr>
        <w:spacing w:after="0" w:line="37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Automotive Cash Flow (dollars in billions)</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23495</wp:posOffset>
            </wp:positionV>
            <wp:extent cx="21513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7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003" w:lineRule="exact"/>
        <w:rPr>
          <w:sz w:val="20"/>
          <w:szCs w:val="20"/>
          <w:color w:val="auto"/>
        </w:rPr>
      </w:pPr>
    </w:p>
    <w:p>
      <w:pPr>
        <w:sectPr>
          <w:pgSz w:w="11900" w:h="16838" w:orient="portrait"/>
          <w:cols w:equalWidth="0" w:num="2">
            <w:col w:w="9060" w:space="400"/>
            <w:col w:w="1780"/>
          </w:cols>
          <w:pgMar w:left="320" w:top="125" w:right="339" w:bottom="1440" w:gutter="0" w:footer="0" w:header="0"/>
          <w:type w:val="continuous"/>
        </w:sectPr>
      </w:pPr>
    </w:p>
    <w:tbl>
      <w:tblPr>
        <w:tblLayout w:type="fixed"/>
        <w:tblInd w:w="2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6"/>
                <w:szCs w:val="16"/>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Change</w:t>
            </w: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center"/>
              <w:ind w:left="952"/>
              <w:spacing w:after="0"/>
              <w:rPr>
                <w:sz w:val="20"/>
                <w:szCs w:val="20"/>
                <w:color w:val="auto"/>
              </w:rPr>
            </w:pPr>
            <w:r>
              <w:rPr>
                <w:rFonts w:ascii="Arial" w:cs="Arial" w:eastAsia="Arial" w:hAnsi="Arial"/>
                <w:sz w:val="18"/>
                <w:szCs w:val="18"/>
                <w:color w:val="auto"/>
                <w:w w:val="87"/>
              </w:rPr>
              <w:t>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center"/>
              <w:ind w:left="972"/>
              <w:spacing w:after="0"/>
              <w:rPr>
                <w:sz w:val="20"/>
                <w:szCs w:val="20"/>
                <w:color w:val="auto"/>
              </w:rPr>
            </w:pPr>
            <w:r>
              <w:rPr>
                <w:rFonts w:ascii="Arial" w:cs="Arial" w:eastAsia="Arial" w:hAnsi="Arial"/>
                <w:sz w:val="18"/>
                <w:szCs w:val="18"/>
                <w:color w:val="auto"/>
                <w:w w:val="95"/>
              </w:rPr>
              <w:t>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95"/>
              </w:rPr>
              <w:t>2.4</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Depreciation, amortization and impairment charges</w:t>
            </w:r>
          </w:p>
        </w:tc>
        <w:tc>
          <w:tcPr>
            <w:tcW w:w="220" w:type="dxa"/>
            <w:vAlign w:val="bottom"/>
          </w:tcPr>
          <w:p>
            <w:pPr>
              <w:spacing w:after="0"/>
              <w:rPr>
                <w:sz w:val="19"/>
                <w:szCs w:val="19"/>
                <w:color w:val="auto"/>
              </w:rPr>
            </w:pPr>
          </w:p>
        </w:tc>
        <w:tc>
          <w:tcPr>
            <w:tcW w:w="1420" w:type="dxa"/>
            <w:vAlign w:val="bottom"/>
          </w:tcPr>
          <w:p>
            <w:pPr>
              <w:jc w:val="center"/>
              <w:ind w:left="952"/>
              <w:spacing w:after="0"/>
              <w:rPr>
                <w:sz w:val="20"/>
                <w:szCs w:val="20"/>
                <w:color w:val="auto"/>
              </w:rPr>
            </w:pPr>
            <w:r>
              <w:rPr>
                <w:rFonts w:ascii="Arial" w:cs="Arial" w:eastAsia="Arial" w:hAnsi="Arial"/>
                <w:sz w:val="18"/>
                <w:szCs w:val="18"/>
                <w:color w:val="auto"/>
                <w:w w:val="87"/>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center"/>
              <w:ind w:left="972"/>
              <w:spacing w:after="0"/>
              <w:rPr>
                <w:sz w:val="20"/>
                <w:szCs w:val="20"/>
                <w:color w:val="auto"/>
              </w:rPr>
            </w:pPr>
            <w:r>
              <w:rPr>
                <w:rFonts w:ascii="Arial" w:cs="Arial" w:eastAsia="Arial" w:hAnsi="Arial"/>
                <w:sz w:val="18"/>
                <w:szCs w:val="18"/>
                <w:color w:val="auto"/>
                <w:w w:val="95"/>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center"/>
              <w:ind w:left="352"/>
              <w:spacing w:after="0"/>
              <w:rPr>
                <w:sz w:val="20"/>
                <w:szCs w:val="20"/>
                <w:color w:val="auto"/>
              </w:rPr>
            </w:pPr>
            <w:r>
              <w:rPr>
                <w:rFonts w:ascii="Arial" w:cs="Arial" w:eastAsia="Arial" w:hAnsi="Arial"/>
                <w:sz w:val="18"/>
                <w:szCs w:val="18"/>
                <w:color w:val="auto"/>
                <w:w w:val="91"/>
              </w:rPr>
              <w:t>(0.2)</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OPEB activities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912"/>
              <w:spacing w:after="0"/>
              <w:rPr>
                <w:sz w:val="20"/>
                <w:szCs w:val="20"/>
                <w:color w:val="auto"/>
              </w:rPr>
            </w:pPr>
            <w:r>
              <w:rPr>
                <w:rFonts w:ascii="Arial" w:cs="Arial" w:eastAsia="Arial" w:hAnsi="Arial"/>
                <w:sz w:val="18"/>
                <w:szCs w:val="18"/>
                <w:color w:val="auto"/>
                <w:w w:val="91"/>
              </w:rPr>
              <w:t>(0.6)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952"/>
              <w:spacing w:after="0"/>
              <w:rPr>
                <w:sz w:val="20"/>
                <w:szCs w:val="20"/>
                <w:color w:val="auto"/>
              </w:rPr>
            </w:pPr>
            <w:r>
              <w:rPr>
                <w:rFonts w:ascii="Arial" w:cs="Arial" w:eastAsia="Arial" w:hAnsi="Arial"/>
                <w:sz w:val="18"/>
                <w:szCs w:val="18"/>
                <w:color w:val="auto"/>
                <w:w w:val="91"/>
              </w:rPr>
              <w:t>(0.5)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91"/>
              </w:rPr>
              <w:t>(0.1)</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220" w:type="dxa"/>
            <w:vAlign w:val="bottom"/>
          </w:tcPr>
          <w:p>
            <w:pPr>
              <w:spacing w:after="0"/>
              <w:rPr>
                <w:sz w:val="19"/>
                <w:szCs w:val="19"/>
                <w:color w:val="auto"/>
              </w:rPr>
            </w:pPr>
          </w:p>
        </w:tc>
        <w:tc>
          <w:tcPr>
            <w:tcW w:w="1420" w:type="dxa"/>
            <w:vAlign w:val="bottom"/>
          </w:tcPr>
          <w:p>
            <w:pPr>
              <w:jc w:val="center"/>
              <w:ind w:left="912"/>
              <w:spacing w:after="0"/>
              <w:rPr>
                <w:sz w:val="20"/>
                <w:szCs w:val="20"/>
                <w:color w:val="auto"/>
              </w:rPr>
            </w:pPr>
            <w:r>
              <w:rPr>
                <w:rFonts w:ascii="Arial" w:cs="Arial" w:eastAsia="Arial" w:hAnsi="Arial"/>
                <w:sz w:val="18"/>
                <w:szCs w:val="18"/>
                <w:color w:val="auto"/>
                <w:w w:val="91"/>
              </w:rPr>
              <w:t>(3.3)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center"/>
              <w:ind w:left="952"/>
              <w:spacing w:after="0"/>
              <w:rPr>
                <w:sz w:val="20"/>
                <w:szCs w:val="20"/>
                <w:color w:val="auto"/>
              </w:rPr>
            </w:pPr>
            <w:r>
              <w:rPr>
                <w:rFonts w:ascii="Arial" w:cs="Arial" w:eastAsia="Arial" w:hAnsi="Arial"/>
                <w:sz w:val="18"/>
                <w:szCs w:val="18"/>
                <w:color w:val="auto"/>
                <w:w w:val="91"/>
              </w:rPr>
              <w:t>(0.7)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center"/>
              <w:ind w:left="352"/>
              <w:spacing w:after="0"/>
              <w:rPr>
                <w:sz w:val="20"/>
                <w:szCs w:val="20"/>
                <w:color w:val="auto"/>
              </w:rPr>
            </w:pPr>
            <w:r>
              <w:rPr>
                <w:rFonts w:ascii="Arial" w:cs="Arial" w:eastAsia="Arial" w:hAnsi="Arial"/>
                <w:sz w:val="18"/>
                <w:szCs w:val="18"/>
                <w:color w:val="auto"/>
                <w:w w:val="91"/>
              </w:rPr>
              <w:t>(2.6)</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and other liabilities and income taxes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912"/>
              <w:spacing w:after="0"/>
              <w:rPr>
                <w:sz w:val="20"/>
                <w:szCs w:val="20"/>
                <w:color w:val="auto"/>
              </w:rPr>
            </w:pPr>
            <w:r>
              <w:rPr>
                <w:rFonts w:ascii="Arial" w:cs="Arial" w:eastAsia="Arial" w:hAnsi="Arial"/>
                <w:sz w:val="18"/>
                <w:szCs w:val="18"/>
                <w:color w:val="auto"/>
                <w:w w:val="91"/>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952"/>
              <w:spacing w:after="0"/>
              <w:rPr>
                <w:sz w:val="20"/>
                <w:szCs w:val="20"/>
                <w:color w:val="auto"/>
              </w:rPr>
            </w:pPr>
            <w:r>
              <w:rPr>
                <w:rFonts w:ascii="Arial" w:cs="Arial" w:eastAsia="Arial" w:hAnsi="Arial"/>
                <w:sz w:val="18"/>
                <w:szCs w:val="18"/>
                <w:color w:val="auto"/>
                <w:w w:val="91"/>
              </w:rPr>
              <w:t>(0.9)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91"/>
              </w:rPr>
              <w:t>(0.6)</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952"/>
              <w:spacing w:after="0"/>
              <w:rPr>
                <w:sz w:val="20"/>
                <w:szCs w:val="20"/>
                <w:color w:val="auto"/>
              </w:rPr>
            </w:pPr>
            <w:r>
              <w:rPr>
                <w:rFonts w:ascii="Arial" w:cs="Arial" w:eastAsia="Arial" w:hAnsi="Arial"/>
                <w:sz w:val="18"/>
                <w:szCs w:val="18"/>
                <w:color w:val="auto"/>
                <w:w w:val="87"/>
              </w:rPr>
              <w:t>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972"/>
              <w:spacing w:after="0"/>
              <w:rPr>
                <w:sz w:val="20"/>
                <w:szCs w:val="20"/>
                <w:color w:val="auto"/>
              </w:rPr>
            </w:pPr>
            <w:r>
              <w:rPr>
                <w:rFonts w:ascii="Arial" w:cs="Arial" w:eastAsia="Arial" w:hAnsi="Arial"/>
                <w:sz w:val="18"/>
                <w:szCs w:val="18"/>
                <w:color w:val="auto"/>
                <w:w w:val="95"/>
              </w:rPr>
              <w:t>0.6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52"/>
              <w:spacing w:after="0"/>
              <w:rPr>
                <w:sz w:val="20"/>
                <w:szCs w:val="20"/>
                <w:color w:val="auto"/>
              </w:rPr>
            </w:pPr>
            <w:r>
              <w:rPr>
                <w:rFonts w:ascii="Arial" w:cs="Arial" w:eastAsia="Arial" w:hAnsi="Arial"/>
                <w:sz w:val="18"/>
                <w:szCs w:val="18"/>
                <w:color w:val="auto"/>
                <w:w w:val="91"/>
              </w:rPr>
              <w:t>(0.3)</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automotive cash provided by (used in) operating activities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center"/>
              <w:ind w:left="912"/>
              <w:spacing w:after="0"/>
              <w:rPr>
                <w:sz w:val="20"/>
                <w:szCs w:val="20"/>
                <w:color w:val="auto"/>
              </w:rPr>
            </w:pPr>
            <w:r>
              <w:rPr>
                <w:rFonts w:ascii="Arial" w:cs="Arial" w:eastAsia="Arial" w:hAnsi="Arial"/>
                <w:sz w:val="18"/>
                <w:szCs w:val="18"/>
                <w:color w:val="auto"/>
                <w:w w:val="91"/>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center"/>
              <w:ind w:left="972"/>
              <w:spacing w:after="0"/>
              <w:rPr>
                <w:sz w:val="20"/>
                <w:szCs w:val="20"/>
                <w:color w:val="auto"/>
              </w:rPr>
            </w:pPr>
            <w:r>
              <w:rPr>
                <w:rFonts w:ascii="Arial" w:cs="Arial" w:eastAsia="Arial" w:hAnsi="Arial"/>
                <w:sz w:val="18"/>
                <w:szCs w:val="18"/>
                <w:color w:val="auto"/>
                <w:w w:val="95"/>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center"/>
              <w:ind w:left="352"/>
              <w:spacing w:after="0"/>
              <w:rPr>
                <w:sz w:val="20"/>
                <w:szCs w:val="20"/>
                <w:color w:val="auto"/>
              </w:rPr>
            </w:pPr>
            <w:r>
              <w:rPr>
                <w:rFonts w:ascii="Arial" w:cs="Arial" w:eastAsia="Arial" w:hAnsi="Arial"/>
                <w:sz w:val="18"/>
                <w:szCs w:val="18"/>
                <w:color w:val="auto"/>
                <w:w w:val="91"/>
              </w:rPr>
              <w:t>(1.4)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 the three months ended March 31, 2021, the decrease in Net automotive cash provided by (used in) operating activities was primarily due to: (1) unfavorable accounts receivable of $1.2 billion and inventory of $1.0 billion; partially offset by (2) lower sales incentive payments of $1.0 billion; and (3) higher dividends received from GM Financial of $0.2 billion.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9"/>
        </w:trPr>
        <w:tc>
          <w:tcPr>
            <w:tcW w:w="6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21"/>
                <w:szCs w:val="21"/>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Change</w:t>
            </w: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center"/>
              <w:ind w:left="915"/>
              <w:spacing w:after="0"/>
              <w:rPr>
                <w:sz w:val="20"/>
                <w:szCs w:val="20"/>
                <w:color w:val="auto"/>
              </w:rPr>
            </w:pPr>
            <w:r>
              <w:rPr>
                <w:rFonts w:ascii="Arial" w:cs="Arial" w:eastAsia="Arial" w:hAnsi="Arial"/>
                <w:sz w:val="18"/>
                <w:szCs w:val="18"/>
                <w:color w:val="auto"/>
                <w:w w:val="91"/>
              </w:rPr>
              <w:t>(0.9)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center"/>
              <w:ind w:left="373"/>
              <w:spacing w:after="0"/>
              <w:rPr>
                <w:sz w:val="20"/>
                <w:szCs w:val="20"/>
                <w:color w:val="auto"/>
              </w:rPr>
            </w:pPr>
            <w:r>
              <w:rPr>
                <w:rFonts w:ascii="Arial" w:cs="Arial" w:eastAsia="Arial" w:hAnsi="Arial"/>
                <w:sz w:val="18"/>
                <w:szCs w:val="18"/>
                <w:color w:val="auto"/>
                <w:w w:val="95"/>
              </w:rPr>
              <w:t>0.3</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Acquisitions and liquidations of marketable securities, net(a)</w:t>
            </w:r>
          </w:p>
        </w:tc>
        <w:tc>
          <w:tcPr>
            <w:tcW w:w="220" w:type="dxa"/>
            <w:vAlign w:val="bottom"/>
          </w:tcPr>
          <w:p>
            <w:pPr>
              <w:spacing w:after="0"/>
              <w:rPr>
                <w:sz w:val="19"/>
                <w:szCs w:val="19"/>
                <w:color w:val="auto"/>
              </w:rPr>
            </w:pPr>
          </w:p>
        </w:tc>
        <w:tc>
          <w:tcPr>
            <w:tcW w:w="1420" w:type="dxa"/>
            <w:vAlign w:val="bottom"/>
          </w:tcPr>
          <w:p>
            <w:pPr>
              <w:jc w:val="center"/>
              <w:ind w:left="955"/>
              <w:spacing w:after="0"/>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center"/>
              <w:ind w:left="373"/>
              <w:spacing w:after="0"/>
              <w:rPr>
                <w:sz w:val="20"/>
                <w:szCs w:val="20"/>
                <w:color w:val="auto"/>
              </w:rPr>
            </w:pPr>
            <w:r>
              <w:rPr>
                <w:rFonts w:ascii="Arial" w:cs="Arial" w:eastAsia="Arial" w:hAnsi="Arial"/>
                <w:sz w:val="18"/>
                <w:szCs w:val="18"/>
                <w:color w:val="auto"/>
                <w:w w:val="95"/>
              </w:rPr>
              <w:t>4.6</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investment in Cruise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915"/>
              <w:spacing w:after="0"/>
              <w:rPr>
                <w:sz w:val="20"/>
                <w:szCs w:val="20"/>
                <w:color w:val="auto"/>
              </w:rPr>
            </w:pPr>
            <w:r>
              <w:rPr>
                <w:rFonts w:ascii="Arial" w:cs="Arial" w:eastAsia="Arial" w:hAnsi="Arial"/>
                <w:sz w:val="18"/>
                <w:szCs w:val="18"/>
                <w:color w:val="auto"/>
                <w:w w:val="91"/>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w w:val="91"/>
              </w:rPr>
              <w:t>(1.0)</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420" w:type="dxa"/>
            <w:vAlign w:val="bottom"/>
          </w:tcPr>
          <w:p>
            <w:pPr>
              <w:jc w:val="center"/>
              <w:ind w:left="915"/>
              <w:spacing w:after="0"/>
              <w:rPr>
                <w:sz w:val="20"/>
                <w:szCs w:val="20"/>
                <w:color w:val="auto"/>
              </w:rPr>
            </w:pPr>
            <w:r>
              <w:rPr>
                <w:rFonts w:ascii="Arial" w:cs="Arial" w:eastAsia="Arial" w:hAnsi="Arial"/>
                <w:sz w:val="18"/>
                <w:szCs w:val="18"/>
                <w:color w:val="auto"/>
                <w:w w:val="91"/>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center"/>
              <w:ind w:left="353"/>
              <w:spacing w:after="0"/>
              <w:rPr>
                <w:sz w:val="20"/>
                <w:szCs w:val="20"/>
                <w:color w:val="auto"/>
              </w:rPr>
            </w:pPr>
            <w:r>
              <w:rPr>
                <w:rFonts w:ascii="Arial" w:cs="Arial" w:eastAsia="Arial" w:hAnsi="Arial"/>
                <w:sz w:val="18"/>
                <w:szCs w:val="18"/>
                <w:color w:val="auto"/>
                <w:w w:val="91"/>
              </w:rPr>
              <w:t>(0.1)</w:t>
            </w: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automotive cash provided by (used in) investing activities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center"/>
              <w:ind w:left="955"/>
              <w:spacing w:after="0"/>
              <w:rPr>
                <w:sz w:val="20"/>
                <w:szCs w:val="20"/>
                <w:color w:val="auto"/>
              </w:rPr>
            </w:pPr>
            <w:r>
              <w:rPr>
                <w:rFonts w:ascii="Arial" w:cs="Arial" w:eastAsia="Arial" w:hAnsi="Arial"/>
                <w:sz w:val="18"/>
                <w:szCs w:val="18"/>
                <w:color w:val="auto"/>
                <w:w w:val="87"/>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center"/>
              <w:ind w:left="373"/>
              <w:spacing w:after="0"/>
              <w:rPr>
                <w:sz w:val="20"/>
                <w:szCs w:val="20"/>
                <w:color w:val="auto"/>
              </w:rPr>
            </w:pPr>
            <w:r>
              <w:rPr>
                <w:rFonts w:ascii="Arial" w:cs="Arial" w:eastAsia="Arial" w:hAnsi="Arial"/>
                <w:sz w:val="18"/>
                <w:szCs w:val="18"/>
                <w:color w:val="auto"/>
                <w:w w:val="95"/>
              </w:rPr>
              <w:t>3.8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Amount includes $0.5 billion of proceeds from the sale of the vast majority of our Lyft, Inc. shares in the three months ended March 31, 2020.</w:t>
      </w:r>
    </w:p>
    <w:p>
      <w:pPr>
        <w:spacing w:after="0" w:line="23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 the three months ended March 31, 2021, cash provided by acquisitions and liquidations of marketable securities, net increased due to liquidations of securities to fund operating activities and investments, compared to net acquisitions of securities from revolver proceeds during the three months ended March 31, 2020.</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50"/>
        </w:trPr>
        <w:tc>
          <w:tcPr>
            <w:tcW w:w="6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21"/>
                <w:szCs w:val="21"/>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21"/>
                <w:szCs w:val="21"/>
                <w:color w:val="auto"/>
              </w:rPr>
            </w:pPr>
          </w:p>
        </w:tc>
        <w:tc>
          <w:tcPr>
            <w:tcW w:w="820" w:type="dxa"/>
            <w:vAlign w:val="bottom"/>
          </w:tcPr>
          <w:p>
            <w:pPr>
              <w:jc w:val="right"/>
              <w:ind w:right="173"/>
              <w:spacing w:after="0"/>
              <w:rPr>
                <w:sz w:val="20"/>
                <w:szCs w:val="20"/>
                <w:color w:val="auto"/>
              </w:rPr>
            </w:pPr>
            <w:r>
              <w:rPr>
                <w:rFonts w:ascii="Arial" w:cs="Arial" w:eastAsia="Arial" w:hAnsi="Arial"/>
                <w:sz w:val="14"/>
                <w:szCs w:val="14"/>
                <w:b w:val="1"/>
                <w:bCs w:val="1"/>
                <w:color w:val="auto"/>
              </w:rPr>
              <w:t>Change</w:t>
            </w: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 against credit facilities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Net proceeds (payments) from short-term debt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and payments to purchase common stock</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automotive cash provided by financing activities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i w:val="1"/>
          <w:iCs w:val="1"/>
          <w:color w:val="auto"/>
        </w:rPr>
        <w:t xml:space="preserve">Adjusted Automotive Free Cash Flow </w:t>
      </w:r>
      <w:r>
        <w:rPr>
          <w:rFonts w:ascii="Arial" w:cs="Arial" w:eastAsia="Arial" w:hAnsi="Arial"/>
          <w:sz w:val="17"/>
          <w:szCs w:val="17"/>
          <w:color w:val="auto"/>
        </w:rPr>
        <w:t>We measure adjusted automotive free cash flow as automotive operating cash flow from operations less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expenditures adjusted for management actions. In the three months ended March 31, 2021, net automotive cash used in operating activities under U.S. GAAP was $1.1 billion, capital expenditures were $0.9 billion, and adjustments for management actions were insignificant.</w:t>
      </w:r>
    </w:p>
    <w:p>
      <w:pPr>
        <w:spacing w:after="0" w:line="19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months ended March 31, 2020, net automotive cash provided by operating activities under U.S. GAAP was $0.3 billion, capital expenditures were $1.2 billion, and adjustments for management actions were insignificant.</w:t>
      </w:r>
    </w:p>
    <w:p>
      <w:pPr>
        <w:spacing w:after="0" w:line="19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i w:val="1"/>
          <w:iCs w:val="1"/>
          <w:color w:val="auto"/>
        </w:rPr>
        <w:t xml:space="preserve">Status of Credit Ratings </w:t>
      </w:r>
      <w:r>
        <w:rPr>
          <w:rFonts w:ascii="Arial" w:cs="Arial" w:eastAsia="Arial" w:hAnsi="Arial"/>
          <w:sz w:val="18"/>
          <w:szCs w:val="18"/>
          <w:color w:val="auto"/>
        </w:rPr>
        <w:t>We receive ratings from four independent credit rating agencies: DBRS Limited, Fitch Ratings, Moody's Investor Service and</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&amp; Poor's. All four credit rating agencies currently rate our corporate credit at investment grade. In March 2021, Moody’s Investor Services affirmed our investment-grade credit ratings and raised our ratings outlook to stable. As of April 19, 2021, all other credit ratings remained unchanged since December 31, 2020.</w:t>
      </w:r>
    </w:p>
    <w:p>
      <w:pPr>
        <w:spacing w:after="0" w:line="22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Cruise Liquidity </w:t>
      </w:r>
      <w:r>
        <w:rPr>
          <w:rFonts w:ascii="Arial" w:cs="Arial" w:eastAsia="Arial" w:hAnsi="Arial"/>
          <w:sz w:val="18"/>
          <w:szCs w:val="18"/>
          <w:color w:val="auto"/>
        </w:rPr>
        <w:t>In the three months ended March 31, 2021, Cruise Holdings issued Cruise Class G Preferred Shares in exchange for $2.5 billion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Microsoft and certain other investors, including $1.0 billion from General Motors Holdings LLC. Refer to Note 16 to our condensed consolidated financial statements for additional information. When Cruise's autonomous vehicles are ready for commercial deployment, Softbank Vision Fund (AIV M2), L.P. is obligated to purchase additional Cruise convertible preferred shares for $1.35 billion.</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changes in our Cruise available liquidity (dollars in billions):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jc w:val="center"/>
              <w:ind w:right="96"/>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88"/>
        </w:trPr>
        <w:tc>
          <w:tcPr>
            <w:tcW w:w="4260" w:type="dxa"/>
            <w:vAlign w:val="bottom"/>
            <w:tcBorders>
              <w:bottom w:val="single" w:sz="8" w:color="CCEEFF"/>
            </w:tcBorders>
          </w:tcPr>
          <w:p>
            <w:pPr>
              <w:spacing w:after="0"/>
              <w:rPr>
                <w:sz w:val="16"/>
                <w:szCs w:val="16"/>
                <w:color w:val="auto"/>
              </w:rPr>
            </w:pPr>
          </w:p>
        </w:tc>
        <w:tc>
          <w:tcPr>
            <w:tcW w:w="5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4"/>
              </w:rPr>
              <w:t>March 31, 2021</w:t>
            </w: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w:t>
            </w:r>
          </w:p>
        </w:tc>
        <w:tc>
          <w:tcPr>
            <w:tcW w:w="5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center"/>
              <w:ind w:left="1116"/>
              <w:spacing w:after="0"/>
              <w:rPr>
                <w:sz w:val="20"/>
                <w:szCs w:val="20"/>
                <w:color w:val="auto"/>
              </w:rPr>
            </w:pPr>
            <w:r>
              <w:rPr>
                <w:rFonts w:ascii="Arial" w:cs="Arial" w:eastAsia="Arial" w:hAnsi="Arial"/>
                <w:sz w:val="18"/>
                <w:szCs w:val="18"/>
                <w:color w:val="auto"/>
                <w:w w:val="97"/>
              </w:rPr>
              <w:t>(0.2)</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Issuance of Cruise Preferred Shares</w:t>
            </w:r>
          </w:p>
        </w:tc>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center"/>
              <w:ind w:left="1136"/>
              <w:spacing w:after="0"/>
              <w:rPr>
                <w:sz w:val="20"/>
                <w:szCs w:val="20"/>
                <w:color w:val="auto"/>
              </w:rPr>
            </w:pPr>
            <w:r>
              <w:rPr>
                <w:rFonts w:ascii="Arial" w:cs="Arial" w:eastAsia="Arial" w:hAnsi="Arial"/>
                <w:sz w:val="18"/>
                <w:szCs w:val="18"/>
                <w:color w:val="auto"/>
                <w:w w:val="87"/>
              </w:rPr>
              <w:t>1.5</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investment in Cruise</w:t>
            </w:r>
          </w:p>
        </w:tc>
        <w:tc>
          <w:tcPr>
            <w:tcW w:w="5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center"/>
              <w:ind w:left="1136"/>
              <w:spacing w:after="0"/>
              <w:rPr>
                <w:sz w:val="20"/>
                <w:szCs w:val="20"/>
                <w:color w:val="auto"/>
              </w:rPr>
            </w:pPr>
            <w:r>
              <w:rPr>
                <w:rFonts w:ascii="Arial" w:cs="Arial" w:eastAsia="Arial" w:hAnsi="Arial"/>
                <w:sz w:val="18"/>
                <w:szCs w:val="18"/>
                <w:color w:val="auto"/>
                <w:w w:val="87"/>
              </w:rPr>
              <w:t>1.0</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color w:val="auto"/>
              </w:rPr>
              <w:t>Total change in Cruise available liquidity</w:t>
            </w:r>
          </w:p>
        </w:tc>
        <w:tc>
          <w:tcPr>
            <w:tcW w:w="5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center"/>
              <w:ind w:left="1136"/>
              <w:spacing w:after="0"/>
              <w:rPr>
                <w:sz w:val="20"/>
                <w:szCs w:val="20"/>
                <w:color w:val="auto"/>
              </w:rPr>
            </w:pPr>
            <w:r>
              <w:rPr>
                <w:rFonts w:ascii="Arial" w:cs="Arial" w:eastAsia="Arial" w:hAnsi="Arial"/>
                <w:sz w:val="18"/>
                <w:szCs w:val="18"/>
                <w:color w:val="auto"/>
                <w:w w:val="87"/>
              </w:rPr>
              <w:t>2.3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5200" w:type="dxa"/>
            <w:vAlign w:val="bottom"/>
            <w:vMerge w:val="restart"/>
          </w:tcPr>
          <w:p>
            <w:pPr>
              <w:jc w:val="right"/>
              <w:ind w:right="3650"/>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426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26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Cruise Cash Flow (dollars in billions)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7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7"/>
        </w:trPr>
        <w:tc>
          <w:tcPr>
            <w:tcW w:w="6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Pr>
          <w:p>
            <w:pPr>
              <w:spacing w:after="0"/>
              <w:rPr>
                <w:sz w:val="17"/>
                <w:szCs w:val="17"/>
                <w:color w:val="auto"/>
              </w:rPr>
            </w:pPr>
          </w:p>
        </w:tc>
        <w:tc>
          <w:tcPr>
            <w:tcW w:w="1420" w:type="dxa"/>
            <w:vAlign w:val="bottom"/>
          </w:tcPr>
          <w:p>
            <w:pPr>
              <w:jc w:val="right"/>
              <w:ind w:right="275"/>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95"/>
              <w:spacing w:after="0"/>
              <w:rPr>
                <w:sz w:val="20"/>
                <w:szCs w:val="20"/>
                <w:color w:val="auto"/>
              </w:rPr>
            </w:pPr>
            <w:r>
              <w:rPr>
                <w:rFonts w:ascii="Arial" w:cs="Arial" w:eastAsia="Arial" w:hAnsi="Arial"/>
                <w:sz w:val="14"/>
                <w:szCs w:val="14"/>
                <w:b w:val="1"/>
                <w:bCs w:val="1"/>
                <w:color w:val="auto"/>
              </w:rPr>
              <w:t>Change</w:t>
            </w:r>
          </w:p>
        </w:tc>
      </w:tr>
      <w:tr>
        <w:trPr>
          <w:trHeight w:val="229"/>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center"/>
              <w:ind w:left="937"/>
              <w:spacing w:after="0"/>
              <w:rPr>
                <w:sz w:val="20"/>
                <w:szCs w:val="20"/>
                <w:color w:val="auto"/>
              </w:rPr>
            </w:pPr>
            <w:r>
              <w:rPr>
                <w:rFonts w:ascii="Arial" w:cs="Arial" w:eastAsia="Arial" w:hAnsi="Arial"/>
                <w:sz w:val="18"/>
                <w:szCs w:val="18"/>
                <w:color w:val="auto"/>
                <w:w w:val="97"/>
              </w:rPr>
              <w:t>(0.2)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center"/>
              <w:ind w:left="937"/>
              <w:spacing w:after="0"/>
              <w:rPr>
                <w:sz w:val="20"/>
                <w:szCs w:val="20"/>
                <w:color w:val="auto"/>
              </w:rPr>
            </w:pPr>
            <w:r>
              <w:rPr>
                <w:rFonts w:ascii="Arial" w:cs="Arial" w:eastAsia="Arial" w:hAnsi="Arial"/>
                <w:sz w:val="18"/>
                <w:szCs w:val="18"/>
                <w:color w:val="auto"/>
                <w:w w:val="97"/>
              </w:rPr>
              <w:t>(0.9)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center"/>
              <w:ind w:left="957"/>
              <w:spacing w:after="0"/>
              <w:rPr>
                <w:sz w:val="20"/>
                <w:szCs w:val="20"/>
                <w:color w:val="auto"/>
              </w:rPr>
            </w:pPr>
            <w:r>
              <w:rPr>
                <w:rFonts w:ascii="Arial" w:cs="Arial" w:eastAsia="Arial" w:hAnsi="Arial"/>
                <w:sz w:val="18"/>
                <w:szCs w:val="18"/>
                <w:color w:val="auto"/>
                <w:w w:val="87"/>
              </w:rPr>
              <w:t>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bl>
    <w:p>
      <w:pPr>
        <w:spacing w:after="0" w:line="310"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b w:val="1"/>
          <w:bCs w:val="1"/>
          <w:i w:val="1"/>
          <w:iCs w:val="1"/>
          <w:color w:val="auto"/>
        </w:rPr>
        <w:t xml:space="preserve">Automotive Financing – GM Financial Liquidity </w:t>
      </w:r>
      <w:r>
        <w:rPr>
          <w:rFonts w:ascii="Arial" w:cs="Arial" w:eastAsia="Arial" w:hAnsi="Arial"/>
          <w:sz w:val="18"/>
          <w:szCs w:val="18"/>
          <w:color w:val="auto"/>
        </w:rPr>
        <w:t>GM Financial's primary sources of cash are finance charge income, leasing income and proceeds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sale of terminated leased vehicles, net distributions from credit facilities, securitizations, secured and unsecured borrowings and collections and recoveries on finance receivables. GM Financial's primary uses of cash are purchases and funding of finance receivables and leased vehicles, repayment or repurchases of secured and unsecured debt, funding credit enhancement requirements in connection with securitizations and secured credit facilities, interest costs, operating expenses, income taxes and dividend payments. GM Financial continues to monitor and evaluate opportunities to optimize its liquidity position and the mix of its debt between secured and unsecured debt. The following table summarizes GM Financial's available liquidity (dollars in billions):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31, 2020</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Borrowing capacity on unpledged eligible assets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 capacity on committed unsecured lines of credit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Borrowing capacity on revolving credit facility, exclusive to GM Financial</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GM Financial available liquidity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162"/>
        <w:spacing w:after="0" w:line="243" w:lineRule="auto"/>
        <w:rPr>
          <w:sz w:val="20"/>
          <w:szCs w:val="20"/>
          <w:color w:val="auto"/>
        </w:rPr>
      </w:pPr>
      <w:r>
        <w:rPr>
          <w:rFonts w:ascii="Arial" w:cs="Arial" w:eastAsia="Arial" w:hAnsi="Arial"/>
          <w:sz w:val="18"/>
          <w:szCs w:val="18"/>
          <w:color w:val="auto"/>
        </w:rPr>
        <w:t>At March 31, 2021, GM Financial's available liquidity increased from December 31, 2020 due to an increase in cash and cash equivalents and available borrowing capacity on unpledged eligible assets, resulting from the issuance of securitization transactions and unsecured debt. GM Financial structures liquidity to support at least six months of GM Financial's expected net cash flows, including new originations, without access to new debt financing transactions or other capital markets activity.</w:t>
      </w:r>
    </w:p>
    <w:p>
      <w:pPr>
        <w:spacing w:after="0" w:line="215"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GM Financial did not have any borrowings outstanding against our credit facility designated for their exclusive use or the remainder of our revolving credit facilities at March 31, 2021 and December 31, 2020. Refer to the Automotive Liquidity section of this MD&amp;A for additional details.</w:t>
      </w:r>
    </w:p>
    <w:p>
      <w:pPr>
        <w:spacing w:after="0" w:line="17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In the normal course of business, in addition to using its available cash, GM Financial utilizes borrowings under its credit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be secured or unsecured, and GM Financial repays these borrowings as appropriate under its cash management strategy. At March 31, 2021 secured, committed unsecured and uncommitted unsecured credit facilities totaled $26.2 billion, $0.5 billion and $1.3 billion with advances outstanding of $1.6 billion, an insignificant amount and $1.3 billion.</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 Financial Cash Flow (dollars in billions)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7"/>
        </w:trPr>
        <w:tc>
          <w:tcPr>
            <w:tcW w:w="6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7"/>
                <w:szCs w:val="17"/>
                <w:color w:val="auto"/>
              </w:rPr>
            </w:pPr>
          </w:p>
        </w:tc>
        <w:tc>
          <w:tcPr>
            <w:tcW w:w="1420" w:type="dxa"/>
            <w:vAlign w:val="bottom"/>
          </w:tcPr>
          <w:p>
            <w:pPr>
              <w:ind w:left="12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Change</w:t>
            </w:r>
          </w:p>
        </w:tc>
      </w:tr>
      <w:tr>
        <w:trPr>
          <w:trHeight w:val="229"/>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center"/>
              <w:ind w:left="957"/>
              <w:spacing w:after="0"/>
              <w:rPr>
                <w:sz w:val="20"/>
                <w:szCs w:val="20"/>
                <w:color w:val="auto"/>
              </w:rPr>
            </w:pPr>
            <w:r>
              <w:rPr>
                <w:rFonts w:ascii="Arial" w:cs="Arial" w:eastAsia="Arial" w:hAnsi="Arial"/>
                <w:sz w:val="18"/>
                <w:szCs w:val="18"/>
                <w:color w:val="auto"/>
                <w:w w:val="87"/>
              </w:rPr>
              <w:t>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center"/>
              <w:ind w:left="975"/>
              <w:spacing w:after="0"/>
              <w:rPr>
                <w:sz w:val="20"/>
                <w:szCs w:val="20"/>
                <w:color w:val="auto"/>
              </w:rPr>
            </w:pPr>
            <w:r>
              <w:rPr>
                <w:rFonts w:ascii="Arial" w:cs="Arial" w:eastAsia="Arial" w:hAnsi="Arial"/>
                <w:sz w:val="18"/>
                <w:szCs w:val="18"/>
                <w:color w:val="auto"/>
                <w:w w:val="95"/>
              </w:rPr>
              <w:t>2.2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center"/>
              <w:ind w:left="355"/>
              <w:spacing w:after="0"/>
              <w:rPr>
                <w:sz w:val="20"/>
                <w:szCs w:val="20"/>
                <w:color w:val="auto"/>
              </w:rPr>
            </w:pPr>
            <w:r>
              <w:rPr>
                <w:rFonts w:ascii="Arial" w:cs="Arial" w:eastAsia="Arial" w:hAnsi="Arial"/>
                <w:sz w:val="18"/>
                <w:szCs w:val="18"/>
                <w:color w:val="auto"/>
                <w:w w:val="91"/>
              </w:rPr>
              <w:t>(0.7)</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center"/>
              <w:ind w:left="917"/>
              <w:spacing w:after="0"/>
              <w:rPr>
                <w:sz w:val="20"/>
                <w:szCs w:val="20"/>
                <w:color w:val="auto"/>
              </w:rPr>
            </w:pPr>
            <w:r>
              <w:rPr>
                <w:rFonts w:ascii="Arial" w:cs="Arial" w:eastAsia="Arial" w:hAnsi="Arial"/>
                <w:sz w:val="18"/>
                <w:szCs w:val="18"/>
                <w:color w:val="auto"/>
                <w:w w:val="91"/>
              </w:rPr>
              <w:t>(1.6)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center"/>
              <w:ind w:left="955"/>
              <w:spacing w:after="0"/>
              <w:rPr>
                <w:sz w:val="20"/>
                <w:szCs w:val="20"/>
                <w:color w:val="auto"/>
              </w:rPr>
            </w:pPr>
            <w:r>
              <w:rPr>
                <w:rFonts w:ascii="Arial" w:cs="Arial" w:eastAsia="Arial" w:hAnsi="Arial"/>
                <w:sz w:val="18"/>
                <w:szCs w:val="18"/>
                <w:color w:val="auto"/>
                <w:w w:val="91"/>
              </w:rPr>
              <w:t>(2.7)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center"/>
              <w:ind w:left="375"/>
              <w:spacing w:after="0"/>
              <w:rPr>
                <w:sz w:val="20"/>
                <w:szCs w:val="20"/>
                <w:color w:val="auto"/>
              </w:rPr>
            </w:pPr>
            <w:r>
              <w:rPr>
                <w:rFonts w:ascii="Arial" w:cs="Arial" w:eastAsia="Arial" w:hAnsi="Arial"/>
                <w:sz w:val="18"/>
                <w:szCs w:val="18"/>
                <w:color w:val="auto"/>
                <w:w w:val="95"/>
              </w:rPr>
              <w:t>1.1</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center"/>
              <w:ind w:left="957"/>
              <w:spacing w:after="0"/>
              <w:rPr>
                <w:sz w:val="20"/>
                <w:szCs w:val="20"/>
                <w:color w:val="auto"/>
              </w:rPr>
            </w:pPr>
            <w:r>
              <w:rPr>
                <w:rFonts w:ascii="Arial" w:cs="Arial" w:eastAsia="Arial" w:hAnsi="Arial"/>
                <w:sz w:val="18"/>
                <w:szCs w:val="18"/>
                <w:color w:val="auto"/>
                <w:w w:val="87"/>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center"/>
              <w:ind w:left="975"/>
              <w:spacing w:after="0"/>
              <w:rPr>
                <w:sz w:val="20"/>
                <w:szCs w:val="20"/>
                <w:color w:val="auto"/>
              </w:rPr>
            </w:pPr>
            <w:r>
              <w:rPr>
                <w:rFonts w:ascii="Arial" w:cs="Arial" w:eastAsia="Arial" w:hAnsi="Arial"/>
                <w:sz w:val="18"/>
                <w:szCs w:val="18"/>
                <w:color w:val="auto"/>
                <w:w w:val="95"/>
              </w:rPr>
              <w:t>7.8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91"/>
              </w:rPr>
              <w:t>(6.4)</w:t>
            </w:r>
          </w:p>
        </w:tc>
      </w:tr>
    </w:tbl>
    <w:p>
      <w:pPr>
        <w:spacing w:after="0" w:line="323"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In the three months ended March 31, 2021, Net cash provided by operating activities decreased primarily due to: (1) a decrease in derivative collateral posting activities of $0.6 billion; and (2) a decrease in leased vehicle income of $0.1 billion; partially offset by (3) a decrease in interest paid of $0.1 billion.</w:t>
      </w:r>
    </w:p>
    <w:p>
      <w:pPr>
        <w:spacing w:after="0" w:line="15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 the three months ended March 31, 2021, Net cash used in investing activities decreased primarily due to: (1) increased collections and recoveries on finance receivables of $2.9 billion; (2) increased proceeds from terminated vehicles of $1.8 billion; partially offset by (3) an increase in purchases of leased vehicles of $2.3 billion; and (4) increased purchases of finance receivables of $1.3 billion.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2021, Net cash provided by financing activities decreased primarily due to: (1) a decrease in borrowings of $4.9 billion; (2) an increase in debt repayments of $1.3 billion; and (3) an increase in dividend payments of $0.2 billion.</w:t>
      </w:r>
    </w:p>
    <w:p>
      <w:pPr>
        <w:spacing w:after="0" w:line="19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Critical Accounting Estimates </w:t>
      </w:r>
      <w:r>
        <w:rPr>
          <w:rFonts w:ascii="Arial" w:cs="Arial" w:eastAsia="Arial" w:hAnsi="Arial"/>
          <w:sz w:val="16"/>
          <w:szCs w:val="16"/>
          <w:color w:val="auto"/>
        </w:rPr>
        <w:t>The condensed consolidated financial statements are prepared in conformity with U.S. GAAP, which requires the use of</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in our 2020 Form 10-K.</w:t>
      </w:r>
    </w:p>
    <w:p>
      <w:pPr>
        <w:spacing w:after="0" w:line="18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color w:val="auto"/>
        </w:rPr>
        <w:t xml:space="preserve">Forward-Looking Statements </w:t>
      </w:r>
      <w:r>
        <w:rPr>
          <w:rFonts w:ascii="Arial" w:cs="Arial" w:eastAsia="Arial" w:hAnsi="Arial"/>
          <w:sz w:val="16"/>
          <w:szCs w:val="16"/>
          <w:color w:val="auto"/>
        </w:rPr>
        <w:t>This report and the other reports filed by us with the SEC from time to time, as well as statements incorporated by</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 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 (1) our ability to deliver new products, services and customer experiences in response to increased competition and changing consumer preferences in the automotive industry; (2) our ability to timely fund and introduce new and improved vehicle models, including electric vehicles, that are able to attract a sufficient number of consumers; (3) the success of our crossovers, SUVs and full-size pickup trucks; (4) our highly competitive industry, which is characterized by excess manufacturing capacity and the use of incentives, and the introduction of new and improved vehicle models by our competitors; (5) our ability to deliver a broad portfolio of electric vehicles and drive increased consumer adoption; (6) the unique technological, operational, regulatory and competitive risks related to the timing and commercialization of autonomous vehicles; (7) the ongoing COVID-19 pandemic; (8) global automobile market sales volume, which can be volatile; (9) our significant business in China, which is subject to unique operational, competitive, regulatory and economic risks; (10) our joint ventures, which we cannot operate solely for our benefit and over which we may have limited control; (11) the international scale and footprint of our operations, which exposes us to a variety of unique political, economic, competitive and regulatory risks, including the risk of changes in government leadership and laws (including labor, tax and other laws), political instability and economic tensions between governments and changes in international trade policies, new barriers to entry and changes to or withdrawals from free trade agreements, public health crises, including the occurrence of a contagious disease or illness, such as the COVID-19 pandemic,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and difficulties in obtaining financing in foreign countries; (12) any significant disruption, including any work stoppages, at any of our manufacturing facilities; (13) the ability of our suppliers to deliver parts, systems and components without disruption and at such times to allow us to meet production schedules; (14) prices of raw materials used by us and our suppliers; (15) our ability to successfully and cost-effectively restructure our operations in the U.S. and various other countries and initiate additional cost reduction actions with minimal disruption; (16) the possibility that competitors may independently develop products and services similar to ours, or that our intellectual property rights are not sufficient to prevent competitors from developing or selling those products or services; (17) our ability to manage risks related to security breaches and other disruptions to our information technology systems and networked products, including connected vehicles and in-vehicle systems; (18) our ability to comply with increasingly complex, restrictive and punitive regulations relating to our enterprise data practices, including the collection, use, sharing and security of the Personal Identifiable Information of our customers, employees, or suppliers; (19) our ability to comply with extensive laws, regulations and policies applicable to our operations and products, including those relating to fuel economy and emissions and autonomous vehicles; (20) costs and risks associated with litigation and government investigations; (21) the costs and effect on our reputation of product safety recalls and alleged defects in products and services; (22) any additional tax expense or exposure; (23) our continued ability to develop captive financing capability through GM Financial;</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(24) any significant increase in our pension funding requirements. A further list and description of these risks, uncertainties and other factors can be found in our 2020 Form 10-K and our subsequent filings with the SEC.</w:t>
      </w:r>
    </w:p>
    <w:p>
      <w:pPr>
        <w:spacing w:after="0" w:line="197"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21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 * * * * * *</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There have been no significant changes in our exposure to market risk since December 31, 2020. For further discussion on market risk, refer to Part II, Item 7A. of our 2020 Form 10-K.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4" w:lineRule="exact"/>
        <w:rPr>
          <w:sz w:val="20"/>
          <w:szCs w:val="20"/>
          <w:color w:val="auto"/>
        </w:rPr>
      </w:pPr>
    </w:p>
    <w:p>
      <w:pPr>
        <w:jc w:val="both"/>
        <w:ind w:firstLine="162"/>
        <w:spacing w:after="0" w:line="261" w:lineRule="auto"/>
        <w:rPr>
          <w:sz w:val="20"/>
          <w:szCs w:val="20"/>
          <w:color w:val="auto"/>
        </w:rPr>
      </w:pPr>
      <w:r>
        <w:rPr>
          <w:rFonts w:ascii="Arial" w:cs="Arial" w:eastAsia="Arial" w:hAnsi="Arial"/>
          <w:sz w:val="18"/>
          <w:szCs w:val="18"/>
          <w:b w:val="1"/>
          <w:bCs w:val="1"/>
          <w:color w:val="auto"/>
        </w:rPr>
        <w:t xml:space="preserve">Disclosure Controls and Procedures </w:t>
      </w:r>
      <w:r>
        <w:rPr>
          <w:rFonts w:ascii="Arial" w:cs="Arial" w:eastAsia="Arial" w:hAnsi="Arial"/>
          <w:sz w:val="18"/>
          <w:szCs w:val="18"/>
          <w:color w:val="auto"/>
        </w:rPr>
        <w:t>We maintain disclosure controls and procedures designed to provide reasonable assurance that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21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Our management, with the participation of our CEO and CFO, evaluated the effectiveness of our disclosure controls and procedures (as defined in Rules 13a-15(e) or 15d-15(e) promulgated under the Exchange Act) as of March 31, 2021 as required by paragraph (b) of Rules 13a-15 or 15d-15. Based on this evaluation, our CEO and CFO concluded that our disclosure controls and procedures were effective as of March 31, 2021.</w:t>
      </w:r>
    </w:p>
    <w:p>
      <w:pPr>
        <w:spacing w:after="0" w:line="188" w:lineRule="exact"/>
        <w:rPr>
          <w:sz w:val="20"/>
          <w:szCs w:val="20"/>
          <w:color w:val="auto"/>
        </w:rPr>
      </w:pPr>
    </w:p>
    <w:p>
      <w:pPr>
        <w:jc w:val="both"/>
        <w:ind w:firstLine="162"/>
        <w:spacing w:after="0" w:line="303" w:lineRule="auto"/>
        <w:rPr>
          <w:sz w:val="20"/>
          <w:szCs w:val="20"/>
          <w:color w:val="auto"/>
        </w:rPr>
      </w:pPr>
      <w:r>
        <w:rPr>
          <w:rFonts w:ascii="Arial" w:cs="Arial" w:eastAsia="Arial" w:hAnsi="Arial"/>
          <w:sz w:val="16"/>
          <w:szCs w:val="16"/>
          <w:b w:val="1"/>
          <w:bCs w:val="1"/>
          <w:color w:val="auto"/>
        </w:rPr>
        <w:t xml:space="preserve">Changes in Internal Control over Financial Reporting </w:t>
      </w:r>
      <w:r>
        <w:rPr>
          <w:rFonts w:ascii="Arial" w:cs="Arial" w:eastAsia="Arial" w:hAnsi="Arial"/>
          <w:sz w:val="16"/>
          <w:szCs w:val="16"/>
          <w:color w:val="auto"/>
        </w:rPr>
        <w:t>There have not been any changes in our internal control over financial reporting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three months ended March 31, 2021 that have materially affected, or are reasonably likely to materially affect, our internal control over financial reporting. However, due to the COVID-19 pandemic, we are monitoring our control environment with increased vigilance to ensure changes as a result of physical distancing are addressed and all increased risks are mitigated. For additional information refer to Part I, Item 1A. Risk Factors of our 2020 Form 10-K.</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discussion under "Litigation-Related Liability and Tax Administrative Matters" in Note 13 to our condensed consolidated financial statements is incorporated by reference into this Part II, Item 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162"/>
        <w:spacing w:after="0" w:line="248" w:lineRule="auto"/>
        <w:rPr>
          <w:sz w:val="20"/>
          <w:szCs w:val="20"/>
          <w:color w:val="auto"/>
        </w:rPr>
      </w:pPr>
      <w:r>
        <w:rPr>
          <w:rFonts w:ascii="Arial" w:cs="Arial" w:eastAsia="Arial" w:hAnsi="Arial"/>
          <w:sz w:val="18"/>
          <w:szCs w:val="18"/>
          <w:color w:val="auto"/>
        </w:rPr>
        <w:t>We face a number of significant risks and uncertainties in connection with our operations. Our business and the results of our operations and financial condition could be materially adversely affected by these risk factors. There have been no material changes to the Risk Factors disclosed in our 2020 Form 10-K.</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Purchases of Equity Securities </w:t>
      </w:r>
      <w:r>
        <w:rPr>
          <w:rFonts w:ascii="Arial" w:cs="Arial" w:eastAsia="Arial" w:hAnsi="Arial"/>
          <w:sz w:val="17"/>
          <w:szCs w:val="17"/>
          <w:color w:val="auto"/>
        </w:rPr>
        <w:t>The following table summarizes our purchases of common stock in the three months ended March 31, 2021: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Average Price</w:t>
            </w: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Purchased Under</w:t>
            </w:r>
          </w:p>
        </w:tc>
        <w:tc>
          <w:tcPr>
            <w:tcW w:w="100" w:type="dxa"/>
            <w:vAlign w:val="bottom"/>
          </w:tcPr>
          <w:p>
            <w:pPr>
              <w:spacing w:after="0"/>
              <w:rPr>
                <w:sz w:val="11"/>
                <w:szCs w:val="11"/>
                <w:color w:val="auto"/>
              </w:rPr>
            </w:pPr>
          </w:p>
        </w:tc>
        <w:tc>
          <w:tcPr>
            <w:tcW w:w="1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Shares Purchased(a)</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Paid per</w:t>
            </w: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Announced</w:t>
            </w:r>
          </w:p>
        </w:tc>
        <w:tc>
          <w:tcPr>
            <w:tcW w:w="100" w:type="dxa"/>
            <w:vAlign w:val="bottom"/>
          </w:tcPr>
          <w:p>
            <w:pPr>
              <w:spacing w:after="0"/>
              <w:rPr>
                <w:sz w:val="11"/>
                <w:szCs w:val="11"/>
                <w:color w:val="auto"/>
              </w:rPr>
            </w:pPr>
          </w:p>
        </w:tc>
        <w:tc>
          <w:tcPr>
            <w:tcW w:w="1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88"/>
        </w:trPr>
        <w:tc>
          <w:tcPr>
            <w:tcW w:w="50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Share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Programs(b)</w:t>
            </w:r>
          </w:p>
        </w:tc>
        <w:tc>
          <w:tcPr>
            <w:tcW w:w="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1"/>
              </w:rPr>
              <w:t>Announced Programs</w:t>
            </w:r>
          </w:p>
        </w:tc>
        <w:tc>
          <w:tcPr>
            <w:tcW w:w="0" w:type="dxa"/>
            <w:vAlign w:val="bottom"/>
          </w:tcPr>
          <w:p>
            <w:pPr>
              <w:spacing w:after="0"/>
              <w:rPr>
                <w:sz w:val="1"/>
                <w:szCs w:val="1"/>
                <w:color w:val="auto"/>
              </w:rPr>
            </w:pPr>
          </w:p>
        </w:tc>
      </w:tr>
      <w:tr>
        <w:trPr>
          <w:trHeight w:val="224"/>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2021 through January 31, 2021</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$3.3 billion</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February 1, 2021 through February 28, 2021</w:t>
            </w:r>
          </w:p>
        </w:tc>
        <w:tc>
          <w:tcPr>
            <w:tcW w:w="1440" w:type="dxa"/>
            <w:vAlign w:val="bottom"/>
          </w:tcPr>
          <w:p>
            <w:pPr>
              <w:jc w:val="right"/>
              <w:spacing w:after="0"/>
              <w:rPr>
                <w:sz w:val="20"/>
                <w:szCs w:val="20"/>
                <w:color w:val="auto"/>
              </w:rPr>
            </w:pPr>
            <w:r>
              <w:rPr>
                <w:rFonts w:ascii="Arial" w:cs="Arial" w:eastAsia="Arial" w:hAnsi="Arial"/>
                <w:sz w:val="18"/>
                <w:szCs w:val="18"/>
                <w:color w:val="auto"/>
              </w:rPr>
              <w:t>2,321,842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53.60</w:t>
            </w:r>
          </w:p>
        </w:tc>
        <w:tc>
          <w:tcPr>
            <w:tcW w:w="100" w:type="dxa"/>
            <w:vAlign w:val="bottom"/>
          </w:tcPr>
          <w:p>
            <w:pPr>
              <w:spacing w:after="0"/>
              <w:rPr>
                <w:sz w:val="19"/>
                <w:szCs w:val="19"/>
                <w:color w:val="auto"/>
              </w:rPr>
            </w:pPr>
          </w:p>
        </w:tc>
        <w:tc>
          <w:tcPr>
            <w:tcW w:w="1540" w:type="dxa"/>
            <w:vAlign w:val="bottom"/>
          </w:tcPr>
          <w:p>
            <w:pPr>
              <w:ind w:left="1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5"/>
              </w:rPr>
              <w:t>$3.3 billion</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2021 through March 31,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$3.3 billion</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2,341,363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53.54</w:t>
            </w:r>
          </w:p>
        </w:tc>
        <w:tc>
          <w:tcPr>
            <w:tcW w:w="100" w:type="dxa"/>
            <w:vAlign w:val="bottom"/>
          </w:tcPr>
          <w:p>
            <w:pPr>
              <w:spacing w:after="0"/>
              <w:rPr>
                <w:sz w:val="19"/>
                <w:szCs w:val="19"/>
                <w:color w:val="auto"/>
              </w:rPr>
            </w:pPr>
          </w:p>
        </w:tc>
        <w:tc>
          <w:tcPr>
            <w:tcW w:w="154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w:t>
      </w:r>
    </w:p>
    <w:p>
      <w:pPr>
        <w:spacing w:after="0" w:line="19" w:lineRule="exact"/>
        <w:rPr>
          <w:sz w:val="20"/>
          <w:szCs w:val="20"/>
          <w:color w:val="auto"/>
        </w:rPr>
      </w:pPr>
    </w:p>
    <w:p>
      <w:pPr>
        <w:ind w:left="340" w:hanging="332"/>
        <w:spacing w:after="0" w:line="281" w:lineRule="auto"/>
        <w:tabs>
          <w:tab w:leader="none" w:pos="331" w:val="left"/>
        </w:tabs>
        <w:numPr>
          <w:ilvl w:val="0"/>
          <w:numId w:val="22"/>
        </w:numPr>
        <w:rPr>
          <w:rFonts w:ascii="Arial" w:cs="Arial" w:eastAsia="Arial" w:hAnsi="Arial"/>
          <w:sz w:val="14"/>
          <w:szCs w:val="14"/>
          <w:color w:val="auto"/>
        </w:rPr>
      </w:pPr>
      <w:r>
        <w:rPr>
          <w:rFonts w:ascii="Arial" w:cs="Arial" w:eastAsia="Arial" w:hAnsi="Arial"/>
          <w:sz w:val="14"/>
          <w:szCs w:val="14"/>
          <w:color w:val="auto"/>
        </w:rPr>
        <w:t>Shares purchased consist of shares delivered by employees or directors to us for the payment of taxes resulting from the issuance of common stock upon the vesting of RSUs and Performance Stock Units relating to compensation plans. Refer to our 2020 Form 10-K for additional details on employee stock incentive plans.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January 2017, we announced that our Board of Directors had authorized the purchase of up to $5.0 billion of our common stock with no expiration date.</w:t>
      </w:r>
    </w:p>
    <w:p>
      <w:pPr>
        <w:spacing w:after="0" w:line="229" w:lineRule="exact"/>
        <w:rPr>
          <w:rFonts w:ascii="Arial" w:cs="Arial" w:eastAsia="Arial" w:hAnsi="Arial"/>
          <w:sz w:val="16"/>
          <w:szCs w:val="16"/>
          <w:color w:val="auto"/>
        </w:rPr>
      </w:pPr>
    </w:p>
    <w:p>
      <w:pPr>
        <w:ind w:left="5040"/>
        <w:spacing w:after="0"/>
        <w:rPr>
          <w:rFonts w:ascii="Arial" w:cs="Arial" w:eastAsia="Arial" w:hAnsi="Arial"/>
          <w:sz w:val="16"/>
          <w:szCs w:val="16"/>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40" w:type="dxa"/>
            <w:vAlign w:val="bottom"/>
            <w:gridSpan w:val="8"/>
          </w:tcPr>
          <w:p>
            <w:pPr>
              <w:ind w:left="780"/>
              <w:spacing w:after="0"/>
              <w:rPr>
                <w:sz w:val="20"/>
                <w:szCs w:val="20"/>
                <w:color w:val="auto"/>
              </w:rPr>
            </w:pPr>
            <w:r>
              <w:rPr>
                <w:rFonts w:ascii="Arial" w:cs="Arial" w:eastAsia="Arial" w:hAnsi="Arial"/>
                <w:sz w:val="18"/>
                <w:szCs w:val="18"/>
                <w:b w:val="1"/>
                <w:bCs w:val="1"/>
                <w:color w:val="auto"/>
              </w:rPr>
              <w:t>GENERAL MOTORS COMPANY AND SUBSIDIARIES</w:t>
            </w:r>
          </w:p>
        </w:tc>
        <w:tc>
          <w:tcPr>
            <w:tcW w:w="1560" w:type="dxa"/>
            <w:vAlign w:val="bottom"/>
          </w:tcPr>
          <w:p>
            <w:pPr>
              <w:spacing w:after="0"/>
              <w:rPr>
                <w:sz w:val="20"/>
                <w:szCs w:val="20"/>
                <w:color w:val="auto"/>
              </w:rPr>
            </w:pPr>
          </w:p>
        </w:tc>
      </w:tr>
      <w:tr>
        <w:trPr>
          <w:trHeight w:val="68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51"/>
        </w:trPr>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40" w:type="dxa"/>
            <w:vAlign w:val="bottom"/>
            <w:gridSpan w:val="8"/>
          </w:tcPr>
          <w:p>
            <w:pPr>
              <w:ind w:left="2380"/>
              <w:spacing w:after="0"/>
              <w:rPr>
                <w:sz w:val="20"/>
                <w:szCs w:val="20"/>
                <w:color w:val="auto"/>
              </w:rPr>
            </w:pPr>
            <w:r>
              <w:rPr>
                <w:rFonts w:ascii="Arial" w:cs="Arial" w:eastAsia="Arial" w:hAnsi="Arial"/>
                <w:sz w:val="18"/>
                <w:szCs w:val="18"/>
                <w:b w:val="1"/>
                <w:bCs w:val="1"/>
                <w:color w:val="auto"/>
              </w:rPr>
              <w:t>Exhibit Name</w:t>
            </w:r>
          </w:p>
        </w:tc>
        <w:tc>
          <w:tcPr>
            <w:tcW w:w="1560" w:type="dxa"/>
            <w:vAlign w:val="bottom"/>
          </w:tcPr>
          <w:p>
            <w:pPr>
              <w:spacing w:after="0"/>
              <w:rPr>
                <w:sz w:val="24"/>
                <w:szCs w:val="24"/>
                <w:color w:val="auto"/>
              </w:rPr>
            </w:pPr>
          </w:p>
        </w:tc>
      </w:tr>
      <w:tr>
        <w:trPr>
          <w:trHeight w:val="176"/>
        </w:trPr>
        <w:tc>
          <w:tcPr>
            <w:tcW w:w="13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180" w:type="dxa"/>
            <w:vAlign w:val="bottom"/>
            <w:tcBorders>
              <w:top w:val="single" w:sz="8" w:color="auto"/>
            </w:tcBorders>
            <w:gridSpan w:val="12"/>
            <w:shd w:val="clear" w:color="auto" w:fill="CCEEFF"/>
          </w:tcPr>
          <w:p>
            <w:pPr>
              <w:spacing w:after="0" w:line="169"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Restated Certificate of Incorporation of General Motors Company dated December 7, 2010, incorporated herein</w:t>
              </w:r>
            </w:hyperlink>
          </w:p>
        </w:tc>
        <w:tc>
          <w:tcPr>
            <w:tcW w:w="1560" w:type="dxa"/>
            <w:vAlign w:val="bottom"/>
            <w:tcBorders>
              <w:top w:val="single" w:sz="8" w:color="CCEEFF"/>
            </w:tcBorders>
            <w:shd w:val="clear" w:color="auto" w:fill="CCEEFF"/>
          </w:tcPr>
          <w:p>
            <w:pPr>
              <w:ind w:left="40"/>
              <w:spacing w:after="0" w:line="169" w:lineRule="exact"/>
              <w:rPr>
                <w:sz w:val="20"/>
                <w:szCs w:val="20"/>
                <w:color w:val="auto"/>
              </w:rPr>
            </w:pPr>
            <w:r>
              <w:rPr>
                <w:rFonts w:ascii="Arial" w:cs="Arial" w:eastAsia="Arial" w:hAnsi="Arial"/>
                <w:sz w:val="18"/>
                <w:szCs w:val="18"/>
                <w:color w:val="auto"/>
              </w:rPr>
              <w:t>Incorporated by</w:t>
            </w:r>
          </w:p>
        </w:tc>
      </w:tr>
      <w:tr>
        <w:trPr>
          <w:trHeight w:val="162"/>
        </w:trPr>
        <w:tc>
          <w:tcPr>
            <w:tcW w:w="13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140" w:type="dxa"/>
            <w:vAlign w:val="bottom"/>
            <w:tcBorders>
              <w:top w:val="single" w:sz="8" w:color="0000FF"/>
              <w:bottom w:val="single" w:sz="8" w:color="0000FF"/>
            </w:tcBorders>
            <w:gridSpan w:val="10"/>
            <w:shd w:val="clear" w:color="auto" w:fill="CCEEFF"/>
          </w:tcPr>
          <w:p>
            <w:pPr>
              <w:spacing w:after="0" w:line="162" w:lineRule="exact"/>
              <w:rPr>
                <w:rFonts w:ascii="Arial" w:cs="Arial" w:eastAsia="Arial" w:hAnsi="Arial"/>
                <w:sz w:val="18"/>
                <w:szCs w:val="18"/>
                <w:color w:val="0000FF"/>
                <w:w w:val="92"/>
              </w:rPr>
            </w:pPr>
            <w:hyperlink r:id="rId67">
              <w:r>
                <w:rPr>
                  <w:rFonts w:ascii="Arial" w:cs="Arial" w:eastAsia="Arial" w:hAnsi="Arial"/>
                  <w:sz w:val="18"/>
                  <w:szCs w:val="18"/>
                  <w:color w:val="0000FF"/>
                  <w:w w:val="92"/>
                </w:rPr>
                <w:t>by reference to Exhibit 3.2 to the Current Report on Form 8-K of General Motors Company filed December 13,</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1560" w:type="dxa"/>
            <w:vAlign w:val="bottom"/>
            <w:tcBorders>
              <w:top w:val="single" w:sz="8" w:color="CCEEFF"/>
              <w:bottom w:val="single" w:sz="8" w:color="CCEEFF"/>
            </w:tcBorders>
            <w:shd w:val="clear" w:color="auto" w:fill="CCEEFF"/>
          </w:tcPr>
          <w:p>
            <w:pPr>
              <w:ind w:left="40"/>
              <w:spacing w:after="0" w:line="162" w:lineRule="exact"/>
              <w:rPr>
                <w:sz w:val="20"/>
                <w:szCs w:val="20"/>
                <w:color w:val="auto"/>
              </w:rPr>
            </w:pPr>
            <w:r>
              <w:rPr>
                <w:rFonts w:ascii="Arial" w:cs="Arial" w:eastAsia="Arial" w:hAnsi="Arial"/>
                <w:sz w:val="18"/>
                <w:szCs w:val="18"/>
                <w:color w:val="auto"/>
              </w:rPr>
              <w:t>Reference</w:t>
            </w:r>
          </w:p>
        </w:tc>
      </w:tr>
      <w:tr>
        <w:trPr>
          <w:trHeight w:val="156"/>
        </w:trPr>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spacing w:after="0" w:line="156" w:lineRule="exact"/>
              <w:rPr>
                <w:rFonts w:ascii="Arial" w:cs="Arial" w:eastAsia="Arial" w:hAnsi="Arial"/>
                <w:sz w:val="18"/>
                <w:szCs w:val="18"/>
                <w:color w:val="0000FF"/>
              </w:rPr>
            </w:pPr>
            <w:hyperlink r:id="rId67">
              <w:r>
                <w:rPr>
                  <w:rFonts w:ascii="Arial" w:cs="Arial" w:eastAsia="Arial" w:hAnsi="Arial"/>
                  <w:sz w:val="18"/>
                  <w:szCs w:val="18"/>
                  <w:color w:val="0000FF"/>
                </w:rPr>
                <w:t>2010</w:t>
              </w:r>
            </w:hyperlink>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60" w:type="dxa"/>
            <w:vAlign w:val="bottom"/>
          </w:tcPr>
          <w:p>
            <w:pPr>
              <w:ind w:left="20"/>
              <w:spacing w:after="0" w:line="189"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180" w:type="dxa"/>
            <w:vAlign w:val="bottom"/>
            <w:gridSpan w:val="12"/>
          </w:tcPr>
          <w:p>
            <w:pPr>
              <w:spacing w:after="0" w:line="189" w:lineRule="exact"/>
              <w:rPr>
                <w:rFonts w:ascii="Arial" w:cs="Arial" w:eastAsia="Arial" w:hAnsi="Arial"/>
                <w:sz w:val="18"/>
                <w:szCs w:val="18"/>
                <w:color w:val="0000FF"/>
                <w:w w:val="96"/>
              </w:rPr>
            </w:pPr>
            <w:hyperlink r:id="rId68">
              <w:r>
                <w:rPr>
                  <w:rFonts w:ascii="Arial" w:cs="Arial" w:eastAsia="Arial" w:hAnsi="Arial"/>
                  <w:sz w:val="18"/>
                  <w:szCs w:val="18"/>
                  <w:color w:val="0000FF"/>
                  <w:w w:val="96"/>
                </w:rPr>
                <w:t>General Motors Company Amended and Restated Bylaws, as amended August 14, 2018, incorporated by</w:t>
              </w:r>
            </w:hyperlink>
          </w:p>
        </w:tc>
        <w:tc>
          <w:tcPr>
            <w:tcW w:w="1560" w:type="dxa"/>
            <w:vAlign w:val="bottom"/>
          </w:tcPr>
          <w:p>
            <w:pPr>
              <w:ind w:left="40"/>
              <w:spacing w:after="0" w:line="189" w:lineRule="exact"/>
              <w:rPr>
                <w:sz w:val="20"/>
                <w:szCs w:val="20"/>
                <w:color w:val="auto"/>
              </w:rPr>
            </w:pPr>
            <w:r>
              <w:rPr>
                <w:rFonts w:ascii="Arial" w:cs="Arial" w:eastAsia="Arial" w:hAnsi="Arial"/>
                <w:sz w:val="18"/>
                <w:szCs w:val="18"/>
                <w:color w:val="auto"/>
              </w:rPr>
              <w:t>Incorporated by</w:t>
            </w: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60" w:type="dxa"/>
            <w:vAlign w:val="bottom"/>
            <w:tcBorders>
              <w:top w:val="single" w:sz="8" w:color="0000FF"/>
            </w:tcBorders>
            <w:gridSpan w:val="11"/>
          </w:tcPr>
          <w:p>
            <w:pPr>
              <w:spacing w:after="0" w:line="156" w:lineRule="exact"/>
              <w:rPr>
                <w:rFonts w:ascii="Arial" w:cs="Arial" w:eastAsia="Arial" w:hAnsi="Arial"/>
                <w:sz w:val="18"/>
                <w:szCs w:val="18"/>
                <w:color w:val="0000FF"/>
                <w:w w:val="95"/>
              </w:rPr>
            </w:pPr>
            <w:hyperlink r:id="rId68">
              <w:r>
                <w:rPr>
                  <w:rFonts w:ascii="Arial" w:cs="Arial" w:eastAsia="Arial" w:hAnsi="Arial"/>
                  <w:sz w:val="18"/>
                  <w:szCs w:val="18"/>
                  <w:color w:val="0000FF"/>
                  <w:w w:val="95"/>
                </w:rPr>
                <w:t>reference to Exhibit 3.1 to the Current Report on Form 8-K of General Motors Company filed on August 20,</w:t>
              </w:r>
            </w:hyperlink>
          </w:p>
        </w:tc>
        <w:tc>
          <w:tcPr>
            <w:tcW w:w="20" w:type="dxa"/>
            <w:vAlign w:val="bottom"/>
          </w:tcPr>
          <w:p>
            <w:pPr>
              <w:spacing w:after="0"/>
              <w:rPr>
                <w:sz w:val="13"/>
                <w:szCs w:val="13"/>
                <w:color w:val="auto"/>
              </w:rPr>
            </w:pPr>
          </w:p>
        </w:tc>
        <w:tc>
          <w:tcPr>
            <w:tcW w:w="1560" w:type="dxa"/>
            <w:vAlign w:val="bottom"/>
          </w:tcPr>
          <w:p>
            <w:pPr>
              <w:ind w:left="40"/>
              <w:spacing w:after="0" w:line="156" w:lineRule="exact"/>
              <w:rPr>
                <w:sz w:val="20"/>
                <w:szCs w:val="20"/>
                <w:color w:val="auto"/>
              </w:rPr>
            </w:pPr>
            <w:r>
              <w:rPr>
                <w:rFonts w:ascii="Arial" w:cs="Arial" w:eastAsia="Arial" w:hAnsi="Arial"/>
                <w:sz w:val="18"/>
                <w:szCs w:val="18"/>
                <w:color w:val="auto"/>
              </w:rPr>
              <w:t>Reference</w:t>
            </w: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68">
              <w:r>
                <w:rPr>
                  <w:rFonts w:ascii="Arial" w:cs="Arial" w:eastAsia="Arial" w:hAnsi="Arial"/>
                  <w:sz w:val="18"/>
                  <w:szCs w:val="18"/>
                  <w:color w:val="0000FF"/>
                </w:rPr>
                <w:t>2018</w:t>
              </w:r>
            </w:hyperlink>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8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1"/>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89"/>
        </w:trPr>
        <w:tc>
          <w:tcPr>
            <w:tcW w:w="13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180" w:type="dxa"/>
            <w:vAlign w:val="bottom"/>
            <w:gridSpan w:val="12"/>
            <w:shd w:val="clear" w:color="auto" w:fill="CCEEFF"/>
          </w:tcPr>
          <w:p>
            <w:pPr>
              <w:spacing w:after="0" w:line="189" w:lineRule="exact"/>
              <w:rPr>
                <w:rFonts w:ascii="Arial" w:cs="Arial" w:eastAsia="Arial" w:hAnsi="Arial"/>
                <w:sz w:val="18"/>
                <w:szCs w:val="18"/>
                <w:color w:val="0000FF"/>
                <w:w w:val="92"/>
              </w:rPr>
            </w:pPr>
            <w:hyperlink w:anchor="page47">
              <w:r>
                <w:rPr>
                  <w:rFonts w:ascii="Arial" w:cs="Arial" w:eastAsia="Arial" w:hAnsi="Arial"/>
                  <w:sz w:val="18"/>
                  <w:szCs w:val="18"/>
                  <w:color w:val="0000FF"/>
                  <w:w w:val="92"/>
                </w:rPr>
                <w:t>Form of Performance Share Unit Award Agreement No.1 under the General Motors Company 2020 Long-Term</w:t>
              </w:r>
            </w:hyperlink>
          </w:p>
        </w:tc>
        <w:tc>
          <w:tcPr>
            <w:tcW w:w="15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Filed Herewith</w:t>
            </w:r>
          </w:p>
        </w:tc>
      </w:tr>
      <w:tr>
        <w:trPr>
          <w:trHeight w:val="176"/>
        </w:trPr>
        <w:tc>
          <w:tcPr>
            <w:tcW w:w="13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0000FF"/>
              <w:bottom w:val="single" w:sz="8" w:color="0000FF"/>
            </w:tcBorders>
            <w:gridSpan w:val="3"/>
            <w:shd w:val="clear" w:color="auto" w:fill="CCEEFF"/>
          </w:tcPr>
          <w:p>
            <w:pPr>
              <w:spacing w:after="0" w:line="156" w:lineRule="exact"/>
              <w:rPr>
                <w:rFonts w:ascii="Arial" w:cs="Arial" w:eastAsia="Arial" w:hAnsi="Arial"/>
                <w:sz w:val="18"/>
                <w:szCs w:val="18"/>
                <w:color w:val="0000FF"/>
                <w:w w:val="90"/>
              </w:rPr>
            </w:pPr>
            <w:hyperlink w:anchor="page47">
              <w:r>
                <w:rPr>
                  <w:rFonts w:ascii="Arial" w:cs="Arial" w:eastAsia="Arial" w:hAnsi="Arial"/>
                  <w:sz w:val="18"/>
                  <w:szCs w:val="18"/>
                  <w:color w:val="0000FF"/>
                  <w:w w:val="90"/>
                </w:rPr>
                <w:t>Incentive Plan</w:t>
              </w:r>
            </w:hyperlink>
          </w:p>
        </w:tc>
        <w:tc>
          <w:tcPr>
            <w:tcW w:w="7040" w:type="dxa"/>
            <w:vAlign w:val="bottom"/>
            <w:tcBorders>
              <w:top w:val="single" w:sz="8" w:color="0000FF"/>
              <w:bottom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5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360" w:type="dxa"/>
            <w:vAlign w:val="bottom"/>
          </w:tcPr>
          <w:p>
            <w:pPr>
              <w:ind w:left="20"/>
              <w:spacing w:after="0" w:line="189" w:lineRule="exact"/>
              <w:rPr>
                <w:sz w:val="20"/>
                <w:szCs w:val="20"/>
                <w:color w:val="auto"/>
              </w:rPr>
            </w:pPr>
            <w:r>
              <w:rPr>
                <w:rFonts w:ascii="Arial" w:cs="Arial" w:eastAsia="Arial" w:hAnsi="Arial"/>
                <w:sz w:val="18"/>
                <w:szCs w:val="18"/>
                <w:color w:val="auto"/>
              </w:rPr>
              <w:t>10.2*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180" w:type="dxa"/>
            <w:vAlign w:val="bottom"/>
            <w:gridSpan w:val="12"/>
          </w:tcPr>
          <w:p>
            <w:pPr>
              <w:spacing w:after="0" w:line="189" w:lineRule="exact"/>
              <w:rPr>
                <w:rFonts w:ascii="Arial" w:cs="Arial" w:eastAsia="Arial" w:hAnsi="Arial"/>
                <w:sz w:val="18"/>
                <w:szCs w:val="18"/>
                <w:color w:val="0000FF"/>
                <w:w w:val="94"/>
              </w:rPr>
            </w:pPr>
            <w:hyperlink w:anchor="page56">
              <w:r>
                <w:rPr>
                  <w:rFonts w:ascii="Arial" w:cs="Arial" w:eastAsia="Arial" w:hAnsi="Arial"/>
                  <w:sz w:val="18"/>
                  <w:szCs w:val="18"/>
                  <w:color w:val="0000FF"/>
                  <w:w w:val="94"/>
                </w:rPr>
                <w:t>Form of Non-Qualified Stock Option Award Agreement under the General Motors Company 2020 Long-Term</w:t>
              </w:r>
            </w:hyperlink>
          </w:p>
        </w:tc>
        <w:tc>
          <w:tcPr>
            <w:tcW w:w="1560" w:type="dxa"/>
            <w:vAlign w:val="bottom"/>
          </w:tcPr>
          <w:p>
            <w:pPr>
              <w:ind w:left="40"/>
              <w:spacing w:after="0" w:line="189" w:lineRule="exact"/>
              <w:rPr>
                <w:sz w:val="20"/>
                <w:szCs w:val="20"/>
                <w:color w:val="auto"/>
              </w:rPr>
            </w:pPr>
            <w:r>
              <w:rPr>
                <w:rFonts w:ascii="Arial" w:cs="Arial" w:eastAsia="Arial" w:hAnsi="Arial"/>
                <w:sz w:val="18"/>
                <w:szCs w:val="18"/>
                <w:color w:val="auto"/>
              </w:rPr>
              <w:t>Filed Herewith</w:t>
            </w: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2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56">
              <w:r>
                <w:rPr>
                  <w:rFonts w:ascii="Arial" w:cs="Arial" w:eastAsia="Arial" w:hAnsi="Arial"/>
                  <w:sz w:val="18"/>
                  <w:szCs w:val="18"/>
                  <w:color w:val="0000FF"/>
                </w:rPr>
                <w:t>Incentive Plan</w:t>
              </w:r>
            </w:hyperlink>
          </w:p>
        </w:tc>
        <w:tc>
          <w:tcPr>
            <w:tcW w:w="60" w:type="dxa"/>
            <w:vAlign w:val="bottom"/>
            <w:gridSpan w:val="3"/>
          </w:tcPr>
          <w:p>
            <w:pPr>
              <w:spacing w:after="0"/>
              <w:rPr>
                <w:sz w:val="13"/>
                <w:szCs w:val="13"/>
                <w:color w:val="auto"/>
              </w:rPr>
            </w:pPr>
          </w:p>
        </w:tc>
        <w:tc>
          <w:tcPr>
            <w:tcW w:w="1560" w:type="dxa"/>
            <w:vAlign w:val="bottom"/>
          </w:tcPr>
          <w:p>
            <w:pPr>
              <w:spacing w:after="0"/>
              <w:rPr>
                <w:sz w:val="13"/>
                <w:szCs w:val="13"/>
                <w:color w:val="auto"/>
              </w:rPr>
            </w:pPr>
          </w:p>
        </w:tc>
      </w:tr>
      <w:tr>
        <w:trPr>
          <w:trHeight w:val="21"/>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89"/>
        </w:trPr>
        <w:tc>
          <w:tcPr>
            <w:tcW w:w="13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180" w:type="dxa"/>
            <w:vAlign w:val="bottom"/>
            <w:gridSpan w:val="12"/>
            <w:shd w:val="clear" w:color="auto" w:fill="CCEEFF"/>
          </w:tcPr>
          <w:p>
            <w:pPr>
              <w:spacing w:after="0" w:line="189" w:lineRule="exact"/>
              <w:rPr>
                <w:rFonts w:ascii="Arial" w:cs="Arial" w:eastAsia="Arial" w:hAnsi="Arial"/>
                <w:sz w:val="18"/>
                <w:szCs w:val="18"/>
                <w:color w:val="0000FF"/>
                <w:w w:val="96"/>
              </w:rPr>
            </w:pPr>
            <w:hyperlink w:anchor="page62">
              <w:r>
                <w:rPr>
                  <w:rFonts w:ascii="Arial" w:cs="Arial" w:eastAsia="Arial" w:hAnsi="Arial"/>
                  <w:sz w:val="18"/>
                  <w:szCs w:val="18"/>
                  <w:color w:val="0000FF"/>
                  <w:w w:val="96"/>
                </w:rPr>
                <w:t>Seventh Amended and Restated Limited Liability Company Agreement of GM Cruise Holdings LLC, dated</w:t>
              </w:r>
            </w:hyperlink>
          </w:p>
        </w:tc>
        <w:tc>
          <w:tcPr>
            <w:tcW w:w="15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Filed Herewith</w:t>
            </w:r>
          </w:p>
        </w:tc>
      </w:tr>
      <w:tr>
        <w:trPr>
          <w:trHeight w:val="155"/>
        </w:trPr>
        <w:tc>
          <w:tcPr>
            <w:tcW w:w="1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120" w:type="dxa"/>
            <w:vAlign w:val="bottom"/>
            <w:tcBorders>
              <w:top w:val="single" w:sz="8" w:color="0000FF"/>
            </w:tcBorders>
            <w:gridSpan w:val="9"/>
            <w:shd w:val="clear" w:color="auto" w:fill="CCEEFF"/>
          </w:tcPr>
          <w:p>
            <w:pPr>
              <w:spacing w:after="0" w:line="156" w:lineRule="exact"/>
              <w:rPr>
                <w:rFonts w:ascii="Arial" w:cs="Arial" w:eastAsia="Arial" w:hAnsi="Arial"/>
                <w:sz w:val="18"/>
                <w:szCs w:val="18"/>
                <w:color w:val="0000FF"/>
              </w:rPr>
            </w:pPr>
            <w:hyperlink w:anchor="page62">
              <w:r>
                <w:rPr>
                  <w:rFonts w:ascii="Arial" w:cs="Arial" w:eastAsia="Arial" w:hAnsi="Arial"/>
                  <w:sz w:val="18"/>
                  <w:szCs w:val="18"/>
                  <w:color w:val="0000FF"/>
                </w:rPr>
                <w:t>March 14, 2021</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r>
      <w:tr>
        <w:trPr>
          <w:trHeight w:val="21"/>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60" w:type="dxa"/>
            <w:vAlign w:val="bottom"/>
          </w:tcPr>
          <w:p>
            <w:pPr>
              <w:ind w:left="20"/>
              <w:spacing w:after="0" w:line="189"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180" w:type="dxa"/>
            <w:vAlign w:val="bottom"/>
            <w:gridSpan w:val="12"/>
          </w:tcPr>
          <w:p>
            <w:pPr>
              <w:spacing w:after="0" w:line="189" w:lineRule="exact"/>
              <w:rPr>
                <w:rFonts w:ascii="Arial" w:cs="Arial" w:eastAsia="Arial" w:hAnsi="Arial"/>
                <w:sz w:val="18"/>
                <w:szCs w:val="18"/>
                <w:color w:val="0000FF"/>
              </w:rPr>
            </w:pPr>
            <w:hyperlink w:anchor="page182">
              <w:r>
                <w:rPr>
                  <w:rFonts w:ascii="Arial" w:cs="Arial" w:eastAsia="Arial" w:hAnsi="Arial"/>
                  <w:sz w:val="18"/>
                  <w:szCs w:val="18"/>
                  <w:color w:val="0000FF"/>
                </w:rPr>
                <w:t>Section 302 Certification of the Chief Executive Officer</w:t>
              </w:r>
            </w:hyperlink>
          </w:p>
        </w:tc>
        <w:tc>
          <w:tcPr>
            <w:tcW w:w="1560" w:type="dxa"/>
            <w:vAlign w:val="bottom"/>
          </w:tcPr>
          <w:p>
            <w:pPr>
              <w:ind w:left="40"/>
              <w:spacing w:after="0" w:line="189" w:lineRule="exact"/>
              <w:rPr>
                <w:sz w:val="20"/>
                <w:szCs w:val="20"/>
                <w:color w:val="auto"/>
              </w:rPr>
            </w:pPr>
            <w:r>
              <w:rPr>
                <w:rFonts w:ascii="Arial" w:cs="Arial" w:eastAsia="Arial" w:hAnsi="Arial"/>
                <w:sz w:val="18"/>
                <w:szCs w:val="18"/>
                <w:color w:val="auto"/>
              </w:rPr>
              <w:t>Filed Herewith</w:t>
            </w:r>
          </w:p>
        </w:tc>
      </w:tr>
      <w:tr>
        <w:trPr>
          <w:trHeight w:val="21"/>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09"/>
        </w:trPr>
        <w:tc>
          <w:tcPr>
            <w:tcW w:w="13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0000FF"/>
            </w:tcBorders>
            <w:gridSpan w:val="5"/>
            <w:shd w:val="clear" w:color="auto" w:fill="CCEEFF"/>
          </w:tcPr>
          <w:p>
            <w:pPr>
              <w:spacing w:after="0" w:line="189" w:lineRule="exact"/>
              <w:rPr>
                <w:rFonts w:ascii="Arial" w:cs="Arial" w:eastAsia="Arial" w:hAnsi="Arial"/>
                <w:sz w:val="18"/>
                <w:szCs w:val="18"/>
                <w:color w:val="0000FF"/>
                <w:w w:val="93"/>
              </w:rPr>
            </w:pPr>
            <w:hyperlink w:anchor="page183">
              <w:r>
                <w:rPr>
                  <w:rFonts w:ascii="Arial" w:cs="Arial" w:eastAsia="Arial" w:hAnsi="Arial"/>
                  <w:sz w:val="18"/>
                  <w:szCs w:val="18"/>
                  <w:color w:val="0000FF"/>
                  <w:w w:val="93"/>
                </w:rPr>
                <w:t>Section 302 Certification of the Chief Financial Officer</w:t>
              </w:r>
            </w:hyperlink>
          </w:p>
        </w:tc>
        <w:tc>
          <w:tcPr>
            <w:tcW w:w="4180" w:type="dxa"/>
            <w:vAlign w:val="bottom"/>
            <w:tcBorders>
              <w:bottom w:val="single" w:sz="8" w:color="CCEEFF"/>
            </w:tcBorders>
            <w:gridSpan w:val="7"/>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ind w:left="40"/>
              <w:spacing w:after="0" w:line="189" w:lineRule="exact"/>
              <w:rPr>
                <w:sz w:val="20"/>
                <w:szCs w:val="20"/>
                <w:color w:val="auto"/>
              </w:rPr>
            </w:pPr>
            <w:r>
              <w:rPr>
                <w:rFonts w:ascii="Arial" w:cs="Arial" w:eastAsia="Arial" w:hAnsi="Arial"/>
                <w:sz w:val="18"/>
                <w:szCs w:val="18"/>
                <w:color w:val="auto"/>
              </w:rPr>
              <w:t>Filed Herewith</w:t>
            </w:r>
          </w:p>
        </w:tc>
      </w:tr>
      <w:tr>
        <w:trPr>
          <w:trHeight w:val="189"/>
        </w:trPr>
        <w:tc>
          <w:tcPr>
            <w:tcW w:w="1360" w:type="dxa"/>
            <w:vAlign w:val="bottom"/>
          </w:tcPr>
          <w:p>
            <w:pPr>
              <w:ind w:left="20"/>
              <w:spacing w:after="0" w:line="189"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180" w:type="dxa"/>
            <w:vAlign w:val="bottom"/>
            <w:gridSpan w:val="12"/>
          </w:tcPr>
          <w:p>
            <w:pPr>
              <w:spacing w:after="0" w:line="189" w:lineRule="exact"/>
              <w:rPr>
                <w:rFonts w:ascii="Arial" w:cs="Arial" w:eastAsia="Arial" w:hAnsi="Arial"/>
                <w:sz w:val="18"/>
                <w:szCs w:val="18"/>
                <w:color w:val="0000FF"/>
                <w:w w:val="93"/>
              </w:rPr>
            </w:pPr>
            <w:hyperlink w:anchor="page184">
              <w:r>
                <w:rPr>
                  <w:rFonts w:ascii="Arial" w:cs="Arial" w:eastAsia="Arial" w:hAnsi="Arial"/>
                  <w:sz w:val="18"/>
                  <w:szCs w:val="18"/>
                  <w:color w:val="0000FF"/>
                  <w:w w:val="93"/>
                </w:rPr>
                <w:t>Certification Pursuant to 18 U.S.C. Section 1350, As Adopted Pursuant to Section 906 of the Sarbanes-Oxley</w:t>
              </w:r>
            </w:hyperlink>
          </w:p>
        </w:tc>
        <w:tc>
          <w:tcPr>
            <w:tcW w:w="1560" w:type="dxa"/>
            <w:vAlign w:val="bottom"/>
          </w:tcPr>
          <w:p>
            <w:pPr>
              <w:ind w:left="40"/>
              <w:spacing w:after="0" w:line="189" w:lineRule="exact"/>
              <w:rPr>
                <w:sz w:val="20"/>
                <w:szCs w:val="20"/>
                <w:color w:val="auto"/>
              </w:rPr>
            </w:pPr>
            <w:r>
              <w:rPr>
                <w:rFonts w:ascii="Arial" w:cs="Arial" w:eastAsia="Arial" w:hAnsi="Arial"/>
                <w:sz w:val="18"/>
                <w:szCs w:val="18"/>
                <w:color w:val="auto"/>
                <w:w w:val="99"/>
              </w:rPr>
              <w:t>Furnished with this</w:t>
            </w: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184">
              <w:r>
                <w:rPr>
                  <w:rFonts w:ascii="Arial" w:cs="Arial" w:eastAsia="Arial" w:hAnsi="Arial"/>
                  <w:sz w:val="18"/>
                  <w:szCs w:val="18"/>
                  <w:color w:val="0000FF"/>
                </w:rPr>
                <w:t>Act of 2002</w:t>
              </w:r>
            </w:hyperlink>
          </w:p>
        </w:tc>
        <w:tc>
          <w:tcPr>
            <w:tcW w:w="80" w:type="dxa"/>
            <w:vAlign w:val="bottom"/>
            <w:gridSpan w:val="4"/>
          </w:tcPr>
          <w:p>
            <w:pPr>
              <w:spacing w:after="0"/>
              <w:rPr>
                <w:sz w:val="13"/>
                <w:szCs w:val="13"/>
                <w:color w:val="auto"/>
              </w:rPr>
            </w:pPr>
          </w:p>
        </w:tc>
        <w:tc>
          <w:tcPr>
            <w:tcW w:w="1560" w:type="dxa"/>
            <w:vAlign w:val="bottom"/>
          </w:tcPr>
          <w:p>
            <w:pPr>
              <w:ind w:left="40"/>
              <w:spacing w:after="0" w:line="156" w:lineRule="exact"/>
              <w:rPr>
                <w:sz w:val="20"/>
                <w:szCs w:val="20"/>
                <w:color w:val="auto"/>
              </w:rPr>
            </w:pPr>
            <w:r>
              <w:rPr>
                <w:rFonts w:ascii="Arial" w:cs="Arial" w:eastAsia="Arial" w:hAnsi="Arial"/>
                <w:sz w:val="18"/>
                <w:szCs w:val="18"/>
                <w:color w:val="auto"/>
              </w:rPr>
              <w:t>Report</w:t>
            </w: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6"/>
        </w:trPr>
        <w:tc>
          <w:tcPr>
            <w:tcW w:w="1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180" w:type="dxa"/>
            <w:vAlign w:val="bottom"/>
            <w:gridSpan w:val="12"/>
            <w:shd w:val="clear" w:color="auto" w:fill="CCEEFF"/>
          </w:tcPr>
          <w:p>
            <w:pPr>
              <w:spacing w:after="0" w:line="176" w:lineRule="exact"/>
              <w:rPr>
                <w:sz w:val="20"/>
                <w:szCs w:val="20"/>
                <w:color w:val="auto"/>
              </w:rPr>
            </w:pPr>
            <w:r>
              <w:rPr>
                <w:rFonts w:ascii="Arial" w:cs="Arial" w:eastAsia="Arial" w:hAnsi="Arial"/>
                <w:sz w:val="18"/>
                <w:szCs w:val="18"/>
                <w:color w:val="auto"/>
                <w:w w:val="94"/>
              </w:rPr>
              <w:t>The following financial information from the Company’s Quarterly Report on Form 10-Q for the quarter ended</w:t>
            </w:r>
          </w:p>
        </w:tc>
        <w:tc>
          <w:tcPr>
            <w:tcW w:w="156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Filed Herewith</w:t>
            </w:r>
          </w:p>
        </w:tc>
      </w:tr>
      <w:tr>
        <w:trPr>
          <w:trHeight w:val="175"/>
        </w:trPr>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180" w:type="dxa"/>
            <w:vAlign w:val="bottom"/>
            <w:gridSpan w:val="12"/>
            <w:shd w:val="clear" w:color="auto" w:fill="CCEEFF"/>
          </w:tcPr>
          <w:p>
            <w:pPr>
              <w:spacing w:after="0" w:line="176" w:lineRule="exact"/>
              <w:rPr>
                <w:sz w:val="20"/>
                <w:szCs w:val="20"/>
                <w:color w:val="auto"/>
              </w:rPr>
            </w:pPr>
            <w:r>
              <w:rPr>
                <w:rFonts w:ascii="Arial" w:cs="Arial" w:eastAsia="Arial" w:hAnsi="Arial"/>
                <w:sz w:val="18"/>
                <w:szCs w:val="18"/>
                <w:color w:val="auto"/>
              </w:rPr>
              <w:t>March 31, 2021, formatted in Inline Extensible Business Reporting Language (iXBRL) includes: (i) the</w:t>
            </w:r>
          </w:p>
        </w:tc>
        <w:tc>
          <w:tcPr>
            <w:tcW w:w="1560" w:type="dxa"/>
            <w:vAlign w:val="bottom"/>
            <w:shd w:val="clear" w:color="auto" w:fill="CCEEFF"/>
          </w:tcPr>
          <w:p>
            <w:pPr>
              <w:spacing w:after="0"/>
              <w:rPr>
                <w:sz w:val="15"/>
                <w:szCs w:val="15"/>
                <w:color w:val="auto"/>
              </w:rPr>
            </w:pPr>
          </w:p>
        </w:tc>
      </w:tr>
      <w:tr>
        <w:trPr>
          <w:trHeight w:val="176"/>
        </w:trPr>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180" w:type="dxa"/>
            <w:vAlign w:val="bottom"/>
            <w:gridSpan w:val="12"/>
            <w:shd w:val="clear" w:color="auto" w:fill="CCEEFF"/>
          </w:tcPr>
          <w:p>
            <w:pPr>
              <w:spacing w:after="0" w:line="176" w:lineRule="exact"/>
              <w:rPr>
                <w:sz w:val="20"/>
                <w:szCs w:val="20"/>
                <w:color w:val="auto"/>
              </w:rPr>
            </w:pPr>
            <w:r>
              <w:rPr>
                <w:rFonts w:ascii="Arial" w:cs="Arial" w:eastAsia="Arial" w:hAnsi="Arial"/>
                <w:sz w:val="18"/>
                <w:szCs w:val="18"/>
                <w:color w:val="auto"/>
                <w:w w:val="93"/>
              </w:rPr>
              <w:t>Condensed Consolidated Income Statements, (ii) the Condensed Consolidated Statements of Comprehensive</w:t>
            </w:r>
          </w:p>
        </w:tc>
        <w:tc>
          <w:tcPr>
            <w:tcW w:w="1560" w:type="dxa"/>
            <w:vAlign w:val="bottom"/>
            <w:shd w:val="clear" w:color="auto" w:fill="CCEEFF"/>
          </w:tcPr>
          <w:p>
            <w:pPr>
              <w:spacing w:after="0"/>
              <w:rPr>
                <w:sz w:val="15"/>
                <w:szCs w:val="15"/>
                <w:color w:val="auto"/>
              </w:rPr>
            </w:pPr>
          </w:p>
        </w:tc>
      </w:tr>
      <w:tr>
        <w:trPr>
          <w:trHeight w:val="176"/>
        </w:trPr>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180" w:type="dxa"/>
            <w:vAlign w:val="bottom"/>
            <w:gridSpan w:val="12"/>
            <w:shd w:val="clear" w:color="auto" w:fill="CCEEFF"/>
          </w:tcPr>
          <w:p>
            <w:pPr>
              <w:spacing w:after="0" w:line="176" w:lineRule="exact"/>
              <w:rPr>
                <w:sz w:val="20"/>
                <w:szCs w:val="20"/>
                <w:color w:val="auto"/>
              </w:rPr>
            </w:pPr>
            <w:r>
              <w:rPr>
                <w:rFonts w:ascii="Arial" w:cs="Arial" w:eastAsia="Arial" w:hAnsi="Arial"/>
                <w:sz w:val="18"/>
                <w:szCs w:val="18"/>
                <w:color w:val="auto"/>
                <w:w w:val="91"/>
              </w:rPr>
              <w:t>Income, (iii) the Condensed Consolidated Balance Sheets, (iv) the Condensed Consolidated Statements of Cash</w:t>
            </w:r>
          </w:p>
        </w:tc>
        <w:tc>
          <w:tcPr>
            <w:tcW w:w="1560" w:type="dxa"/>
            <w:vAlign w:val="bottom"/>
            <w:shd w:val="clear" w:color="auto" w:fill="CCEEFF"/>
          </w:tcPr>
          <w:p>
            <w:pPr>
              <w:spacing w:after="0"/>
              <w:rPr>
                <w:sz w:val="15"/>
                <w:szCs w:val="15"/>
                <w:color w:val="auto"/>
              </w:rPr>
            </w:pPr>
          </w:p>
        </w:tc>
      </w:tr>
      <w:tr>
        <w:trPr>
          <w:trHeight w:val="175"/>
        </w:trPr>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180" w:type="dxa"/>
            <w:vAlign w:val="bottom"/>
            <w:gridSpan w:val="12"/>
            <w:shd w:val="clear" w:color="auto" w:fill="CCEEFF"/>
          </w:tcPr>
          <w:p>
            <w:pPr>
              <w:spacing w:after="0" w:line="176" w:lineRule="exact"/>
              <w:rPr>
                <w:sz w:val="20"/>
                <w:szCs w:val="20"/>
                <w:color w:val="auto"/>
              </w:rPr>
            </w:pPr>
            <w:r>
              <w:rPr>
                <w:rFonts w:ascii="Arial" w:cs="Arial" w:eastAsia="Arial" w:hAnsi="Arial"/>
                <w:sz w:val="18"/>
                <w:szCs w:val="18"/>
                <w:color w:val="auto"/>
                <w:w w:val="94"/>
              </w:rPr>
              <w:t>Flows, (v) the Condensed Consolidated Statements of Equity and (vi) Notes to the Condensed Consolidated</w:t>
            </w:r>
          </w:p>
        </w:tc>
        <w:tc>
          <w:tcPr>
            <w:tcW w:w="1560" w:type="dxa"/>
            <w:vAlign w:val="bottom"/>
            <w:shd w:val="clear" w:color="auto" w:fill="CCEEFF"/>
          </w:tcPr>
          <w:p>
            <w:pPr>
              <w:spacing w:after="0"/>
              <w:rPr>
                <w:sz w:val="15"/>
                <w:szCs w:val="15"/>
                <w:color w:val="auto"/>
              </w:rPr>
            </w:pPr>
          </w:p>
        </w:tc>
      </w:tr>
      <w:tr>
        <w:trPr>
          <w:trHeight w:val="230"/>
        </w:trPr>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180" w:type="dxa"/>
            <w:vAlign w:val="bottom"/>
            <w:gridSpan w:val="12"/>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1560" w:type="dxa"/>
            <w:vAlign w:val="bottom"/>
            <w:shd w:val="clear" w:color="auto" w:fill="CCEEFF"/>
          </w:tcPr>
          <w:p>
            <w:pPr>
              <w:spacing w:after="0"/>
              <w:rPr>
                <w:sz w:val="19"/>
                <w:szCs w:val="19"/>
                <w:color w:val="auto"/>
              </w:rPr>
            </w:pPr>
          </w:p>
        </w:tc>
      </w:tr>
      <w:tr>
        <w:trPr>
          <w:trHeight w:val="175"/>
        </w:trPr>
        <w:tc>
          <w:tcPr>
            <w:tcW w:w="1360" w:type="dxa"/>
            <w:vAlign w:val="bottom"/>
          </w:tcPr>
          <w:p>
            <w:pPr>
              <w:ind w:left="20"/>
              <w:spacing w:after="0" w:line="176"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80" w:type="dxa"/>
            <w:vAlign w:val="bottom"/>
            <w:gridSpan w:val="12"/>
          </w:tcPr>
          <w:p>
            <w:pPr>
              <w:spacing w:after="0" w:line="176" w:lineRule="exact"/>
              <w:rPr>
                <w:sz w:val="20"/>
                <w:szCs w:val="20"/>
                <w:color w:val="auto"/>
              </w:rPr>
            </w:pPr>
            <w:r>
              <w:rPr>
                <w:rFonts w:ascii="Arial" w:cs="Arial" w:eastAsia="Arial" w:hAnsi="Arial"/>
                <w:sz w:val="18"/>
                <w:szCs w:val="18"/>
                <w:color w:val="auto"/>
                <w:w w:val="95"/>
              </w:rPr>
              <w:t>The cover page from the Company's Quarterly Report on Form 10-Q for the quarter ended March 31, 2021,</w:t>
            </w:r>
          </w:p>
        </w:tc>
        <w:tc>
          <w:tcPr>
            <w:tcW w:w="1560" w:type="dxa"/>
            <w:vAlign w:val="bottom"/>
          </w:tcPr>
          <w:p>
            <w:pPr>
              <w:ind w:left="40"/>
              <w:spacing w:after="0" w:line="176" w:lineRule="exact"/>
              <w:rPr>
                <w:sz w:val="20"/>
                <w:szCs w:val="20"/>
                <w:color w:val="auto"/>
              </w:rPr>
            </w:pPr>
            <w:r>
              <w:rPr>
                <w:rFonts w:ascii="Arial" w:cs="Arial" w:eastAsia="Arial" w:hAnsi="Arial"/>
                <w:sz w:val="18"/>
                <w:szCs w:val="18"/>
                <w:color w:val="auto"/>
              </w:rPr>
              <w:t>Filed Herewith</w:t>
            </w: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80" w:type="dxa"/>
            <w:vAlign w:val="bottom"/>
            <w:gridSpan w:val="12"/>
          </w:tcPr>
          <w:p>
            <w:pPr>
              <w:spacing w:after="0"/>
              <w:rPr>
                <w:sz w:val="20"/>
                <w:szCs w:val="20"/>
                <w:color w:val="auto"/>
              </w:rPr>
            </w:pPr>
            <w:r>
              <w:rPr>
                <w:rFonts w:ascii="Arial" w:cs="Arial" w:eastAsia="Arial" w:hAnsi="Arial"/>
                <w:sz w:val="18"/>
                <w:szCs w:val="18"/>
                <w:color w:val="auto"/>
              </w:rPr>
              <w:t>formatted as Inline XBRL and contained in Exhibit 101</w:t>
            </w:r>
          </w:p>
        </w:tc>
        <w:tc>
          <w:tcPr>
            <w:tcW w:w="1560" w:type="dxa"/>
            <w:vAlign w:val="bottom"/>
          </w:tcPr>
          <w:p>
            <w:pPr>
              <w:spacing w:after="0"/>
              <w:rPr>
                <w:sz w:val="20"/>
                <w:szCs w:val="20"/>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Management contracts or compensatory plans and arrangements.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SIGNATURE</w:t>
      </w:r>
    </w:p>
    <w:p>
      <w:pPr>
        <w:spacing w:after="0" w:line="248" w:lineRule="exact"/>
        <w:rPr>
          <w:sz w:val="20"/>
          <w:szCs w:val="20"/>
          <w:color w:val="auto"/>
        </w:rPr>
      </w:pPr>
    </w:p>
    <w:p>
      <w:pPr>
        <w:ind w:right="38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GENERAL MOTORS COMPANY (Registrant)</w:t>
      </w:r>
    </w:p>
    <w:p>
      <w:pPr>
        <w:spacing w:after="0" w:line="200" w:lineRule="exact"/>
        <w:rPr>
          <w:sz w:val="20"/>
          <w:szCs w:val="20"/>
          <w:color w:val="auto"/>
        </w:rPr>
      </w:pPr>
    </w:p>
    <w:p>
      <w:pPr>
        <w:spacing w:after="0" w:line="336" w:lineRule="exact"/>
        <w:rPr>
          <w:sz w:val="20"/>
          <w:szCs w:val="20"/>
          <w:color w:val="auto"/>
        </w:rPr>
      </w:pPr>
    </w:p>
    <w:p>
      <w:pPr>
        <w:ind w:left="5760"/>
        <w:spacing w:after="0"/>
        <w:tabs>
          <w:tab w:leader="none" w:pos="6200" w:val="left"/>
        </w:tabs>
        <w:rPr>
          <w:sz w:val="20"/>
          <w:szCs w:val="20"/>
          <w:color w:val="auto"/>
        </w:rPr>
      </w:pPr>
      <w:r>
        <w:rPr>
          <w:rFonts w:ascii="Arial" w:cs="Arial" w:eastAsia="Arial" w:hAnsi="Arial"/>
          <w:sz w:val="18"/>
          <w:szCs w:val="18"/>
          <w:color w:val="auto"/>
        </w:rPr>
        <w:t>By:</w:t>
        <w:tab/>
        <w:t>/s/ CHRISTOPHER T. HATTO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0175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Christopher T. Hatto, Vice President, Global Business Solutions</w:t>
      </w:r>
    </w:p>
    <w:p>
      <w:pPr>
        <w:spacing w:after="0" w:line="8"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and Chief Accounting Officer</w:t>
      </w:r>
    </w:p>
    <w:p>
      <w:pPr>
        <w:spacing w:after="0" w:line="7"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May 5, 2021</w:t>
      </w:r>
    </w:p>
    <w:p>
      <w:pPr>
        <w:spacing w:after="0" w:line="200" w:lineRule="exact"/>
        <w:rPr>
          <w:sz w:val="20"/>
          <w:szCs w:val="20"/>
          <w:color w:val="auto"/>
        </w:rPr>
      </w:pPr>
    </w:p>
    <w:p>
      <w:pPr>
        <w:spacing w:after="0" w:line="24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820"/>
          </w:cols>
          <w:pgMar w:left="320" w:top="125" w:right="759" w:bottom="1440" w:gutter="0" w:footer="0" w:header="0"/>
        </w:sectPr>
      </w:pPr>
    </w:p>
    <w:bookmarkStart w:id="46" w:name="page47"/>
    <w:bookmarkEnd w:id="46"/>
    <w:p>
      <w:pPr>
        <w:ind w:left="9700"/>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General Motors Company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2020 Long-Term Incentive Plan</w:t>
      </w:r>
    </w:p>
    <w:p>
      <w:pPr>
        <w:jc w:val="center"/>
        <w:ind w:right="-119"/>
        <w:spacing w:after="0"/>
        <w:rPr>
          <w:sz w:val="20"/>
          <w:szCs w:val="20"/>
          <w:color w:val="auto"/>
        </w:rPr>
      </w:pPr>
      <w:r>
        <w:rPr>
          <w:rFonts w:ascii="Arial" w:cs="Arial" w:eastAsia="Arial" w:hAnsi="Arial"/>
          <w:sz w:val="20"/>
          <w:szCs w:val="20"/>
          <w:b w:val="1"/>
          <w:bCs w:val="1"/>
          <w:color w:val="auto"/>
        </w:rPr>
        <w:t>Award Document for [Insert Date] Grant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and Confidential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53" w:lineRule="exact"/>
        <w:rPr>
          <w:sz w:val="20"/>
          <w:szCs w:val="20"/>
          <w:color w:val="auto"/>
        </w:rPr>
      </w:pPr>
    </w:p>
    <w:p>
      <w:pPr>
        <w:ind w:right="160"/>
        <w:spacing w:after="0" w:line="293" w:lineRule="auto"/>
        <w:rPr>
          <w:sz w:val="20"/>
          <w:szCs w:val="20"/>
          <w:color w:val="auto"/>
        </w:rPr>
      </w:pPr>
      <w:r>
        <w:rPr>
          <w:rFonts w:ascii="Arial" w:cs="Arial" w:eastAsia="Arial" w:hAnsi="Arial"/>
          <w:sz w:val="19"/>
          <w:szCs w:val="19"/>
          <w:color w:val="auto"/>
        </w:rPr>
        <w:t>This letter (“</w:t>
      </w:r>
      <w:r>
        <w:rPr>
          <w:rFonts w:ascii="Arial" w:cs="Arial" w:eastAsia="Arial" w:hAnsi="Arial"/>
          <w:sz w:val="19"/>
          <w:szCs w:val="19"/>
          <w:b w:val="1"/>
          <w:bCs w:val="1"/>
          <w:color w:val="auto"/>
        </w:rPr>
        <w:t>Award Document</w:t>
      </w:r>
      <w:r>
        <w:rPr>
          <w:rFonts w:ascii="Arial" w:cs="Arial" w:eastAsia="Arial" w:hAnsi="Arial"/>
          <w:sz w:val="19"/>
          <w:szCs w:val="19"/>
          <w:color w:val="auto"/>
        </w:rPr>
        <w:t>”) describes the details under which you are being granted an Award of Performance Share Units (“</w:t>
      </w:r>
      <w:r>
        <w:rPr>
          <w:rFonts w:ascii="Arial" w:cs="Arial" w:eastAsia="Arial" w:hAnsi="Arial"/>
          <w:sz w:val="19"/>
          <w:szCs w:val="19"/>
          <w:b w:val="1"/>
          <w:bCs w:val="1"/>
          <w:color w:val="auto"/>
        </w:rPr>
        <w:t>PSUs</w:t>
      </w:r>
      <w:r>
        <w:rPr>
          <w:rFonts w:ascii="Arial" w:cs="Arial" w:eastAsia="Arial" w:hAnsi="Arial"/>
          <w:sz w:val="19"/>
          <w:szCs w:val="19"/>
          <w:color w:val="auto"/>
        </w:rPr>
        <w:t>”) under the General Motors Company 2020 Long-Term Incentive Plan (as amended from time to time, the “</w:t>
      </w:r>
      <w:r>
        <w:rPr>
          <w:rFonts w:ascii="Arial" w:cs="Arial" w:eastAsia="Arial" w:hAnsi="Arial"/>
          <w:sz w:val="19"/>
          <w:szCs w:val="19"/>
          <w:b w:val="1"/>
          <w:bCs w:val="1"/>
          <w:color w:val="auto"/>
        </w:rPr>
        <w:t>Plan</w:t>
      </w:r>
      <w:r>
        <w:rPr>
          <w:rFonts w:ascii="Arial" w:cs="Arial" w:eastAsia="Arial" w:hAnsi="Arial"/>
          <w:sz w:val="19"/>
          <w:szCs w:val="19"/>
          <w:color w:val="auto"/>
        </w:rPr>
        <w:t>”).</w:t>
      </w:r>
    </w:p>
    <w:p>
      <w:pPr>
        <w:spacing w:after="0" w:line="148"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A copy of the Plan can be found on the Shareworks by Morgan Stanley site. Capitalized terms used in this Award Document have the meanings given in the Plan unless noted otherwise.</w:t>
      </w:r>
    </w:p>
    <w:p>
      <w:pPr>
        <w:spacing w:after="0" w:line="177"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full terms of your Award are set out in this Award Document, the Plan and any policy adopted by the Committee in respect of the Plan and Awards thereunder that is applicable to this Award. In the event of any conflict between this Award Document and the Plan, the terms of this Award Document shall prevail.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of this Award</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2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Issuer</w:t>
            </w:r>
          </w:p>
        </w:tc>
        <w:tc>
          <w:tcPr>
            <w:tcW w:w="80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General Motors Company, a Delaware corporation</w:t>
            </w:r>
          </w:p>
        </w:tc>
      </w:tr>
      <w:tr>
        <w:trPr>
          <w:trHeight w:val="23"/>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8040" w:type="dxa"/>
            <w:vAlign w:val="bottom"/>
            <w:tcBorders>
              <w:bottom w:val="single" w:sz="8" w:color="auto"/>
              <w:right w:val="single" w:sz="8" w:color="auto"/>
            </w:tcBorders>
          </w:tcPr>
          <w:p>
            <w:pPr>
              <w:spacing w:after="0"/>
              <w:rPr>
                <w:sz w:val="2"/>
                <w:szCs w:val="2"/>
                <w:color w:val="auto"/>
              </w:rPr>
            </w:pPr>
          </w:p>
        </w:tc>
      </w:tr>
      <w:tr>
        <w:trPr>
          <w:trHeight w:val="254"/>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w w:val="99"/>
              </w:rPr>
              <w:t>Number of Target Units</w:t>
            </w:r>
          </w:p>
        </w:tc>
        <w:tc>
          <w:tcPr>
            <w:tcW w:w="8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Your number of “</w:t>
            </w:r>
            <w:r>
              <w:rPr>
                <w:rFonts w:ascii="Arial" w:cs="Arial" w:eastAsia="Arial" w:hAnsi="Arial"/>
                <w:sz w:val="20"/>
                <w:szCs w:val="20"/>
                <w:b w:val="1"/>
                <w:bCs w:val="1"/>
                <w:color w:val="auto"/>
              </w:rPr>
              <w:t>Target Units</w:t>
            </w:r>
            <w:r>
              <w:rPr>
                <w:rFonts w:ascii="Arial" w:cs="Arial" w:eastAsia="Arial" w:hAnsi="Arial"/>
                <w:sz w:val="20"/>
                <w:szCs w:val="20"/>
                <w:color w:val="auto"/>
              </w:rPr>
              <w:t>” is [Insert Number] PSUs</w:t>
            </w:r>
          </w:p>
        </w:tc>
      </w:tr>
      <w:tr>
        <w:trPr>
          <w:trHeight w:val="239"/>
        </w:trPr>
        <w:tc>
          <w:tcPr>
            <w:tcW w:w="2300" w:type="dxa"/>
            <w:vAlign w:val="bottom"/>
            <w:tcBorders>
              <w:left w:val="single" w:sz="8" w:color="auto"/>
              <w:bottom w:val="single" w:sz="8" w:color="auto"/>
              <w:right w:val="single" w:sz="8" w:color="auto"/>
            </w:tcBorders>
          </w:tcPr>
          <w:p>
            <w:pPr>
              <w:spacing w:after="0"/>
              <w:rPr>
                <w:sz w:val="20"/>
                <w:szCs w:val="20"/>
                <w:color w:val="auto"/>
              </w:rPr>
            </w:pPr>
          </w:p>
        </w:tc>
        <w:tc>
          <w:tcPr>
            <w:tcW w:w="8040" w:type="dxa"/>
            <w:vAlign w:val="bottom"/>
            <w:tcBorders>
              <w:bottom w:val="single" w:sz="8" w:color="auto"/>
              <w:right w:val="single" w:sz="8" w:color="auto"/>
            </w:tcBorders>
          </w:tcPr>
          <w:p>
            <w:pPr>
              <w:spacing w:after="0"/>
              <w:rPr>
                <w:sz w:val="20"/>
                <w:szCs w:val="20"/>
                <w:color w:val="auto"/>
              </w:rPr>
            </w:pPr>
          </w:p>
        </w:tc>
      </w:tr>
      <w:tr>
        <w:trPr>
          <w:trHeight w:val="254"/>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Grant Date</w:t>
            </w:r>
          </w:p>
        </w:tc>
        <w:tc>
          <w:tcPr>
            <w:tcW w:w="8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[Insert Date]</w:t>
            </w:r>
          </w:p>
        </w:tc>
      </w:tr>
      <w:tr>
        <w:trPr>
          <w:trHeight w:val="23"/>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8040" w:type="dxa"/>
            <w:vAlign w:val="bottom"/>
            <w:tcBorders>
              <w:bottom w:val="single" w:sz="8" w:color="auto"/>
              <w:right w:val="single" w:sz="8" w:color="auto"/>
            </w:tcBorders>
          </w:tcPr>
          <w:p>
            <w:pPr>
              <w:spacing w:after="0"/>
              <w:rPr>
                <w:sz w:val="2"/>
                <w:szCs w:val="2"/>
                <w:color w:val="auto"/>
              </w:rPr>
            </w:pPr>
          </w:p>
        </w:tc>
      </w:tr>
      <w:tr>
        <w:trPr>
          <w:trHeight w:val="254"/>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Performance Period</w:t>
            </w:r>
          </w:p>
        </w:tc>
        <w:tc>
          <w:tcPr>
            <w:tcW w:w="8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[Insert Date] through [Insert Date]</w:t>
            </w:r>
          </w:p>
        </w:tc>
      </w:tr>
      <w:tr>
        <w:trPr>
          <w:trHeight w:val="23"/>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8040" w:type="dxa"/>
            <w:vAlign w:val="bottom"/>
            <w:tcBorders>
              <w:bottom w:val="single" w:sz="8" w:color="auto"/>
              <w:right w:val="single" w:sz="8" w:color="auto"/>
            </w:tcBorders>
          </w:tcPr>
          <w:p>
            <w:pPr>
              <w:spacing w:after="0"/>
              <w:rPr>
                <w:sz w:val="2"/>
                <w:szCs w:val="2"/>
                <w:color w:val="auto"/>
              </w:rPr>
            </w:pPr>
          </w:p>
        </w:tc>
      </w:tr>
      <w:tr>
        <w:trPr>
          <w:trHeight w:val="254"/>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w w:val="95"/>
              </w:rPr>
              <w:t>Performance Conditions</w:t>
            </w:r>
          </w:p>
        </w:tc>
        <w:tc>
          <w:tcPr>
            <w:tcW w:w="8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 xml:space="preserve">See the </w:t>
            </w:r>
            <w:r>
              <w:rPr>
                <w:rFonts w:ascii="Arial" w:cs="Arial" w:eastAsia="Arial" w:hAnsi="Arial"/>
                <w:sz w:val="20"/>
                <w:szCs w:val="20"/>
                <w:b w:val="1"/>
                <w:bCs w:val="1"/>
                <w:color w:val="auto"/>
              </w:rPr>
              <w:t>Performance Conditions</w:t>
            </w:r>
            <w:r>
              <w:rPr>
                <w:rFonts w:ascii="Arial" w:cs="Arial" w:eastAsia="Arial" w:hAnsi="Arial"/>
                <w:sz w:val="20"/>
                <w:szCs w:val="20"/>
                <w:color w:val="auto"/>
              </w:rPr>
              <w:t xml:space="preserve"> set forth on Exhibit A of this Award Document</w:t>
            </w:r>
          </w:p>
        </w:tc>
      </w:tr>
      <w:tr>
        <w:trPr>
          <w:trHeight w:val="23"/>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8040" w:type="dxa"/>
            <w:vAlign w:val="bottom"/>
            <w:tcBorders>
              <w:bottom w:val="single" w:sz="8" w:color="auto"/>
              <w:right w:val="single" w:sz="8" w:color="auto"/>
            </w:tcBorders>
          </w:tcPr>
          <w:p>
            <w:pPr>
              <w:spacing w:after="0"/>
              <w:rPr>
                <w:sz w:val="2"/>
                <w:szCs w:val="2"/>
                <w:color w:val="auto"/>
              </w:rPr>
            </w:pPr>
          </w:p>
        </w:tc>
      </w:tr>
      <w:tr>
        <w:trPr>
          <w:trHeight w:val="227"/>
        </w:trPr>
        <w:tc>
          <w:tcPr>
            <w:tcW w:w="230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rPr>
              <w:t>Settlement Conditions</w:t>
            </w:r>
          </w:p>
        </w:tc>
        <w:tc>
          <w:tcPr>
            <w:tcW w:w="8040" w:type="dxa"/>
            <w:vAlign w:val="bottom"/>
            <w:tcBorders>
              <w:right w:val="single" w:sz="8" w:color="auto"/>
            </w:tcBorders>
          </w:tcPr>
          <w:p>
            <w:pPr>
              <w:spacing w:after="0" w:line="228" w:lineRule="exact"/>
              <w:rPr>
                <w:sz w:val="20"/>
                <w:szCs w:val="20"/>
                <w:color w:val="auto"/>
              </w:rPr>
            </w:pPr>
            <w:r>
              <w:rPr>
                <w:rFonts w:ascii="Arial" w:cs="Arial" w:eastAsia="Arial" w:hAnsi="Arial"/>
                <w:sz w:val="20"/>
                <w:szCs w:val="20"/>
                <w:color w:val="auto"/>
                <w:w w:val="90"/>
              </w:rPr>
              <w:t>Subject to the achievement of the Performance Conditions, any earned Award will vest and settle on</w:t>
            </w:r>
          </w:p>
        </w:tc>
      </w:tr>
      <w:tr>
        <w:trPr>
          <w:trHeight w:val="235"/>
        </w:trPr>
        <w:tc>
          <w:tcPr>
            <w:tcW w:w="2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and Settlement Date(s)</w:t>
            </w:r>
          </w:p>
        </w:tc>
        <w:tc>
          <w:tcPr>
            <w:tcW w:w="804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5"/>
              </w:rPr>
              <w:t>the “</w:t>
            </w:r>
            <w:r>
              <w:rPr>
                <w:rFonts w:ascii="Arial" w:cs="Arial" w:eastAsia="Arial" w:hAnsi="Arial"/>
                <w:sz w:val="20"/>
                <w:szCs w:val="20"/>
                <w:b w:val="1"/>
                <w:bCs w:val="1"/>
                <w:color w:val="auto"/>
                <w:w w:val="95"/>
              </w:rPr>
              <w:t>Settlement Date</w:t>
            </w:r>
            <w:r>
              <w:rPr>
                <w:rFonts w:ascii="Arial" w:cs="Arial" w:eastAsia="Arial" w:hAnsi="Arial"/>
                <w:sz w:val="20"/>
                <w:szCs w:val="20"/>
                <w:color w:val="auto"/>
                <w:w w:val="95"/>
              </w:rPr>
              <w:t>,” which shall be a date in [Insert Year] selected by the Committee for the</w:t>
            </w:r>
          </w:p>
        </w:tc>
      </w:tr>
      <w:tr>
        <w:trPr>
          <w:trHeight w:val="250"/>
        </w:trPr>
        <w:tc>
          <w:tcPr>
            <w:tcW w:w="2300" w:type="dxa"/>
            <w:vAlign w:val="bottom"/>
            <w:tcBorders>
              <w:left w:val="single" w:sz="8" w:color="auto"/>
              <w:right w:val="single" w:sz="8" w:color="auto"/>
            </w:tcBorders>
          </w:tcPr>
          <w:p>
            <w:pPr>
              <w:spacing w:after="0"/>
              <w:rPr>
                <w:sz w:val="21"/>
                <w:szCs w:val="21"/>
                <w:color w:val="auto"/>
              </w:rPr>
            </w:pPr>
          </w:p>
        </w:tc>
        <w:tc>
          <w:tcPr>
            <w:tcW w:w="8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settlement of your Award.</w:t>
            </w:r>
          </w:p>
        </w:tc>
      </w:tr>
      <w:tr>
        <w:trPr>
          <w:trHeight w:val="452"/>
        </w:trPr>
        <w:tc>
          <w:tcPr>
            <w:tcW w:w="2300" w:type="dxa"/>
            <w:vAlign w:val="bottom"/>
            <w:tcBorders>
              <w:left w:val="single" w:sz="8" w:color="auto"/>
              <w:right w:val="single" w:sz="8" w:color="auto"/>
            </w:tcBorders>
          </w:tcPr>
          <w:p>
            <w:pPr>
              <w:spacing w:after="0"/>
              <w:rPr>
                <w:sz w:val="24"/>
                <w:szCs w:val="24"/>
                <w:color w:val="auto"/>
              </w:rPr>
            </w:pPr>
          </w:p>
        </w:tc>
        <w:tc>
          <w:tcPr>
            <w:tcW w:w="804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4"/>
              </w:rPr>
              <w:t>If you experience a Full Career Status Termination of Service prior to the first anniversary of the</w:t>
            </w:r>
          </w:p>
        </w:tc>
      </w:tr>
      <w:tr>
        <w:trPr>
          <w:trHeight w:val="230"/>
        </w:trPr>
        <w:tc>
          <w:tcPr>
            <w:tcW w:w="2300" w:type="dxa"/>
            <w:vAlign w:val="bottom"/>
            <w:tcBorders>
              <w:left w:val="single" w:sz="8" w:color="auto"/>
              <w:right w:val="single" w:sz="8" w:color="auto"/>
            </w:tcBorders>
          </w:tcPr>
          <w:p>
            <w:pPr>
              <w:spacing w:after="0"/>
              <w:rPr>
                <w:sz w:val="19"/>
                <w:szCs w:val="19"/>
                <w:color w:val="auto"/>
              </w:rPr>
            </w:pPr>
          </w:p>
        </w:tc>
        <w:tc>
          <w:tcPr>
            <w:tcW w:w="804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5"/>
              </w:rPr>
              <w:t>Grant Date, your Award will be prorated. The pro-rata portion of the Award that is retained shall</w:t>
            </w:r>
          </w:p>
        </w:tc>
      </w:tr>
      <w:tr>
        <w:trPr>
          <w:trHeight w:val="230"/>
        </w:trPr>
        <w:tc>
          <w:tcPr>
            <w:tcW w:w="2300" w:type="dxa"/>
            <w:vAlign w:val="bottom"/>
            <w:tcBorders>
              <w:left w:val="single" w:sz="8" w:color="auto"/>
              <w:right w:val="single" w:sz="8" w:color="auto"/>
            </w:tcBorders>
          </w:tcPr>
          <w:p>
            <w:pPr>
              <w:spacing w:after="0"/>
              <w:rPr>
                <w:sz w:val="19"/>
                <w:szCs w:val="19"/>
                <w:color w:val="auto"/>
              </w:rPr>
            </w:pPr>
          </w:p>
        </w:tc>
        <w:tc>
          <w:tcPr>
            <w:tcW w:w="804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0"/>
              </w:rPr>
              <w:t>continue to be subject to the achievement of the Performance Conditions and any earned Award will</w:t>
            </w:r>
          </w:p>
        </w:tc>
      </w:tr>
      <w:tr>
        <w:trPr>
          <w:trHeight w:val="229"/>
        </w:trPr>
        <w:tc>
          <w:tcPr>
            <w:tcW w:w="2300" w:type="dxa"/>
            <w:vAlign w:val="bottom"/>
            <w:tcBorders>
              <w:left w:val="single" w:sz="8" w:color="auto"/>
              <w:right w:val="single" w:sz="8" w:color="auto"/>
            </w:tcBorders>
          </w:tcPr>
          <w:p>
            <w:pPr>
              <w:spacing w:after="0"/>
              <w:rPr>
                <w:sz w:val="19"/>
                <w:szCs w:val="19"/>
                <w:color w:val="auto"/>
              </w:rPr>
            </w:pPr>
          </w:p>
        </w:tc>
        <w:tc>
          <w:tcPr>
            <w:tcW w:w="804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vest and settle on the Settlement Date, with the remaining portion of the Award being forfeited. The</w:t>
            </w:r>
          </w:p>
        </w:tc>
      </w:tr>
      <w:tr>
        <w:trPr>
          <w:trHeight w:val="230"/>
        </w:trPr>
        <w:tc>
          <w:tcPr>
            <w:tcW w:w="2300" w:type="dxa"/>
            <w:vAlign w:val="bottom"/>
            <w:tcBorders>
              <w:left w:val="single" w:sz="8" w:color="auto"/>
              <w:right w:val="single" w:sz="8" w:color="auto"/>
            </w:tcBorders>
          </w:tcPr>
          <w:p>
            <w:pPr>
              <w:spacing w:after="0"/>
              <w:rPr>
                <w:sz w:val="19"/>
                <w:szCs w:val="19"/>
                <w:color w:val="auto"/>
              </w:rPr>
            </w:pPr>
          </w:p>
        </w:tc>
        <w:tc>
          <w:tcPr>
            <w:tcW w:w="804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3"/>
              </w:rPr>
              <w:t>retained pro-rata portion of the Award is calculated based on the month in which your Full Career</w:t>
            </w:r>
          </w:p>
        </w:tc>
      </w:tr>
      <w:tr>
        <w:trPr>
          <w:trHeight w:val="250"/>
        </w:trPr>
        <w:tc>
          <w:tcPr>
            <w:tcW w:w="2300" w:type="dxa"/>
            <w:vAlign w:val="bottom"/>
            <w:tcBorders>
              <w:left w:val="single" w:sz="8" w:color="auto"/>
              <w:right w:val="single" w:sz="8" w:color="auto"/>
            </w:tcBorders>
          </w:tcPr>
          <w:p>
            <w:pPr>
              <w:spacing w:after="0"/>
              <w:rPr>
                <w:sz w:val="21"/>
                <w:szCs w:val="21"/>
                <w:color w:val="auto"/>
              </w:rPr>
            </w:pPr>
          </w:p>
        </w:tc>
        <w:tc>
          <w:tcPr>
            <w:tcW w:w="8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Status Termination of Service occurs as follows:</w:t>
            </w:r>
          </w:p>
        </w:tc>
      </w:tr>
      <w:tr>
        <w:trPr>
          <w:trHeight w:val="473"/>
        </w:trPr>
        <w:tc>
          <w:tcPr>
            <w:tcW w:w="2300" w:type="dxa"/>
            <w:vAlign w:val="bottom"/>
            <w:tcBorders>
              <w:left w:val="single" w:sz="8" w:color="auto"/>
              <w:right w:val="single" w:sz="8" w:color="auto"/>
            </w:tcBorders>
          </w:tcPr>
          <w:p>
            <w:pPr>
              <w:spacing w:after="0"/>
              <w:rPr>
                <w:sz w:val="24"/>
                <w:szCs w:val="24"/>
                <w:color w:val="auto"/>
              </w:rPr>
            </w:pPr>
          </w:p>
        </w:tc>
        <w:tc>
          <w:tcPr>
            <w:tcW w:w="8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[Insert Pro-Ration Schedule]</w:t>
            </w:r>
          </w:p>
        </w:tc>
      </w:tr>
      <w:tr>
        <w:trPr>
          <w:trHeight w:val="452"/>
        </w:trPr>
        <w:tc>
          <w:tcPr>
            <w:tcW w:w="2300" w:type="dxa"/>
            <w:vAlign w:val="bottom"/>
            <w:tcBorders>
              <w:left w:val="single" w:sz="8" w:color="auto"/>
              <w:right w:val="single" w:sz="8" w:color="auto"/>
            </w:tcBorders>
          </w:tcPr>
          <w:p>
            <w:pPr>
              <w:spacing w:after="0"/>
              <w:rPr>
                <w:sz w:val="24"/>
                <w:szCs w:val="24"/>
                <w:color w:val="auto"/>
              </w:rPr>
            </w:pPr>
          </w:p>
        </w:tc>
        <w:tc>
          <w:tcPr>
            <w:tcW w:w="804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3"/>
              </w:rPr>
              <w:t>Except as otherwise provided in the Plan and this Award Document, any portion of the PSUs not</w:t>
            </w:r>
          </w:p>
        </w:tc>
      </w:tr>
      <w:tr>
        <w:trPr>
          <w:trHeight w:val="250"/>
        </w:trPr>
        <w:tc>
          <w:tcPr>
            <w:tcW w:w="2300" w:type="dxa"/>
            <w:vAlign w:val="bottom"/>
            <w:tcBorders>
              <w:left w:val="single" w:sz="8" w:color="auto"/>
              <w:right w:val="single" w:sz="8" w:color="auto"/>
            </w:tcBorders>
          </w:tcPr>
          <w:p>
            <w:pPr>
              <w:spacing w:after="0"/>
              <w:rPr>
                <w:sz w:val="21"/>
                <w:szCs w:val="21"/>
                <w:color w:val="auto"/>
              </w:rPr>
            </w:pPr>
          </w:p>
        </w:tc>
        <w:tc>
          <w:tcPr>
            <w:tcW w:w="8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vested and settled prior to a Termination of Service shall be forfeited.</w:t>
            </w:r>
          </w:p>
        </w:tc>
      </w:tr>
      <w:tr>
        <w:trPr>
          <w:trHeight w:val="23"/>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80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120"/>
          </w:cols>
          <w:pgMar w:left="320" w:top="126" w:right="459" w:bottom="1440" w:gutter="0" w:footer="0" w:header="0"/>
        </w:sectPr>
      </w:pPr>
    </w:p>
    <w:bookmarkStart w:id="47" w:name="page48"/>
    <w:bookmarkEnd w:id="4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Form of Settlement</w:t>
            </w:r>
          </w:p>
        </w:tc>
        <w:tc>
          <w:tcPr>
            <w:tcW w:w="792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w w:val="94"/>
              </w:rPr>
              <w:t>Your Award will be settled in shares of common stock of the Company (“</w:t>
            </w:r>
            <w:r>
              <w:rPr>
                <w:rFonts w:ascii="Arial" w:cs="Arial" w:eastAsia="Arial" w:hAnsi="Arial"/>
                <w:sz w:val="20"/>
                <w:szCs w:val="20"/>
                <w:b w:val="1"/>
                <w:bCs w:val="1"/>
                <w:color w:val="auto"/>
                <w:w w:val="94"/>
              </w:rPr>
              <w:t>Shares</w:t>
            </w:r>
            <w:r>
              <w:rPr>
                <w:rFonts w:ascii="Arial" w:cs="Arial" w:eastAsia="Arial" w:hAnsi="Arial"/>
                <w:sz w:val="20"/>
                <w:szCs w:val="20"/>
                <w:color w:val="auto"/>
                <w:w w:val="94"/>
              </w:rPr>
              <w:t>”) to the extent</w:t>
            </w:r>
          </w:p>
        </w:tc>
      </w:tr>
      <w:tr>
        <w:trPr>
          <w:trHeight w:val="250"/>
        </w:trPr>
        <w:tc>
          <w:tcPr>
            <w:tcW w:w="2420" w:type="dxa"/>
            <w:vAlign w:val="bottom"/>
            <w:tcBorders>
              <w:left w:val="single" w:sz="8" w:color="auto"/>
              <w:right w:val="single" w:sz="8" w:color="auto"/>
            </w:tcBorders>
          </w:tcPr>
          <w:p>
            <w:pPr>
              <w:spacing w:after="0"/>
              <w:rPr>
                <w:sz w:val="21"/>
                <w:szCs w:val="21"/>
                <w:color w:val="auto"/>
              </w:rPr>
            </w:pPr>
          </w:p>
        </w:tc>
        <w:tc>
          <w:tcPr>
            <w:tcW w:w="79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4"/>
              </w:rPr>
              <w:t>such Shares are earned pursuant to Exhibit A. Each earned PSU will be settled for one Share.</w:t>
            </w:r>
          </w:p>
        </w:tc>
      </w:tr>
      <w:tr>
        <w:trPr>
          <w:trHeight w:val="425"/>
        </w:trPr>
        <w:tc>
          <w:tcPr>
            <w:tcW w:w="2420" w:type="dxa"/>
            <w:vAlign w:val="bottom"/>
            <w:tcBorders>
              <w:left w:val="single" w:sz="8" w:color="auto"/>
              <w:right w:val="single" w:sz="8" w:color="auto"/>
            </w:tcBorders>
          </w:tcPr>
          <w:p>
            <w:pPr>
              <w:spacing w:after="0"/>
              <w:rPr>
                <w:sz w:val="24"/>
                <w:szCs w:val="24"/>
                <w:color w:val="auto"/>
              </w:rPr>
            </w:pPr>
          </w:p>
        </w:tc>
        <w:tc>
          <w:tcPr>
            <w:tcW w:w="79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Earned PSUs shall convey the right to receive dividend equivalents on the Shares underlying the</w:t>
            </w:r>
          </w:p>
        </w:tc>
      </w:tr>
      <w:tr>
        <w:trPr>
          <w:trHeight w:val="229"/>
        </w:trPr>
        <w:tc>
          <w:tcPr>
            <w:tcW w:w="2420" w:type="dxa"/>
            <w:vAlign w:val="bottom"/>
            <w:tcBorders>
              <w:left w:val="single" w:sz="8" w:color="auto"/>
              <w:right w:val="single" w:sz="8" w:color="auto"/>
            </w:tcBorders>
          </w:tcPr>
          <w:p>
            <w:pPr>
              <w:spacing w:after="0"/>
              <w:rPr>
                <w:sz w:val="19"/>
                <w:szCs w:val="19"/>
                <w:color w:val="auto"/>
              </w:rPr>
            </w:pPr>
          </w:p>
        </w:tc>
        <w:tc>
          <w:tcPr>
            <w:tcW w:w="79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PSU Award with respect to any dividends declared during the period from Grant Date to</w:t>
            </w:r>
          </w:p>
        </w:tc>
      </w:tr>
      <w:tr>
        <w:trPr>
          <w:trHeight w:val="230"/>
        </w:trPr>
        <w:tc>
          <w:tcPr>
            <w:tcW w:w="2420" w:type="dxa"/>
            <w:vAlign w:val="bottom"/>
            <w:tcBorders>
              <w:left w:val="single" w:sz="8" w:color="auto"/>
              <w:right w:val="single" w:sz="8" w:color="auto"/>
            </w:tcBorders>
          </w:tcPr>
          <w:p>
            <w:pPr>
              <w:spacing w:after="0"/>
              <w:rPr>
                <w:sz w:val="19"/>
                <w:szCs w:val="19"/>
                <w:color w:val="auto"/>
              </w:rPr>
            </w:pPr>
          </w:p>
        </w:tc>
        <w:tc>
          <w:tcPr>
            <w:tcW w:w="79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Settlement Date. Accumulated dividend equivalents shall vest and be paid in cash on the</w:t>
            </w:r>
          </w:p>
        </w:tc>
      </w:tr>
      <w:tr>
        <w:trPr>
          <w:trHeight w:val="229"/>
        </w:trPr>
        <w:tc>
          <w:tcPr>
            <w:tcW w:w="2420" w:type="dxa"/>
            <w:vAlign w:val="bottom"/>
            <w:tcBorders>
              <w:left w:val="single" w:sz="8" w:color="auto"/>
              <w:right w:val="single" w:sz="8" w:color="auto"/>
            </w:tcBorders>
          </w:tcPr>
          <w:p>
            <w:pPr>
              <w:spacing w:after="0"/>
              <w:rPr>
                <w:sz w:val="19"/>
                <w:szCs w:val="19"/>
                <w:color w:val="auto"/>
              </w:rPr>
            </w:pPr>
          </w:p>
        </w:tc>
        <w:tc>
          <w:tcPr>
            <w:tcW w:w="79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0"/>
              </w:rPr>
              <w:t>Settlement Date, subject to the satisfaction of the performance, vesting and other conditions of the</w:t>
            </w:r>
          </w:p>
        </w:tc>
      </w:tr>
      <w:tr>
        <w:trPr>
          <w:trHeight w:val="229"/>
        </w:trPr>
        <w:tc>
          <w:tcPr>
            <w:tcW w:w="2420" w:type="dxa"/>
            <w:vAlign w:val="bottom"/>
            <w:tcBorders>
              <w:left w:val="single" w:sz="8" w:color="auto"/>
              <w:right w:val="single" w:sz="8" w:color="auto"/>
            </w:tcBorders>
          </w:tcPr>
          <w:p>
            <w:pPr>
              <w:spacing w:after="0"/>
              <w:rPr>
                <w:sz w:val="19"/>
                <w:szCs w:val="19"/>
                <w:color w:val="auto"/>
              </w:rPr>
            </w:pPr>
          </w:p>
        </w:tc>
        <w:tc>
          <w:tcPr>
            <w:tcW w:w="79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5"/>
              </w:rPr>
              <w:t>underlying PSU Award. No dividend equivalents shall be provided with respect to any Shares</w:t>
            </w:r>
          </w:p>
        </w:tc>
      </w:tr>
      <w:tr>
        <w:trPr>
          <w:trHeight w:val="250"/>
        </w:trPr>
        <w:tc>
          <w:tcPr>
            <w:tcW w:w="2420" w:type="dxa"/>
            <w:vAlign w:val="bottom"/>
            <w:tcBorders>
              <w:left w:val="single" w:sz="8" w:color="auto"/>
              <w:right w:val="single" w:sz="8" w:color="auto"/>
            </w:tcBorders>
          </w:tcPr>
          <w:p>
            <w:pPr>
              <w:spacing w:after="0"/>
              <w:rPr>
                <w:sz w:val="21"/>
                <w:szCs w:val="21"/>
                <w:color w:val="auto"/>
              </w:rPr>
            </w:pPr>
          </w:p>
        </w:tc>
        <w:tc>
          <w:tcPr>
            <w:tcW w:w="79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subject to PSUs that are not earned or do not vest or settle pursuant to their terms.</w:t>
            </w:r>
          </w:p>
        </w:tc>
      </w:tr>
      <w:tr>
        <w:trPr>
          <w:trHeight w:val="419"/>
        </w:trPr>
        <w:tc>
          <w:tcPr>
            <w:tcW w:w="2420" w:type="dxa"/>
            <w:vAlign w:val="bottom"/>
            <w:tcBorders>
              <w:left w:val="single" w:sz="8" w:color="auto"/>
              <w:right w:val="single" w:sz="8" w:color="auto"/>
            </w:tcBorders>
          </w:tcPr>
          <w:p>
            <w:pPr>
              <w:spacing w:after="0"/>
              <w:rPr>
                <w:sz w:val="24"/>
                <w:szCs w:val="24"/>
                <w:color w:val="auto"/>
              </w:rPr>
            </w:pPr>
          </w:p>
        </w:tc>
        <w:tc>
          <w:tcPr>
            <w:tcW w:w="79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Notwithstanding the forgoing and the terms of the Plan, the Company reserves the right to further</w:t>
            </w:r>
          </w:p>
        </w:tc>
      </w:tr>
      <w:tr>
        <w:trPr>
          <w:trHeight w:val="230"/>
        </w:trPr>
        <w:tc>
          <w:tcPr>
            <w:tcW w:w="2420" w:type="dxa"/>
            <w:vAlign w:val="bottom"/>
            <w:tcBorders>
              <w:left w:val="single" w:sz="8" w:color="auto"/>
              <w:right w:val="single" w:sz="8" w:color="auto"/>
            </w:tcBorders>
          </w:tcPr>
          <w:p>
            <w:pPr>
              <w:spacing w:after="0"/>
              <w:rPr>
                <w:sz w:val="19"/>
                <w:szCs w:val="19"/>
                <w:color w:val="auto"/>
              </w:rPr>
            </w:pPr>
          </w:p>
        </w:tc>
        <w:tc>
          <w:tcPr>
            <w:tcW w:w="79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6"/>
              </w:rPr>
              <w:t xml:space="preserve">modify the form of settlement of your Award. For example, </w:t>
            </w:r>
            <w:r>
              <w:rPr>
                <w:rFonts w:ascii="Arial" w:cs="Arial" w:eastAsia="Arial" w:hAnsi="Arial"/>
                <w:sz w:val="20"/>
                <w:szCs w:val="20"/>
                <w:b w:val="1"/>
                <w:bCs w:val="1"/>
                <w:color w:val="auto"/>
                <w:w w:val="96"/>
              </w:rPr>
              <w:t>if you are a local national of the</w:t>
            </w:r>
          </w:p>
        </w:tc>
      </w:tr>
      <w:tr>
        <w:trPr>
          <w:trHeight w:val="235"/>
        </w:trPr>
        <w:tc>
          <w:tcPr>
            <w:tcW w:w="2420" w:type="dxa"/>
            <w:vAlign w:val="bottom"/>
            <w:tcBorders>
              <w:left w:val="single" w:sz="8" w:color="auto"/>
              <w:right w:val="single" w:sz="8" w:color="auto"/>
            </w:tcBorders>
          </w:tcPr>
          <w:p>
            <w:pPr>
              <w:spacing w:after="0"/>
              <w:rPr>
                <w:sz w:val="20"/>
                <w:szCs w:val="20"/>
                <w:color w:val="auto"/>
              </w:rPr>
            </w:pPr>
          </w:p>
        </w:tc>
        <w:tc>
          <w:tcPr>
            <w:tcW w:w="792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color w:val="auto"/>
                <w:w w:val="93"/>
              </w:rPr>
              <w:t>People’s Republic of China (“PRC”)</w:t>
            </w:r>
            <w:r>
              <w:rPr>
                <w:rFonts w:ascii="Arial" w:cs="Arial" w:eastAsia="Arial" w:hAnsi="Arial"/>
                <w:sz w:val="20"/>
                <w:szCs w:val="20"/>
                <w:color w:val="auto"/>
                <w:w w:val="93"/>
              </w:rPr>
              <w:t>, your PSUs will only be settled by a cash payment to you</w:t>
            </w:r>
          </w:p>
        </w:tc>
      </w:tr>
      <w:tr>
        <w:trPr>
          <w:trHeight w:val="223"/>
        </w:trPr>
        <w:tc>
          <w:tcPr>
            <w:tcW w:w="2420" w:type="dxa"/>
            <w:vAlign w:val="bottom"/>
            <w:tcBorders>
              <w:left w:val="single" w:sz="8" w:color="auto"/>
              <w:right w:val="single" w:sz="8" w:color="auto"/>
            </w:tcBorders>
          </w:tcPr>
          <w:p>
            <w:pPr>
              <w:spacing w:after="0"/>
              <w:rPr>
                <w:sz w:val="19"/>
                <w:szCs w:val="19"/>
                <w:color w:val="auto"/>
              </w:rPr>
            </w:pPr>
          </w:p>
        </w:tc>
        <w:tc>
          <w:tcPr>
            <w:tcW w:w="7920" w:type="dxa"/>
            <w:vAlign w:val="bottom"/>
            <w:tcBorders>
              <w:right w:val="single" w:sz="8" w:color="auto"/>
            </w:tcBorders>
          </w:tcPr>
          <w:p>
            <w:pPr>
              <w:spacing w:after="0" w:line="224" w:lineRule="exact"/>
              <w:rPr>
                <w:sz w:val="20"/>
                <w:szCs w:val="20"/>
                <w:color w:val="auto"/>
              </w:rPr>
            </w:pPr>
            <w:r>
              <w:rPr>
                <w:rFonts w:ascii="Arial" w:cs="Arial" w:eastAsia="Arial" w:hAnsi="Arial"/>
                <w:sz w:val="20"/>
                <w:szCs w:val="20"/>
                <w:color w:val="auto"/>
                <w:w w:val="90"/>
              </w:rPr>
              <w:t>equal to the Fair Market Value of the Shares that would otherwise be settled (subject to applicable</w:t>
            </w:r>
          </w:p>
        </w:tc>
      </w:tr>
      <w:tr>
        <w:trPr>
          <w:trHeight w:val="236"/>
        </w:trPr>
        <w:tc>
          <w:tcPr>
            <w:tcW w:w="2420" w:type="dxa"/>
            <w:vAlign w:val="bottom"/>
            <w:tcBorders>
              <w:left w:val="single" w:sz="8" w:color="auto"/>
              <w:right w:val="single" w:sz="8" w:color="auto"/>
            </w:tcBorders>
          </w:tcPr>
          <w:p>
            <w:pPr>
              <w:spacing w:after="0"/>
              <w:rPr>
                <w:sz w:val="20"/>
                <w:szCs w:val="20"/>
                <w:color w:val="auto"/>
              </w:rPr>
            </w:pPr>
          </w:p>
        </w:tc>
        <w:tc>
          <w:tcPr>
            <w:tcW w:w="79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0"/>
              </w:rPr>
              <w:t xml:space="preserve">withholding). </w:t>
            </w:r>
            <w:r>
              <w:rPr>
                <w:rFonts w:ascii="Arial" w:cs="Arial" w:eastAsia="Arial" w:hAnsi="Arial"/>
                <w:sz w:val="20"/>
                <w:szCs w:val="20"/>
                <w:b w:val="1"/>
                <w:bCs w:val="1"/>
                <w:color w:val="auto"/>
                <w:w w:val="90"/>
              </w:rPr>
              <w:t>If your work location at the time of any Settlement Date noted above is in India</w:t>
            </w:r>
            <w:r>
              <w:rPr>
                <w:rFonts w:ascii="Arial" w:cs="Arial" w:eastAsia="Arial" w:hAnsi="Arial"/>
                <w:sz w:val="20"/>
                <w:szCs w:val="20"/>
                <w:color w:val="auto"/>
                <w:w w:val="90"/>
              </w:rPr>
              <w:t>,</w:t>
            </w:r>
          </w:p>
        </w:tc>
      </w:tr>
      <w:tr>
        <w:trPr>
          <w:trHeight w:val="229"/>
        </w:trPr>
        <w:tc>
          <w:tcPr>
            <w:tcW w:w="2420" w:type="dxa"/>
            <w:vAlign w:val="bottom"/>
            <w:tcBorders>
              <w:left w:val="single" w:sz="8" w:color="auto"/>
              <w:right w:val="single" w:sz="8" w:color="auto"/>
            </w:tcBorders>
          </w:tcPr>
          <w:p>
            <w:pPr>
              <w:spacing w:after="0"/>
              <w:rPr>
                <w:sz w:val="19"/>
                <w:szCs w:val="19"/>
                <w:color w:val="auto"/>
              </w:rPr>
            </w:pPr>
          </w:p>
        </w:tc>
        <w:tc>
          <w:tcPr>
            <w:tcW w:w="79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0"/>
              </w:rPr>
              <w:t>your PSUs will also only be settled by a cash payment to you equal to the Fair Market Value of the</w:t>
            </w:r>
          </w:p>
        </w:tc>
      </w:tr>
      <w:tr>
        <w:trPr>
          <w:trHeight w:val="230"/>
        </w:trPr>
        <w:tc>
          <w:tcPr>
            <w:tcW w:w="2420" w:type="dxa"/>
            <w:vAlign w:val="bottom"/>
            <w:tcBorders>
              <w:left w:val="single" w:sz="8" w:color="auto"/>
              <w:right w:val="single" w:sz="8" w:color="auto"/>
            </w:tcBorders>
          </w:tcPr>
          <w:p>
            <w:pPr>
              <w:spacing w:after="0"/>
              <w:rPr>
                <w:sz w:val="19"/>
                <w:szCs w:val="19"/>
                <w:color w:val="auto"/>
              </w:rPr>
            </w:pPr>
          </w:p>
        </w:tc>
        <w:tc>
          <w:tcPr>
            <w:tcW w:w="79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Shares that would otherwise be settled (subject to applicable withholding). Your PSUs will not be</w:t>
            </w:r>
          </w:p>
        </w:tc>
      </w:tr>
      <w:tr>
        <w:trPr>
          <w:trHeight w:val="229"/>
        </w:trPr>
        <w:tc>
          <w:tcPr>
            <w:tcW w:w="2420" w:type="dxa"/>
            <w:vAlign w:val="bottom"/>
            <w:tcBorders>
              <w:left w:val="single" w:sz="8" w:color="auto"/>
              <w:right w:val="single" w:sz="8" w:color="auto"/>
            </w:tcBorders>
          </w:tcPr>
          <w:p>
            <w:pPr>
              <w:spacing w:after="0"/>
              <w:rPr>
                <w:sz w:val="19"/>
                <w:szCs w:val="19"/>
                <w:color w:val="auto"/>
              </w:rPr>
            </w:pPr>
          </w:p>
        </w:tc>
        <w:tc>
          <w:tcPr>
            <w:tcW w:w="79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settled by the issue of any Shares unless your work location changes to a jurisdiction that permits</w:t>
            </w:r>
          </w:p>
        </w:tc>
      </w:tr>
      <w:tr>
        <w:trPr>
          <w:trHeight w:val="250"/>
        </w:trPr>
        <w:tc>
          <w:tcPr>
            <w:tcW w:w="2420" w:type="dxa"/>
            <w:vAlign w:val="bottom"/>
            <w:tcBorders>
              <w:left w:val="single" w:sz="8" w:color="auto"/>
              <w:right w:val="single" w:sz="8" w:color="auto"/>
            </w:tcBorders>
          </w:tcPr>
          <w:p>
            <w:pPr>
              <w:spacing w:after="0"/>
              <w:rPr>
                <w:sz w:val="21"/>
                <w:szCs w:val="21"/>
                <w:color w:val="auto"/>
              </w:rPr>
            </w:pPr>
          </w:p>
        </w:tc>
        <w:tc>
          <w:tcPr>
            <w:tcW w:w="79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settlement in Shares.</w:t>
            </w:r>
          </w:p>
        </w:tc>
      </w:tr>
      <w:tr>
        <w:trPr>
          <w:trHeight w:val="425"/>
        </w:trPr>
        <w:tc>
          <w:tcPr>
            <w:tcW w:w="2420" w:type="dxa"/>
            <w:vAlign w:val="bottom"/>
            <w:tcBorders>
              <w:left w:val="single" w:sz="8" w:color="auto"/>
              <w:right w:val="single" w:sz="8" w:color="auto"/>
            </w:tcBorders>
          </w:tcPr>
          <w:p>
            <w:pPr>
              <w:spacing w:after="0"/>
              <w:rPr>
                <w:sz w:val="24"/>
                <w:szCs w:val="24"/>
                <w:color w:val="auto"/>
              </w:rPr>
            </w:pPr>
          </w:p>
        </w:tc>
        <w:tc>
          <w:tcPr>
            <w:tcW w:w="79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3"/>
              </w:rPr>
              <w:t>As required by law, the Company will withhold any applicable federal, state, local or foreign tax.</w:t>
            </w:r>
          </w:p>
        </w:tc>
      </w:tr>
      <w:tr>
        <w:trPr>
          <w:trHeight w:val="250"/>
        </w:trPr>
        <w:tc>
          <w:tcPr>
            <w:tcW w:w="2420" w:type="dxa"/>
            <w:vAlign w:val="bottom"/>
            <w:tcBorders>
              <w:left w:val="single" w:sz="8" w:color="auto"/>
              <w:right w:val="single" w:sz="8" w:color="auto"/>
            </w:tcBorders>
          </w:tcPr>
          <w:p>
            <w:pPr>
              <w:spacing w:after="0"/>
              <w:rPr>
                <w:sz w:val="21"/>
                <w:szCs w:val="21"/>
                <w:color w:val="auto"/>
              </w:rPr>
            </w:pPr>
          </w:p>
        </w:tc>
        <w:tc>
          <w:tcPr>
            <w:tcW w:w="79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You are responsible for any taxes due upon vesting and/or settlement.</w:t>
            </w:r>
          </w:p>
        </w:tc>
      </w:tr>
      <w:tr>
        <w:trPr>
          <w:trHeight w:val="239"/>
        </w:trPr>
        <w:tc>
          <w:tcPr>
            <w:tcW w:w="2420" w:type="dxa"/>
            <w:vAlign w:val="bottom"/>
            <w:tcBorders>
              <w:left w:val="single" w:sz="8" w:color="auto"/>
              <w:bottom w:val="single" w:sz="8" w:color="auto"/>
              <w:right w:val="single" w:sz="8" w:color="auto"/>
            </w:tcBorders>
          </w:tcPr>
          <w:p>
            <w:pPr>
              <w:spacing w:after="0"/>
              <w:rPr>
                <w:sz w:val="20"/>
                <w:szCs w:val="20"/>
                <w:color w:val="auto"/>
              </w:rPr>
            </w:pPr>
          </w:p>
        </w:tc>
        <w:tc>
          <w:tcPr>
            <w:tcW w:w="7920" w:type="dxa"/>
            <w:vAlign w:val="bottom"/>
            <w:tcBorders>
              <w:bottom w:val="single" w:sz="8" w:color="auto"/>
              <w:right w:val="single" w:sz="8" w:color="auto"/>
            </w:tcBorders>
          </w:tcPr>
          <w:p>
            <w:pPr>
              <w:spacing w:after="0"/>
              <w:rPr>
                <w:sz w:val="20"/>
                <w:szCs w:val="20"/>
                <w:color w:val="auto"/>
              </w:rPr>
            </w:pPr>
          </w:p>
        </w:tc>
      </w:tr>
      <w:tr>
        <w:trPr>
          <w:trHeight w:val="233"/>
        </w:trPr>
        <w:tc>
          <w:tcPr>
            <w:tcW w:w="2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Conditions Precedent</w:t>
            </w:r>
          </w:p>
        </w:tc>
        <w:tc>
          <w:tcPr>
            <w:tcW w:w="79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5"/>
              </w:rPr>
              <w:t>Pursuant and subject to Section 11 of the Plan, as a condition precedent to the vesting and/or</w:t>
            </w:r>
          </w:p>
        </w:tc>
      </w:tr>
      <w:tr>
        <w:trPr>
          <w:trHeight w:val="250"/>
        </w:trPr>
        <w:tc>
          <w:tcPr>
            <w:tcW w:w="2420" w:type="dxa"/>
            <w:vAlign w:val="bottom"/>
            <w:tcBorders>
              <w:left w:val="single" w:sz="8" w:color="auto"/>
              <w:right w:val="single" w:sz="8" w:color="auto"/>
            </w:tcBorders>
          </w:tcPr>
          <w:p>
            <w:pPr>
              <w:spacing w:after="0"/>
              <w:rPr>
                <w:sz w:val="21"/>
                <w:szCs w:val="21"/>
                <w:color w:val="auto"/>
              </w:rPr>
            </w:pPr>
          </w:p>
        </w:tc>
        <w:tc>
          <w:tcPr>
            <w:tcW w:w="79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settlement of any portion of your Award, you shall:</w:t>
            </w:r>
          </w:p>
        </w:tc>
      </w:tr>
      <w:tr>
        <w:trPr>
          <w:trHeight w:val="425"/>
        </w:trPr>
        <w:tc>
          <w:tcPr>
            <w:tcW w:w="2420" w:type="dxa"/>
            <w:vAlign w:val="bottom"/>
            <w:tcBorders>
              <w:left w:val="single" w:sz="8" w:color="auto"/>
              <w:right w:val="single" w:sz="8" w:color="auto"/>
            </w:tcBorders>
          </w:tcPr>
          <w:p>
            <w:pPr>
              <w:spacing w:after="0"/>
              <w:rPr>
                <w:sz w:val="24"/>
                <w:szCs w:val="24"/>
                <w:color w:val="auto"/>
              </w:rPr>
            </w:pPr>
          </w:p>
        </w:tc>
        <w:tc>
          <w:tcPr>
            <w:tcW w:w="792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w w:val="96"/>
              </w:rPr>
              <w:t>•   Refrain from engaging in any activity which will cause damage to the Company or is in</w:t>
            </w:r>
          </w:p>
        </w:tc>
      </w:tr>
      <w:tr>
        <w:trPr>
          <w:trHeight w:val="229"/>
        </w:trPr>
        <w:tc>
          <w:tcPr>
            <w:tcW w:w="2420" w:type="dxa"/>
            <w:vAlign w:val="bottom"/>
            <w:tcBorders>
              <w:left w:val="single" w:sz="8" w:color="auto"/>
              <w:right w:val="single" w:sz="8" w:color="auto"/>
            </w:tcBorders>
          </w:tcPr>
          <w:p>
            <w:pPr>
              <w:spacing w:after="0"/>
              <w:rPr>
                <w:sz w:val="19"/>
                <w:szCs w:val="19"/>
                <w:color w:val="auto"/>
              </w:rPr>
            </w:pPr>
          </w:p>
        </w:tc>
        <w:tc>
          <w:tcPr>
            <w:tcW w:w="792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w w:val="97"/>
              </w:rPr>
              <w:t>any manner inimical or in any way contrary to the best interests of the Company, as</w:t>
            </w:r>
          </w:p>
        </w:tc>
      </w:tr>
      <w:tr>
        <w:trPr>
          <w:trHeight w:val="230"/>
        </w:trPr>
        <w:tc>
          <w:tcPr>
            <w:tcW w:w="2420" w:type="dxa"/>
            <w:vAlign w:val="bottom"/>
            <w:tcBorders>
              <w:left w:val="single" w:sz="8" w:color="auto"/>
              <w:right w:val="single" w:sz="8" w:color="auto"/>
            </w:tcBorders>
          </w:tcPr>
          <w:p>
            <w:pPr>
              <w:spacing w:after="0"/>
              <w:rPr>
                <w:sz w:val="19"/>
                <w:szCs w:val="19"/>
                <w:color w:val="auto"/>
              </w:rPr>
            </w:pPr>
          </w:p>
        </w:tc>
        <w:tc>
          <w:tcPr>
            <w:tcW w:w="792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determined pursuant to the Plan;</w:t>
            </w:r>
          </w:p>
        </w:tc>
      </w:tr>
      <w:tr>
        <w:trPr>
          <w:trHeight w:val="230"/>
        </w:trPr>
        <w:tc>
          <w:tcPr>
            <w:tcW w:w="2420" w:type="dxa"/>
            <w:vAlign w:val="bottom"/>
            <w:tcBorders>
              <w:left w:val="single" w:sz="8" w:color="auto"/>
              <w:right w:val="single" w:sz="8" w:color="auto"/>
            </w:tcBorders>
          </w:tcPr>
          <w:p>
            <w:pPr>
              <w:spacing w:after="0"/>
              <w:rPr>
                <w:sz w:val="19"/>
                <w:szCs w:val="19"/>
                <w:color w:val="auto"/>
              </w:rPr>
            </w:pPr>
          </w:p>
        </w:tc>
        <w:tc>
          <w:tcPr>
            <w:tcW w:w="792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rPr>
              <w:t>•   Comply with the Restrictive Covenants below; and</w:t>
            </w:r>
          </w:p>
        </w:tc>
      </w:tr>
      <w:tr>
        <w:trPr>
          <w:trHeight w:val="230"/>
        </w:trPr>
        <w:tc>
          <w:tcPr>
            <w:tcW w:w="2420" w:type="dxa"/>
            <w:vAlign w:val="bottom"/>
            <w:tcBorders>
              <w:left w:val="single" w:sz="8" w:color="auto"/>
              <w:right w:val="single" w:sz="8" w:color="auto"/>
            </w:tcBorders>
          </w:tcPr>
          <w:p>
            <w:pPr>
              <w:spacing w:after="0"/>
              <w:rPr>
                <w:sz w:val="19"/>
                <w:szCs w:val="19"/>
                <w:color w:val="auto"/>
              </w:rPr>
            </w:pPr>
          </w:p>
        </w:tc>
        <w:tc>
          <w:tcPr>
            <w:tcW w:w="792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w w:val="93"/>
              </w:rPr>
              <w:t>•   Furnish to the Company such information with respect to the satisfaction of the foregoing</w:t>
            </w:r>
          </w:p>
        </w:tc>
      </w:tr>
      <w:tr>
        <w:trPr>
          <w:trHeight w:val="250"/>
        </w:trPr>
        <w:tc>
          <w:tcPr>
            <w:tcW w:w="2420" w:type="dxa"/>
            <w:vAlign w:val="bottom"/>
            <w:tcBorders>
              <w:left w:val="single" w:sz="8" w:color="auto"/>
              <w:right w:val="single" w:sz="8" w:color="auto"/>
            </w:tcBorders>
          </w:tcPr>
          <w:p>
            <w:pPr>
              <w:spacing w:after="0"/>
              <w:rPr>
                <w:sz w:val="21"/>
                <w:szCs w:val="21"/>
                <w:color w:val="auto"/>
              </w:rPr>
            </w:pPr>
          </w:p>
        </w:tc>
        <w:tc>
          <w:tcPr>
            <w:tcW w:w="792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as the Committee may reasonably request.</w:t>
            </w:r>
          </w:p>
        </w:tc>
      </w:tr>
      <w:tr>
        <w:trPr>
          <w:trHeight w:val="438"/>
        </w:trPr>
        <w:tc>
          <w:tcPr>
            <w:tcW w:w="2420" w:type="dxa"/>
            <w:vAlign w:val="bottom"/>
            <w:tcBorders>
              <w:left w:val="single" w:sz="8" w:color="auto"/>
              <w:right w:val="single" w:sz="8" w:color="auto"/>
            </w:tcBorders>
          </w:tcPr>
          <w:p>
            <w:pPr>
              <w:spacing w:after="0"/>
              <w:rPr>
                <w:sz w:val="24"/>
                <w:szCs w:val="24"/>
                <w:color w:val="auto"/>
              </w:rPr>
            </w:pPr>
          </w:p>
        </w:tc>
        <w:tc>
          <w:tcPr>
            <w:tcW w:w="79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6"/>
              </w:rPr>
              <w:t>In addition, the Committee may require you to enter into such agreements as the Committee</w:t>
            </w:r>
          </w:p>
        </w:tc>
      </w:tr>
      <w:tr>
        <w:trPr>
          <w:trHeight w:val="250"/>
        </w:trPr>
        <w:tc>
          <w:tcPr>
            <w:tcW w:w="2420" w:type="dxa"/>
            <w:vAlign w:val="bottom"/>
            <w:tcBorders>
              <w:left w:val="single" w:sz="8" w:color="auto"/>
              <w:right w:val="single" w:sz="8" w:color="auto"/>
            </w:tcBorders>
          </w:tcPr>
          <w:p>
            <w:pPr>
              <w:spacing w:after="0"/>
              <w:rPr>
                <w:sz w:val="21"/>
                <w:szCs w:val="21"/>
                <w:color w:val="auto"/>
              </w:rPr>
            </w:pPr>
          </w:p>
        </w:tc>
        <w:tc>
          <w:tcPr>
            <w:tcW w:w="79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considers appropriate.</w:t>
            </w:r>
          </w:p>
        </w:tc>
      </w:tr>
      <w:tr>
        <w:trPr>
          <w:trHeight w:val="452"/>
        </w:trPr>
        <w:tc>
          <w:tcPr>
            <w:tcW w:w="2420" w:type="dxa"/>
            <w:vAlign w:val="bottom"/>
            <w:tcBorders>
              <w:left w:val="single" w:sz="8" w:color="auto"/>
              <w:right w:val="single" w:sz="8" w:color="auto"/>
            </w:tcBorders>
          </w:tcPr>
          <w:p>
            <w:pPr>
              <w:spacing w:after="0"/>
              <w:rPr>
                <w:sz w:val="24"/>
                <w:szCs w:val="24"/>
                <w:color w:val="auto"/>
              </w:rPr>
            </w:pPr>
          </w:p>
        </w:tc>
        <w:tc>
          <w:tcPr>
            <w:tcW w:w="79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8"/>
              </w:rPr>
              <w:t>Your failure to satisfy any of the foregoing conditions precedent will result in the immediate</w:t>
            </w:r>
          </w:p>
        </w:tc>
      </w:tr>
      <w:tr>
        <w:trPr>
          <w:trHeight w:val="229"/>
        </w:trPr>
        <w:tc>
          <w:tcPr>
            <w:tcW w:w="2420" w:type="dxa"/>
            <w:vAlign w:val="bottom"/>
            <w:tcBorders>
              <w:left w:val="single" w:sz="8" w:color="auto"/>
              <w:right w:val="single" w:sz="8" w:color="auto"/>
            </w:tcBorders>
          </w:tcPr>
          <w:p>
            <w:pPr>
              <w:spacing w:after="0"/>
              <w:rPr>
                <w:sz w:val="19"/>
                <w:szCs w:val="19"/>
                <w:color w:val="auto"/>
              </w:rPr>
            </w:pPr>
          </w:p>
        </w:tc>
        <w:tc>
          <w:tcPr>
            <w:tcW w:w="79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cancellation of the unvested portion of your Award and any vested portion of your Award that has</w:t>
            </w:r>
          </w:p>
        </w:tc>
      </w:tr>
      <w:tr>
        <w:trPr>
          <w:trHeight w:val="230"/>
        </w:trPr>
        <w:tc>
          <w:tcPr>
            <w:tcW w:w="2420" w:type="dxa"/>
            <w:vAlign w:val="bottom"/>
            <w:tcBorders>
              <w:left w:val="single" w:sz="8" w:color="auto"/>
              <w:right w:val="single" w:sz="8" w:color="auto"/>
            </w:tcBorders>
          </w:tcPr>
          <w:p>
            <w:pPr>
              <w:spacing w:after="0"/>
              <w:rPr>
                <w:sz w:val="19"/>
                <w:szCs w:val="19"/>
                <w:color w:val="auto"/>
              </w:rPr>
            </w:pPr>
          </w:p>
        </w:tc>
        <w:tc>
          <w:tcPr>
            <w:tcW w:w="79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not yet been settled, and you will not be entitled to receive any consideration with respect to such</w:t>
            </w:r>
          </w:p>
        </w:tc>
      </w:tr>
      <w:tr>
        <w:trPr>
          <w:trHeight w:val="250"/>
        </w:trPr>
        <w:tc>
          <w:tcPr>
            <w:tcW w:w="2420" w:type="dxa"/>
            <w:vAlign w:val="bottom"/>
            <w:tcBorders>
              <w:left w:val="single" w:sz="8" w:color="auto"/>
              <w:right w:val="single" w:sz="8" w:color="auto"/>
            </w:tcBorders>
          </w:tcPr>
          <w:p>
            <w:pPr>
              <w:spacing w:after="0"/>
              <w:rPr>
                <w:sz w:val="21"/>
                <w:szCs w:val="21"/>
                <w:color w:val="auto"/>
              </w:rPr>
            </w:pPr>
          </w:p>
        </w:tc>
        <w:tc>
          <w:tcPr>
            <w:tcW w:w="79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cancellation.</w:t>
            </w:r>
          </w:p>
        </w:tc>
      </w:tr>
      <w:tr>
        <w:trPr>
          <w:trHeight w:val="23"/>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79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340"/>
          </w:cols>
          <w:pgMar w:left="320" w:top="1119" w:right="1239" w:bottom="1440" w:gutter="0" w:footer="0" w:header="0"/>
        </w:sectPr>
      </w:pPr>
    </w:p>
    <w:bookmarkStart w:id="48" w:name="page49"/>
    <w:bookmarkEnd w:id="48"/>
    <w:p>
      <w:pPr>
        <w:ind w:left="1300" w:right="100" w:hanging="2389"/>
        <w:spacing w:after="0" w:line="260" w:lineRule="auto"/>
        <w:tabs>
          <w:tab w:leader="none" w:pos="1280" w:val="left"/>
        </w:tabs>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877570</wp:posOffset>
            </wp:positionV>
            <wp:extent cx="6557645" cy="57607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557645" cy="5760720"/>
                    </a:xfrm>
                    <a:prstGeom prst="rect">
                      <a:avLst/>
                    </a:prstGeom>
                    <a:noFill/>
                  </pic:spPr>
                </pic:pic>
              </a:graphicData>
            </a:graphic>
          </wp:anchor>
        </w:drawing>
        <w:t>Restrictive Covenants</w:t>
      </w:r>
      <w:r>
        <w:rPr>
          <w:sz w:val="20"/>
          <w:szCs w:val="20"/>
          <w:color w:val="auto"/>
        </w:rPr>
        <w:tab/>
      </w:r>
      <w:r>
        <w:rPr>
          <w:rFonts w:ascii="Arial" w:cs="Arial" w:eastAsia="Arial" w:hAnsi="Arial"/>
          <w:sz w:val="19"/>
          <w:szCs w:val="19"/>
          <w:color w:val="auto"/>
        </w:rPr>
        <w:t>In exchange for the PSUs described in this Award Document, except to the extent this provision is expressly unenforceable or unlawful under applicable law, you agree to the following restrictive covenants (“</w:t>
      </w:r>
      <w:r>
        <w:rPr>
          <w:rFonts w:ascii="Arial" w:cs="Arial" w:eastAsia="Arial" w:hAnsi="Arial"/>
          <w:sz w:val="19"/>
          <w:szCs w:val="19"/>
          <w:b w:val="1"/>
          <w:bCs w:val="1"/>
          <w:color w:val="auto"/>
        </w:rPr>
        <w:t>Restrictive Covenants</w:t>
      </w:r>
      <w:r>
        <w:rPr>
          <w:rFonts w:ascii="Arial" w:cs="Arial" w:eastAsia="Arial" w:hAnsi="Arial"/>
          <w:sz w:val="19"/>
          <w:szCs w:val="19"/>
          <w:color w:val="auto"/>
        </w:rPr>
        <w:t>”) that apply during your employment with the Company and its Subsidiaries, and for the 12-month period commencing on your Termination of Service, including a Full Career Status Termination:</w:t>
      </w:r>
    </w:p>
    <w:p>
      <w:pPr>
        <w:spacing w:after="0" w:line="213" w:lineRule="exact"/>
        <w:rPr>
          <w:sz w:val="20"/>
          <w:szCs w:val="20"/>
          <w:color w:val="auto"/>
        </w:rPr>
      </w:pPr>
    </w:p>
    <w:p>
      <w:pPr>
        <w:ind w:left="1960" w:hanging="327"/>
        <w:spacing w:after="0" w:line="270" w:lineRule="auto"/>
        <w:tabs>
          <w:tab w:leader="none" w:pos="19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your employment and for one year after it ends, anywhere within the world where you have, within the last two years of your employment, worked, had management responsibilities or had access to confidential information, you will not directly or indirectly provide services to any business that competes with the Company if such services involve</w:t>
      </w:r>
    </w:p>
    <w:p>
      <w:pPr>
        <w:spacing w:after="0" w:line="2" w:lineRule="exact"/>
        <w:rPr>
          <w:rFonts w:ascii="Arial" w:cs="Arial" w:eastAsia="Arial" w:hAnsi="Arial"/>
          <w:sz w:val="18"/>
          <w:szCs w:val="18"/>
          <w:color w:val="auto"/>
        </w:rPr>
      </w:pPr>
    </w:p>
    <w:p>
      <w:pPr>
        <w:ind w:left="1960" w:right="20"/>
        <w:spacing w:after="0" w:line="239" w:lineRule="auto"/>
        <w:rPr>
          <w:rFonts w:ascii="Arial" w:cs="Arial" w:eastAsia="Arial" w:hAnsi="Arial"/>
          <w:sz w:val="18"/>
          <w:szCs w:val="18"/>
          <w:color w:val="auto"/>
        </w:rPr>
      </w:pPr>
      <w:r>
        <w:rPr>
          <w:rFonts w:ascii="Arial" w:cs="Arial" w:eastAsia="Arial" w:hAnsi="Arial"/>
          <w:sz w:val="20"/>
          <w:szCs w:val="20"/>
          <w:color w:val="auto"/>
        </w:rPr>
        <w:t>(i) the potential use or disclosure of Company confidential information or trade secrets; (ii) substantially the same functions/responsibilities as yours for the Company during your last two years of employment; or (iii) supervision over substantially the same functions, responsibilities or business units as those you supervised for the Company during your last two years of employment;</w:t>
      </w:r>
    </w:p>
    <w:p>
      <w:pPr>
        <w:spacing w:after="0" w:line="2" w:lineRule="exact"/>
        <w:rPr>
          <w:rFonts w:ascii="Arial" w:cs="Arial" w:eastAsia="Arial" w:hAnsi="Arial"/>
          <w:sz w:val="18"/>
          <w:szCs w:val="18"/>
          <w:color w:val="auto"/>
        </w:rPr>
      </w:pPr>
    </w:p>
    <w:p>
      <w:pPr>
        <w:ind w:left="1960" w:right="140" w:hanging="327"/>
        <w:spacing w:after="0" w:line="239" w:lineRule="auto"/>
        <w:tabs>
          <w:tab w:leader="none" w:pos="1948" w:val="left"/>
        </w:tabs>
        <w:numPr>
          <w:ilvl w:val="0"/>
          <w:numId w:val="23"/>
        </w:numPr>
        <w:rPr>
          <w:rFonts w:ascii="Arial" w:cs="Arial" w:eastAsia="Arial" w:hAnsi="Arial"/>
          <w:sz w:val="20"/>
          <w:szCs w:val="20"/>
          <w:color w:val="auto"/>
        </w:rPr>
      </w:pPr>
      <w:r>
        <w:rPr>
          <w:rFonts w:ascii="Arial" w:cs="Arial" w:eastAsia="Arial" w:hAnsi="Arial"/>
          <w:sz w:val="20"/>
          <w:szCs w:val="20"/>
          <w:color w:val="auto"/>
        </w:rPr>
        <w:t>During your employment and for one year after it ends, you will not directly or indirectly, knowingly induce any employee of the Company or any Subsidiary to leave his/her employment for participation, directly or indirectly, with any existing or future employer or business venture associated with you; and</w:t>
      </w:r>
    </w:p>
    <w:p>
      <w:pPr>
        <w:spacing w:after="0" w:line="1" w:lineRule="exact"/>
        <w:rPr>
          <w:rFonts w:ascii="Arial" w:cs="Arial" w:eastAsia="Arial" w:hAnsi="Arial"/>
          <w:sz w:val="20"/>
          <w:szCs w:val="20"/>
          <w:color w:val="auto"/>
        </w:rPr>
      </w:pPr>
    </w:p>
    <w:p>
      <w:pPr>
        <w:ind w:left="1960" w:right="40" w:hanging="327"/>
        <w:spacing w:after="0"/>
        <w:tabs>
          <w:tab w:leader="none" w:pos="1948" w:val="left"/>
        </w:tabs>
        <w:numPr>
          <w:ilvl w:val="0"/>
          <w:numId w:val="23"/>
        </w:numPr>
        <w:rPr>
          <w:rFonts w:ascii="Arial" w:cs="Arial" w:eastAsia="Arial" w:hAnsi="Arial"/>
          <w:sz w:val="20"/>
          <w:szCs w:val="20"/>
          <w:color w:val="auto"/>
        </w:rPr>
      </w:pPr>
      <w:r>
        <w:rPr>
          <w:rFonts w:ascii="Arial" w:cs="Arial" w:eastAsia="Arial" w:hAnsi="Arial"/>
          <w:sz w:val="20"/>
          <w:szCs w:val="20"/>
          <w:color w:val="auto"/>
        </w:rPr>
        <w:t>During your employment and for one year after it ends, you will not directly or indirectly solicit or attempt to solicit any client, customer, or supplier of, or provider to the Company or its Subsidiaries who was a client, customer, supplier or provider for which you provided services or supervised services during the 12-month period immediately prior to your Termination of Service.</w:t>
      </w:r>
    </w:p>
    <w:p>
      <w:pPr>
        <w:spacing w:after="0" w:line="225" w:lineRule="exact"/>
        <w:rPr>
          <w:sz w:val="20"/>
          <w:szCs w:val="20"/>
          <w:color w:val="auto"/>
        </w:rPr>
      </w:pPr>
    </w:p>
    <w:p>
      <w:pPr>
        <w:ind w:left="1300" w:right="280"/>
        <w:spacing w:after="0" w:line="246" w:lineRule="auto"/>
        <w:rPr>
          <w:sz w:val="20"/>
          <w:szCs w:val="20"/>
          <w:color w:val="auto"/>
        </w:rPr>
      </w:pPr>
      <w:r>
        <w:rPr>
          <w:rFonts w:ascii="Arial" w:cs="Arial" w:eastAsia="Arial" w:hAnsi="Arial"/>
          <w:sz w:val="20"/>
          <w:szCs w:val="20"/>
          <w:color w:val="auto"/>
        </w:rPr>
        <w:t>You may seek permission from the Company to take action that would otherwise violate one or more aspects of these Restrictive Covenants, but the Company may either approve or deny such request in its unfettered discretion and otherwise enforce the provisions of the Restrictive Covenants.</w:t>
      </w:r>
    </w:p>
    <w:p>
      <w:pPr>
        <w:spacing w:after="0" w:line="218" w:lineRule="exact"/>
        <w:rPr>
          <w:sz w:val="20"/>
          <w:szCs w:val="20"/>
          <w:color w:val="auto"/>
        </w:rPr>
      </w:pPr>
    </w:p>
    <w:p>
      <w:pPr>
        <w:ind w:left="1300" w:right="60"/>
        <w:spacing w:after="0" w:line="310" w:lineRule="auto"/>
        <w:rPr>
          <w:sz w:val="20"/>
          <w:szCs w:val="20"/>
          <w:color w:val="auto"/>
        </w:rPr>
      </w:pPr>
      <w:r>
        <w:rPr>
          <w:rFonts w:ascii="Arial" w:cs="Arial" w:eastAsia="Arial" w:hAnsi="Arial"/>
          <w:sz w:val="16"/>
          <w:szCs w:val="16"/>
          <w:color w:val="auto"/>
        </w:rPr>
        <w:t>If you violate any of the Restrictive Covenants during its effective period without the Company’s consent, your entire Award, whether unvested or earned and vested but unsettled, will immediately be cancelled. In addition, you agree to repay to the Company the value of all PSUs that were delivered pursuant to this Award Document during the period commencing on the date that is 12 months prior to your Termination of Service and ending on the date that is 12 months following your Termination of Service. To the extent permitted under applicable law, the Company may also take action at equity or in law to enforce the provisions of the applicable Restrictive Covenants. Following application of this provision of the Award Document, you will continue to be bound by the obligations, promises and other agreements contained in the Plan and the Award Document.</w:t>
      </w:r>
    </w:p>
    <w:p>
      <w:pPr>
        <w:sectPr>
          <w:pgSz w:w="11900" w:h="16838" w:orient="portrait"/>
          <w:cols w:equalWidth="0" w:num="1">
            <w:col w:w="9180"/>
          </w:cols>
          <w:pgMar w:left="1440" w:top="1399" w:right="1279" w:bottom="1440" w:gutter="0" w:footer="0" w:header="0"/>
        </w:sectPr>
      </w:pPr>
    </w:p>
    <w:bookmarkStart w:id="49" w:name="page50"/>
    <w:bookmarkEnd w:id="49"/>
    <w:tbl>
      <w:tblPr>
        <w:tblLayout w:type="fixed"/>
        <w:tblInd w:w="10" w:type="dxa"/>
        <w:tblCellMar>
          <w:top w:w="0" w:type="dxa"/>
          <w:left w:w="0" w:type="dxa"/>
          <w:bottom w:w="0" w:type="dxa"/>
          <w:right w:w="0" w:type="dxa"/>
        </w:tblCellMar>
      </w:tblPr>
      <w:tr>
        <w:trPr>
          <w:trHeight w:val="247"/>
        </w:trPr>
        <w:tc>
          <w:tcPr>
            <w:tcW w:w="2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Other Terms and</w:t>
            </w:r>
          </w:p>
        </w:tc>
        <w:tc>
          <w:tcPr>
            <w:tcW w:w="792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w w:val="93"/>
              </w:rPr>
              <w:t>Refer to the Plan for additional terms and conditions applicable to your Award, including but not</w:t>
            </w:r>
          </w:p>
        </w:tc>
      </w:tr>
      <w:tr>
        <w:trPr>
          <w:trHeight w:val="256"/>
        </w:trPr>
        <w:tc>
          <w:tcPr>
            <w:tcW w:w="2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Conditions of the Award</w:t>
            </w:r>
          </w:p>
        </w:tc>
        <w:tc>
          <w:tcPr>
            <w:tcW w:w="79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limited to, those relating to:</w:t>
            </w:r>
          </w:p>
        </w:tc>
      </w:tr>
      <w:tr>
        <w:trPr>
          <w:trHeight w:val="425"/>
        </w:trPr>
        <w:tc>
          <w:tcPr>
            <w:tcW w:w="2420" w:type="dxa"/>
            <w:vAlign w:val="bottom"/>
            <w:tcBorders>
              <w:left w:val="single" w:sz="8" w:color="auto"/>
              <w:right w:val="single" w:sz="8" w:color="auto"/>
            </w:tcBorders>
          </w:tcPr>
          <w:p>
            <w:pPr>
              <w:spacing w:after="0"/>
              <w:rPr>
                <w:sz w:val="24"/>
                <w:szCs w:val="24"/>
                <w:color w:val="auto"/>
              </w:rPr>
            </w:pPr>
          </w:p>
        </w:tc>
        <w:tc>
          <w:tcPr>
            <w:tcW w:w="792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w w:val="96"/>
              </w:rPr>
              <w:t>•   Effect of your Termination of Service on your Award, including upon Death, Disability,</w:t>
            </w:r>
          </w:p>
        </w:tc>
      </w:tr>
      <w:tr>
        <w:trPr>
          <w:trHeight w:val="230"/>
        </w:trPr>
        <w:tc>
          <w:tcPr>
            <w:tcW w:w="2420" w:type="dxa"/>
            <w:vAlign w:val="bottom"/>
            <w:tcBorders>
              <w:left w:val="single" w:sz="8" w:color="auto"/>
              <w:right w:val="single" w:sz="8" w:color="auto"/>
            </w:tcBorders>
          </w:tcPr>
          <w:p>
            <w:pPr>
              <w:spacing w:after="0"/>
              <w:rPr>
                <w:sz w:val="19"/>
                <w:szCs w:val="19"/>
                <w:color w:val="auto"/>
              </w:rPr>
            </w:pPr>
          </w:p>
        </w:tc>
        <w:tc>
          <w:tcPr>
            <w:tcW w:w="792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achievement of Full Career Status and other Termination of Service scenarios;</w:t>
            </w:r>
          </w:p>
        </w:tc>
      </w:tr>
      <w:tr>
        <w:trPr>
          <w:trHeight w:val="229"/>
        </w:trPr>
        <w:tc>
          <w:tcPr>
            <w:tcW w:w="2420" w:type="dxa"/>
            <w:vAlign w:val="bottom"/>
            <w:tcBorders>
              <w:left w:val="single" w:sz="8" w:color="auto"/>
              <w:right w:val="single" w:sz="8" w:color="auto"/>
            </w:tcBorders>
          </w:tcPr>
          <w:p>
            <w:pPr>
              <w:spacing w:after="0"/>
              <w:rPr>
                <w:sz w:val="19"/>
                <w:szCs w:val="19"/>
                <w:color w:val="auto"/>
              </w:rPr>
            </w:pPr>
          </w:p>
        </w:tc>
        <w:tc>
          <w:tcPr>
            <w:tcW w:w="792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w w:val="91"/>
              </w:rPr>
              <w:t>•   Your Award being subject to any clawback or recoupment policies of the Company as may</w:t>
            </w:r>
          </w:p>
        </w:tc>
      </w:tr>
      <w:tr>
        <w:trPr>
          <w:trHeight w:val="229"/>
        </w:trPr>
        <w:tc>
          <w:tcPr>
            <w:tcW w:w="2420" w:type="dxa"/>
            <w:vAlign w:val="bottom"/>
            <w:tcBorders>
              <w:left w:val="single" w:sz="8" w:color="auto"/>
              <w:right w:val="single" w:sz="8" w:color="auto"/>
            </w:tcBorders>
          </w:tcPr>
          <w:p>
            <w:pPr>
              <w:spacing w:after="0"/>
              <w:rPr>
                <w:sz w:val="19"/>
                <w:szCs w:val="19"/>
                <w:color w:val="auto"/>
              </w:rPr>
            </w:pPr>
          </w:p>
        </w:tc>
        <w:tc>
          <w:tcPr>
            <w:tcW w:w="792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be in effect from time to time;</w:t>
            </w:r>
          </w:p>
        </w:tc>
      </w:tr>
      <w:tr>
        <w:trPr>
          <w:trHeight w:val="230"/>
        </w:trPr>
        <w:tc>
          <w:tcPr>
            <w:tcW w:w="2420" w:type="dxa"/>
            <w:vAlign w:val="bottom"/>
            <w:tcBorders>
              <w:left w:val="single" w:sz="8" w:color="auto"/>
              <w:right w:val="single" w:sz="8" w:color="auto"/>
            </w:tcBorders>
          </w:tcPr>
          <w:p>
            <w:pPr>
              <w:spacing w:after="0"/>
              <w:rPr>
                <w:sz w:val="19"/>
                <w:szCs w:val="19"/>
                <w:color w:val="auto"/>
              </w:rPr>
            </w:pPr>
          </w:p>
        </w:tc>
        <w:tc>
          <w:tcPr>
            <w:tcW w:w="792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w w:val="92"/>
              </w:rPr>
              <w:t>•   The impact of a Change in Control or other specified corporate event on your Award; and</w:t>
            </w:r>
          </w:p>
        </w:tc>
      </w:tr>
      <w:tr>
        <w:trPr>
          <w:trHeight w:val="250"/>
        </w:trPr>
        <w:tc>
          <w:tcPr>
            <w:tcW w:w="2420" w:type="dxa"/>
            <w:vAlign w:val="bottom"/>
            <w:tcBorders>
              <w:left w:val="single" w:sz="8" w:color="auto"/>
              <w:right w:val="single" w:sz="8" w:color="auto"/>
            </w:tcBorders>
          </w:tcPr>
          <w:p>
            <w:pPr>
              <w:spacing w:after="0"/>
              <w:rPr>
                <w:sz w:val="21"/>
                <w:szCs w:val="21"/>
                <w:color w:val="auto"/>
              </w:rPr>
            </w:pPr>
          </w:p>
        </w:tc>
        <w:tc>
          <w:tcPr>
            <w:tcW w:w="792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rPr>
              <w:t>•   Jurisdiction and governing law.</w:t>
            </w:r>
          </w:p>
        </w:tc>
      </w:tr>
      <w:tr>
        <w:trPr>
          <w:trHeight w:val="23"/>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79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Acknowledgements</w:t>
      </w:r>
    </w:p>
    <w:p>
      <w:pPr>
        <w:spacing w:after="0" w:line="249" w:lineRule="exact"/>
        <w:rPr>
          <w:sz w:val="20"/>
          <w:szCs w:val="20"/>
          <w:color w:val="auto"/>
        </w:rPr>
      </w:pPr>
    </w:p>
    <w:p>
      <w:pPr>
        <w:jc w:val="both"/>
        <w:ind w:right="340"/>
        <w:spacing w:after="0" w:line="250" w:lineRule="auto"/>
        <w:rPr>
          <w:sz w:val="20"/>
          <w:szCs w:val="20"/>
          <w:color w:val="auto"/>
        </w:rPr>
      </w:pPr>
      <w:r>
        <w:rPr>
          <w:rFonts w:ascii="Arial" w:cs="Arial" w:eastAsia="Arial" w:hAnsi="Arial"/>
          <w:sz w:val="20"/>
          <w:szCs w:val="20"/>
          <w:color w:val="auto"/>
        </w:rPr>
        <w:t>The following additional terms apply to your Award, your participation in the Plan and the grant of PSUs (and issuance of any Shares) to you. By accepting the Award you irrevocably agree and acknowledge in favor of the Company (on its own behalf and as an agent for the Subsidiaries) that:</w:t>
      </w:r>
    </w:p>
    <w:p>
      <w:pPr>
        <w:spacing w:after="0" w:line="213" w:lineRule="exact"/>
        <w:rPr>
          <w:sz w:val="20"/>
          <w:szCs w:val="20"/>
          <w:color w:val="auto"/>
        </w:rPr>
      </w:pPr>
    </w:p>
    <w:p>
      <w:pPr>
        <w:ind w:left="340" w:right="80" w:hanging="332"/>
        <w:spacing w:after="0" w:line="250" w:lineRule="auto"/>
        <w:tabs>
          <w:tab w:leader="none" w:pos="332" w:val="left"/>
        </w:tabs>
        <w:numPr>
          <w:ilvl w:val="0"/>
          <w:numId w:val="24"/>
        </w:numPr>
        <w:rPr>
          <w:rFonts w:ascii="Arial" w:cs="Arial" w:eastAsia="Arial" w:hAnsi="Arial"/>
          <w:sz w:val="20"/>
          <w:szCs w:val="20"/>
          <w:color w:val="auto"/>
        </w:rPr>
      </w:pPr>
      <w:r>
        <w:rPr>
          <w:rFonts w:ascii="Arial" w:cs="Arial" w:eastAsia="Arial" w:hAnsi="Arial"/>
          <w:sz w:val="20"/>
          <w:szCs w:val="20"/>
          <w:color w:val="auto"/>
        </w:rPr>
        <w:t>To enable the Company to issue you this Award, and administer the Plan and any Award, you consent to the holding and processing of personal information provided by you to the Company or any Subsidiary, trustee or third party service provider, for all purposes relating to the operation of the Plan in accordance with Section 20 of the Plan.</w:t>
      </w:r>
    </w:p>
    <w:p>
      <w:pPr>
        <w:spacing w:after="0" w:line="212" w:lineRule="exact"/>
        <w:rPr>
          <w:rFonts w:ascii="Arial" w:cs="Arial" w:eastAsia="Arial" w:hAnsi="Arial"/>
          <w:sz w:val="20"/>
          <w:szCs w:val="20"/>
          <w:color w:val="auto"/>
        </w:rPr>
      </w:pPr>
    </w:p>
    <w:p>
      <w:pPr>
        <w:ind w:left="340" w:hanging="332"/>
        <w:spacing w:after="0" w:line="244" w:lineRule="auto"/>
        <w:tabs>
          <w:tab w:leader="none" w:pos="329" w:val="left"/>
        </w:tabs>
        <w:numPr>
          <w:ilvl w:val="0"/>
          <w:numId w:val="24"/>
        </w:numPr>
        <w:rPr>
          <w:rFonts w:ascii="Arial" w:cs="Arial" w:eastAsia="Arial" w:hAnsi="Arial"/>
          <w:sz w:val="20"/>
          <w:szCs w:val="20"/>
          <w:color w:val="auto"/>
        </w:rPr>
      </w:pPr>
      <w:r>
        <w:rPr>
          <w:rFonts w:ascii="Arial" w:cs="Arial" w:eastAsia="Arial" w:hAnsi="Arial"/>
          <w:sz w:val="20"/>
          <w:szCs w:val="20"/>
          <w:color w:val="auto"/>
        </w:rPr>
        <w:t>You will not have any claim to be granted any Award under the Plan, and there is no obligation for uniformity of treatment of employees, consultants, advisors, Participants or holders or Beneficiaries of Awards under the Plan. The terms and conditions of Awards need not be the same with respect to each recipient. Any Award granted under the Plan shall be a single, voluntary grant and does not constitute a promise, a contractual right or other right to receive future grants. The Committee maintains the right to make available future grants under the Plan.</w:t>
      </w:r>
    </w:p>
    <w:p>
      <w:pPr>
        <w:spacing w:after="0" w:line="221" w:lineRule="exact"/>
        <w:rPr>
          <w:rFonts w:ascii="Arial" w:cs="Arial" w:eastAsia="Arial" w:hAnsi="Arial"/>
          <w:sz w:val="20"/>
          <w:szCs w:val="20"/>
          <w:color w:val="auto"/>
        </w:rPr>
      </w:pPr>
    </w:p>
    <w:p>
      <w:pPr>
        <w:ind w:left="340" w:right="20" w:hanging="332"/>
        <w:spacing w:after="0" w:line="244" w:lineRule="auto"/>
        <w:tabs>
          <w:tab w:leader="none" w:pos="332"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grant of this Award does not give you the right to be retained in the employ of, or to continue to provide services to, the Company or any Subsidiary. The Company or the applicable Subsidiary may at any time dismiss you, free from any liability or any claim under the Plan, unless otherwise expressly provided in the Plan or in any other agreement binding you and the Company or the applicable Subsidiary. Your receipt of this Award under the Plan is not intended to confer any rights on you except as set forth in this Award Document or in the Plan.</w:t>
      </w:r>
    </w:p>
    <w:p>
      <w:pPr>
        <w:spacing w:after="0" w:line="221" w:lineRule="exact"/>
        <w:rPr>
          <w:rFonts w:ascii="Arial" w:cs="Arial" w:eastAsia="Arial" w:hAnsi="Arial"/>
          <w:sz w:val="20"/>
          <w:szCs w:val="20"/>
          <w:color w:val="auto"/>
        </w:rPr>
      </w:pPr>
    </w:p>
    <w:p>
      <w:pPr>
        <w:ind w:left="340" w:hanging="332"/>
        <w:spacing w:after="0" w:line="244" w:lineRule="auto"/>
        <w:tabs>
          <w:tab w:leader="none" w:pos="329" w:val="left"/>
        </w:tabs>
        <w:numPr>
          <w:ilvl w:val="0"/>
          <w:numId w:val="24"/>
        </w:numPr>
        <w:rPr>
          <w:rFonts w:ascii="Arial" w:cs="Arial" w:eastAsia="Arial" w:hAnsi="Arial"/>
          <w:sz w:val="20"/>
          <w:szCs w:val="20"/>
          <w:color w:val="auto"/>
        </w:rPr>
      </w:pPr>
      <w:r>
        <w:rPr>
          <w:rFonts w:ascii="Arial" w:cs="Arial" w:eastAsia="Arial" w:hAnsi="Arial"/>
          <w:sz w:val="20"/>
          <w:szCs w:val="20"/>
          <w:color w:val="auto"/>
        </w:rPr>
        <w:t>Unless otherwise required by law, this Award under, and your participation in, the Plan does not form part of your remuneration for the purposes of determining payments in lieu of notice of termination of your employment, severance payments, leave entitlements, or any other compensation payable to you. No Award, payment, or other right or benefit, under the Plan will be taken into account in determining any benefits under any pension, retirement, savings, profit-sharing, group insurance, welfare or benefit plan of the Company or any of the Subsidiaries.</w:t>
      </w:r>
    </w:p>
    <w:p>
      <w:pPr>
        <w:spacing w:after="0" w:line="221" w:lineRule="exact"/>
        <w:rPr>
          <w:rFonts w:ascii="Arial" w:cs="Arial" w:eastAsia="Arial" w:hAnsi="Arial"/>
          <w:sz w:val="20"/>
          <w:szCs w:val="20"/>
          <w:color w:val="auto"/>
        </w:rPr>
      </w:pPr>
    </w:p>
    <w:p>
      <w:pPr>
        <w:ind w:left="340" w:right="180" w:hanging="332"/>
        <w:spacing w:after="0" w:line="250" w:lineRule="auto"/>
        <w:tabs>
          <w:tab w:leader="none" w:pos="332"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This Award includes Restrictive Covenants and conditions precedent that apply during and following your termination of employment, and the PSUs described in this Award constitute one element of the good and valuable consideration provided in exchange for those Restrictive Covenants. You may be subject to other</w:t>
      </w:r>
    </w:p>
    <w:p>
      <w:pPr>
        <w:sectPr>
          <w:pgSz w:w="11900" w:h="16838" w:orient="portrait"/>
          <w:cols w:equalWidth="0" w:num="1">
            <w:col w:w="11180"/>
          </w:cols>
          <w:pgMar w:left="320" w:top="1362" w:right="399" w:bottom="1440" w:gutter="0" w:footer="0" w:header="0"/>
        </w:sectPr>
      </w:pPr>
    </w:p>
    <w:bookmarkStart w:id="50" w:name="page51"/>
    <w:bookmarkEnd w:id="50"/>
    <w:p>
      <w:pPr>
        <w:ind w:left="340"/>
        <w:spacing w:after="0"/>
        <w:rPr>
          <w:sz w:val="20"/>
          <w:szCs w:val="20"/>
          <w:color w:val="auto"/>
        </w:rPr>
      </w:pPr>
      <w:r>
        <w:rPr>
          <w:rFonts w:ascii="Arial" w:cs="Arial" w:eastAsia="Arial" w:hAnsi="Arial"/>
          <w:sz w:val="20"/>
          <w:szCs w:val="20"/>
          <w:color w:val="auto"/>
        </w:rPr>
        <w:t>Agreements that contain restrictive covenants and those covenants are independent of these Restrictive Covenants.</w:t>
      </w:r>
    </w:p>
    <w:p>
      <w:pPr>
        <w:spacing w:after="0" w:line="243" w:lineRule="exact"/>
        <w:rPr>
          <w:sz w:val="20"/>
          <w:szCs w:val="20"/>
          <w:color w:val="auto"/>
        </w:rPr>
      </w:pPr>
    </w:p>
    <w:p>
      <w:pPr>
        <w:jc w:val="both"/>
        <w:ind w:left="340" w:right="280" w:hanging="332"/>
        <w:spacing w:after="0" w:line="250" w:lineRule="auto"/>
        <w:tabs>
          <w:tab w:leader="none" w:pos="337"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Company and the Subsidiaries, their respective affiliates, officers and employees make no representation concerning the financial benefit or taxation consequences of any Award or participation in the Plan and you are strongly advised to seek your own professional legal and taxation advice concerning the impact of the Plan and your Award.</w:t>
      </w:r>
    </w:p>
    <w:p>
      <w:pPr>
        <w:spacing w:after="0" w:line="212" w:lineRule="exact"/>
        <w:rPr>
          <w:rFonts w:ascii="Arial" w:cs="Arial" w:eastAsia="Arial" w:hAnsi="Arial"/>
          <w:sz w:val="20"/>
          <w:szCs w:val="20"/>
          <w:color w:val="auto"/>
        </w:rPr>
      </w:pPr>
    </w:p>
    <w:p>
      <w:pPr>
        <w:ind w:left="340" w:right="120" w:hanging="332"/>
        <w:spacing w:after="0" w:line="260" w:lineRule="auto"/>
        <w:tabs>
          <w:tab w:leader="none" w:pos="329"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and cannot be predicted with certainty and the Shares may increase or decrease in value.</w:t>
      </w:r>
    </w:p>
    <w:p>
      <w:pPr>
        <w:spacing w:after="0" w:line="203" w:lineRule="exact"/>
        <w:rPr>
          <w:rFonts w:ascii="Arial" w:cs="Arial" w:eastAsia="Arial" w:hAnsi="Arial"/>
          <w:sz w:val="20"/>
          <w:szCs w:val="20"/>
          <w:color w:val="auto"/>
        </w:rPr>
      </w:pPr>
    </w:p>
    <w:p>
      <w:pPr>
        <w:ind w:left="340" w:right="20" w:hanging="332"/>
        <w:spacing w:after="0" w:line="282" w:lineRule="auto"/>
        <w:tabs>
          <w:tab w:leader="none" w:pos="329" w:val="left"/>
        </w:tabs>
        <w:numPr>
          <w:ilvl w:val="0"/>
          <w:numId w:val="25"/>
        </w:numPr>
        <w:rPr>
          <w:rFonts w:ascii="Arial" w:cs="Arial" w:eastAsia="Arial" w:hAnsi="Arial"/>
          <w:sz w:val="18"/>
          <w:szCs w:val="18"/>
          <w:color w:val="auto"/>
        </w:rPr>
      </w:pPr>
      <w:r>
        <w:rPr>
          <w:rFonts w:ascii="Arial" w:cs="Arial" w:eastAsia="Arial" w:hAnsi="Arial"/>
          <w:sz w:val="18"/>
          <w:szCs w:val="18"/>
          <w:color w:val="auto"/>
        </w:rPr>
        <w:t>You will have no claim or entitlement to compensation or damages arising from the forfeiture of the PSUs, the termination of the Plan, or the diminution in value of the PSUs or Shares, including without limitation, as a result of the termination of your employment by the Company or any Subsidiary for any reason whatsoever and whether or not in breach of contract. You irrevocably release the Company, its Subsidiaries, Affiliates, the Plan Administrator and their affiliates from any such claim that may arise.</w:t>
      </w:r>
    </w:p>
    <w:p>
      <w:pPr>
        <w:spacing w:after="0" w:line="188" w:lineRule="exact"/>
        <w:rPr>
          <w:rFonts w:ascii="Arial" w:cs="Arial" w:eastAsia="Arial" w:hAnsi="Arial"/>
          <w:sz w:val="18"/>
          <w:szCs w:val="18"/>
          <w:color w:val="auto"/>
        </w:rPr>
      </w:pPr>
    </w:p>
    <w:p>
      <w:pPr>
        <w:ind w:left="340" w:hanging="332"/>
        <w:spacing w:after="0" w:line="260" w:lineRule="auto"/>
        <w:tabs>
          <w:tab w:leader="none" w:pos="339"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Company has adopted a stock ownership requirement policy, and if your position is covered, you shall be subject to and comply with this policy as may be in effect from time to time.</w:t>
      </w:r>
    </w:p>
    <w:p>
      <w:pPr>
        <w:spacing w:after="0" w:line="203" w:lineRule="exact"/>
        <w:rPr>
          <w:rFonts w:ascii="Arial" w:cs="Arial" w:eastAsia="Arial" w:hAnsi="Arial"/>
          <w:sz w:val="20"/>
          <w:szCs w:val="20"/>
          <w:color w:val="auto"/>
        </w:rPr>
      </w:pPr>
    </w:p>
    <w:p>
      <w:pPr>
        <w:ind w:left="340" w:right="140" w:hanging="332"/>
        <w:spacing w:after="0" w:line="282" w:lineRule="auto"/>
        <w:tabs>
          <w:tab w:leader="none" w:pos="3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any term of this Award is determined to be unenforceable as written by a court of competent jurisdiction, you acknowledge and agree that such term shall be adjusted to the extent determined by the court to achieve the intent of the Company in imposing such term and if the court determines that such term cannot be reformed to achieve the intent of the Company, then the elimination of the pertinent provisions of that term shall not otherwise impact the enforceability of the other terms of this Award.</w:t>
      </w:r>
    </w:p>
    <w:p>
      <w:pPr>
        <w:spacing w:after="0" w:line="188" w:lineRule="exact"/>
        <w:rPr>
          <w:rFonts w:ascii="Arial" w:cs="Arial" w:eastAsia="Arial" w:hAnsi="Arial"/>
          <w:sz w:val="18"/>
          <w:szCs w:val="18"/>
          <w:color w:val="auto"/>
        </w:rPr>
      </w:pPr>
    </w:p>
    <w:p>
      <w:pPr>
        <w:ind w:left="340" w:right="100" w:hanging="332"/>
        <w:spacing w:after="0" w:line="276" w:lineRule="auto"/>
        <w:tabs>
          <w:tab w:leader="none" w:pos="329" w:val="left"/>
        </w:tabs>
        <w:numPr>
          <w:ilvl w:val="0"/>
          <w:numId w:val="25"/>
        </w:numPr>
        <w:rPr>
          <w:rFonts w:ascii="Arial" w:cs="Arial" w:eastAsia="Arial" w:hAnsi="Arial"/>
          <w:sz w:val="18"/>
          <w:szCs w:val="18"/>
          <w:color w:val="auto"/>
        </w:rPr>
      </w:pPr>
      <w:r>
        <w:rPr>
          <w:rFonts w:ascii="Arial" w:cs="Arial" w:eastAsia="Arial" w:hAnsi="Arial"/>
          <w:sz w:val="18"/>
          <w:szCs w:val="18"/>
          <w:color w:val="auto"/>
        </w:rPr>
        <w:t>You agree this Plan and this Award are governed by the laws of the State of Delaware, without regard to the conflicts of law provisions thereof, and further consent to the exclusive personal jurisdiction and venue of the Chancery Court of the State of Delaware and the United States District Court for the District of Delaware for any action, claim or dispute arising out of or relating to this Award, the Plan or the subject matter contained in this Award Document. The Company will make reasonable efforts so that the Award complies with all applicable federal and state securities laws; provided, however, notwithstanding any other provision of the Award Document, the PSUs shall not be settled if the settlement thereof would result in a violation of any such law.</w:t>
      </w:r>
    </w:p>
    <w:p>
      <w:pPr>
        <w:spacing w:after="0" w:line="191" w:lineRule="exact"/>
        <w:rPr>
          <w:rFonts w:ascii="Arial" w:cs="Arial" w:eastAsia="Arial" w:hAnsi="Arial"/>
          <w:sz w:val="18"/>
          <w:szCs w:val="18"/>
          <w:color w:val="auto"/>
        </w:rPr>
      </w:pPr>
    </w:p>
    <w:p>
      <w:pPr>
        <w:ind w:left="340" w:right="620" w:hanging="332"/>
        <w:spacing w:after="0" w:line="260" w:lineRule="auto"/>
        <w:tabs>
          <w:tab w:leader="none" w:pos="339" w:val="left"/>
        </w:tabs>
        <w:numPr>
          <w:ilvl w:val="0"/>
          <w:numId w:val="25"/>
        </w:numPr>
        <w:rPr>
          <w:rFonts w:ascii="Arial" w:cs="Arial" w:eastAsia="Arial" w:hAnsi="Arial"/>
          <w:sz w:val="20"/>
          <w:szCs w:val="20"/>
          <w:color w:val="auto"/>
        </w:rPr>
      </w:pPr>
      <w:r>
        <w:rPr>
          <w:rFonts w:ascii="Arial" w:cs="Arial" w:eastAsia="Arial" w:hAnsi="Arial"/>
          <w:sz w:val="20"/>
          <w:szCs w:val="20"/>
          <w:color w:val="auto"/>
        </w:rPr>
        <w:t>Nothing in this Award Document will be construed as requiring a forfeiture or otherwise prohibiting you from fully and truthfully cooperating with any investigation or engaging in any other conduct protected by U.S. law.</w:t>
      </w:r>
    </w:p>
    <w:p>
      <w:pPr>
        <w:spacing w:after="0" w:line="203" w:lineRule="exact"/>
        <w:rPr>
          <w:rFonts w:ascii="Arial" w:cs="Arial" w:eastAsia="Arial" w:hAnsi="Arial"/>
          <w:sz w:val="20"/>
          <w:szCs w:val="20"/>
          <w:color w:val="auto"/>
        </w:rPr>
      </w:pPr>
    </w:p>
    <w:p>
      <w:pPr>
        <w:ind w:left="340" w:right="100" w:hanging="332"/>
        <w:spacing w:after="0" w:line="250" w:lineRule="auto"/>
        <w:tabs>
          <w:tab w:leader="none" w:pos="330" w:val="left"/>
        </w:tabs>
        <w:numPr>
          <w:ilvl w:val="0"/>
          <w:numId w:val="25"/>
        </w:numPr>
        <w:rPr>
          <w:rFonts w:ascii="Arial" w:cs="Arial" w:eastAsia="Arial" w:hAnsi="Arial"/>
          <w:sz w:val="20"/>
          <w:szCs w:val="20"/>
          <w:color w:val="auto"/>
        </w:rPr>
      </w:pPr>
      <w:r>
        <w:rPr>
          <w:rFonts w:ascii="Arial" w:cs="Arial" w:eastAsia="Arial" w:hAnsi="Arial"/>
          <w:sz w:val="20"/>
          <w:szCs w:val="20"/>
          <w:color w:val="auto"/>
        </w:rPr>
        <w:t>You have read this Award Document and the Plan carefully and understand their terms, including but not limited to the Restrictive Covenants herein. By indicating your acceptance of these terms, you are expressly accepting the terms and conditions of the Award, and the Company may rely on your acceptance.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Acceptance of Offer</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To accept this offer you will need to follow the link at the bottom of this page. Your electronic acceptance confirms the following:</w:t>
      </w:r>
    </w:p>
    <w:p>
      <w:pPr>
        <w:sectPr>
          <w:pgSz w:w="11900" w:h="16838" w:orient="portrait"/>
          <w:cols w:equalWidth="0" w:num="1">
            <w:col w:w="11220"/>
          </w:cols>
          <w:pgMar w:left="320" w:top="1095" w:right="359" w:bottom="1440" w:gutter="0" w:footer="0" w:header="0"/>
        </w:sectPr>
      </w:pPr>
    </w:p>
    <w:bookmarkStart w:id="51" w:name="page52"/>
    <w:bookmarkEnd w:id="51"/>
    <w:p>
      <w:pPr>
        <w:ind w:right="260"/>
        <w:spacing w:after="0" w:line="260" w:lineRule="auto"/>
        <w:rPr>
          <w:sz w:val="20"/>
          <w:szCs w:val="20"/>
          <w:color w:val="auto"/>
        </w:rPr>
      </w:pPr>
      <w:r>
        <w:rPr>
          <w:rFonts w:ascii="Arial" w:cs="Arial" w:eastAsia="Arial" w:hAnsi="Arial"/>
          <w:sz w:val="20"/>
          <w:szCs w:val="20"/>
          <w:color w:val="auto"/>
        </w:rPr>
        <w:t>I confirm that I have been given a copy of this Award Document and access to the Plan, and that having read both documents I irrevocably agree to:</w:t>
      </w:r>
    </w:p>
    <w:p>
      <w:pPr>
        <w:spacing w:after="0" w:line="177" w:lineRule="exact"/>
        <w:rPr>
          <w:sz w:val="20"/>
          <w:szCs w:val="20"/>
          <w:color w:val="auto"/>
        </w:rPr>
      </w:pPr>
    </w:p>
    <w:p>
      <w:pPr>
        <w:ind w:left="340" w:right="240" w:hanging="332"/>
        <w:spacing w:after="0" w:line="260" w:lineRule="auto"/>
        <w:tabs>
          <w:tab w:leader="none" w:pos="332" w:val="left"/>
        </w:tabs>
        <w:numPr>
          <w:ilvl w:val="0"/>
          <w:numId w:val="26"/>
        </w:numPr>
        <w:rPr>
          <w:rFonts w:ascii="Arial" w:cs="Arial" w:eastAsia="Arial" w:hAnsi="Arial"/>
          <w:sz w:val="20"/>
          <w:szCs w:val="20"/>
          <w:color w:val="auto"/>
        </w:rPr>
      </w:pPr>
      <w:r>
        <w:rPr>
          <w:rFonts w:ascii="Arial" w:cs="Arial" w:eastAsia="Arial" w:hAnsi="Arial"/>
          <w:sz w:val="20"/>
          <w:szCs w:val="20"/>
          <w:color w:val="auto"/>
        </w:rPr>
        <w:t>Accept the number of target PSUs (and any Shares) that are issued by the Company to me in accordance with the terms of the Plan and this Award Document; and</w:t>
      </w:r>
    </w:p>
    <w:p>
      <w:pPr>
        <w:spacing w:after="0" w:line="176" w:lineRule="exact"/>
        <w:rPr>
          <w:rFonts w:ascii="Arial" w:cs="Arial" w:eastAsia="Arial" w:hAnsi="Arial"/>
          <w:sz w:val="20"/>
          <w:szCs w:val="20"/>
          <w:color w:val="auto"/>
        </w:rPr>
      </w:pPr>
    </w:p>
    <w:p>
      <w:pPr>
        <w:ind w:left="320" w:hanging="312"/>
        <w:spacing w:after="0"/>
        <w:tabs>
          <w:tab w:leader="none" w:pos="3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Be bound by and abide by the terms of this Award Document and the Plan.</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If you do not accept this Award by [Insert Date], this offer will lapse and be incapable of acceptance (unless otherwise agreed to by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concerning this offer or the Plan, please contact [Insert Contact Information].</w:t>
      </w:r>
    </w:p>
    <w:p>
      <w:pPr>
        <w:sectPr>
          <w:pgSz w:w="11900" w:h="16838" w:orient="portrait"/>
          <w:cols w:equalWidth="0" w:num="1">
            <w:col w:w="11240"/>
          </w:cols>
          <w:pgMar w:left="320" w:top="1095"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t>EXHIBIT A</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 Performance Measures</w:t>
      </w:r>
    </w:p>
    <w:p>
      <w:pPr>
        <w:spacing w:after="0" w:line="244" w:lineRule="exact"/>
        <w:rPr>
          <w:sz w:val="20"/>
          <w:szCs w:val="20"/>
          <w:color w:val="auto"/>
        </w:rPr>
      </w:pPr>
    </w:p>
    <w:p>
      <w:pPr>
        <w:jc w:val="both"/>
        <w:ind w:right="160"/>
        <w:spacing w:after="0" w:line="282" w:lineRule="auto"/>
        <w:rPr>
          <w:sz w:val="20"/>
          <w:szCs w:val="20"/>
          <w:color w:val="auto"/>
        </w:rPr>
      </w:pPr>
      <w:r>
        <w:rPr>
          <w:rFonts w:ascii="Arial" w:cs="Arial" w:eastAsia="Arial" w:hAnsi="Arial"/>
          <w:sz w:val="18"/>
          <w:szCs w:val="18"/>
          <w:color w:val="auto"/>
        </w:rPr>
        <w:t>The number of Shares that will be delivered will range between 0 - 200% of your number of Target Units and will be determined based on two performance measures – Relative ROIC-Adjusted and Relative TSR. For each measure, GM’s ROIC-Adjusted performance and GM’s TSR performance will be measured relative to the performance of the companies in the “</w:t>
      </w:r>
      <w:r>
        <w:rPr>
          <w:rFonts w:ascii="Arial" w:cs="Arial" w:eastAsia="Arial" w:hAnsi="Arial"/>
          <w:sz w:val="18"/>
          <w:szCs w:val="18"/>
          <w:b w:val="1"/>
          <w:bCs w:val="1"/>
          <w:color w:val="auto"/>
        </w:rPr>
        <w:t>OEM Peer Group</w:t>
      </w:r>
      <w:r>
        <w:rPr>
          <w:rFonts w:ascii="Arial" w:cs="Arial" w:eastAsia="Arial" w:hAnsi="Arial"/>
          <w:sz w:val="18"/>
          <w:szCs w:val="18"/>
          <w:color w:val="auto"/>
        </w:rPr>
        <w:t>.” Each performance measure is assessed independently, so it is possible to receive a payout for one performance measure and not the other.</w:t>
      </w:r>
    </w:p>
    <w:p>
      <w:pPr>
        <w:spacing w:after="0" w:line="188"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The OEM Peer Group means the Original Equipment Manufacturers (other than GM) in the Dow Jones Automobiles and Parts Titans 30 Index on the Grant Date. Note: The Company reserves the right to adjust the companies listed in the OEM Peer Group due to the following events: mergers, acquisitions, consolidations, divestitures or insolvencies.</w:t>
      </w:r>
    </w:p>
    <w:p>
      <w:pPr>
        <w:spacing w:after="0" w:line="200" w:lineRule="exact"/>
        <w:rPr>
          <w:sz w:val="20"/>
          <w:szCs w:val="20"/>
          <w:color w:val="auto"/>
        </w:rPr>
      </w:pPr>
    </w:p>
    <w:p>
      <w:pPr>
        <w:spacing w:after="0" w:line="223" w:lineRule="exact"/>
        <w:rPr>
          <w:sz w:val="20"/>
          <w:szCs w:val="20"/>
          <w:color w:val="auto"/>
        </w:rPr>
      </w:pPr>
    </w:p>
    <w:p>
      <w:pPr>
        <w:ind w:right="620"/>
        <w:spacing w:after="0" w:line="267" w:lineRule="auto"/>
        <w:rPr>
          <w:sz w:val="20"/>
          <w:szCs w:val="20"/>
          <w:color w:val="auto"/>
        </w:rPr>
      </w:pPr>
      <w:r>
        <w:rPr>
          <w:rFonts w:ascii="Arial" w:cs="Arial" w:eastAsia="Arial" w:hAnsi="Arial"/>
          <w:sz w:val="20"/>
          <w:szCs w:val="20"/>
          <w:b w:val="1"/>
          <w:bCs w:val="1"/>
          <w:u w:val="single" w:color="auto"/>
          <w:color w:val="auto"/>
        </w:rPr>
        <w:t>Relative ROIC-Adjusted</w:t>
      </w:r>
      <w:r>
        <w:rPr>
          <w:rFonts w:ascii="Arial" w:cs="Arial" w:eastAsia="Arial" w:hAnsi="Arial"/>
          <w:sz w:val="20"/>
          <w:szCs w:val="20"/>
          <w:b w:val="1"/>
          <w:bCs w:val="1"/>
          <w:color w:val="auto"/>
        </w:rPr>
        <w:t xml:space="preserve">: </w:t>
      </w:r>
      <w:r>
        <w:rPr>
          <w:rFonts w:ascii="Arial" w:cs="Arial" w:eastAsia="Arial" w:hAnsi="Arial"/>
          <w:sz w:val="20"/>
          <w:szCs w:val="20"/>
          <w:color w:val="auto"/>
        </w:rPr>
        <w:t>One-half of the Target Units eligible to be earned will be determined based on Relative ROIC-Adjusted as</w:t>
      </w:r>
      <w:r>
        <w:rPr>
          <w:rFonts w:ascii="Arial" w:cs="Arial" w:eastAsia="Arial" w:hAnsi="Arial"/>
          <w:sz w:val="20"/>
          <w:szCs w:val="20"/>
          <w:b w:val="1"/>
          <w:bCs w:val="1"/>
          <w:color w:val="auto"/>
        </w:rPr>
        <w:t xml:space="preserve"> </w:t>
      </w:r>
      <w:r>
        <w:rPr>
          <w:rFonts w:ascii="Arial" w:cs="Arial" w:eastAsia="Arial" w:hAnsi="Arial"/>
          <w:sz w:val="20"/>
          <w:szCs w:val="20"/>
          <w:color w:val="auto"/>
        </w:rPr>
        <w:t>follows:</w:t>
      </w:r>
    </w:p>
    <w:p>
      <w:pPr>
        <w:spacing w:after="0" w:line="169"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First, the 3-Year Average ROIC-Adjusted for each company is determined.</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Second, the results for each company in the OEM Peer Group are ranked by percentile independent of GM’s results.</w:t>
      </w:r>
    </w:p>
    <w:p>
      <w:pPr>
        <w:spacing w:after="0" w:line="215" w:lineRule="exact"/>
        <w:rPr>
          <w:rFonts w:ascii="Arial" w:cs="Arial" w:eastAsia="Arial" w:hAnsi="Arial"/>
          <w:sz w:val="20"/>
          <w:szCs w:val="20"/>
          <w:color w:val="auto"/>
        </w:rPr>
      </w:pPr>
    </w:p>
    <w:p>
      <w:pPr>
        <w:ind w:left="660" w:right="180" w:hanging="328"/>
        <w:spacing w:after="0" w:line="260"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Third, GM’s 3-Year Average ROIC-Adjusted result is placed on the percentile continuum between the peer company directly above us and below us to determine our performance.</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Fourth, the percentage of Target Units earned is determined based on the following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6515100" cy="13201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515100" cy="1320165"/>
                    </a:xfrm>
                    <a:prstGeom prst="rect">
                      <a:avLst/>
                    </a:prstGeom>
                    <a:noFill/>
                  </pic:spPr>
                </pic:pic>
              </a:graphicData>
            </a:graphic>
          </wp:anchor>
        </w:drawing>
      </w:r>
    </w:p>
    <w:p>
      <w:pPr>
        <w:spacing w:after="0" w:line="266" w:lineRule="exact"/>
        <w:rPr>
          <w:sz w:val="20"/>
          <w:szCs w:val="20"/>
          <w:color w:val="auto"/>
        </w:rPr>
      </w:pPr>
    </w:p>
    <w:p>
      <w:pPr>
        <w:ind w:left="1860"/>
        <w:spacing w:after="0"/>
        <w:rPr>
          <w:sz w:val="20"/>
          <w:szCs w:val="20"/>
          <w:color w:val="auto"/>
        </w:rPr>
      </w:pPr>
      <w:r>
        <w:rPr>
          <w:rFonts w:ascii="Arial" w:cs="Arial" w:eastAsia="Arial" w:hAnsi="Arial"/>
          <w:sz w:val="22"/>
          <w:szCs w:val="22"/>
          <w:b w:val="1"/>
          <w:bCs w:val="1"/>
          <w:color w:val="auto"/>
        </w:rPr>
        <w:t>GM’s 3-Year Average ROIC-Adjusted Result Versus OEM Peer Group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314"/>
        </w:trPr>
        <w:tc>
          <w:tcPr>
            <w:tcW w:w="2020" w:type="dxa"/>
            <w:vAlign w:val="bottom"/>
            <w:tcBorders>
              <w:top w:val="single" w:sz="8" w:color="auto"/>
              <w:bottom w:val="single" w:sz="8" w:color="auto"/>
              <w:right w:val="single" w:sz="8" w:color="auto"/>
            </w:tcBorders>
          </w:tcPr>
          <w:p>
            <w:pPr>
              <w:spacing w:after="0"/>
              <w:rPr>
                <w:sz w:val="24"/>
                <w:szCs w:val="24"/>
                <w:color w:val="auto"/>
              </w:rPr>
            </w:pP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Below Threshold</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Threshold</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Target</w:t>
            </w:r>
          </w:p>
        </w:tc>
        <w:tc>
          <w:tcPr>
            <w:tcW w:w="1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4"/>
              </w:rPr>
              <w:t>Maximum</w:t>
            </w:r>
          </w:p>
        </w:tc>
      </w:tr>
      <w:tr>
        <w:trPr>
          <w:trHeight w:val="276"/>
        </w:trPr>
        <w:tc>
          <w:tcPr>
            <w:tcW w:w="2020" w:type="dxa"/>
            <w:vAlign w:val="bottom"/>
            <w:tcBorders>
              <w:right w:val="single" w:sz="8" w:color="auto"/>
            </w:tcBorders>
          </w:tcPr>
          <w:p>
            <w:pPr>
              <w:spacing w:after="0"/>
              <w:rPr>
                <w:sz w:val="23"/>
                <w:szCs w:val="23"/>
                <w:color w:val="auto"/>
              </w:rPr>
            </w:pPr>
          </w:p>
        </w:tc>
        <w:tc>
          <w:tcPr>
            <w:tcW w:w="2420" w:type="dxa"/>
            <w:vAlign w:val="bottom"/>
            <w:tcBorders>
              <w:right w:val="single" w:sz="8" w:color="auto"/>
            </w:tcBorders>
          </w:tcPr>
          <w:p>
            <w:pPr>
              <w:jc w:val="center"/>
              <w:spacing w:after="0" w:line="276" w:lineRule="exact"/>
              <w:rPr>
                <w:sz w:val="20"/>
                <w:szCs w:val="20"/>
                <w:color w:val="auto"/>
              </w:rPr>
            </w:pPr>
            <w:r>
              <w:rPr>
                <w:rFonts w:ascii="Arial" w:cs="Arial" w:eastAsia="Arial" w:hAnsi="Arial"/>
                <w:sz w:val="22"/>
                <w:szCs w:val="22"/>
                <w:color w:val="auto"/>
                <w:w w:val="90"/>
              </w:rPr>
              <w:t>Below 35</w:t>
            </w:r>
            <w:r>
              <w:rPr>
                <w:rFonts w:ascii="Arial" w:cs="Arial" w:eastAsia="Arial" w:hAnsi="Arial"/>
                <w:sz w:val="28"/>
                <w:szCs w:val="28"/>
                <w:color w:val="auto"/>
                <w:w w:val="90"/>
                <w:vertAlign w:val="superscript"/>
              </w:rPr>
              <w:t>th</w:t>
            </w:r>
          </w:p>
        </w:tc>
        <w:tc>
          <w:tcPr>
            <w:tcW w:w="1940" w:type="dxa"/>
            <w:vAlign w:val="bottom"/>
            <w:tcBorders>
              <w:right w:val="single" w:sz="8" w:color="auto"/>
            </w:tcBorders>
          </w:tcPr>
          <w:p>
            <w:pPr>
              <w:jc w:val="center"/>
              <w:spacing w:after="0" w:line="276" w:lineRule="exact"/>
              <w:rPr>
                <w:sz w:val="20"/>
                <w:szCs w:val="20"/>
                <w:color w:val="auto"/>
              </w:rPr>
            </w:pPr>
            <w:r>
              <w:rPr>
                <w:rFonts w:ascii="Arial" w:cs="Arial" w:eastAsia="Arial" w:hAnsi="Arial"/>
                <w:sz w:val="22"/>
                <w:szCs w:val="22"/>
                <w:color w:val="auto"/>
                <w:w w:val="79"/>
              </w:rPr>
              <w:t>35</w:t>
            </w:r>
            <w:r>
              <w:rPr>
                <w:rFonts w:ascii="Arial" w:cs="Arial" w:eastAsia="Arial" w:hAnsi="Arial"/>
                <w:sz w:val="28"/>
                <w:szCs w:val="28"/>
                <w:color w:val="auto"/>
                <w:w w:val="79"/>
                <w:vertAlign w:val="superscript"/>
              </w:rPr>
              <w:t>th</w:t>
            </w:r>
          </w:p>
        </w:tc>
        <w:tc>
          <w:tcPr>
            <w:tcW w:w="1960" w:type="dxa"/>
            <w:vAlign w:val="bottom"/>
            <w:tcBorders>
              <w:right w:val="single" w:sz="8" w:color="auto"/>
            </w:tcBorders>
          </w:tcPr>
          <w:p>
            <w:pPr>
              <w:jc w:val="center"/>
              <w:spacing w:after="0" w:line="276" w:lineRule="exact"/>
              <w:rPr>
                <w:sz w:val="20"/>
                <w:szCs w:val="20"/>
                <w:color w:val="auto"/>
              </w:rPr>
            </w:pPr>
            <w:r>
              <w:rPr>
                <w:rFonts w:ascii="Arial" w:cs="Arial" w:eastAsia="Arial" w:hAnsi="Arial"/>
                <w:sz w:val="22"/>
                <w:szCs w:val="22"/>
                <w:color w:val="auto"/>
                <w:w w:val="79"/>
              </w:rPr>
              <w:t>60</w:t>
            </w:r>
            <w:r>
              <w:rPr>
                <w:rFonts w:ascii="Arial" w:cs="Arial" w:eastAsia="Arial" w:hAnsi="Arial"/>
                <w:sz w:val="28"/>
                <w:szCs w:val="28"/>
                <w:color w:val="auto"/>
                <w:w w:val="79"/>
                <w:vertAlign w:val="superscript"/>
              </w:rPr>
              <w:t>th</w:t>
            </w:r>
          </w:p>
        </w:tc>
        <w:tc>
          <w:tcPr>
            <w:tcW w:w="1920" w:type="dxa"/>
            <w:vAlign w:val="bottom"/>
          </w:tcPr>
          <w:p>
            <w:pPr>
              <w:jc w:val="center"/>
              <w:spacing w:after="0" w:line="276" w:lineRule="exact"/>
              <w:rPr>
                <w:sz w:val="20"/>
                <w:szCs w:val="20"/>
                <w:color w:val="auto"/>
              </w:rPr>
            </w:pPr>
            <w:r>
              <w:rPr>
                <w:rFonts w:ascii="Arial" w:cs="Arial" w:eastAsia="Arial" w:hAnsi="Arial"/>
                <w:sz w:val="22"/>
                <w:szCs w:val="22"/>
                <w:color w:val="auto"/>
                <w:w w:val="80"/>
              </w:rPr>
              <w:t>100</w:t>
            </w:r>
            <w:r>
              <w:rPr>
                <w:rFonts w:ascii="Arial" w:cs="Arial" w:eastAsia="Arial" w:hAnsi="Arial"/>
                <w:sz w:val="28"/>
                <w:szCs w:val="28"/>
                <w:color w:val="auto"/>
                <w:w w:val="80"/>
                <w:vertAlign w:val="superscript"/>
              </w:rPr>
              <w:t>th</w:t>
            </w:r>
          </w:p>
        </w:tc>
      </w:tr>
      <w:tr>
        <w:trPr>
          <w:trHeight w:val="285"/>
        </w:trPr>
        <w:tc>
          <w:tcPr>
            <w:tcW w:w="2020" w:type="dxa"/>
            <w:vAlign w:val="bottom"/>
            <w:tcBorders>
              <w:bottom w:val="single" w:sz="8" w:color="auto"/>
              <w:right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Percentile</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Percentile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Percentile</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Percentile</w:t>
            </w:r>
          </w:p>
        </w:tc>
      </w:tr>
      <w:tr>
        <w:trPr>
          <w:trHeight w:val="276"/>
        </w:trPr>
        <w:tc>
          <w:tcPr>
            <w:tcW w:w="2020" w:type="dxa"/>
            <w:vAlign w:val="bottom"/>
            <w:tcBorders>
              <w:right w:val="single" w:sz="8" w:color="auto"/>
            </w:tcBorders>
          </w:tcPr>
          <w:p>
            <w:pPr>
              <w:ind w:left="40"/>
              <w:spacing w:after="0"/>
              <w:rPr>
                <w:sz w:val="20"/>
                <w:szCs w:val="20"/>
                <w:color w:val="auto"/>
              </w:rPr>
            </w:pPr>
            <w:r>
              <w:rPr>
                <w:rFonts w:ascii="Arial" w:cs="Arial" w:eastAsia="Arial" w:hAnsi="Arial"/>
                <w:sz w:val="22"/>
                <w:szCs w:val="22"/>
                <w:color w:val="auto"/>
                <w:w w:val="93"/>
              </w:rPr>
              <w:t>Percentage of Target</w:t>
            </w:r>
          </w:p>
        </w:tc>
        <w:tc>
          <w:tcPr>
            <w:tcW w:w="2420" w:type="dxa"/>
            <w:vAlign w:val="bottom"/>
            <w:tcBorders>
              <w:right w:val="single" w:sz="8" w:color="auto"/>
            </w:tcBorders>
          </w:tcPr>
          <w:p>
            <w:pPr>
              <w:spacing w:after="0"/>
              <w:rPr>
                <w:sz w:val="23"/>
                <w:szCs w:val="23"/>
                <w:color w:val="auto"/>
              </w:rPr>
            </w:pPr>
          </w:p>
        </w:tc>
        <w:tc>
          <w:tcPr>
            <w:tcW w:w="1940" w:type="dxa"/>
            <w:vAlign w:val="bottom"/>
            <w:tcBorders>
              <w:right w:val="single" w:sz="8" w:color="auto"/>
            </w:tcBorders>
          </w:tcPr>
          <w:p>
            <w:pPr>
              <w:spacing w:after="0"/>
              <w:rPr>
                <w:sz w:val="23"/>
                <w:szCs w:val="23"/>
                <w:color w:val="auto"/>
              </w:rPr>
            </w:pPr>
          </w:p>
        </w:tc>
        <w:tc>
          <w:tcPr>
            <w:tcW w:w="1960" w:type="dxa"/>
            <w:vAlign w:val="bottom"/>
            <w:tcBorders>
              <w:right w:val="single" w:sz="8" w:color="auto"/>
            </w:tcBorders>
          </w:tcPr>
          <w:p>
            <w:pPr>
              <w:spacing w:after="0"/>
              <w:rPr>
                <w:sz w:val="23"/>
                <w:szCs w:val="23"/>
                <w:color w:val="auto"/>
              </w:rPr>
            </w:pPr>
          </w:p>
        </w:tc>
        <w:tc>
          <w:tcPr>
            <w:tcW w:w="1920" w:type="dxa"/>
            <w:vAlign w:val="bottom"/>
          </w:tcPr>
          <w:p>
            <w:pPr>
              <w:spacing w:after="0"/>
              <w:rPr>
                <w:sz w:val="23"/>
                <w:szCs w:val="23"/>
                <w:color w:val="auto"/>
              </w:rPr>
            </w:pPr>
          </w:p>
        </w:tc>
      </w:tr>
      <w:tr>
        <w:trPr>
          <w:trHeight w:val="256"/>
        </w:trPr>
        <w:tc>
          <w:tcPr>
            <w:tcW w:w="2020" w:type="dxa"/>
            <w:vAlign w:val="bottom"/>
            <w:tcBorders>
              <w:right w:val="single" w:sz="8" w:color="auto"/>
            </w:tcBorders>
          </w:tcPr>
          <w:p>
            <w:pPr>
              <w:ind w:left="40"/>
              <w:spacing w:after="0"/>
              <w:rPr>
                <w:sz w:val="20"/>
                <w:szCs w:val="20"/>
                <w:color w:val="auto"/>
              </w:rPr>
            </w:pPr>
            <w:r>
              <w:rPr>
                <w:rFonts w:ascii="Arial" w:cs="Arial" w:eastAsia="Arial" w:hAnsi="Arial"/>
                <w:sz w:val="22"/>
                <w:szCs w:val="22"/>
                <w:color w:val="auto"/>
              </w:rPr>
              <w:t>Units Eligible to be</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0%</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50%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c>
          <w:tcPr>
            <w:tcW w:w="1920" w:type="dxa"/>
            <w:vAlign w:val="bottom"/>
          </w:tcPr>
          <w:p>
            <w:pPr>
              <w:jc w:val="center"/>
              <w:spacing w:after="0"/>
              <w:rPr>
                <w:sz w:val="20"/>
                <w:szCs w:val="20"/>
                <w:color w:val="auto"/>
              </w:rPr>
            </w:pPr>
            <w:r>
              <w:rPr>
                <w:rFonts w:ascii="Arial" w:cs="Arial" w:eastAsia="Arial" w:hAnsi="Arial"/>
                <w:sz w:val="22"/>
                <w:szCs w:val="22"/>
                <w:color w:val="auto"/>
                <w:w w:val="88"/>
              </w:rPr>
              <w:t>200%</w:t>
            </w:r>
          </w:p>
        </w:tc>
      </w:tr>
      <w:tr>
        <w:trPr>
          <w:trHeight w:val="285"/>
        </w:trPr>
        <w:tc>
          <w:tcPr>
            <w:tcW w:w="20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Earned</w:t>
            </w:r>
          </w:p>
        </w:tc>
        <w:tc>
          <w:tcPr>
            <w:tcW w:w="242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bl>
    <w:p>
      <w:pPr>
        <w:spacing w:after="0" w:line="195" w:lineRule="exact"/>
        <w:rPr>
          <w:sz w:val="20"/>
          <w:szCs w:val="20"/>
          <w:color w:val="auto"/>
        </w:rPr>
      </w:pPr>
    </w:p>
    <w:p>
      <w:pPr>
        <w:ind w:left="660" w:right="300"/>
        <w:spacing w:after="0" w:line="263" w:lineRule="auto"/>
        <w:rPr>
          <w:sz w:val="20"/>
          <w:szCs w:val="20"/>
          <w:color w:val="auto"/>
        </w:rPr>
      </w:pPr>
      <w:r>
        <w:rPr>
          <w:rFonts w:ascii="Arial" w:cs="Arial" w:eastAsia="Arial" w:hAnsi="Arial"/>
          <w:sz w:val="22"/>
          <w:szCs w:val="22"/>
          <w:color w:val="auto"/>
        </w:rPr>
        <w:t>Note: Percentage of Target Units eligible to be earned are interpolated for percentiles not shown between threshold and maximum.</w:t>
      </w:r>
    </w:p>
    <w:p>
      <w:pPr>
        <w:spacing w:after="0" w:line="193" w:lineRule="exact"/>
        <w:rPr>
          <w:sz w:val="20"/>
          <w:szCs w:val="20"/>
          <w:color w:val="auto"/>
        </w:rPr>
      </w:pPr>
    </w:p>
    <w:p>
      <w:pPr>
        <w:ind w:left="660" w:right="60" w:hanging="328"/>
        <w:spacing w:after="0" w:line="260"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20"/>
          <w:szCs w:val="20"/>
          <w:color w:val="auto"/>
        </w:rPr>
        <w:t>Fifth, the percentage of Target Units earned will be capped at a 100% payout if GM’s 3-Year Average ROIC-Adjusted result does not exceed GM’s Weighted Average Cost of Capital “WACC” over the performance period.</w:t>
      </w:r>
    </w:p>
    <w:p>
      <w:pPr>
        <w:sectPr>
          <w:pgSz w:w="11900" w:h="16838" w:orient="portrait"/>
          <w:cols w:equalWidth="0" w:num="1">
            <w:col w:w="11240"/>
          </w:cols>
          <w:pgMar w:left="320" w:top="1422" w:right="339" w:bottom="1440" w:gutter="0" w:footer="0" w:header="0"/>
        </w:sectPr>
      </w:pPr>
    </w:p>
    <w:bookmarkStart w:id="53" w:name="page54"/>
    <w:bookmarkEnd w:id="53"/>
    <w:p>
      <w:pPr>
        <w:spacing w:after="0"/>
        <w:rPr>
          <w:sz w:val="20"/>
          <w:szCs w:val="20"/>
          <w:color w:val="auto"/>
        </w:rPr>
      </w:pPr>
      <w:r>
        <w:rPr>
          <w:rFonts w:ascii="Arial" w:cs="Arial" w:eastAsia="Arial" w:hAnsi="Arial"/>
          <w:sz w:val="20"/>
          <w:szCs w:val="20"/>
          <w:b w:val="1"/>
          <w:bCs w:val="1"/>
          <w:u w:val="single" w:color="auto"/>
          <w:color w:val="auto"/>
        </w:rPr>
        <w:t>Relative TSR</w:t>
      </w:r>
      <w:r>
        <w:rPr>
          <w:rFonts w:ascii="Arial" w:cs="Arial" w:eastAsia="Arial" w:hAnsi="Arial"/>
          <w:sz w:val="20"/>
          <w:szCs w:val="20"/>
          <w:b w:val="1"/>
          <w:bCs w:val="1"/>
          <w:color w:val="auto"/>
        </w:rPr>
        <w:t xml:space="preserve">: </w:t>
      </w:r>
      <w:r>
        <w:rPr>
          <w:rFonts w:ascii="Arial" w:cs="Arial" w:eastAsia="Arial" w:hAnsi="Arial"/>
          <w:sz w:val="20"/>
          <w:szCs w:val="20"/>
          <w:color w:val="auto"/>
        </w:rPr>
        <w:t>One-half of the Target Units eligible to be earned will be determined based on Relative TSR as follows:</w:t>
      </w:r>
    </w:p>
    <w:p>
      <w:pPr>
        <w:spacing w:after="0" w:line="222"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First, the TSR for each company is determined.</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Second, the results for each company in the OEM Peer Group are ranked by percentile independent of GM’s results.</w:t>
      </w:r>
    </w:p>
    <w:p>
      <w:pPr>
        <w:spacing w:after="0" w:line="227" w:lineRule="exact"/>
        <w:rPr>
          <w:rFonts w:ascii="Arial" w:cs="Arial" w:eastAsia="Arial" w:hAnsi="Arial"/>
          <w:sz w:val="19"/>
          <w:szCs w:val="19"/>
          <w:color w:val="auto"/>
        </w:rPr>
      </w:pPr>
    </w:p>
    <w:p>
      <w:pPr>
        <w:ind w:left="660" w:right="540" w:hanging="328"/>
        <w:spacing w:after="0" w:line="260" w:lineRule="auto"/>
        <w:tabs>
          <w:tab w:leader="none" w:pos="648"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Third, GM’s TSR result is placed on the percentile continuum between the peer company directly above us and below us to determine our performance.</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Fourth, the percentage of Target Units earned is determined based on the following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6583680" cy="13201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583680" cy="1320165"/>
                    </a:xfrm>
                    <a:prstGeom prst="rect">
                      <a:avLst/>
                    </a:prstGeom>
                    <a:noFill/>
                  </pic:spPr>
                </pic:pic>
              </a:graphicData>
            </a:graphic>
          </wp:anchor>
        </w:drawing>
      </w:r>
    </w:p>
    <w:p>
      <w:pPr>
        <w:spacing w:after="0" w:line="266"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GM’s TSR Result Versus OEM Peer Group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314"/>
        </w:trPr>
        <w:tc>
          <w:tcPr>
            <w:tcW w:w="2000" w:type="dxa"/>
            <w:vAlign w:val="bottom"/>
            <w:tcBorders>
              <w:top w:val="single" w:sz="8" w:color="auto"/>
              <w:bottom w:val="single" w:sz="8" w:color="auto"/>
              <w:right w:val="single" w:sz="8" w:color="auto"/>
            </w:tcBorders>
          </w:tcPr>
          <w:p>
            <w:pPr>
              <w:spacing w:after="0"/>
              <w:rPr>
                <w:sz w:val="24"/>
                <w:szCs w:val="24"/>
                <w:color w:val="auto"/>
              </w:rPr>
            </w:pPr>
          </w:p>
        </w:tc>
        <w:tc>
          <w:tcPr>
            <w:tcW w:w="2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Below Threshold</w:t>
            </w: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Threshold</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Target</w:t>
            </w:r>
          </w:p>
        </w:tc>
        <w:tc>
          <w:tcPr>
            <w:tcW w:w="1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4"/>
              </w:rPr>
              <w:t>Maximum</w:t>
            </w:r>
          </w:p>
        </w:tc>
      </w:tr>
      <w:tr>
        <w:trPr>
          <w:trHeight w:val="351"/>
        </w:trPr>
        <w:tc>
          <w:tcPr>
            <w:tcW w:w="2000" w:type="dxa"/>
            <w:vAlign w:val="bottom"/>
            <w:tcBorders>
              <w:right w:val="single" w:sz="8" w:color="auto"/>
            </w:tcBorders>
          </w:tcPr>
          <w:p>
            <w:pPr>
              <w:spacing w:after="0"/>
              <w:rPr>
                <w:sz w:val="24"/>
                <w:szCs w:val="24"/>
                <w:color w:val="auto"/>
              </w:rPr>
            </w:pP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Below 25</w:t>
            </w:r>
            <w:r>
              <w:rPr>
                <w:rFonts w:ascii="Arial" w:cs="Arial" w:eastAsia="Arial" w:hAnsi="Arial"/>
                <w:sz w:val="28"/>
                <w:szCs w:val="28"/>
                <w:color w:val="auto"/>
                <w:w w:val="88"/>
                <w:vertAlign w:val="superscript"/>
              </w:rPr>
              <w:t>th</w:t>
            </w:r>
            <w:r>
              <w:rPr>
                <w:rFonts w:ascii="Arial" w:cs="Arial" w:eastAsia="Arial" w:hAnsi="Arial"/>
                <w:sz w:val="22"/>
                <w:szCs w:val="22"/>
                <w:color w:val="auto"/>
                <w:w w:val="88"/>
              </w:rPr>
              <w:t xml:space="preserve"> Percentile</w:t>
            </w:r>
          </w:p>
        </w:tc>
        <w:tc>
          <w:tcPr>
            <w:tcW w:w="2060" w:type="dxa"/>
            <w:vAlign w:val="bottom"/>
            <w:tcBorders>
              <w:right w:val="single" w:sz="8" w:color="auto"/>
            </w:tcBorders>
          </w:tcPr>
          <w:p>
            <w:pPr>
              <w:jc w:val="center"/>
              <w:spacing w:after="0" w:line="351" w:lineRule="exact"/>
              <w:rPr>
                <w:sz w:val="20"/>
                <w:szCs w:val="20"/>
                <w:color w:val="auto"/>
              </w:rPr>
            </w:pPr>
            <w:r>
              <w:rPr>
                <w:rFonts w:ascii="Arial" w:cs="Arial" w:eastAsia="Arial" w:hAnsi="Arial"/>
                <w:sz w:val="40"/>
                <w:szCs w:val="40"/>
                <w:color w:val="auto"/>
                <w:w w:val="77"/>
                <w:vertAlign w:val="subscript"/>
              </w:rPr>
              <w:t>25</w:t>
            </w:r>
            <w:r>
              <w:rPr>
                <w:rFonts w:ascii="Arial" w:cs="Arial" w:eastAsia="Arial" w:hAnsi="Arial"/>
                <w:sz w:val="14"/>
                <w:szCs w:val="14"/>
                <w:color w:val="auto"/>
                <w:w w:val="77"/>
              </w:rPr>
              <w:t>th</w:t>
            </w:r>
          </w:p>
        </w:tc>
        <w:tc>
          <w:tcPr>
            <w:tcW w:w="1940" w:type="dxa"/>
            <w:vAlign w:val="bottom"/>
            <w:tcBorders>
              <w:right w:val="single" w:sz="8" w:color="auto"/>
            </w:tcBorders>
          </w:tcPr>
          <w:p>
            <w:pPr>
              <w:jc w:val="center"/>
              <w:spacing w:after="0" w:line="351" w:lineRule="exact"/>
              <w:rPr>
                <w:sz w:val="20"/>
                <w:szCs w:val="20"/>
                <w:color w:val="auto"/>
              </w:rPr>
            </w:pPr>
            <w:r>
              <w:rPr>
                <w:rFonts w:ascii="Arial" w:cs="Arial" w:eastAsia="Arial" w:hAnsi="Arial"/>
                <w:sz w:val="40"/>
                <w:szCs w:val="40"/>
                <w:color w:val="auto"/>
                <w:w w:val="77"/>
                <w:vertAlign w:val="subscript"/>
              </w:rPr>
              <w:t>50</w:t>
            </w:r>
            <w:r>
              <w:rPr>
                <w:rFonts w:ascii="Arial" w:cs="Arial" w:eastAsia="Arial" w:hAnsi="Arial"/>
                <w:sz w:val="14"/>
                <w:szCs w:val="14"/>
                <w:color w:val="auto"/>
                <w:w w:val="77"/>
              </w:rPr>
              <w:t>th</w:t>
            </w:r>
          </w:p>
        </w:tc>
        <w:tc>
          <w:tcPr>
            <w:tcW w:w="1940" w:type="dxa"/>
            <w:vAlign w:val="bottom"/>
          </w:tcPr>
          <w:p>
            <w:pPr>
              <w:jc w:val="center"/>
              <w:spacing w:after="0" w:line="351" w:lineRule="exact"/>
              <w:rPr>
                <w:sz w:val="20"/>
                <w:szCs w:val="20"/>
                <w:color w:val="auto"/>
              </w:rPr>
            </w:pPr>
            <w:r>
              <w:rPr>
                <w:rFonts w:ascii="Arial" w:cs="Arial" w:eastAsia="Arial" w:hAnsi="Arial"/>
                <w:sz w:val="40"/>
                <w:szCs w:val="40"/>
                <w:color w:val="auto"/>
                <w:w w:val="77"/>
                <w:vertAlign w:val="subscript"/>
              </w:rPr>
              <w:t>75</w:t>
            </w:r>
            <w:r>
              <w:rPr>
                <w:rFonts w:ascii="Arial" w:cs="Arial" w:eastAsia="Arial" w:hAnsi="Arial"/>
                <w:sz w:val="14"/>
                <w:szCs w:val="14"/>
                <w:color w:val="auto"/>
                <w:w w:val="77"/>
              </w:rPr>
              <w:t>th</w:t>
            </w:r>
          </w:p>
        </w:tc>
      </w:tr>
      <w:tr>
        <w:trPr>
          <w:trHeight w:val="216"/>
        </w:trPr>
        <w:tc>
          <w:tcPr>
            <w:tcW w:w="200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7"/>
              </w:rPr>
              <w:t>Percentile</w:t>
            </w:r>
          </w:p>
        </w:tc>
        <w:tc>
          <w:tcPr>
            <w:tcW w:w="1940" w:type="dxa"/>
            <w:vAlign w:val="bottom"/>
            <w:tcBorders>
              <w:bottom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7"/>
              </w:rPr>
              <w:t>Percentile</w:t>
            </w:r>
          </w:p>
        </w:tc>
        <w:tc>
          <w:tcPr>
            <w:tcW w:w="19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22"/>
                <w:szCs w:val="22"/>
                <w:color w:val="auto"/>
                <w:w w:val="87"/>
              </w:rPr>
              <w:t>Percentile</w:t>
            </w:r>
          </w:p>
        </w:tc>
      </w:tr>
      <w:tr>
        <w:trPr>
          <w:trHeight w:val="269"/>
        </w:trPr>
        <w:tc>
          <w:tcPr>
            <w:tcW w:w="2000" w:type="dxa"/>
            <w:vAlign w:val="bottom"/>
            <w:tcBorders>
              <w:right w:val="single" w:sz="8" w:color="auto"/>
            </w:tcBorders>
          </w:tcPr>
          <w:p>
            <w:pPr>
              <w:ind w:left="40"/>
              <w:spacing w:after="0"/>
              <w:rPr>
                <w:sz w:val="20"/>
                <w:szCs w:val="20"/>
                <w:color w:val="auto"/>
              </w:rPr>
            </w:pPr>
            <w:r>
              <w:rPr>
                <w:rFonts w:ascii="Arial" w:cs="Arial" w:eastAsia="Arial" w:hAnsi="Arial"/>
                <w:sz w:val="22"/>
                <w:szCs w:val="22"/>
                <w:color w:val="auto"/>
                <w:w w:val="92"/>
              </w:rPr>
              <w:t>Percentage of Target</w:t>
            </w:r>
          </w:p>
        </w:tc>
        <w:tc>
          <w:tcPr>
            <w:tcW w:w="2440" w:type="dxa"/>
            <w:vAlign w:val="bottom"/>
            <w:tcBorders>
              <w:right w:val="single" w:sz="8" w:color="auto"/>
            </w:tcBorders>
          </w:tcPr>
          <w:p>
            <w:pPr>
              <w:spacing w:after="0"/>
              <w:rPr>
                <w:sz w:val="23"/>
                <w:szCs w:val="23"/>
                <w:color w:val="auto"/>
              </w:rPr>
            </w:pPr>
          </w:p>
        </w:tc>
        <w:tc>
          <w:tcPr>
            <w:tcW w:w="2060" w:type="dxa"/>
            <w:vAlign w:val="bottom"/>
            <w:tcBorders>
              <w:right w:val="single" w:sz="8" w:color="auto"/>
            </w:tcBorders>
          </w:tcPr>
          <w:p>
            <w:pPr>
              <w:spacing w:after="0"/>
              <w:rPr>
                <w:sz w:val="23"/>
                <w:szCs w:val="23"/>
                <w:color w:val="auto"/>
              </w:rPr>
            </w:pPr>
          </w:p>
        </w:tc>
        <w:tc>
          <w:tcPr>
            <w:tcW w:w="1940" w:type="dxa"/>
            <w:vAlign w:val="bottom"/>
            <w:tcBorders>
              <w:right w:val="single" w:sz="8" w:color="auto"/>
            </w:tcBorders>
          </w:tcPr>
          <w:p>
            <w:pPr>
              <w:spacing w:after="0"/>
              <w:rPr>
                <w:sz w:val="23"/>
                <w:szCs w:val="23"/>
                <w:color w:val="auto"/>
              </w:rPr>
            </w:pPr>
          </w:p>
        </w:tc>
        <w:tc>
          <w:tcPr>
            <w:tcW w:w="1940" w:type="dxa"/>
            <w:vAlign w:val="bottom"/>
          </w:tcPr>
          <w:p>
            <w:pPr>
              <w:spacing w:after="0"/>
              <w:rPr>
                <w:sz w:val="23"/>
                <w:szCs w:val="23"/>
                <w:color w:val="auto"/>
              </w:rPr>
            </w:pPr>
          </w:p>
        </w:tc>
      </w:tr>
      <w:tr>
        <w:trPr>
          <w:trHeight w:val="257"/>
        </w:trPr>
        <w:tc>
          <w:tcPr>
            <w:tcW w:w="2000" w:type="dxa"/>
            <w:vAlign w:val="bottom"/>
            <w:tcBorders>
              <w:right w:val="single" w:sz="8" w:color="auto"/>
            </w:tcBorders>
          </w:tcPr>
          <w:p>
            <w:pPr>
              <w:ind w:left="40"/>
              <w:spacing w:after="0"/>
              <w:rPr>
                <w:sz w:val="20"/>
                <w:szCs w:val="20"/>
                <w:color w:val="auto"/>
              </w:rPr>
            </w:pPr>
            <w:r>
              <w:rPr>
                <w:rFonts w:ascii="Arial" w:cs="Arial" w:eastAsia="Arial" w:hAnsi="Arial"/>
                <w:sz w:val="22"/>
                <w:szCs w:val="22"/>
                <w:color w:val="auto"/>
              </w:rPr>
              <w:t>Units Eligible to be</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0%</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50%</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c>
          <w:tcPr>
            <w:tcW w:w="1940" w:type="dxa"/>
            <w:vAlign w:val="bottom"/>
          </w:tcPr>
          <w:p>
            <w:pPr>
              <w:jc w:val="center"/>
              <w:spacing w:after="0"/>
              <w:rPr>
                <w:sz w:val="20"/>
                <w:szCs w:val="20"/>
                <w:color w:val="auto"/>
              </w:rPr>
            </w:pPr>
            <w:r>
              <w:rPr>
                <w:rFonts w:ascii="Arial" w:cs="Arial" w:eastAsia="Arial" w:hAnsi="Arial"/>
                <w:sz w:val="22"/>
                <w:szCs w:val="22"/>
                <w:color w:val="auto"/>
                <w:w w:val="88"/>
              </w:rPr>
              <w:t>200%</w:t>
            </w:r>
          </w:p>
        </w:tc>
      </w:tr>
      <w:tr>
        <w:trPr>
          <w:trHeight w:val="285"/>
        </w:trPr>
        <w:tc>
          <w:tcPr>
            <w:tcW w:w="2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Earned</w:t>
            </w:r>
          </w:p>
        </w:tc>
        <w:tc>
          <w:tcPr>
            <w:tcW w:w="244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pacing w:after="0" w:line="195"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Note: Percentage of Target Units eligible to be earned are interpolated for percentiles not shown between threshold and maximum.</w:t>
      </w:r>
    </w:p>
    <w:p>
      <w:pPr>
        <w:spacing w:after="0" w:line="193"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Fifth, the percentage of Target Units earned will be capped at a 100% payout if GM’s TSR result is negative.</w:t>
      </w:r>
    </w:p>
    <w:p>
      <w:pPr>
        <w:sectPr>
          <w:pgSz w:w="11900" w:h="16838" w:orient="portrait"/>
          <w:cols w:equalWidth="0" w:num="1">
            <w:col w:w="10940"/>
          </w:cols>
          <w:pgMar w:left="320" w:top="1413" w:right="639"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b w:val="1"/>
          <w:bCs w:val="1"/>
          <w:color w:val="auto"/>
        </w:rPr>
        <w:t>EXHIBIT A</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 Definitions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the PSUs:</w:t>
      </w:r>
    </w:p>
    <w:p>
      <w:pPr>
        <w:spacing w:after="0" w:line="210" w:lineRule="exact"/>
        <w:rPr>
          <w:sz w:val="20"/>
          <w:szCs w:val="20"/>
          <w:color w:val="auto"/>
        </w:rPr>
      </w:pPr>
    </w:p>
    <w:p>
      <w:pPr>
        <w:ind w:right="340"/>
        <w:spacing w:after="0" w:line="267" w:lineRule="auto"/>
        <w:rPr>
          <w:sz w:val="20"/>
          <w:szCs w:val="20"/>
          <w:color w:val="auto"/>
        </w:rPr>
      </w:pPr>
      <w:r>
        <w:rPr>
          <w:rFonts w:ascii="Arial" w:cs="Arial" w:eastAsia="Arial" w:hAnsi="Arial"/>
          <w:sz w:val="20"/>
          <w:szCs w:val="20"/>
          <w:color w:val="auto"/>
        </w:rPr>
        <w:t>3-Year Average Return on Invested Capital-Adjusted (“</w:t>
      </w:r>
      <w:r>
        <w:rPr>
          <w:rFonts w:ascii="Arial" w:cs="Arial" w:eastAsia="Arial" w:hAnsi="Arial"/>
          <w:sz w:val="20"/>
          <w:szCs w:val="20"/>
          <w:b w:val="1"/>
          <w:bCs w:val="1"/>
          <w:color w:val="auto"/>
        </w:rPr>
        <w:t>ROIC-Adjusted</w:t>
      </w:r>
      <w:r>
        <w:rPr>
          <w:rFonts w:ascii="Arial" w:cs="Arial" w:eastAsia="Arial" w:hAnsi="Arial"/>
          <w:sz w:val="20"/>
          <w:szCs w:val="20"/>
          <w:color w:val="auto"/>
        </w:rPr>
        <w:t>”) shall be the average annual return on invested capital for years [Insert Year], [Insert Year] and [Insert Year], where return on invested capital is:</w:t>
      </w:r>
    </w:p>
    <w:p>
      <w:pPr>
        <w:spacing w:after="0" w:line="223"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2000" w:type="dxa"/>
            <w:vAlign w:val="bottom"/>
          </w:tcPr>
          <w:p>
            <w:pPr>
              <w:jc w:val="center"/>
              <w:ind w:right="141"/>
              <w:spacing w:after="0"/>
              <w:rPr>
                <w:sz w:val="20"/>
                <w:szCs w:val="20"/>
                <w:color w:val="auto"/>
              </w:rPr>
            </w:pPr>
            <w:r>
              <w:rPr>
                <w:rFonts w:ascii="Arial" w:cs="Arial" w:eastAsia="Arial" w:hAnsi="Arial"/>
                <w:sz w:val="20"/>
                <w:szCs w:val="20"/>
                <w:color w:val="auto"/>
                <w:w w:val="91"/>
              </w:rPr>
              <w:t>Total Company EBIT-</w:t>
            </w:r>
          </w:p>
        </w:tc>
        <w:tc>
          <w:tcPr>
            <w:tcW w:w="560" w:type="dxa"/>
            <w:vAlign w:val="bottom"/>
            <w:vMerge w:val="restart"/>
          </w:tcPr>
          <w:p>
            <w:pPr>
              <w:jc w:val="right"/>
              <w:spacing w:after="0"/>
              <w:rPr>
                <w:sz w:val="20"/>
                <w:szCs w:val="20"/>
                <w:color w:val="auto"/>
              </w:rPr>
            </w:pPr>
            <w:r>
              <w:rPr>
                <w:rFonts w:ascii="Arial" w:cs="Arial" w:eastAsia="Arial" w:hAnsi="Arial"/>
                <w:sz w:val="36"/>
                <w:szCs w:val="36"/>
                <w:color w:val="auto"/>
              </w:rPr>
              <w:t>÷</w:t>
            </w:r>
          </w:p>
        </w:tc>
        <w:tc>
          <w:tcPr>
            <w:tcW w:w="2000" w:type="dxa"/>
            <w:vAlign w:val="bottom"/>
          </w:tcPr>
          <w:p>
            <w:pPr>
              <w:jc w:val="center"/>
              <w:ind w:left="21"/>
              <w:spacing w:after="0"/>
              <w:rPr>
                <w:sz w:val="20"/>
                <w:szCs w:val="20"/>
                <w:color w:val="auto"/>
              </w:rPr>
            </w:pPr>
            <w:r>
              <w:rPr>
                <w:rFonts w:ascii="Arial" w:cs="Arial" w:eastAsia="Arial" w:hAnsi="Arial"/>
                <w:sz w:val="20"/>
                <w:szCs w:val="20"/>
                <w:color w:val="auto"/>
                <w:w w:val="89"/>
              </w:rPr>
              <w:t>Average Total</w:t>
            </w:r>
          </w:p>
        </w:tc>
        <w:tc>
          <w:tcPr>
            <w:tcW w:w="0" w:type="dxa"/>
            <w:vAlign w:val="bottom"/>
          </w:tcPr>
          <w:p>
            <w:pPr>
              <w:spacing w:after="0"/>
              <w:rPr>
                <w:sz w:val="1"/>
                <w:szCs w:val="1"/>
                <w:color w:val="auto"/>
              </w:rPr>
            </w:pPr>
          </w:p>
        </w:tc>
      </w:tr>
      <w:tr>
        <w:trPr>
          <w:trHeight w:val="250"/>
        </w:trPr>
        <w:tc>
          <w:tcPr>
            <w:tcW w:w="2000" w:type="dxa"/>
            <w:vAlign w:val="bottom"/>
          </w:tcPr>
          <w:p>
            <w:pPr>
              <w:jc w:val="center"/>
              <w:ind w:right="161"/>
              <w:spacing w:after="0"/>
              <w:rPr>
                <w:sz w:val="20"/>
                <w:szCs w:val="20"/>
                <w:color w:val="auto"/>
              </w:rPr>
            </w:pPr>
            <w:r>
              <w:rPr>
                <w:rFonts w:ascii="Arial" w:cs="Arial" w:eastAsia="Arial" w:hAnsi="Arial"/>
                <w:sz w:val="20"/>
                <w:szCs w:val="20"/>
                <w:color w:val="auto"/>
                <w:w w:val="95"/>
              </w:rPr>
              <w:t>Adjusted*</w:t>
            </w:r>
          </w:p>
        </w:tc>
        <w:tc>
          <w:tcPr>
            <w:tcW w:w="560" w:type="dxa"/>
            <w:vAlign w:val="bottom"/>
            <w:vMerge w:val="continue"/>
          </w:tcPr>
          <w:p>
            <w:pPr>
              <w:spacing w:after="0"/>
              <w:rPr>
                <w:sz w:val="21"/>
                <w:szCs w:val="21"/>
                <w:color w:val="auto"/>
              </w:rPr>
            </w:pPr>
          </w:p>
        </w:tc>
        <w:tc>
          <w:tcPr>
            <w:tcW w:w="2000" w:type="dxa"/>
            <w:vAlign w:val="bottom"/>
          </w:tcPr>
          <w:p>
            <w:pPr>
              <w:jc w:val="center"/>
              <w:ind w:left="21"/>
              <w:spacing w:after="0"/>
              <w:rPr>
                <w:sz w:val="20"/>
                <w:szCs w:val="20"/>
                <w:color w:val="auto"/>
              </w:rPr>
            </w:pPr>
            <w:r>
              <w:rPr>
                <w:rFonts w:ascii="Arial" w:cs="Arial" w:eastAsia="Arial" w:hAnsi="Arial"/>
                <w:sz w:val="20"/>
                <w:szCs w:val="20"/>
                <w:color w:val="auto"/>
                <w:w w:val="92"/>
              </w:rPr>
              <w:t>Company Net Assets**</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1040"/>
        <w:spacing w:after="0" w:line="269" w:lineRule="auto"/>
        <w:rPr>
          <w:sz w:val="20"/>
          <w:szCs w:val="20"/>
          <w:color w:val="auto"/>
        </w:rPr>
      </w:pPr>
      <w:r>
        <w:rPr>
          <w:rFonts w:ascii="Arial" w:cs="Arial" w:eastAsia="Arial" w:hAnsi="Arial"/>
          <w:sz w:val="19"/>
          <w:szCs w:val="19"/>
          <w:color w:val="auto"/>
        </w:rPr>
        <w:t>*EBIT-Adjusted is defined as earnings excluding interest income, interest expense and income taxes as well as certain additional adjustments. Such adjustments include impairment charges related to goodwill and certain investments, gains or losses on the settlement/extinguishment of obligations and gains or losses on the sale of non-core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**Net Assets will be the average for the year and will exclude:</w:t>
      </w:r>
    </w:p>
    <w:p>
      <w:pPr>
        <w:spacing w:after="0" w:line="216" w:lineRule="exact"/>
        <w:rPr>
          <w:sz w:val="20"/>
          <w:szCs w:val="20"/>
          <w:color w:val="auto"/>
        </w:rPr>
      </w:pPr>
    </w:p>
    <w:p>
      <w:pPr>
        <w:ind w:left="960" w:hanging="304"/>
        <w:spacing w:after="0"/>
        <w:tabs>
          <w:tab w:leader="none" w:pos="9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All income tax related accounts</w:t>
      </w:r>
    </w:p>
    <w:p>
      <w:pPr>
        <w:spacing w:after="0" w:line="15" w:lineRule="exact"/>
        <w:rPr>
          <w:rFonts w:ascii="Arial" w:cs="Arial" w:eastAsia="Arial" w:hAnsi="Arial"/>
          <w:sz w:val="20"/>
          <w:szCs w:val="20"/>
          <w:color w:val="auto"/>
        </w:rPr>
      </w:pPr>
    </w:p>
    <w:p>
      <w:pPr>
        <w:ind w:left="960" w:hanging="304"/>
        <w:spacing w:after="0"/>
        <w:tabs>
          <w:tab w:leader="none" w:pos="9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Interest and certain dividend related accounts</w:t>
      </w:r>
    </w:p>
    <w:p>
      <w:pPr>
        <w:ind w:left="960" w:hanging="304"/>
        <w:spacing w:after="0"/>
        <w:tabs>
          <w:tab w:leader="none" w:pos="9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Fresh start accounting goodwill</w:t>
      </w:r>
    </w:p>
    <w:p>
      <w:pPr>
        <w:ind w:left="960" w:hanging="304"/>
        <w:spacing w:after="0"/>
        <w:tabs>
          <w:tab w:leader="none" w:pos="9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External debt (except capital leases)</w:t>
      </w:r>
    </w:p>
    <w:p>
      <w:pPr>
        <w:ind w:left="960" w:hanging="304"/>
        <w:spacing w:after="0"/>
        <w:tabs>
          <w:tab w:leader="none" w:pos="9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Pension and OPEB liabilities</w:t>
      </w:r>
    </w:p>
    <w:p>
      <w:pPr>
        <w:spacing w:after="0" w:line="200" w:lineRule="exact"/>
        <w:rPr>
          <w:sz w:val="20"/>
          <w:szCs w:val="20"/>
          <w:color w:val="auto"/>
        </w:rPr>
      </w:pPr>
    </w:p>
    <w:p>
      <w:pPr>
        <w:spacing w:after="0" w:line="237"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Total Shareholder Return (“</w:t>
      </w:r>
      <w:r>
        <w:rPr>
          <w:rFonts w:ascii="Arial" w:cs="Arial" w:eastAsia="Arial" w:hAnsi="Arial"/>
          <w:sz w:val="20"/>
          <w:szCs w:val="20"/>
          <w:b w:val="1"/>
          <w:bCs w:val="1"/>
          <w:color w:val="auto"/>
        </w:rPr>
        <w:t>TSR</w:t>
      </w:r>
      <w:r>
        <w:rPr>
          <w:rFonts w:ascii="Arial" w:cs="Arial" w:eastAsia="Arial" w:hAnsi="Arial"/>
          <w:sz w:val="20"/>
          <w:szCs w:val="20"/>
          <w:color w:val="auto"/>
        </w:rPr>
        <w:t>”) shall be the change in a company’s common stock price on the New York Stock Exchange (or other applicable exchange), plus reinvested dividends, expressed as a percent of the original stock price. For purposes of calculating the starting and ending stock prices for the OEM Peer Group companies and GM, it is the 30 trading day trailing average converted daily to U.S. Dollars prior to and including [Insert Date] (“</w:t>
      </w:r>
      <w:r>
        <w:rPr>
          <w:rFonts w:ascii="Arial" w:cs="Arial" w:eastAsia="Arial" w:hAnsi="Arial"/>
          <w:sz w:val="20"/>
          <w:szCs w:val="20"/>
          <w:b w:val="1"/>
          <w:bCs w:val="1"/>
          <w:color w:val="auto"/>
        </w:rPr>
        <w:t>Starting Stock Price</w:t>
      </w:r>
      <w:r>
        <w:rPr>
          <w:rFonts w:ascii="Arial" w:cs="Arial" w:eastAsia="Arial" w:hAnsi="Arial"/>
          <w:sz w:val="20"/>
          <w:szCs w:val="20"/>
          <w:color w:val="auto"/>
        </w:rPr>
        <w:t>”) and [Insert Date] (“</w:t>
      </w:r>
      <w:r>
        <w:rPr>
          <w:rFonts w:ascii="Arial" w:cs="Arial" w:eastAsia="Arial" w:hAnsi="Arial"/>
          <w:sz w:val="20"/>
          <w:szCs w:val="20"/>
          <w:b w:val="1"/>
          <w:bCs w:val="1"/>
          <w:color w:val="auto"/>
        </w:rPr>
        <w:t>Ending Stock Price</w:t>
      </w:r>
      <w:r>
        <w:rPr>
          <w:rFonts w:ascii="Arial" w:cs="Arial" w:eastAsia="Arial" w:hAnsi="Arial"/>
          <w:sz w:val="20"/>
          <w:szCs w:val="20"/>
          <w:color w:val="auto"/>
        </w:rPr>
        <w:t>”). If necessary, TSR will be adjusted to reflect stock splits or other changes to capitalization that occur.</w:t>
      </w:r>
    </w:p>
    <w:p>
      <w:pPr>
        <w:spacing w:after="0" w:line="200" w:lineRule="exact"/>
        <w:rPr>
          <w:sz w:val="20"/>
          <w:szCs w:val="20"/>
          <w:color w:val="auto"/>
        </w:rPr>
      </w:pPr>
    </w:p>
    <w:p>
      <w:pPr>
        <w:spacing w:after="0" w:line="255"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Weighted Average Cost of Capital (“</w:t>
      </w:r>
      <w:r>
        <w:rPr>
          <w:rFonts w:ascii="Arial" w:cs="Arial" w:eastAsia="Arial" w:hAnsi="Arial"/>
          <w:sz w:val="20"/>
          <w:szCs w:val="20"/>
          <w:b w:val="1"/>
          <w:bCs w:val="1"/>
          <w:color w:val="auto"/>
        </w:rPr>
        <w:t>WACC</w:t>
      </w:r>
      <w:r>
        <w:rPr>
          <w:rFonts w:ascii="Arial" w:cs="Arial" w:eastAsia="Arial" w:hAnsi="Arial"/>
          <w:sz w:val="20"/>
          <w:szCs w:val="20"/>
          <w:color w:val="auto"/>
        </w:rPr>
        <w:t>”) shall be the 3-Year average of the low-point of GM’s Corporate WACC (customarily expressed as a range) for [Insert Year], [Insert Year] and [Insert Year]. The WACC shall be calculated annually in [Insert Month], consistent with GM’s Treasurer’s Office Corporate Policies. ROIC-Adjusted and WACC will be calculated on a tax-equivalent basis to provide comparability. Additionally, the annual WACC calculation will be externally reviewed by a third-party for reasonableness. For further documentation on the calculation of GM’s WACC, open the document below.</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[Insert Document]</w:t>
      </w:r>
    </w:p>
    <w:p>
      <w:pPr>
        <w:sectPr>
          <w:pgSz w:w="11900" w:h="16838" w:orient="portrait"/>
          <w:cols w:equalWidth="0" w:num="1">
            <w:col w:w="11240"/>
          </w:cols>
          <w:pgMar w:left="320" w:top="1422"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Motors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Long-Term Incentive Plan</w:t>
      </w:r>
    </w:p>
    <w:p>
      <w:pPr>
        <w:jc w:val="center"/>
        <w:ind w:right="-19"/>
        <w:spacing w:after="0"/>
        <w:rPr>
          <w:sz w:val="20"/>
          <w:szCs w:val="20"/>
          <w:color w:val="auto"/>
        </w:rPr>
      </w:pPr>
      <w:r>
        <w:rPr>
          <w:rFonts w:ascii="Arial" w:cs="Arial" w:eastAsia="Arial" w:hAnsi="Arial"/>
          <w:sz w:val="20"/>
          <w:szCs w:val="20"/>
          <w:b w:val="1"/>
          <w:bCs w:val="1"/>
          <w:color w:val="auto"/>
        </w:rPr>
        <w:t>Award Document for [Insert Date] Grant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and Confidential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53" w:lineRule="exact"/>
        <w:rPr>
          <w:sz w:val="20"/>
          <w:szCs w:val="20"/>
          <w:color w:val="auto"/>
        </w:rPr>
      </w:pPr>
    </w:p>
    <w:p>
      <w:pPr>
        <w:jc w:val="both"/>
        <w:ind w:right="660"/>
        <w:spacing w:after="0" w:line="272" w:lineRule="auto"/>
        <w:rPr>
          <w:sz w:val="20"/>
          <w:szCs w:val="20"/>
          <w:color w:val="auto"/>
        </w:rPr>
      </w:pPr>
      <w:r>
        <w:rPr>
          <w:rFonts w:ascii="Arial" w:cs="Arial" w:eastAsia="Arial" w:hAnsi="Arial"/>
          <w:sz w:val="19"/>
          <w:szCs w:val="19"/>
          <w:color w:val="auto"/>
        </w:rPr>
        <w:t>This letter (“</w:t>
      </w:r>
      <w:r>
        <w:rPr>
          <w:rFonts w:ascii="Arial" w:cs="Arial" w:eastAsia="Arial" w:hAnsi="Arial"/>
          <w:sz w:val="19"/>
          <w:szCs w:val="19"/>
          <w:b w:val="1"/>
          <w:bCs w:val="1"/>
          <w:color w:val="auto"/>
        </w:rPr>
        <w:t>Award Document</w:t>
      </w:r>
      <w:r>
        <w:rPr>
          <w:rFonts w:ascii="Arial" w:cs="Arial" w:eastAsia="Arial" w:hAnsi="Arial"/>
          <w:sz w:val="19"/>
          <w:szCs w:val="19"/>
          <w:color w:val="auto"/>
        </w:rPr>
        <w:t>”) describes the details under which you are being granted an Award of Non-Qualified Stock Options (“</w:t>
      </w:r>
      <w:r>
        <w:rPr>
          <w:rFonts w:ascii="Arial" w:cs="Arial" w:eastAsia="Arial" w:hAnsi="Arial"/>
          <w:sz w:val="19"/>
          <w:szCs w:val="19"/>
          <w:b w:val="1"/>
          <w:bCs w:val="1"/>
          <w:color w:val="auto"/>
        </w:rPr>
        <w:t>Options</w:t>
      </w:r>
      <w:r>
        <w:rPr>
          <w:rFonts w:ascii="Arial" w:cs="Arial" w:eastAsia="Arial" w:hAnsi="Arial"/>
          <w:sz w:val="19"/>
          <w:szCs w:val="19"/>
          <w:color w:val="auto"/>
        </w:rPr>
        <w:t>”) under the General Motors Company 2020 Long-Term Incentive Plan (as amended from time to time, the “</w:t>
      </w:r>
      <w:r>
        <w:rPr>
          <w:rFonts w:ascii="Arial" w:cs="Arial" w:eastAsia="Arial" w:hAnsi="Arial"/>
          <w:sz w:val="19"/>
          <w:szCs w:val="19"/>
          <w:b w:val="1"/>
          <w:bCs w:val="1"/>
          <w:color w:val="auto"/>
        </w:rPr>
        <w:t>Plan</w:t>
      </w:r>
      <w:r>
        <w:rPr>
          <w:rFonts w:ascii="Arial" w:cs="Arial" w:eastAsia="Arial" w:hAnsi="Arial"/>
          <w:sz w:val="19"/>
          <w:szCs w:val="19"/>
          <w:color w:val="auto"/>
        </w:rPr>
        <w:t>”). As the Options vest, you have the right to purchase Shares at the exercise price noted below (“</w:t>
      </w:r>
      <w:r>
        <w:rPr>
          <w:rFonts w:ascii="Arial" w:cs="Arial" w:eastAsia="Arial" w:hAnsi="Arial"/>
          <w:sz w:val="19"/>
          <w:szCs w:val="19"/>
          <w:b w:val="1"/>
          <w:bCs w:val="1"/>
          <w:color w:val="auto"/>
        </w:rPr>
        <w:t>Exercise Price</w:t>
      </w:r>
      <w:r>
        <w:rPr>
          <w:rFonts w:ascii="Arial" w:cs="Arial" w:eastAsia="Arial" w:hAnsi="Arial"/>
          <w:sz w:val="19"/>
          <w:szCs w:val="19"/>
          <w:color w:val="auto"/>
        </w:rPr>
        <w:t>”).</w:t>
      </w:r>
    </w:p>
    <w:p>
      <w:pPr>
        <w:spacing w:after="0" w:line="168" w:lineRule="exact"/>
        <w:rPr>
          <w:sz w:val="20"/>
          <w:szCs w:val="20"/>
          <w:color w:val="auto"/>
        </w:rPr>
      </w:pPr>
    </w:p>
    <w:p>
      <w:pPr>
        <w:jc w:val="both"/>
        <w:ind w:right="680"/>
        <w:spacing w:after="0" w:line="260" w:lineRule="auto"/>
        <w:rPr>
          <w:sz w:val="20"/>
          <w:szCs w:val="20"/>
          <w:color w:val="auto"/>
        </w:rPr>
      </w:pPr>
      <w:r>
        <w:rPr>
          <w:rFonts w:ascii="Arial" w:cs="Arial" w:eastAsia="Arial" w:hAnsi="Arial"/>
          <w:sz w:val="20"/>
          <w:szCs w:val="20"/>
          <w:color w:val="auto"/>
        </w:rPr>
        <w:t>A copy of the Plan can be found on the Shareworks by Morgan Stanley site. Capitalized terms used in this Award Document have the meanings given in the Plan unless noted otherwise.</w:t>
      </w:r>
    </w:p>
    <w:p>
      <w:pPr>
        <w:spacing w:after="0" w:line="177"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full terms of your Award are set out in this Award Document, the Plan and any policy adopted by the Committee in respect of the Plan and Awards thereunder that is applicable to this Award. In the event of any conflict between this Award Document and the Plan, the terms of this Award Document shall prevail.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of this Award</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2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Issuer</w:t>
            </w:r>
          </w:p>
        </w:tc>
        <w:tc>
          <w:tcPr>
            <w:tcW w:w="782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General Motors Company, a Delaware corporation</w:t>
            </w:r>
          </w:p>
        </w:tc>
      </w:tr>
      <w:tr>
        <w:trPr>
          <w:trHeight w:val="23"/>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7820" w:type="dxa"/>
            <w:vAlign w:val="bottom"/>
            <w:tcBorders>
              <w:bottom w:val="single" w:sz="8" w:color="auto"/>
              <w:right w:val="single" w:sz="8" w:color="auto"/>
            </w:tcBorders>
          </w:tcPr>
          <w:p>
            <w:pPr>
              <w:spacing w:after="0"/>
              <w:rPr>
                <w:sz w:val="2"/>
                <w:szCs w:val="2"/>
                <w:color w:val="auto"/>
              </w:rPr>
            </w:pPr>
          </w:p>
        </w:tc>
      </w:tr>
      <w:tr>
        <w:trPr>
          <w:trHeight w:val="227"/>
        </w:trPr>
        <w:tc>
          <w:tcPr>
            <w:tcW w:w="226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rPr>
              <w:t>Number of Options</w:t>
            </w:r>
          </w:p>
        </w:tc>
        <w:tc>
          <w:tcPr>
            <w:tcW w:w="7820" w:type="dxa"/>
            <w:vAlign w:val="bottom"/>
            <w:tcBorders>
              <w:right w:val="single" w:sz="8" w:color="auto"/>
            </w:tcBorders>
          </w:tcPr>
          <w:p>
            <w:pPr>
              <w:spacing w:after="0" w:line="228" w:lineRule="exact"/>
              <w:rPr>
                <w:sz w:val="20"/>
                <w:szCs w:val="20"/>
                <w:color w:val="auto"/>
              </w:rPr>
            </w:pPr>
            <w:r>
              <w:rPr>
                <w:rFonts w:ascii="Arial" w:cs="Arial" w:eastAsia="Arial" w:hAnsi="Arial"/>
                <w:sz w:val="20"/>
                <w:szCs w:val="20"/>
                <w:color w:val="auto"/>
              </w:rPr>
              <w:t>[Insert Number] Options</w:t>
            </w:r>
          </w:p>
        </w:tc>
      </w:tr>
      <w:tr>
        <w:trPr>
          <w:trHeight w:val="256"/>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Granted To You</w:t>
            </w:r>
          </w:p>
        </w:tc>
        <w:tc>
          <w:tcPr>
            <w:tcW w:w="7820" w:type="dxa"/>
            <w:vAlign w:val="bottom"/>
            <w:tcBorders>
              <w:right w:val="single" w:sz="8" w:color="auto"/>
            </w:tcBorders>
          </w:tcPr>
          <w:p>
            <w:pPr>
              <w:spacing w:after="0"/>
              <w:rPr>
                <w:sz w:val="22"/>
                <w:szCs w:val="22"/>
                <w:color w:val="auto"/>
              </w:rPr>
            </w:pPr>
          </w:p>
        </w:tc>
      </w:tr>
      <w:tr>
        <w:trPr>
          <w:trHeight w:val="23"/>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7820" w:type="dxa"/>
            <w:vAlign w:val="bottom"/>
            <w:tcBorders>
              <w:bottom w:val="single" w:sz="8" w:color="auto"/>
              <w:right w:val="single" w:sz="8" w:color="auto"/>
            </w:tcBorders>
          </w:tcPr>
          <w:p>
            <w:pPr>
              <w:spacing w:after="0"/>
              <w:rPr>
                <w:sz w:val="2"/>
                <w:szCs w:val="2"/>
                <w:color w:val="auto"/>
              </w:rPr>
            </w:pPr>
          </w:p>
        </w:tc>
      </w:tr>
      <w:tr>
        <w:trPr>
          <w:trHeight w:val="254"/>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Exercise Price</w:t>
            </w: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$[Insert Price]</w:t>
            </w:r>
          </w:p>
        </w:tc>
      </w:tr>
      <w:tr>
        <w:trPr>
          <w:trHeight w:val="23"/>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7820" w:type="dxa"/>
            <w:vAlign w:val="bottom"/>
            <w:tcBorders>
              <w:bottom w:val="single" w:sz="8" w:color="auto"/>
              <w:right w:val="single" w:sz="8" w:color="auto"/>
            </w:tcBorders>
          </w:tcPr>
          <w:p>
            <w:pPr>
              <w:spacing w:after="0"/>
              <w:rPr>
                <w:sz w:val="2"/>
                <w:szCs w:val="2"/>
                <w:color w:val="auto"/>
              </w:rPr>
            </w:pPr>
          </w:p>
        </w:tc>
      </w:tr>
      <w:tr>
        <w:trPr>
          <w:trHeight w:val="254"/>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Grant Date</w:t>
            </w: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[Insert Date]</w:t>
            </w:r>
          </w:p>
        </w:tc>
      </w:tr>
      <w:tr>
        <w:trPr>
          <w:trHeight w:val="23"/>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7820" w:type="dxa"/>
            <w:vAlign w:val="bottom"/>
            <w:tcBorders>
              <w:bottom w:val="single" w:sz="8" w:color="auto"/>
              <w:right w:val="single" w:sz="8" w:color="auto"/>
            </w:tcBorders>
          </w:tcPr>
          <w:p>
            <w:pPr>
              <w:spacing w:after="0"/>
              <w:rPr>
                <w:sz w:val="2"/>
                <w:szCs w:val="2"/>
                <w:color w:val="auto"/>
              </w:rPr>
            </w:pPr>
          </w:p>
        </w:tc>
      </w:tr>
      <w:tr>
        <w:trPr>
          <w:trHeight w:val="254"/>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Vesting Schedule</w:t>
            </w: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Except as provided below, the Options will vest as follows:</w:t>
            </w:r>
          </w:p>
        </w:tc>
      </w:tr>
      <w:tr>
        <w:trPr>
          <w:trHeight w:val="472"/>
        </w:trPr>
        <w:tc>
          <w:tcPr>
            <w:tcW w:w="2260" w:type="dxa"/>
            <w:vAlign w:val="bottom"/>
            <w:tcBorders>
              <w:left w:val="single" w:sz="8" w:color="auto"/>
              <w:right w:val="single" w:sz="8" w:color="auto"/>
            </w:tcBorders>
          </w:tcPr>
          <w:p>
            <w:pPr>
              <w:spacing w:after="0"/>
              <w:rPr>
                <w:sz w:val="24"/>
                <w:szCs w:val="24"/>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[Insert Vesting Schedule]</w:t>
            </w:r>
          </w:p>
        </w:tc>
      </w:tr>
      <w:tr>
        <w:trPr>
          <w:trHeight w:val="452"/>
        </w:trPr>
        <w:tc>
          <w:tcPr>
            <w:tcW w:w="2260" w:type="dxa"/>
            <w:vAlign w:val="bottom"/>
            <w:tcBorders>
              <w:left w:val="single" w:sz="8" w:color="auto"/>
              <w:right w:val="single" w:sz="8" w:color="auto"/>
            </w:tcBorders>
          </w:tcPr>
          <w:p>
            <w:pPr>
              <w:spacing w:after="0"/>
              <w:rPr>
                <w:sz w:val="24"/>
                <w:szCs w:val="24"/>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If you experience a Full Career Status Termination of Service prior to the first anniversary of the</w:t>
            </w:r>
          </w:p>
        </w:tc>
      </w:tr>
      <w:tr>
        <w:trPr>
          <w:trHeight w:val="230"/>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Grant Date, your Award will be prorated. The pro-rata portion of the Award that is retained shall</w:t>
            </w:r>
          </w:p>
        </w:tc>
      </w:tr>
      <w:tr>
        <w:trPr>
          <w:trHeight w:val="230"/>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3"/>
              </w:rPr>
              <w:t>continue to vest in accordance with the existing vesting schedule, with the remaining portion of</w:t>
            </w:r>
          </w:p>
        </w:tc>
      </w:tr>
      <w:tr>
        <w:trPr>
          <w:trHeight w:val="230"/>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the Award being forfeited. The retained pro-rata portion of the Award is calculated based on the</w:t>
            </w:r>
          </w:p>
        </w:tc>
      </w:tr>
      <w:tr>
        <w:trPr>
          <w:trHeight w:val="250"/>
        </w:trPr>
        <w:tc>
          <w:tcPr>
            <w:tcW w:w="2260" w:type="dxa"/>
            <w:vAlign w:val="bottom"/>
            <w:tcBorders>
              <w:left w:val="single" w:sz="8" w:color="auto"/>
              <w:right w:val="single" w:sz="8" w:color="auto"/>
            </w:tcBorders>
          </w:tcPr>
          <w:p>
            <w:pPr>
              <w:spacing w:after="0"/>
              <w:rPr>
                <w:sz w:val="21"/>
                <w:szCs w:val="21"/>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month in which your Full Career Status Termination of Service occurs as follows:</w:t>
            </w:r>
          </w:p>
        </w:tc>
      </w:tr>
      <w:tr>
        <w:trPr>
          <w:trHeight w:val="473"/>
        </w:trPr>
        <w:tc>
          <w:tcPr>
            <w:tcW w:w="2260" w:type="dxa"/>
            <w:vAlign w:val="bottom"/>
            <w:tcBorders>
              <w:left w:val="single" w:sz="8" w:color="auto"/>
              <w:right w:val="single" w:sz="8" w:color="auto"/>
            </w:tcBorders>
          </w:tcPr>
          <w:p>
            <w:pPr>
              <w:spacing w:after="0"/>
              <w:rPr>
                <w:sz w:val="24"/>
                <w:szCs w:val="24"/>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[Insert Pro-Ration Schedule]</w:t>
            </w:r>
          </w:p>
        </w:tc>
      </w:tr>
      <w:tr>
        <w:trPr>
          <w:trHeight w:val="452"/>
        </w:trPr>
        <w:tc>
          <w:tcPr>
            <w:tcW w:w="2260" w:type="dxa"/>
            <w:vAlign w:val="bottom"/>
            <w:tcBorders>
              <w:left w:val="single" w:sz="8" w:color="auto"/>
              <w:right w:val="single" w:sz="8" w:color="auto"/>
            </w:tcBorders>
          </w:tcPr>
          <w:p>
            <w:pPr>
              <w:spacing w:after="0"/>
              <w:rPr>
                <w:sz w:val="24"/>
                <w:szCs w:val="24"/>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3"/>
              </w:rPr>
              <w:t>Except as otherwise provided in the Plan and this Award Document, any portion of the Options</w:t>
            </w:r>
          </w:p>
        </w:tc>
      </w:tr>
      <w:tr>
        <w:trPr>
          <w:trHeight w:val="250"/>
        </w:trPr>
        <w:tc>
          <w:tcPr>
            <w:tcW w:w="2260" w:type="dxa"/>
            <w:vAlign w:val="bottom"/>
            <w:tcBorders>
              <w:left w:val="single" w:sz="8" w:color="auto"/>
              <w:right w:val="single" w:sz="8" w:color="auto"/>
            </w:tcBorders>
          </w:tcPr>
          <w:p>
            <w:pPr>
              <w:spacing w:after="0"/>
              <w:rPr>
                <w:sz w:val="21"/>
                <w:szCs w:val="21"/>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not vested as of a Termination of Service shall be forfeited.</w:t>
            </w:r>
          </w:p>
        </w:tc>
      </w:tr>
      <w:tr>
        <w:trPr>
          <w:trHeight w:val="23"/>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7820" w:type="dxa"/>
            <w:vAlign w:val="bottom"/>
            <w:tcBorders>
              <w:bottom w:val="single" w:sz="8" w:color="auto"/>
              <w:right w:val="single" w:sz="8" w:color="auto"/>
            </w:tcBorders>
          </w:tcPr>
          <w:p>
            <w:pPr>
              <w:spacing w:after="0"/>
              <w:rPr>
                <w:sz w:val="2"/>
                <w:szCs w:val="2"/>
                <w:color w:val="auto"/>
              </w:rPr>
            </w:pPr>
          </w:p>
        </w:tc>
      </w:tr>
      <w:tr>
        <w:trPr>
          <w:trHeight w:val="254"/>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Expiration Date</w:t>
            </w: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[Insert Date] upon the close of the New York Stock Exchange.</w:t>
            </w:r>
          </w:p>
        </w:tc>
      </w:tr>
      <w:tr>
        <w:trPr>
          <w:trHeight w:val="445"/>
        </w:trPr>
        <w:tc>
          <w:tcPr>
            <w:tcW w:w="2260" w:type="dxa"/>
            <w:vAlign w:val="bottom"/>
            <w:tcBorders>
              <w:left w:val="single" w:sz="8" w:color="auto"/>
              <w:right w:val="single" w:sz="8" w:color="auto"/>
            </w:tcBorders>
          </w:tcPr>
          <w:p>
            <w:pPr>
              <w:spacing w:after="0"/>
              <w:rPr>
                <w:sz w:val="24"/>
                <w:szCs w:val="24"/>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Any unexercised Options that remain following the Expiration Date shall be forfeited.</w:t>
            </w:r>
          </w:p>
        </w:tc>
      </w:tr>
      <w:tr>
        <w:trPr>
          <w:trHeight w:val="239"/>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782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240"/>
          </w:cols>
          <w:pgMar w:left="320" w:top="126" w:right="339" w:bottom="1440" w:gutter="0" w:footer="0" w:header="0"/>
        </w:sectPr>
      </w:pPr>
    </w:p>
    <w:bookmarkStart w:id="56" w:name="page57"/>
    <w:bookmarkEnd w:id="5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2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Form of Settlement</w:t>
            </w:r>
          </w:p>
        </w:tc>
        <w:tc>
          <w:tcPr>
            <w:tcW w:w="7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color w:val="auto"/>
                <w:w w:val="94"/>
              </w:rPr>
              <w:t>Unless otherwise prohibited by the Plan, this Award Document, law or administrative</w:t>
            </w:r>
          </w:p>
        </w:tc>
      </w:tr>
      <w:tr>
        <w:trPr>
          <w:trHeight w:val="257"/>
        </w:trPr>
        <w:tc>
          <w:tcPr>
            <w:tcW w:w="2260" w:type="dxa"/>
            <w:vAlign w:val="bottom"/>
            <w:tcBorders>
              <w:left w:val="single" w:sz="8" w:color="auto"/>
              <w:right w:val="single" w:sz="8" w:color="auto"/>
            </w:tcBorders>
          </w:tcPr>
          <w:p>
            <w:pPr>
              <w:spacing w:after="0"/>
              <w:rPr>
                <w:sz w:val="22"/>
                <w:szCs w:val="22"/>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96"/>
              </w:rPr>
              <w:t>rules established under the Plan, your Options may be exercised and settled in the</w:t>
            </w:r>
          </w:p>
        </w:tc>
      </w:tr>
      <w:tr>
        <w:trPr>
          <w:trHeight w:val="274"/>
        </w:trPr>
        <w:tc>
          <w:tcPr>
            <w:tcW w:w="2260" w:type="dxa"/>
            <w:vAlign w:val="bottom"/>
            <w:tcBorders>
              <w:left w:val="single" w:sz="8" w:color="auto"/>
              <w:right w:val="single" w:sz="8" w:color="auto"/>
            </w:tcBorders>
          </w:tcPr>
          <w:p>
            <w:pPr>
              <w:spacing w:after="0"/>
              <w:rPr>
                <w:sz w:val="23"/>
                <w:szCs w:val="23"/>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following ways:</w:t>
            </w:r>
          </w:p>
        </w:tc>
      </w:tr>
      <w:tr>
        <w:trPr>
          <w:trHeight w:val="473"/>
        </w:trPr>
        <w:tc>
          <w:tcPr>
            <w:tcW w:w="2260" w:type="dxa"/>
            <w:vAlign w:val="bottom"/>
            <w:tcBorders>
              <w:left w:val="single" w:sz="8" w:color="auto"/>
              <w:right w:val="single" w:sz="8" w:color="auto"/>
            </w:tcBorders>
          </w:tcPr>
          <w:p>
            <w:pPr>
              <w:spacing w:after="0"/>
              <w:rPr>
                <w:sz w:val="24"/>
                <w:szCs w:val="24"/>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93"/>
              </w:rPr>
              <w:t>Buy and Hold – Exercise Options to buy Shares using cash and then hold the Shares;</w:t>
            </w:r>
          </w:p>
        </w:tc>
      </w:tr>
      <w:tr>
        <w:trPr>
          <w:trHeight w:val="482"/>
        </w:trPr>
        <w:tc>
          <w:tcPr>
            <w:tcW w:w="2260" w:type="dxa"/>
            <w:vAlign w:val="bottom"/>
            <w:tcBorders>
              <w:left w:val="single" w:sz="8" w:color="auto"/>
              <w:right w:val="single" w:sz="8" w:color="auto"/>
            </w:tcBorders>
          </w:tcPr>
          <w:p>
            <w:pPr>
              <w:spacing w:after="0"/>
              <w:rPr>
                <w:sz w:val="24"/>
                <w:szCs w:val="24"/>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88"/>
              </w:rPr>
              <w:t>Cashless – Exercise Options to buy Shares and sell the acquired Shares at the same time</w:t>
            </w:r>
          </w:p>
        </w:tc>
      </w:tr>
      <w:tr>
        <w:trPr>
          <w:trHeight w:val="274"/>
        </w:trPr>
        <w:tc>
          <w:tcPr>
            <w:tcW w:w="2260" w:type="dxa"/>
            <w:vAlign w:val="bottom"/>
            <w:tcBorders>
              <w:left w:val="single" w:sz="8" w:color="auto"/>
              <w:right w:val="single" w:sz="8" w:color="auto"/>
            </w:tcBorders>
          </w:tcPr>
          <w:p>
            <w:pPr>
              <w:spacing w:after="0"/>
              <w:rPr>
                <w:sz w:val="23"/>
                <w:szCs w:val="23"/>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without using cash. Net proceeds received in cash;</w:t>
            </w:r>
          </w:p>
        </w:tc>
      </w:tr>
      <w:tr>
        <w:trPr>
          <w:trHeight w:val="482"/>
        </w:trPr>
        <w:tc>
          <w:tcPr>
            <w:tcW w:w="2260" w:type="dxa"/>
            <w:vAlign w:val="bottom"/>
            <w:tcBorders>
              <w:left w:val="single" w:sz="8" w:color="auto"/>
              <w:right w:val="single" w:sz="8" w:color="auto"/>
            </w:tcBorders>
          </w:tcPr>
          <w:p>
            <w:pPr>
              <w:spacing w:after="0"/>
              <w:rPr>
                <w:sz w:val="24"/>
                <w:szCs w:val="24"/>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91"/>
              </w:rPr>
              <w:t>Net Shares – Exercise Options to buy Shares and sell the acquired Shares at the same</w:t>
            </w:r>
          </w:p>
        </w:tc>
      </w:tr>
      <w:tr>
        <w:trPr>
          <w:trHeight w:val="274"/>
        </w:trPr>
        <w:tc>
          <w:tcPr>
            <w:tcW w:w="2260" w:type="dxa"/>
            <w:vAlign w:val="bottom"/>
            <w:tcBorders>
              <w:left w:val="single" w:sz="8" w:color="auto"/>
              <w:right w:val="single" w:sz="8" w:color="auto"/>
            </w:tcBorders>
          </w:tcPr>
          <w:p>
            <w:pPr>
              <w:spacing w:after="0"/>
              <w:rPr>
                <w:sz w:val="23"/>
                <w:szCs w:val="23"/>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time without using cash. Net proceeds received in Shares;</w:t>
            </w:r>
          </w:p>
        </w:tc>
      </w:tr>
      <w:tr>
        <w:trPr>
          <w:trHeight w:val="482"/>
        </w:trPr>
        <w:tc>
          <w:tcPr>
            <w:tcW w:w="2260" w:type="dxa"/>
            <w:vAlign w:val="bottom"/>
            <w:tcBorders>
              <w:left w:val="single" w:sz="8" w:color="auto"/>
              <w:right w:val="single" w:sz="8" w:color="auto"/>
            </w:tcBorders>
          </w:tcPr>
          <w:p>
            <w:pPr>
              <w:spacing w:after="0"/>
              <w:rPr>
                <w:sz w:val="24"/>
                <w:szCs w:val="24"/>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95"/>
              </w:rPr>
              <w:t>Stock for Stock – Exercise Options to buy Shares using the value of Shares already</w:t>
            </w:r>
          </w:p>
        </w:tc>
      </w:tr>
      <w:tr>
        <w:trPr>
          <w:trHeight w:val="274"/>
        </w:trPr>
        <w:tc>
          <w:tcPr>
            <w:tcW w:w="2260" w:type="dxa"/>
            <w:vAlign w:val="bottom"/>
            <w:tcBorders>
              <w:left w:val="single" w:sz="8" w:color="auto"/>
              <w:right w:val="single" w:sz="8" w:color="auto"/>
            </w:tcBorders>
          </w:tcPr>
          <w:p>
            <w:pPr>
              <w:spacing w:after="0"/>
              <w:rPr>
                <w:sz w:val="23"/>
                <w:szCs w:val="23"/>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owned;</w:t>
            </w:r>
          </w:p>
        </w:tc>
      </w:tr>
      <w:tr>
        <w:trPr>
          <w:trHeight w:val="499"/>
        </w:trPr>
        <w:tc>
          <w:tcPr>
            <w:tcW w:w="2260" w:type="dxa"/>
            <w:vAlign w:val="bottom"/>
            <w:tcBorders>
              <w:left w:val="single" w:sz="8" w:color="auto"/>
              <w:right w:val="single" w:sz="8" w:color="auto"/>
            </w:tcBorders>
          </w:tcPr>
          <w:p>
            <w:pPr>
              <w:spacing w:after="0"/>
              <w:rPr>
                <w:sz w:val="24"/>
                <w:szCs w:val="24"/>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Combination or Other Methods (as may be approved by the Committee).</w:t>
            </w:r>
          </w:p>
        </w:tc>
      </w:tr>
      <w:tr>
        <w:trPr>
          <w:trHeight w:val="495"/>
        </w:trPr>
        <w:tc>
          <w:tcPr>
            <w:tcW w:w="2260" w:type="dxa"/>
            <w:vAlign w:val="bottom"/>
            <w:tcBorders>
              <w:left w:val="single" w:sz="8" w:color="auto"/>
              <w:right w:val="single" w:sz="8" w:color="auto"/>
            </w:tcBorders>
          </w:tcPr>
          <w:p>
            <w:pPr>
              <w:spacing w:after="0"/>
              <w:rPr>
                <w:sz w:val="24"/>
                <w:szCs w:val="24"/>
                <w:color w:val="auto"/>
              </w:rPr>
            </w:pPr>
          </w:p>
        </w:tc>
        <w:tc>
          <w:tcPr>
            <w:tcW w:w="78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1"/>
              </w:rPr>
              <w:t>Notwithstanding the forgoing and the terms of the Plan, the Company reserves the right</w:t>
            </w:r>
          </w:p>
        </w:tc>
      </w:tr>
      <w:tr>
        <w:trPr>
          <w:trHeight w:val="257"/>
        </w:trPr>
        <w:tc>
          <w:tcPr>
            <w:tcW w:w="2260" w:type="dxa"/>
            <w:vAlign w:val="bottom"/>
            <w:tcBorders>
              <w:left w:val="single" w:sz="8" w:color="auto"/>
              <w:right w:val="single" w:sz="8" w:color="auto"/>
            </w:tcBorders>
          </w:tcPr>
          <w:p>
            <w:pPr>
              <w:spacing w:after="0"/>
              <w:rPr>
                <w:sz w:val="22"/>
                <w:szCs w:val="22"/>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to limit the form of settlement based on your home or host location at the time of</w:t>
            </w:r>
          </w:p>
        </w:tc>
      </w:tr>
      <w:tr>
        <w:trPr>
          <w:trHeight w:val="257"/>
        </w:trPr>
        <w:tc>
          <w:tcPr>
            <w:tcW w:w="2260" w:type="dxa"/>
            <w:vAlign w:val="bottom"/>
            <w:tcBorders>
              <w:left w:val="single" w:sz="8" w:color="auto"/>
              <w:right w:val="single" w:sz="8" w:color="auto"/>
            </w:tcBorders>
          </w:tcPr>
          <w:p>
            <w:pPr>
              <w:spacing w:after="0"/>
              <w:rPr>
                <w:sz w:val="22"/>
                <w:szCs w:val="22"/>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93"/>
              </w:rPr>
              <w:t>exercise. For example, if you are providing services in certain specified jurisdictions at</w:t>
            </w:r>
          </w:p>
        </w:tc>
      </w:tr>
      <w:tr>
        <w:trPr>
          <w:trHeight w:val="257"/>
        </w:trPr>
        <w:tc>
          <w:tcPr>
            <w:tcW w:w="2260" w:type="dxa"/>
            <w:vAlign w:val="bottom"/>
            <w:tcBorders>
              <w:left w:val="single" w:sz="8" w:color="auto"/>
              <w:right w:val="single" w:sz="8" w:color="auto"/>
            </w:tcBorders>
          </w:tcPr>
          <w:p>
            <w:pPr>
              <w:spacing w:after="0"/>
              <w:rPr>
                <w:sz w:val="22"/>
                <w:szCs w:val="22"/>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90"/>
              </w:rPr>
              <w:t>the time of exercise, you may only exercise vested Options through a cashless exercise.</w:t>
            </w:r>
          </w:p>
        </w:tc>
      </w:tr>
      <w:tr>
        <w:trPr>
          <w:trHeight w:val="256"/>
        </w:trPr>
        <w:tc>
          <w:tcPr>
            <w:tcW w:w="2260" w:type="dxa"/>
            <w:vAlign w:val="bottom"/>
            <w:tcBorders>
              <w:left w:val="single" w:sz="8" w:color="auto"/>
              <w:right w:val="single" w:sz="8" w:color="auto"/>
            </w:tcBorders>
          </w:tcPr>
          <w:p>
            <w:pPr>
              <w:spacing w:after="0"/>
              <w:rPr>
                <w:sz w:val="22"/>
                <w:szCs w:val="22"/>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95"/>
              </w:rPr>
              <w:t>The Company also reserves the right to further modify the form of settlement of your</w:t>
            </w:r>
          </w:p>
        </w:tc>
      </w:tr>
      <w:tr>
        <w:trPr>
          <w:trHeight w:val="257"/>
        </w:trPr>
        <w:tc>
          <w:tcPr>
            <w:tcW w:w="2260" w:type="dxa"/>
            <w:vAlign w:val="bottom"/>
            <w:tcBorders>
              <w:left w:val="single" w:sz="8" w:color="auto"/>
              <w:right w:val="single" w:sz="8" w:color="auto"/>
            </w:tcBorders>
          </w:tcPr>
          <w:p>
            <w:pPr>
              <w:spacing w:after="0"/>
              <w:rPr>
                <w:sz w:val="22"/>
                <w:szCs w:val="22"/>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90"/>
              </w:rPr>
              <w:t>Award as it deems appropriate to account for the impact of local law and regulations. For</w:t>
            </w:r>
          </w:p>
        </w:tc>
      </w:tr>
      <w:tr>
        <w:trPr>
          <w:trHeight w:val="257"/>
        </w:trPr>
        <w:tc>
          <w:tcPr>
            <w:tcW w:w="2260" w:type="dxa"/>
            <w:vAlign w:val="bottom"/>
            <w:tcBorders>
              <w:left w:val="single" w:sz="8" w:color="auto"/>
              <w:right w:val="single" w:sz="8" w:color="auto"/>
            </w:tcBorders>
          </w:tcPr>
          <w:p>
            <w:pPr>
              <w:spacing w:after="0"/>
              <w:rPr>
                <w:sz w:val="22"/>
                <w:szCs w:val="22"/>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90"/>
              </w:rPr>
              <w:t>example, the Company may adjust settlement to account for unique limitations regarding</w:t>
            </w:r>
          </w:p>
        </w:tc>
      </w:tr>
      <w:tr>
        <w:trPr>
          <w:trHeight w:val="274"/>
        </w:trPr>
        <w:tc>
          <w:tcPr>
            <w:tcW w:w="2260" w:type="dxa"/>
            <w:vAlign w:val="bottom"/>
            <w:tcBorders>
              <w:left w:val="single" w:sz="8" w:color="auto"/>
              <w:right w:val="single" w:sz="8" w:color="auto"/>
            </w:tcBorders>
          </w:tcPr>
          <w:p>
            <w:pPr>
              <w:spacing w:after="0"/>
              <w:rPr>
                <w:sz w:val="23"/>
                <w:szCs w:val="23"/>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the provision of equity outside the United States.</w:t>
            </w:r>
          </w:p>
        </w:tc>
      </w:tr>
      <w:tr>
        <w:trPr>
          <w:trHeight w:val="455"/>
        </w:trPr>
        <w:tc>
          <w:tcPr>
            <w:tcW w:w="2260" w:type="dxa"/>
            <w:vAlign w:val="bottom"/>
            <w:tcBorders>
              <w:left w:val="single" w:sz="8" w:color="auto"/>
              <w:right w:val="single" w:sz="8" w:color="auto"/>
            </w:tcBorders>
          </w:tcPr>
          <w:p>
            <w:pPr>
              <w:spacing w:after="0"/>
              <w:rPr>
                <w:sz w:val="24"/>
                <w:szCs w:val="24"/>
                <w:color w:val="auto"/>
              </w:rPr>
            </w:pPr>
          </w:p>
        </w:tc>
        <w:tc>
          <w:tcPr>
            <w:tcW w:w="78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0"/>
              </w:rPr>
              <w:t>Regardless of the form of settlement, as required by law, the Company will withhold any</w:t>
            </w:r>
          </w:p>
        </w:tc>
      </w:tr>
      <w:tr>
        <w:trPr>
          <w:trHeight w:val="257"/>
        </w:trPr>
        <w:tc>
          <w:tcPr>
            <w:tcW w:w="2260" w:type="dxa"/>
            <w:vAlign w:val="bottom"/>
            <w:tcBorders>
              <w:left w:val="single" w:sz="8" w:color="auto"/>
              <w:right w:val="single" w:sz="8" w:color="auto"/>
            </w:tcBorders>
          </w:tcPr>
          <w:p>
            <w:pPr>
              <w:spacing w:after="0"/>
              <w:rPr>
                <w:sz w:val="22"/>
                <w:szCs w:val="22"/>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97"/>
              </w:rPr>
              <w:t>applicable federal, state, local or foreign tax in connection with any exercise of the</w:t>
            </w:r>
          </w:p>
        </w:tc>
      </w:tr>
      <w:tr>
        <w:trPr>
          <w:trHeight w:val="274"/>
        </w:trPr>
        <w:tc>
          <w:tcPr>
            <w:tcW w:w="2260" w:type="dxa"/>
            <w:vAlign w:val="bottom"/>
            <w:tcBorders>
              <w:left w:val="single" w:sz="8" w:color="auto"/>
              <w:right w:val="single" w:sz="8" w:color="auto"/>
            </w:tcBorders>
          </w:tcPr>
          <w:p>
            <w:pPr>
              <w:spacing w:after="0"/>
              <w:rPr>
                <w:sz w:val="23"/>
                <w:szCs w:val="23"/>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Options. You are responsible for any taxes due upon exercise of the Options.</w:t>
            </w:r>
          </w:p>
        </w:tc>
      </w:tr>
      <w:tr>
        <w:trPr>
          <w:trHeight w:val="233"/>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7820" w:type="dxa"/>
            <w:vAlign w:val="bottom"/>
            <w:tcBorders>
              <w:bottom w:val="single" w:sz="8" w:color="auto"/>
              <w:right w:val="single" w:sz="8" w:color="auto"/>
            </w:tcBorders>
          </w:tcPr>
          <w:p>
            <w:pPr>
              <w:spacing w:after="0"/>
              <w:rPr>
                <w:sz w:val="20"/>
                <w:szCs w:val="20"/>
                <w:color w:val="auto"/>
              </w:rPr>
            </w:pPr>
          </w:p>
        </w:tc>
      </w:tr>
      <w:tr>
        <w:trPr>
          <w:trHeight w:val="233"/>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Conditions Precedent</w:t>
            </w: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4"/>
              </w:rPr>
              <w:t>Pursuant and subject to Section 11 of the Plan, as a condition precedent to the vesting and/or</w:t>
            </w:r>
          </w:p>
        </w:tc>
      </w:tr>
      <w:tr>
        <w:trPr>
          <w:trHeight w:val="250"/>
        </w:trPr>
        <w:tc>
          <w:tcPr>
            <w:tcW w:w="2260" w:type="dxa"/>
            <w:vAlign w:val="bottom"/>
            <w:tcBorders>
              <w:left w:val="single" w:sz="8" w:color="auto"/>
              <w:right w:val="single" w:sz="8" w:color="auto"/>
            </w:tcBorders>
          </w:tcPr>
          <w:p>
            <w:pPr>
              <w:spacing w:after="0"/>
              <w:rPr>
                <w:sz w:val="21"/>
                <w:szCs w:val="21"/>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exercise of any portion of your Award, you shall:</w:t>
            </w:r>
          </w:p>
        </w:tc>
      </w:tr>
      <w:tr>
        <w:trPr>
          <w:trHeight w:val="425"/>
        </w:trPr>
        <w:tc>
          <w:tcPr>
            <w:tcW w:w="2260" w:type="dxa"/>
            <w:vAlign w:val="bottom"/>
            <w:tcBorders>
              <w:left w:val="single" w:sz="8" w:color="auto"/>
              <w:right w:val="single" w:sz="8" w:color="auto"/>
            </w:tcBorders>
          </w:tcPr>
          <w:p>
            <w:pPr>
              <w:spacing w:after="0"/>
              <w:rPr>
                <w:sz w:val="24"/>
                <w:szCs w:val="24"/>
                <w:color w:val="auto"/>
              </w:rPr>
            </w:pPr>
          </w:p>
        </w:tc>
        <w:tc>
          <w:tcPr>
            <w:tcW w:w="782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w w:val="94"/>
              </w:rPr>
              <w:t>•   Refrain from engaging in any activity which will cause damage to the Company or is in</w:t>
            </w:r>
          </w:p>
        </w:tc>
      </w:tr>
      <w:tr>
        <w:trPr>
          <w:trHeight w:val="229"/>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w w:val="96"/>
              </w:rPr>
              <w:t>any manner inimical or in any way contrary to the best interests of the Company, as</w:t>
            </w:r>
          </w:p>
        </w:tc>
      </w:tr>
      <w:tr>
        <w:trPr>
          <w:trHeight w:val="230"/>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determined pursuant to the Plan;</w:t>
            </w:r>
          </w:p>
        </w:tc>
      </w:tr>
      <w:tr>
        <w:trPr>
          <w:trHeight w:val="230"/>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rPr>
              <w:t>•   Comply with the Restrictive Covenants below; and</w:t>
            </w:r>
          </w:p>
        </w:tc>
      </w:tr>
      <w:tr>
        <w:trPr>
          <w:trHeight w:val="230"/>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w w:val="92"/>
              </w:rPr>
              <w:t>•   Furnish to the Company such information with respect to the satisfaction of the foregoing</w:t>
            </w:r>
          </w:p>
        </w:tc>
      </w:tr>
      <w:tr>
        <w:trPr>
          <w:trHeight w:val="250"/>
        </w:trPr>
        <w:tc>
          <w:tcPr>
            <w:tcW w:w="2260" w:type="dxa"/>
            <w:vAlign w:val="bottom"/>
            <w:tcBorders>
              <w:left w:val="single" w:sz="8" w:color="auto"/>
              <w:right w:val="single" w:sz="8" w:color="auto"/>
            </w:tcBorders>
          </w:tcPr>
          <w:p>
            <w:pPr>
              <w:spacing w:after="0"/>
              <w:rPr>
                <w:sz w:val="21"/>
                <w:szCs w:val="21"/>
                <w:color w:val="auto"/>
              </w:rPr>
            </w:pPr>
          </w:p>
        </w:tc>
        <w:tc>
          <w:tcPr>
            <w:tcW w:w="782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as the Committee may reasonably request.</w:t>
            </w:r>
          </w:p>
        </w:tc>
      </w:tr>
      <w:tr>
        <w:trPr>
          <w:trHeight w:val="438"/>
        </w:trPr>
        <w:tc>
          <w:tcPr>
            <w:tcW w:w="2260" w:type="dxa"/>
            <w:vAlign w:val="bottom"/>
            <w:tcBorders>
              <w:left w:val="single" w:sz="8" w:color="auto"/>
              <w:right w:val="single" w:sz="8" w:color="auto"/>
            </w:tcBorders>
          </w:tcPr>
          <w:p>
            <w:pPr>
              <w:spacing w:after="0"/>
              <w:rPr>
                <w:sz w:val="24"/>
                <w:szCs w:val="24"/>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5"/>
              </w:rPr>
              <w:t>In addition, the Committee may require you to enter into such agreements as the Committee</w:t>
            </w:r>
          </w:p>
        </w:tc>
      </w:tr>
      <w:tr>
        <w:trPr>
          <w:trHeight w:val="250"/>
        </w:trPr>
        <w:tc>
          <w:tcPr>
            <w:tcW w:w="2260" w:type="dxa"/>
            <w:vAlign w:val="bottom"/>
            <w:tcBorders>
              <w:left w:val="single" w:sz="8" w:color="auto"/>
              <w:right w:val="single" w:sz="8" w:color="auto"/>
            </w:tcBorders>
          </w:tcPr>
          <w:p>
            <w:pPr>
              <w:spacing w:after="0"/>
              <w:rPr>
                <w:sz w:val="21"/>
                <w:szCs w:val="21"/>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considers appropriate.</w:t>
            </w:r>
          </w:p>
        </w:tc>
      </w:tr>
      <w:tr>
        <w:trPr>
          <w:trHeight w:val="452"/>
        </w:trPr>
        <w:tc>
          <w:tcPr>
            <w:tcW w:w="2260" w:type="dxa"/>
            <w:vAlign w:val="bottom"/>
            <w:tcBorders>
              <w:left w:val="single" w:sz="8" w:color="auto"/>
              <w:right w:val="single" w:sz="8" w:color="auto"/>
            </w:tcBorders>
          </w:tcPr>
          <w:p>
            <w:pPr>
              <w:spacing w:after="0"/>
              <w:rPr>
                <w:sz w:val="24"/>
                <w:szCs w:val="24"/>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7"/>
              </w:rPr>
              <w:t>Your failure to satisfy any of the foregoing conditions precedent will result in the immediate</w:t>
            </w:r>
          </w:p>
        </w:tc>
      </w:tr>
      <w:tr>
        <w:trPr>
          <w:trHeight w:val="230"/>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0"/>
              </w:rPr>
              <w:t>cancellation of the unvested portion of your Award and any vested portion of your Award that has</w:t>
            </w:r>
          </w:p>
        </w:tc>
      </w:tr>
      <w:tr>
        <w:trPr>
          <w:trHeight w:val="229"/>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not yet been exercised, and you will not be entitled to receive any consideration with respect to</w:t>
            </w:r>
          </w:p>
        </w:tc>
      </w:tr>
      <w:tr>
        <w:trPr>
          <w:trHeight w:val="250"/>
        </w:trPr>
        <w:tc>
          <w:tcPr>
            <w:tcW w:w="2260" w:type="dxa"/>
            <w:vAlign w:val="bottom"/>
            <w:tcBorders>
              <w:left w:val="single" w:sz="8" w:color="auto"/>
              <w:right w:val="single" w:sz="8" w:color="auto"/>
            </w:tcBorders>
          </w:tcPr>
          <w:p>
            <w:pPr>
              <w:spacing w:after="0"/>
              <w:rPr>
                <w:sz w:val="21"/>
                <w:szCs w:val="21"/>
                <w:color w:val="auto"/>
              </w:rPr>
            </w:pP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such cancellation.</w:t>
            </w:r>
          </w:p>
        </w:tc>
      </w:tr>
      <w:tr>
        <w:trPr>
          <w:trHeight w:val="23"/>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78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139"/>
          </w:cols>
          <w:pgMar w:left="320" w:top="957" w:right="1440" w:bottom="1440" w:gutter="0" w:footer="0" w:header="0"/>
        </w:sectPr>
      </w:pPr>
    </w:p>
    <w:bookmarkStart w:id="57" w:name="page58"/>
    <w:bookmarkEnd w:id="57"/>
    <w:p>
      <w:pPr>
        <w:ind w:left="1140" w:right="139" w:hanging="2227"/>
        <w:spacing w:after="0" w:line="260" w:lineRule="auto"/>
        <w:tabs>
          <w:tab w:leader="none" w:pos="1120" w:val="left"/>
        </w:tabs>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6386195" cy="57607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386195" cy="5760720"/>
                    </a:xfrm>
                    <a:prstGeom prst="rect">
                      <a:avLst/>
                    </a:prstGeom>
                    <a:noFill/>
                  </pic:spPr>
                </pic:pic>
              </a:graphicData>
            </a:graphic>
          </wp:anchor>
        </w:drawing>
        <w:t>Restrictive Covenants</w:t>
      </w:r>
      <w:r>
        <w:rPr>
          <w:sz w:val="20"/>
          <w:szCs w:val="20"/>
          <w:color w:val="auto"/>
        </w:rPr>
        <w:tab/>
      </w:r>
      <w:r>
        <w:rPr>
          <w:rFonts w:ascii="Arial" w:cs="Arial" w:eastAsia="Arial" w:hAnsi="Arial"/>
          <w:sz w:val="19"/>
          <w:szCs w:val="19"/>
          <w:color w:val="auto"/>
        </w:rPr>
        <w:t>In exchange for the Options described in this Award Document, except to the extent this provision is expressly unenforceable or unlawful under applicable law, you agree to the following restrictive covenants (“</w:t>
      </w:r>
      <w:r>
        <w:rPr>
          <w:rFonts w:ascii="Arial" w:cs="Arial" w:eastAsia="Arial" w:hAnsi="Arial"/>
          <w:sz w:val="19"/>
          <w:szCs w:val="19"/>
          <w:b w:val="1"/>
          <w:bCs w:val="1"/>
          <w:color w:val="auto"/>
        </w:rPr>
        <w:t>Restrictive Covenants</w:t>
      </w:r>
      <w:r>
        <w:rPr>
          <w:rFonts w:ascii="Arial" w:cs="Arial" w:eastAsia="Arial" w:hAnsi="Arial"/>
          <w:sz w:val="19"/>
          <w:szCs w:val="19"/>
          <w:color w:val="auto"/>
        </w:rPr>
        <w:t>”) that apply during your employment with the Company and its Subsidiaries, and for the 12-month period commencing on your Termination of Service, including a Full Career Status Termination:</w:t>
      </w:r>
    </w:p>
    <w:p>
      <w:pPr>
        <w:spacing w:after="0" w:line="213" w:lineRule="exact"/>
        <w:rPr>
          <w:sz w:val="20"/>
          <w:szCs w:val="20"/>
          <w:color w:val="auto"/>
        </w:rPr>
      </w:pPr>
    </w:p>
    <w:p>
      <w:pPr>
        <w:ind w:left="1800" w:right="139" w:hanging="329"/>
        <w:spacing w:after="0" w:line="268" w:lineRule="auto"/>
        <w:tabs>
          <w:tab w:leader="none" w:pos="1788"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During your employment and for one year after it ends, anywhere within the world where you have, within the last two years of your employment, worked, had management responsibilities or had access to confidential information, you will not directly or indirectly provide services to any business that competes with the Company if such services involve (i) the potential use or disclosure of Company confidential information or trade secrets; (ii) substantially the same functions/responsibilities as yours for the Company during your last two years of employment; or (iii) supervision over substantially the same functions, responsibilities or business units as those you supervised for the Company during your last two years of employment;</w:t>
      </w:r>
    </w:p>
    <w:p>
      <w:pPr>
        <w:spacing w:after="0" w:line="1" w:lineRule="exact"/>
        <w:rPr>
          <w:rFonts w:ascii="Arial" w:cs="Arial" w:eastAsia="Arial" w:hAnsi="Arial"/>
          <w:sz w:val="18"/>
          <w:szCs w:val="18"/>
          <w:color w:val="auto"/>
        </w:rPr>
      </w:pPr>
    </w:p>
    <w:p>
      <w:pPr>
        <w:ind w:left="1800" w:right="139" w:hanging="329"/>
        <w:spacing w:after="0" w:line="239" w:lineRule="auto"/>
        <w:tabs>
          <w:tab w:leader="none" w:pos="1788" w:val="left"/>
        </w:tabs>
        <w:numPr>
          <w:ilvl w:val="0"/>
          <w:numId w:val="32"/>
        </w:numPr>
        <w:rPr>
          <w:rFonts w:ascii="Arial" w:cs="Arial" w:eastAsia="Arial" w:hAnsi="Arial"/>
          <w:sz w:val="20"/>
          <w:szCs w:val="20"/>
          <w:color w:val="auto"/>
        </w:rPr>
      </w:pPr>
      <w:r>
        <w:rPr>
          <w:rFonts w:ascii="Arial" w:cs="Arial" w:eastAsia="Arial" w:hAnsi="Arial"/>
          <w:sz w:val="20"/>
          <w:szCs w:val="20"/>
          <w:color w:val="auto"/>
        </w:rPr>
        <w:t>During your employment and for one year after it ends, you will not directly or indirectly, knowingly induce any employee of the Company or any Subsidiary to leave his/her employment for participation, directly or indirectly, with any existing or future employer or business venture associated with you; and</w:t>
      </w:r>
    </w:p>
    <w:p>
      <w:pPr>
        <w:spacing w:after="0" w:line="1" w:lineRule="exact"/>
        <w:rPr>
          <w:rFonts w:ascii="Arial" w:cs="Arial" w:eastAsia="Arial" w:hAnsi="Arial"/>
          <w:sz w:val="20"/>
          <w:szCs w:val="20"/>
          <w:color w:val="auto"/>
        </w:rPr>
      </w:pPr>
    </w:p>
    <w:p>
      <w:pPr>
        <w:ind w:left="1800" w:right="179" w:hanging="329"/>
        <w:spacing w:after="0"/>
        <w:tabs>
          <w:tab w:leader="none" w:pos="1788" w:val="left"/>
        </w:tabs>
        <w:numPr>
          <w:ilvl w:val="0"/>
          <w:numId w:val="32"/>
        </w:numPr>
        <w:rPr>
          <w:rFonts w:ascii="Arial" w:cs="Arial" w:eastAsia="Arial" w:hAnsi="Arial"/>
          <w:sz w:val="20"/>
          <w:szCs w:val="20"/>
          <w:color w:val="auto"/>
        </w:rPr>
      </w:pPr>
      <w:r>
        <w:rPr>
          <w:rFonts w:ascii="Arial" w:cs="Arial" w:eastAsia="Arial" w:hAnsi="Arial"/>
          <w:sz w:val="20"/>
          <w:szCs w:val="20"/>
          <w:color w:val="auto"/>
        </w:rPr>
        <w:t>During your employment and for one year after it ends, you will not directly or indirectly solicit or attempt to solicit any client, customer, or supplier of, or provider to the Company or its Subsidiaries who was a client, customer, supplier or provider for which you provided services or supervised services during the 12-month period immediately prior to your Termination of Service.</w:t>
      </w:r>
    </w:p>
    <w:p>
      <w:pPr>
        <w:spacing w:after="0" w:line="225" w:lineRule="exact"/>
        <w:rPr>
          <w:sz w:val="20"/>
          <w:szCs w:val="20"/>
          <w:color w:val="auto"/>
        </w:rPr>
      </w:pPr>
    </w:p>
    <w:p>
      <w:pPr>
        <w:ind w:left="1140" w:right="279"/>
        <w:spacing w:after="0" w:line="246" w:lineRule="auto"/>
        <w:rPr>
          <w:sz w:val="20"/>
          <w:szCs w:val="20"/>
          <w:color w:val="auto"/>
        </w:rPr>
      </w:pPr>
      <w:r>
        <w:rPr>
          <w:rFonts w:ascii="Arial" w:cs="Arial" w:eastAsia="Arial" w:hAnsi="Arial"/>
          <w:sz w:val="20"/>
          <w:szCs w:val="20"/>
          <w:color w:val="auto"/>
        </w:rPr>
        <w:t>You may seek permission from the Company to take action that would otherwise violate one or more aspects of these Restrictive Covenants, but the Company may either approve or deny such request in its unfettered discretion and otherwise enforce the provisions of the Restrictive Covenants.</w:t>
      </w:r>
    </w:p>
    <w:p>
      <w:pPr>
        <w:spacing w:after="0" w:line="218" w:lineRule="exact"/>
        <w:rPr>
          <w:sz w:val="20"/>
          <w:szCs w:val="20"/>
          <w:color w:val="auto"/>
        </w:rPr>
      </w:pPr>
    </w:p>
    <w:p>
      <w:pPr>
        <w:ind w:left="1140" w:right="139"/>
        <w:spacing w:after="0" w:line="272" w:lineRule="auto"/>
        <w:rPr>
          <w:sz w:val="20"/>
          <w:szCs w:val="20"/>
          <w:color w:val="auto"/>
        </w:rPr>
      </w:pPr>
      <w:r>
        <w:rPr>
          <w:rFonts w:ascii="Arial" w:cs="Arial" w:eastAsia="Arial" w:hAnsi="Arial"/>
          <w:sz w:val="18"/>
          <w:szCs w:val="18"/>
          <w:color w:val="auto"/>
        </w:rPr>
        <w:t>If you violate any of the Restrictive Covenants during its effective period without the Company’s consent, both the unvested and vested but unexercised portion of your Award will immediately be cancelled. In addition, you agree to repay to the Company all of the gains resulting from any exercise of the Options during the period commencing on the date that is 12 months prior to your Termination of Service and ending on the date that is 12 months following your Termination of Service. To the extent permitted under applicable law, the Company may also take action at equity or in law to enforce the provisions of the applicable Restrictive Covenants. Following application of this provision of the Award Document, you will continue to be bound by the obligations, promises and other agreements contained in the Plan and the Award Document.</w:t>
      </w:r>
    </w:p>
    <w:p>
      <w:pPr>
        <w:sectPr>
          <w:pgSz w:w="11900" w:h="16838" w:orient="portrait"/>
          <w:cols w:equalWidth="0" w:num="1">
            <w:col w:w="9019"/>
          </w:cols>
          <w:pgMar w:left="1440" w:top="1237" w:right="1440" w:bottom="1440" w:gutter="0" w:footer="0" w:header="0"/>
        </w:sectPr>
      </w:pPr>
    </w:p>
    <w:bookmarkStart w:id="58" w:name="page59"/>
    <w:bookmarkEnd w:id="58"/>
    <w:tbl>
      <w:tblPr>
        <w:tblLayout w:type="fixed"/>
        <w:tblInd w:w="10" w:type="dxa"/>
        <w:tblCellMar>
          <w:top w:w="0" w:type="dxa"/>
          <w:left w:w="0" w:type="dxa"/>
          <w:bottom w:w="0" w:type="dxa"/>
          <w:right w:w="0" w:type="dxa"/>
        </w:tblCellMar>
      </w:tblPr>
      <w:tr>
        <w:trPr>
          <w:trHeight w:val="247"/>
        </w:trPr>
        <w:tc>
          <w:tcPr>
            <w:tcW w:w="2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Other Terms and</w:t>
            </w:r>
          </w:p>
        </w:tc>
        <w:tc>
          <w:tcPr>
            <w:tcW w:w="782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w w:val="92"/>
              </w:rPr>
              <w:t>Refer to the Plan for additional terms and conditions applicable to your Award, including but not</w:t>
            </w:r>
          </w:p>
        </w:tc>
      </w:tr>
      <w:tr>
        <w:trPr>
          <w:trHeight w:val="256"/>
        </w:trPr>
        <w:tc>
          <w:tcPr>
            <w:tcW w:w="2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w w:val="94"/>
              </w:rPr>
              <w:t>Conditions of the Award</w:t>
            </w:r>
          </w:p>
        </w:tc>
        <w:tc>
          <w:tcPr>
            <w:tcW w:w="7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limited to those relating to:</w:t>
            </w:r>
          </w:p>
        </w:tc>
      </w:tr>
      <w:tr>
        <w:trPr>
          <w:trHeight w:val="452"/>
        </w:trPr>
        <w:tc>
          <w:tcPr>
            <w:tcW w:w="2260" w:type="dxa"/>
            <w:vAlign w:val="bottom"/>
            <w:tcBorders>
              <w:left w:val="single" w:sz="8" w:color="auto"/>
              <w:right w:val="single" w:sz="8" w:color="auto"/>
            </w:tcBorders>
          </w:tcPr>
          <w:p>
            <w:pPr>
              <w:spacing w:after="0"/>
              <w:rPr>
                <w:sz w:val="24"/>
                <w:szCs w:val="24"/>
                <w:color w:val="auto"/>
              </w:rPr>
            </w:pPr>
          </w:p>
        </w:tc>
        <w:tc>
          <w:tcPr>
            <w:tcW w:w="782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w w:val="97"/>
              </w:rPr>
              <w:t>•   No dividends or dividend equivalents will be earned or paid on the Options granted;</w:t>
            </w:r>
          </w:p>
        </w:tc>
      </w:tr>
      <w:tr>
        <w:trPr>
          <w:trHeight w:val="229"/>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w w:val="95"/>
              </w:rPr>
              <w:t>•   Effect of your Termination of Service on your Award, including upon Death, Disability,</w:t>
            </w:r>
          </w:p>
        </w:tc>
      </w:tr>
      <w:tr>
        <w:trPr>
          <w:trHeight w:val="230"/>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achievement of Full Career Status and other Termination of Service scenarios;</w:t>
            </w:r>
          </w:p>
        </w:tc>
      </w:tr>
      <w:tr>
        <w:trPr>
          <w:trHeight w:val="229"/>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w w:val="95"/>
              </w:rPr>
              <w:t>•   Your Award being subject to any clawback or recoupment policies of the Company as</w:t>
            </w:r>
          </w:p>
        </w:tc>
      </w:tr>
      <w:tr>
        <w:trPr>
          <w:trHeight w:val="230"/>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ind w:left="660"/>
              <w:spacing w:after="0"/>
              <w:rPr>
                <w:sz w:val="20"/>
                <w:szCs w:val="20"/>
                <w:color w:val="auto"/>
              </w:rPr>
            </w:pPr>
            <w:r>
              <w:rPr>
                <w:rFonts w:ascii="Arial" w:cs="Arial" w:eastAsia="Arial" w:hAnsi="Arial"/>
                <w:sz w:val="20"/>
                <w:szCs w:val="20"/>
                <w:color w:val="auto"/>
              </w:rPr>
              <w:t>may be in effect from time to time;</w:t>
            </w:r>
          </w:p>
        </w:tc>
      </w:tr>
      <w:tr>
        <w:trPr>
          <w:trHeight w:val="229"/>
        </w:trPr>
        <w:tc>
          <w:tcPr>
            <w:tcW w:w="2260" w:type="dxa"/>
            <w:vAlign w:val="bottom"/>
            <w:tcBorders>
              <w:left w:val="single" w:sz="8" w:color="auto"/>
              <w:right w:val="single" w:sz="8" w:color="auto"/>
            </w:tcBorders>
          </w:tcPr>
          <w:p>
            <w:pPr>
              <w:spacing w:after="0"/>
              <w:rPr>
                <w:sz w:val="19"/>
                <w:szCs w:val="19"/>
                <w:color w:val="auto"/>
              </w:rPr>
            </w:pPr>
          </w:p>
        </w:tc>
        <w:tc>
          <w:tcPr>
            <w:tcW w:w="782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w w:val="91"/>
              </w:rPr>
              <w:t>•   The impact of a Change in Control or other specified corporate event on your Award; and</w:t>
            </w:r>
          </w:p>
        </w:tc>
      </w:tr>
      <w:tr>
        <w:trPr>
          <w:trHeight w:val="250"/>
        </w:trPr>
        <w:tc>
          <w:tcPr>
            <w:tcW w:w="2260" w:type="dxa"/>
            <w:vAlign w:val="bottom"/>
            <w:tcBorders>
              <w:left w:val="single" w:sz="8" w:color="auto"/>
              <w:right w:val="single" w:sz="8" w:color="auto"/>
            </w:tcBorders>
          </w:tcPr>
          <w:p>
            <w:pPr>
              <w:spacing w:after="0"/>
              <w:rPr>
                <w:sz w:val="21"/>
                <w:szCs w:val="21"/>
                <w:color w:val="auto"/>
              </w:rPr>
            </w:pPr>
          </w:p>
        </w:tc>
        <w:tc>
          <w:tcPr>
            <w:tcW w:w="782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rPr>
              <w:t>•   Jurisdiction and governing law.</w:t>
            </w:r>
          </w:p>
        </w:tc>
      </w:tr>
      <w:tr>
        <w:trPr>
          <w:trHeight w:val="23"/>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78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Acknowledgements</w:t>
      </w:r>
    </w:p>
    <w:p>
      <w:pPr>
        <w:spacing w:after="0" w:line="249"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following additional terms apply to your Award, your participation in the Plan and the grant of the Options (and issuance of any Shares) to you. By accepting the Award you irrevocably agree and acknowledge in favor of the Company (on its own behalf and as an agent for the Subsidiaries) that:</w:t>
      </w:r>
    </w:p>
    <w:p>
      <w:pPr>
        <w:spacing w:after="0" w:line="213" w:lineRule="exact"/>
        <w:rPr>
          <w:sz w:val="20"/>
          <w:szCs w:val="20"/>
          <w:color w:val="auto"/>
        </w:rPr>
      </w:pPr>
    </w:p>
    <w:p>
      <w:pPr>
        <w:ind w:left="340" w:right="40" w:hanging="332"/>
        <w:spacing w:after="0" w:line="250" w:lineRule="auto"/>
        <w:tabs>
          <w:tab w:leader="none" w:pos="332" w:val="left"/>
        </w:tabs>
        <w:numPr>
          <w:ilvl w:val="0"/>
          <w:numId w:val="33"/>
        </w:numPr>
        <w:rPr>
          <w:rFonts w:ascii="Arial" w:cs="Arial" w:eastAsia="Arial" w:hAnsi="Arial"/>
          <w:sz w:val="20"/>
          <w:szCs w:val="20"/>
          <w:color w:val="auto"/>
        </w:rPr>
      </w:pPr>
      <w:r>
        <w:rPr>
          <w:rFonts w:ascii="Arial" w:cs="Arial" w:eastAsia="Arial" w:hAnsi="Arial"/>
          <w:sz w:val="20"/>
          <w:szCs w:val="20"/>
          <w:color w:val="auto"/>
        </w:rPr>
        <w:t>To enable the Company to issue you this Award, and administer the Plan and any Award, you consent to the holding and processing of personal information provided by you to the Company or any Subsidiary, trustee or third party service provider, for all purposes relating to the operation of the Plan in accordance with Section 20 of the Plan.</w:t>
      </w:r>
    </w:p>
    <w:p>
      <w:pPr>
        <w:spacing w:after="0" w:line="212" w:lineRule="exact"/>
        <w:rPr>
          <w:rFonts w:ascii="Arial" w:cs="Arial" w:eastAsia="Arial" w:hAnsi="Arial"/>
          <w:sz w:val="20"/>
          <w:szCs w:val="20"/>
          <w:color w:val="auto"/>
        </w:rPr>
      </w:pPr>
    </w:p>
    <w:p>
      <w:pPr>
        <w:ind w:left="340" w:hanging="332"/>
        <w:spacing w:after="0" w:line="244" w:lineRule="auto"/>
        <w:tabs>
          <w:tab w:leader="none" w:pos="329" w:val="left"/>
        </w:tabs>
        <w:numPr>
          <w:ilvl w:val="0"/>
          <w:numId w:val="33"/>
        </w:numPr>
        <w:rPr>
          <w:rFonts w:ascii="Arial" w:cs="Arial" w:eastAsia="Arial" w:hAnsi="Arial"/>
          <w:sz w:val="20"/>
          <w:szCs w:val="20"/>
          <w:color w:val="auto"/>
        </w:rPr>
      </w:pPr>
      <w:r>
        <w:rPr>
          <w:rFonts w:ascii="Arial" w:cs="Arial" w:eastAsia="Arial" w:hAnsi="Arial"/>
          <w:sz w:val="20"/>
          <w:szCs w:val="20"/>
          <w:color w:val="auto"/>
        </w:rPr>
        <w:t>You will not have any claim to be granted any Award under the Plan, and there is no obligation for uniformity of treatment of employees, consultants, advisors, Participants or holders or Beneficiaries of Awards under the Plan. The terms and conditions of Awards need not be the same with respect to each recipient. Any Award granted under the Plan shall be a single, voluntary grant and does not constitute a promise, a contractual right or other right to receive future grants. The Committee maintains the right to make available future grants under the Plan.</w:t>
      </w:r>
    </w:p>
    <w:p>
      <w:pPr>
        <w:spacing w:after="0" w:line="221" w:lineRule="exact"/>
        <w:rPr>
          <w:rFonts w:ascii="Arial" w:cs="Arial" w:eastAsia="Arial" w:hAnsi="Arial"/>
          <w:sz w:val="20"/>
          <w:szCs w:val="20"/>
          <w:color w:val="auto"/>
        </w:rPr>
      </w:pPr>
    </w:p>
    <w:p>
      <w:pPr>
        <w:ind w:left="340" w:right="180" w:hanging="332"/>
        <w:spacing w:after="0" w:line="244" w:lineRule="auto"/>
        <w:tabs>
          <w:tab w:leader="none" w:pos="332"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grant of this Award does not give you the right to be retained in the employ of, or to continue to provide services to, the Company or any Subsidiary. The Company or the applicable Subsidiary may at any time dismiss you, free from any liability or any claim under the Plan, unless otherwise expressly provided in the Plan or in any other agreement binding you and the Company or the applicable Subsidiary. Your receipt of this Award under the Plan is not intended to confer any rights on you except as set forth in this Award Document or in the Plan.</w:t>
      </w:r>
    </w:p>
    <w:p>
      <w:pPr>
        <w:spacing w:after="0" w:line="221" w:lineRule="exact"/>
        <w:rPr>
          <w:rFonts w:ascii="Arial" w:cs="Arial" w:eastAsia="Arial" w:hAnsi="Arial"/>
          <w:sz w:val="20"/>
          <w:szCs w:val="20"/>
          <w:color w:val="auto"/>
        </w:rPr>
      </w:pPr>
    </w:p>
    <w:p>
      <w:pPr>
        <w:ind w:left="340" w:right="120" w:hanging="332"/>
        <w:spacing w:after="0" w:line="244" w:lineRule="auto"/>
        <w:tabs>
          <w:tab w:leader="none" w:pos="329" w:val="left"/>
        </w:tabs>
        <w:numPr>
          <w:ilvl w:val="0"/>
          <w:numId w:val="33"/>
        </w:numPr>
        <w:rPr>
          <w:rFonts w:ascii="Arial" w:cs="Arial" w:eastAsia="Arial" w:hAnsi="Arial"/>
          <w:sz w:val="20"/>
          <w:szCs w:val="20"/>
          <w:color w:val="auto"/>
        </w:rPr>
      </w:pPr>
      <w:r>
        <w:rPr>
          <w:rFonts w:ascii="Arial" w:cs="Arial" w:eastAsia="Arial" w:hAnsi="Arial"/>
          <w:sz w:val="20"/>
          <w:szCs w:val="20"/>
          <w:color w:val="auto"/>
        </w:rPr>
        <w:t>Unless otherwise required by law, this Award under, and your participation in, the Plan does not form part of your remuneration for the purposes of determining payments in lieu of notice of termination of your employment, severance payments, leave entitlements, or any other compensation payable to you. No Award, payment, or other right or benefit, under the Plan will be taken into account in determining any benefits under any pension, retirement, savings, profit-sharing, group insurance, welfare or benefit plan of the Company or any of the Subsidiaries.</w:t>
      </w:r>
    </w:p>
    <w:p>
      <w:pPr>
        <w:spacing w:after="0" w:line="221" w:lineRule="exact"/>
        <w:rPr>
          <w:rFonts w:ascii="Arial" w:cs="Arial" w:eastAsia="Arial" w:hAnsi="Arial"/>
          <w:sz w:val="20"/>
          <w:szCs w:val="20"/>
          <w:color w:val="auto"/>
        </w:rPr>
      </w:pPr>
    </w:p>
    <w:p>
      <w:pPr>
        <w:jc w:val="both"/>
        <w:ind w:left="340" w:right="140" w:hanging="332"/>
        <w:spacing w:after="0" w:line="246" w:lineRule="auto"/>
        <w:tabs>
          <w:tab w:leader="none" w:pos="332"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This Award includes Restrictive Covenants and conditions precedent that apply during and following your termination of employment, and the Options described in this Award constitute one element of the good and valuable consideration provided in exchange for those Restrictive Covenants. You may be subject to other Agreements that contain restrictive covenants and those covenants are independent of these Restrictive Covenants.</w:t>
      </w:r>
    </w:p>
    <w:p>
      <w:pPr>
        <w:spacing w:after="0" w:line="218" w:lineRule="exact"/>
        <w:rPr>
          <w:rFonts w:ascii="Arial" w:cs="Arial" w:eastAsia="Arial" w:hAnsi="Arial"/>
          <w:sz w:val="20"/>
          <w:szCs w:val="20"/>
          <w:color w:val="auto"/>
        </w:rPr>
      </w:pPr>
    </w:p>
    <w:p>
      <w:pPr>
        <w:ind w:left="340" w:right="200" w:hanging="332"/>
        <w:spacing w:after="0" w:line="260" w:lineRule="auto"/>
        <w:tabs>
          <w:tab w:leader="none" w:pos="337"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Company and the Subsidiaries, their respective affiliates, officers and employees make no representation concerning the financial benefit or taxation consequences of any Award or participation in the Plan and you are</w:t>
      </w:r>
    </w:p>
    <w:p>
      <w:pPr>
        <w:sectPr>
          <w:pgSz w:w="11900" w:h="16838" w:orient="portrait"/>
          <w:cols w:equalWidth="0" w:num="1">
            <w:col w:w="11140"/>
          </w:cols>
          <w:pgMar w:left="320" w:top="957" w:right="439" w:bottom="1440" w:gutter="0" w:footer="0" w:header="0"/>
        </w:sectPr>
      </w:pPr>
    </w:p>
    <w:bookmarkStart w:id="59" w:name="page60"/>
    <w:bookmarkEnd w:id="59"/>
    <w:p>
      <w:pPr>
        <w:ind w:left="340"/>
        <w:spacing w:after="0"/>
        <w:rPr>
          <w:sz w:val="20"/>
          <w:szCs w:val="20"/>
          <w:color w:val="auto"/>
        </w:rPr>
      </w:pPr>
      <w:r>
        <w:rPr>
          <w:rFonts w:ascii="Arial" w:cs="Arial" w:eastAsia="Arial" w:hAnsi="Arial"/>
          <w:sz w:val="19"/>
          <w:szCs w:val="19"/>
          <w:color w:val="auto"/>
        </w:rPr>
        <w:t>strongly advised to seek your own professional legal and taxation advice concerning the impact of the Plan and your Award.</w:t>
      </w:r>
    </w:p>
    <w:p>
      <w:pPr>
        <w:spacing w:after="0" w:line="254" w:lineRule="exact"/>
        <w:rPr>
          <w:sz w:val="20"/>
          <w:szCs w:val="20"/>
          <w:color w:val="auto"/>
        </w:rPr>
      </w:pPr>
    </w:p>
    <w:p>
      <w:pPr>
        <w:ind w:left="340" w:right="340" w:hanging="332"/>
        <w:spacing w:after="0" w:line="260" w:lineRule="auto"/>
        <w:tabs>
          <w:tab w:leader="none" w:pos="329"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future value of the Options and subsequent Shares as a result of exercise is unknown and cannot be predicted with certainty and may increase or decrease in value.</w:t>
      </w:r>
    </w:p>
    <w:p>
      <w:pPr>
        <w:spacing w:after="0" w:line="203" w:lineRule="exact"/>
        <w:rPr>
          <w:rFonts w:ascii="Arial" w:cs="Arial" w:eastAsia="Arial" w:hAnsi="Arial"/>
          <w:sz w:val="20"/>
          <w:szCs w:val="20"/>
          <w:color w:val="auto"/>
        </w:rPr>
      </w:pPr>
    </w:p>
    <w:p>
      <w:pPr>
        <w:ind w:left="340" w:right="280" w:hanging="332"/>
        <w:spacing w:after="0" w:line="328" w:lineRule="auto"/>
        <w:tabs>
          <w:tab w:leader="none" w:pos="329" w:val="left"/>
        </w:tabs>
        <w:numPr>
          <w:ilvl w:val="0"/>
          <w:numId w:val="34"/>
        </w:numPr>
        <w:rPr>
          <w:rFonts w:ascii="Arial" w:cs="Arial" w:eastAsia="Arial" w:hAnsi="Arial"/>
          <w:sz w:val="16"/>
          <w:szCs w:val="16"/>
          <w:color w:val="auto"/>
        </w:rPr>
      </w:pPr>
      <w:r>
        <w:rPr>
          <w:rFonts w:ascii="Arial" w:cs="Arial" w:eastAsia="Arial" w:hAnsi="Arial"/>
          <w:sz w:val="16"/>
          <w:szCs w:val="16"/>
          <w:color w:val="auto"/>
        </w:rPr>
        <w:t>You will have no claim or entitlement to compensation or damages arising from the forfeiture of the Options, the termination of the Plan, or the diminution in value of the Options or Shares, including, without limitation, as a result of the termination of your employment by the Company or any Subsidiary for any reason whatsoever and whether or not in breach of contract. You irrevocably release the Company, its Subsidiaries, Affiliates, the Plan Administrator and their affiliates from any such claim that may arise.</w:t>
      </w:r>
    </w:p>
    <w:p>
      <w:pPr>
        <w:spacing w:after="0" w:line="155" w:lineRule="exact"/>
        <w:rPr>
          <w:rFonts w:ascii="Arial" w:cs="Arial" w:eastAsia="Arial" w:hAnsi="Arial"/>
          <w:sz w:val="16"/>
          <w:szCs w:val="16"/>
          <w:color w:val="auto"/>
        </w:rPr>
      </w:pPr>
    </w:p>
    <w:p>
      <w:pPr>
        <w:ind w:left="340" w:right="280" w:hanging="332"/>
        <w:spacing w:after="0" w:line="316" w:lineRule="auto"/>
        <w:tabs>
          <w:tab w:leader="none" w:pos="33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has adopted a stock ownership requirement policy and, if your position is covered, you shall be subject to and comply with this policy as may be in effect from time to time. Options do not count towards your stock ownership requirement.</w:t>
      </w:r>
    </w:p>
    <w:p>
      <w:pPr>
        <w:spacing w:after="0" w:line="156" w:lineRule="exact"/>
        <w:rPr>
          <w:rFonts w:ascii="Arial" w:cs="Arial" w:eastAsia="Arial" w:hAnsi="Arial"/>
          <w:sz w:val="18"/>
          <w:szCs w:val="18"/>
          <w:color w:val="auto"/>
        </w:rPr>
      </w:pPr>
    </w:p>
    <w:p>
      <w:pPr>
        <w:ind w:left="340" w:right="40" w:hanging="332"/>
        <w:spacing w:after="0" w:line="282" w:lineRule="auto"/>
        <w:tabs>
          <w:tab w:leader="none" w:pos="339"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any term of this Award is determined to be unenforceable as written by a court of competent jurisdiction, you acknowledge and agree that such term shall be adjusted to the extent determined by the court to achieve the intent of the Company in imposing such term and if the court determines that such term cannot be reformed to achieve the intent of the Company, then the elimination of the pertinent provisions of that term shall not otherwise impact the enforceability of the other terms of this Award.</w:t>
      </w:r>
    </w:p>
    <w:p>
      <w:pPr>
        <w:spacing w:after="0" w:line="188" w:lineRule="exact"/>
        <w:rPr>
          <w:rFonts w:ascii="Arial" w:cs="Arial" w:eastAsia="Arial" w:hAnsi="Arial"/>
          <w:sz w:val="18"/>
          <w:szCs w:val="18"/>
          <w:color w:val="auto"/>
        </w:rPr>
      </w:pPr>
    </w:p>
    <w:p>
      <w:pPr>
        <w:ind w:left="340" w:hanging="332"/>
        <w:spacing w:after="0" w:line="276" w:lineRule="auto"/>
        <w:tabs>
          <w:tab w:leader="none" w:pos="329" w:val="left"/>
        </w:tabs>
        <w:numPr>
          <w:ilvl w:val="0"/>
          <w:numId w:val="34"/>
        </w:numPr>
        <w:rPr>
          <w:rFonts w:ascii="Arial" w:cs="Arial" w:eastAsia="Arial" w:hAnsi="Arial"/>
          <w:sz w:val="18"/>
          <w:szCs w:val="18"/>
          <w:color w:val="auto"/>
        </w:rPr>
      </w:pPr>
      <w:r>
        <w:rPr>
          <w:rFonts w:ascii="Arial" w:cs="Arial" w:eastAsia="Arial" w:hAnsi="Arial"/>
          <w:sz w:val="18"/>
          <w:szCs w:val="18"/>
          <w:color w:val="auto"/>
        </w:rPr>
        <w:t>You agree this Plan and this Award are governed by the laws of the State of Delaware, without regard to the conflicts of law provisions thereof, and further consent to the exclusive personal jurisdiction and venue of the Chancery Court of the State of Delaware and the United States District Court for the District of Delaware for any action, claim or dispute arising out of or relating to this Award, the Plan or the subject matter contained in this Award Document. The Company will make reasonable efforts so that the Award complies with all applicable federal and state securities laws; provided, however, notwithstanding any other provision of the Award Document, the Options shall not be exercisable if the exercise thereof would result in a violation of any such law.</w:t>
      </w:r>
    </w:p>
    <w:p>
      <w:pPr>
        <w:spacing w:after="0" w:line="191" w:lineRule="exact"/>
        <w:rPr>
          <w:rFonts w:ascii="Arial" w:cs="Arial" w:eastAsia="Arial" w:hAnsi="Arial"/>
          <w:sz w:val="18"/>
          <w:szCs w:val="18"/>
          <w:color w:val="auto"/>
        </w:rPr>
      </w:pPr>
    </w:p>
    <w:p>
      <w:pPr>
        <w:ind w:left="340" w:right="520" w:hanging="332"/>
        <w:spacing w:after="0" w:line="260" w:lineRule="auto"/>
        <w:tabs>
          <w:tab w:leader="none" w:pos="339" w:val="left"/>
        </w:tabs>
        <w:numPr>
          <w:ilvl w:val="0"/>
          <w:numId w:val="34"/>
        </w:numPr>
        <w:rPr>
          <w:rFonts w:ascii="Arial" w:cs="Arial" w:eastAsia="Arial" w:hAnsi="Arial"/>
          <w:sz w:val="20"/>
          <w:szCs w:val="20"/>
          <w:color w:val="auto"/>
        </w:rPr>
      </w:pPr>
      <w:r>
        <w:rPr>
          <w:rFonts w:ascii="Arial" w:cs="Arial" w:eastAsia="Arial" w:hAnsi="Arial"/>
          <w:sz w:val="20"/>
          <w:szCs w:val="20"/>
          <w:color w:val="auto"/>
        </w:rPr>
        <w:t>Nothing in this Award Document will be construed as requiring a forfeiture or otherwise prohibiting you from fully and truthfully cooperating with any investigation or engaging in any other conduct protected by U.S. law.</w:t>
      </w:r>
    </w:p>
    <w:p>
      <w:pPr>
        <w:spacing w:after="0" w:line="203" w:lineRule="exact"/>
        <w:rPr>
          <w:rFonts w:ascii="Arial" w:cs="Arial" w:eastAsia="Arial" w:hAnsi="Arial"/>
          <w:sz w:val="20"/>
          <w:szCs w:val="20"/>
          <w:color w:val="auto"/>
        </w:rPr>
      </w:pPr>
    </w:p>
    <w:p>
      <w:pPr>
        <w:ind w:left="340" w:hanging="332"/>
        <w:spacing w:after="0" w:line="250" w:lineRule="auto"/>
        <w:tabs>
          <w:tab w:leader="none" w:pos="330" w:val="left"/>
        </w:tabs>
        <w:numPr>
          <w:ilvl w:val="0"/>
          <w:numId w:val="34"/>
        </w:numPr>
        <w:rPr>
          <w:rFonts w:ascii="Arial" w:cs="Arial" w:eastAsia="Arial" w:hAnsi="Arial"/>
          <w:sz w:val="20"/>
          <w:szCs w:val="20"/>
          <w:color w:val="auto"/>
        </w:rPr>
      </w:pPr>
      <w:r>
        <w:rPr>
          <w:rFonts w:ascii="Arial" w:cs="Arial" w:eastAsia="Arial" w:hAnsi="Arial"/>
          <w:sz w:val="20"/>
          <w:szCs w:val="20"/>
          <w:color w:val="auto"/>
        </w:rPr>
        <w:t>You have read this Award Document and the Plan carefully and understand their terms, including but not limited to the Restrictive Covenants herein. By indicating your acceptance of these terms, you are expressly accepting the terms and conditions of the Award, and the Company may rely on your acceptance.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Acceptance of Offer</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To accept this offer you will need to follow the link at the bottom of this page. Your electronic acceptance confirms the following:</w:t>
      </w:r>
    </w:p>
    <w:p>
      <w:pPr>
        <w:spacing w:after="0" w:line="254"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I confirm that I have been given a copy of this Award Document and access to the Plan, and that having read both documents I irrevocably agree to:</w:t>
      </w:r>
    </w:p>
    <w:p>
      <w:pPr>
        <w:spacing w:after="0" w:line="177" w:lineRule="exact"/>
        <w:rPr>
          <w:sz w:val="20"/>
          <w:szCs w:val="20"/>
          <w:color w:val="auto"/>
        </w:rPr>
      </w:pPr>
    </w:p>
    <w:p>
      <w:pPr>
        <w:ind w:left="340" w:right="360" w:hanging="332"/>
        <w:spacing w:after="0" w:line="260" w:lineRule="auto"/>
        <w:tabs>
          <w:tab w:leader="none" w:pos="332" w:val="left"/>
        </w:tabs>
        <w:numPr>
          <w:ilvl w:val="0"/>
          <w:numId w:val="35"/>
        </w:numPr>
        <w:rPr>
          <w:rFonts w:ascii="Arial" w:cs="Arial" w:eastAsia="Arial" w:hAnsi="Arial"/>
          <w:sz w:val="20"/>
          <w:szCs w:val="20"/>
          <w:color w:val="auto"/>
        </w:rPr>
      </w:pPr>
      <w:r>
        <w:rPr>
          <w:rFonts w:ascii="Arial" w:cs="Arial" w:eastAsia="Arial" w:hAnsi="Arial"/>
          <w:sz w:val="20"/>
          <w:szCs w:val="20"/>
          <w:color w:val="auto"/>
        </w:rPr>
        <w:t>Accept the Options (and any Shares resulting from the exercise of the Options) that are issued by the Company to me in accordance with the terms of the Plan and this Award Document; and</w:t>
      </w:r>
    </w:p>
    <w:p>
      <w:pPr>
        <w:spacing w:after="0" w:line="203" w:lineRule="exact"/>
        <w:rPr>
          <w:rFonts w:ascii="Arial" w:cs="Arial" w:eastAsia="Arial" w:hAnsi="Arial"/>
          <w:sz w:val="20"/>
          <w:szCs w:val="20"/>
          <w:color w:val="auto"/>
        </w:rPr>
      </w:pPr>
    </w:p>
    <w:p>
      <w:pPr>
        <w:ind w:left="320" w:hanging="312"/>
        <w:spacing w:after="0"/>
        <w:tabs>
          <w:tab w:leader="none" w:pos="3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Be bound by and abide by the terms of this Award Document and the Plan.</w:t>
      </w:r>
    </w:p>
    <w:p>
      <w:pPr>
        <w:spacing w:after="0" w:line="200" w:lineRule="exact"/>
        <w:rPr>
          <w:sz w:val="20"/>
          <w:szCs w:val="20"/>
          <w:color w:val="auto"/>
        </w:rPr>
      </w:pPr>
    </w:p>
    <w:p>
      <w:pPr>
        <w:spacing w:after="0" w:line="259"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color w:val="auto"/>
        </w:rPr>
        <w:t>If you do not accept this Award by [Insert Date], this offer will lapse and be incapable of acceptance (unless otherwise agreed to by the Company).</w:t>
      </w:r>
    </w:p>
    <w:p>
      <w:pPr>
        <w:sectPr>
          <w:pgSz w:w="11900" w:h="16838" w:orient="portrait"/>
          <w:cols w:equalWidth="0" w:num="1">
            <w:col w:w="11120"/>
          </w:cols>
          <w:pgMar w:left="320" w:top="933" w:right="45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If you have any questions concerning this offer or the Plan, please contact [Insert Contact Information].</w:t>
      </w:r>
    </w:p>
    <w:p>
      <w:pPr>
        <w:sectPr>
          <w:pgSz w:w="11900" w:h="16838" w:orient="portrait"/>
          <w:cols w:equalWidth="0" w:num="1">
            <w:col w:w="10139"/>
          </w:cols>
          <w:pgMar w:left="320" w:top="933" w:right="1440"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GM CRUISE HOLDINGS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SEVENTH AMENDED AND RESTATED LIMITED LIABILITY COMPANY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March 14, 2021</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SHARES REPRESENTED BY THIS SEVENTH AMENDED AND RESTATED LIMITED LIABILITY COMPANY AGREEMENT HAVE NOT BEEN REGISTERED UNDER THE SECURITIES ACT OF 1933, AS AMENDED, OR UNDER ANY OTHER APPLICABLE SECURITIES LAWS. SUCH SHARES MAY NOT BE SOLD, ASSIGNED, PLEDGED OR OTHERWISE DISPOSED OF AT ANY TIME WITHOUT EFFECTIVE REGISTRATION UNDER SUCH ACT AND LAWS OR AN EXEMPTION THEREFROM, AND COMPLIANCE WITH THE OTHER RESTRICTIONS ON TRANSFERABILITY SET FORTH HEREIN.</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CERTAIN OF THE SHARES REPRESENTED BY THIS SEVENTH AMENDED AND RESTATED LIMITED LIABILITY COMPANY AGREEMENT ARE ALSO SUBJECT TO ADDITIONAL RESTRICTIONS SET FORTH IN ANY SHARE GRANT, SHARE PURCHASE OR OTHER SIMILAR AGREEMENT BETWEEN THE COMPANY AND CERTAIN PURCHASERS OR HOLDERS OF SHARES.</w:t>
      </w:r>
    </w:p>
    <w:p>
      <w:pPr>
        <w:sectPr>
          <w:pgSz w:w="11900" w:h="16838" w:orient="portrait"/>
          <w:cols w:equalWidth="0" w:num="1">
            <w:col w:w="11240"/>
          </w:cols>
          <w:pgMar w:left="320" w:top="126" w:right="339" w:bottom="1440" w:gutter="0" w:footer="0" w:header="0"/>
        </w:sectPr>
      </w:pPr>
    </w:p>
    <w:bookmarkStart w:id="62" w:name="page63"/>
    <w:bookmarkEnd w:id="62"/>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70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827"/>
        </w:trPr>
        <w:tc>
          <w:tcPr>
            <w:tcW w:w="8840" w:type="dxa"/>
            <w:vAlign w:val="bottom"/>
            <w:gridSpan w:val="2"/>
          </w:tcPr>
          <w:p>
            <w:pPr>
              <w:spacing w:after="0"/>
              <w:rPr>
                <w:sz w:val="20"/>
                <w:szCs w:val="20"/>
                <w:color w:val="auto"/>
              </w:rPr>
            </w:pPr>
            <w:r>
              <w:rPr>
                <w:rFonts w:ascii="Arial" w:cs="Arial" w:eastAsia="Arial" w:hAnsi="Arial"/>
                <w:sz w:val="22"/>
                <w:szCs w:val="22"/>
                <w:color w:val="auto"/>
              </w:rPr>
              <w:t>ARTICLE I ORGANIZATIONAL MATTERS AND CERTAIN DEFINITIONS</w:t>
            </w:r>
          </w:p>
        </w:tc>
        <w:tc>
          <w:tcPr>
            <w:tcW w:w="23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11"/>
        </w:trPr>
        <w:tc>
          <w:tcPr>
            <w:tcW w:w="700" w:type="dxa"/>
            <w:vAlign w:val="bottom"/>
          </w:tcPr>
          <w:p>
            <w:pPr>
              <w:ind w:left="220"/>
              <w:spacing w:after="0"/>
              <w:rPr>
                <w:sz w:val="20"/>
                <w:szCs w:val="20"/>
                <w:color w:val="auto"/>
              </w:rPr>
            </w:pPr>
            <w:r>
              <w:rPr>
                <w:rFonts w:ascii="Arial" w:cs="Arial" w:eastAsia="Arial" w:hAnsi="Arial"/>
                <w:sz w:val="22"/>
                <w:szCs w:val="22"/>
                <w:color w:val="auto"/>
              </w:rPr>
              <w:t>1.01</w:t>
            </w:r>
          </w:p>
        </w:tc>
        <w:tc>
          <w:tcPr>
            <w:tcW w:w="8140" w:type="dxa"/>
            <w:vAlign w:val="bottom"/>
          </w:tcPr>
          <w:p>
            <w:pPr>
              <w:ind w:left="100"/>
              <w:spacing w:after="0"/>
              <w:rPr>
                <w:sz w:val="20"/>
                <w:szCs w:val="20"/>
                <w:color w:val="auto"/>
              </w:rPr>
            </w:pPr>
            <w:r>
              <w:rPr>
                <w:rFonts w:ascii="Arial" w:cs="Arial" w:eastAsia="Arial" w:hAnsi="Arial"/>
                <w:sz w:val="22"/>
                <w:szCs w:val="22"/>
                <w:color w:val="auto"/>
              </w:rPr>
              <w:t>Organization of Company</w:t>
            </w:r>
          </w:p>
        </w:tc>
        <w:tc>
          <w:tcPr>
            <w:tcW w:w="23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1.02</w:t>
            </w:r>
          </w:p>
        </w:tc>
        <w:tc>
          <w:tcPr>
            <w:tcW w:w="8140" w:type="dxa"/>
            <w:vAlign w:val="bottom"/>
          </w:tcPr>
          <w:p>
            <w:pPr>
              <w:ind w:left="100"/>
              <w:spacing w:after="0"/>
              <w:rPr>
                <w:sz w:val="20"/>
                <w:szCs w:val="20"/>
                <w:color w:val="auto"/>
              </w:rPr>
            </w:pPr>
            <w:r>
              <w:rPr>
                <w:rFonts w:ascii="Arial" w:cs="Arial" w:eastAsia="Arial" w:hAnsi="Arial"/>
                <w:sz w:val="22"/>
                <w:szCs w:val="22"/>
                <w:color w:val="auto"/>
              </w:rPr>
              <w:t>Legal Status</w:t>
            </w:r>
          </w:p>
        </w:tc>
        <w:tc>
          <w:tcPr>
            <w:tcW w:w="23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11"/>
        </w:trPr>
        <w:tc>
          <w:tcPr>
            <w:tcW w:w="700" w:type="dxa"/>
            <w:vAlign w:val="bottom"/>
          </w:tcPr>
          <w:p>
            <w:pPr>
              <w:ind w:left="220"/>
              <w:spacing w:after="0"/>
              <w:rPr>
                <w:sz w:val="20"/>
                <w:szCs w:val="20"/>
                <w:color w:val="auto"/>
              </w:rPr>
            </w:pPr>
            <w:r>
              <w:rPr>
                <w:rFonts w:ascii="Arial" w:cs="Arial" w:eastAsia="Arial" w:hAnsi="Arial"/>
                <w:sz w:val="22"/>
                <w:szCs w:val="22"/>
                <w:color w:val="auto"/>
              </w:rPr>
              <w:t>1.03</w:t>
            </w:r>
          </w:p>
        </w:tc>
        <w:tc>
          <w:tcPr>
            <w:tcW w:w="8140" w:type="dxa"/>
            <w:vAlign w:val="bottom"/>
          </w:tcPr>
          <w:p>
            <w:pPr>
              <w:ind w:left="100"/>
              <w:spacing w:after="0"/>
              <w:rPr>
                <w:sz w:val="20"/>
                <w:szCs w:val="20"/>
                <w:color w:val="auto"/>
              </w:rPr>
            </w:pPr>
            <w:r>
              <w:rPr>
                <w:rFonts w:ascii="Arial" w:cs="Arial" w:eastAsia="Arial" w:hAnsi="Arial"/>
                <w:sz w:val="22"/>
                <w:szCs w:val="22"/>
                <w:color w:val="auto"/>
              </w:rPr>
              <w:t>Name</w:t>
            </w:r>
          </w:p>
        </w:tc>
        <w:tc>
          <w:tcPr>
            <w:tcW w:w="23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1.04</w:t>
            </w:r>
          </w:p>
        </w:tc>
        <w:tc>
          <w:tcPr>
            <w:tcW w:w="8140" w:type="dxa"/>
            <w:vAlign w:val="bottom"/>
          </w:tcPr>
          <w:p>
            <w:pPr>
              <w:ind w:left="100"/>
              <w:spacing w:after="0"/>
              <w:rPr>
                <w:sz w:val="20"/>
                <w:szCs w:val="20"/>
                <w:color w:val="auto"/>
              </w:rPr>
            </w:pPr>
            <w:r>
              <w:rPr>
                <w:rFonts w:ascii="Arial" w:cs="Arial" w:eastAsia="Arial" w:hAnsi="Arial"/>
                <w:sz w:val="22"/>
                <w:szCs w:val="22"/>
                <w:color w:val="auto"/>
              </w:rPr>
              <w:t>Registered Office and Registered Agent; Principal Office</w:t>
            </w:r>
          </w:p>
        </w:tc>
        <w:tc>
          <w:tcPr>
            <w:tcW w:w="23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11"/>
        </w:trPr>
        <w:tc>
          <w:tcPr>
            <w:tcW w:w="700" w:type="dxa"/>
            <w:vAlign w:val="bottom"/>
          </w:tcPr>
          <w:p>
            <w:pPr>
              <w:ind w:left="220"/>
              <w:spacing w:after="0"/>
              <w:rPr>
                <w:sz w:val="20"/>
                <w:szCs w:val="20"/>
                <w:color w:val="auto"/>
              </w:rPr>
            </w:pPr>
            <w:r>
              <w:rPr>
                <w:rFonts w:ascii="Arial" w:cs="Arial" w:eastAsia="Arial" w:hAnsi="Arial"/>
                <w:sz w:val="22"/>
                <w:szCs w:val="22"/>
                <w:color w:val="auto"/>
              </w:rPr>
              <w:t>1.05</w:t>
            </w:r>
          </w:p>
        </w:tc>
        <w:tc>
          <w:tcPr>
            <w:tcW w:w="8140" w:type="dxa"/>
            <w:vAlign w:val="bottom"/>
          </w:tcPr>
          <w:p>
            <w:pPr>
              <w:ind w:left="100"/>
              <w:spacing w:after="0"/>
              <w:rPr>
                <w:sz w:val="20"/>
                <w:szCs w:val="20"/>
                <w:color w:val="auto"/>
              </w:rPr>
            </w:pPr>
            <w:r>
              <w:rPr>
                <w:rFonts w:ascii="Arial" w:cs="Arial" w:eastAsia="Arial" w:hAnsi="Arial"/>
                <w:sz w:val="22"/>
                <w:szCs w:val="22"/>
                <w:color w:val="auto"/>
              </w:rPr>
              <w:t>Purpose</w:t>
            </w:r>
          </w:p>
        </w:tc>
        <w:tc>
          <w:tcPr>
            <w:tcW w:w="238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1.06</w:t>
            </w:r>
          </w:p>
        </w:tc>
        <w:tc>
          <w:tcPr>
            <w:tcW w:w="8140" w:type="dxa"/>
            <w:vAlign w:val="bottom"/>
          </w:tcPr>
          <w:p>
            <w:pPr>
              <w:ind w:left="100"/>
              <w:spacing w:after="0"/>
              <w:rPr>
                <w:sz w:val="20"/>
                <w:szCs w:val="20"/>
                <w:color w:val="auto"/>
              </w:rPr>
            </w:pPr>
            <w:r>
              <w:rPr>
                <w:rFonts w:ascii="Arial" w:cs="Arial" w:eastAsia="Arial" w:hAnsi="Arial"/>
                <w:sz w:val="22"/>
                <w:szCs w:val="22"/>
                <w:color w:val="auto"/>
              </w:rPr>
              <w:t>Term</w:t>
            </w:r>
          </w:p>
        </w:tc>
        <w:tc>
          <w:tcPr>
            <w:tcW w:w="23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11"/>
        </w:trPr>
        <w:tc>
          <w:tcPr>
            <w:tcW w:w="700" w:type="dxa"/>
            <w:vAlign w:val="bottom"/>
          </w:tcPr>
          <w:p>
            <w:pPr>
              <w:ind w:left="220"/>
              <w:spacing w:after="0"/>
              <w:rPr>
                <w:sz w:val="20"/>
                <w:szCs w:val="20"/>
                <w:color w:val="auto"/>
              </w:rPr>
            </w:pPr>
            <w:r>
              <w:rPr>
                <w:rFonts w:ascii="Arial" w:cs="Arial" w:eastAsia="Arial" w:hAnsi="Arial"/>
                <w:sz w:val="22"/>
                <w:szCs w:val="22"/>
                <w:color w:val="auto"/>
              </w:rPr>
              <w:t>1.07</w:t>
            </w:r>
          </w:p>
        </w:tc>
        <w:tc>
          <w:tcPr>
            <w:tcW w:w="8140" w:type="dxa"/>
            <w:vAlign w:val="bottom"/>
          </w:tcPr>
          <w:p>
            <w:pPr>
              <w:ind w:left="100"/>
              <w:spacing w:after="0"/>
              <w:rPr>
                <w:sz w:val="20"/>
                <w:szCs w:val="20"/>
                <w:color w:val="auto"/>
              </w:rPr>
            </w:pPr>
            <w:r>
              <w:rPr>
                <w:rFonts w:ascii="Arial" w:cs="Arial" w:eastAsia="Arial" w:hAnsi="Arial"/>
                <w:sz w:val="22"/>
                <w:szCs w:val="22"/>
                <w:color w:val="auto"/>
              </w:rPr>
              <w:t>Certain Definitions</w:t>
            </w:r>
          </w:p>
        </w:tc>
        <w:tc>
          <w:tcPr>
            <w:tcW w:w="23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11"/>
        </w:trPr>
        <w:tc>
          <w:tcPr>
            <w:tcW w:w="700" w:type="dxa"/>
            <w:vAlign w:val="bottom"/>
          </w:tcPr>
          <w:p>
            <w:pPr>
              <w:ind w:left="220"/>
              <w:spacing w:after="0"/>
              <w:rPr>
                <w:sz w:val="20"/>
                <w:szCs w:val="20"/>
                <w:color w:val="auto"/>
              </w:rPr>
            </w:pPr>
            <w:r>
              <w:rPr>
                <w:rFonts w:ascii="Arial" w:cs="Arial" w:eastAsia="Arial" w:hAnsi="Arial"/>
                <w:sz w:val="22"/>
                <w:szCs w:val="22"/>
                <w:color w:val="auto"/>
              </w:rPr>
              <w:t>1.08</w:t>
            </w:r>
          </w:p>
        </w:tc>
        <w:tc>
          <w:tcPr>
            <w:tcW w:w="8140" w:type="dxa"/>
            <w:vAlign w:val="bottom"/>
          </w:tcPr>
          <w:p>
            <w:pPr>
              <w:ind w:left="140"/>
              <w:spacing w:after="0"/>
              <w:rPr>
                <w:sz w:val="20"/>
                <w:szCs w:val="20"/>
                <w:color w:val="auto"/>
              </w:rPr>
            </w:pPr>
            <w:r>
              <w:rPr>
                <w:rFonts w:ascii="Arial" w:cs="Arial" w:eastAsia="Arial" w:hAnsi="Arial"/>
                <w:sz w:val="22"/>
                <w:szCs w:val="22"/>
                <w:color w:val="auto"/>
              </w:rPr>
              <w:t>No State-Law Partnership</w:t>
            </w:r>
          </w:p>
        </w:tc>
        <w:tc>
          <w:tcPr>
            <w:tcW w:w="23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1.09</w:t>
            </w:r>
          </w:p>
        </w:tc>
        <w:tc>
          <w:tcPr>
            <w:tcW w:w="8140" w:type="dxa"/>
            <w:vAlign w:val="bottom"/>
          </w:tcPr>
          <w:p>
            <w:pPr>
              <w:ind w:left="100"/>
              <w:spacing w:after="0"/>
              <w:rPr>
                <w:sz w:val="20"/>
                <w:szCs w:val="20"/>
                <w:color w:val="auto"/>
              </w:rPr>
            </w:pPr>
            <w:r>
              <w:rPr>
                <w:rFonts w:ascii="Arial" w:cs="Arial" w:eastAsia="Arial" w:hAnsi="Arial"/>
                <w:sz w:val="22"/>
                <w:szCs w:val="22"/>
                <w:color w:val="auto"/>
              </w:rPr>
              <w:t>Limited Liability Company Agreement</w:t>
            </w:r>
          </w:p>
        </w:tc>
        <w:tc>
          <w:tcPr>
            <w:tcW w:w="23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581"/>
        </w:trPr>
        <w:tc>
          <w:tcPr>
            <w:tcW w:w="8840" w:type="dxa"/>
            <w:vAlign w:val="bottom"/>
            <w:gridSpan w:val="2"/>
          </w:tcPr>
          <w:p>
            <w:pPr>
              <w:spacing w:after="0"/>
              <w:rPr>
                <w:sz w:val="20"/>
                <w:szCs w:val="20"/>
                <w:color w:val="auto"/>
              </w:rPr>
            </w:pPr>
            <w:r>
              <w:rPr>
                <w:rFonts w:ascii="Arial" w:cs="Arial" w:eastAsia="Arial" w:hAnsi="Arial"/>
                <w:sz w:val="22"/>
                <w:szCs w:val="22"/>
                <w:color w:val="auto"/>
              </w:rPr>
              <w:t>ARTICLE II CAPITAL CONTRIBUTIONS; ISSUANCES OF SHARES</w:t>
            </w:r>
          </w:p>
        </w:tc>
        <w:tc>
          <w:tcPr>
            <w:tcW w:w="23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2.01</w:t>
            </w:r>
          </w:p>
        </w:tc>
        <w:tc>
          <w:tcPr>
            <w:tcW w:w="8140" w:type="dxa"/>
            <w:vAlign w:val="bottom"/>
          </w:tcPr>
          <w:p>
            <w:pPr>
              <w:ind w:left="100"/>
              <w:spacing w:after="0"/>
              <w:rPr>
                <w:sz w:val="20"/>
                <w:szCs w:val="20"/>
                <w:color w:val="auto"/>
              </w:rPr>
            </w:pPr>
            <w:r>
              <w:rPr>
                <w:rFonts w:ascii="Arial" w:cs="Arial" w:eastAsia="Arial" w:hAnsi="Arial"/>
                <w:sz w:val="22"/>
                <w:szCs w:val="22"/>
                <w:color w:val="auto"/>
              </w:rPr>
              <w:t>Shares Generally</w:t>
            </w:r>
          </w:p>
        </w:tc>
        <w:tc>
          <w:tcPr>
            <w:tcW w:w="23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11"/>
        </w:trPr>
        <w:tc>
          <w:tcPr>
            <w:tcW w:w="700" w:type="dxa"/>
            <w:vAlign w:val="bottom"/>
          </w:tcPr>
          <w:p>
            <w:pPr>
              <w:ind w:left="220"/>
              <w:spacing w:after="0"/>
              <w:rPr>
                <w:sz w:val="20"/>
                <w:szCs w:val="20"/>
                <w:color w:val="auto"/>
              </w:rPr>
            </w:pPr>
            <w:r>
              <w:rPr>
                <w:rFonts w:ascii="Arial" w:cs="Arial" w:eastAsia="Arial" w:hAnsi="Arial"/>
                <w:sz w:val="22"/>
                <w:szCs w:val="22"/>
                <w:color w:val="auto"/>
              </w:rPr>
              <w:t>2.02</w:t>
            </w:r>
          </w:p>
        </w:tc>
        <w:tc>
          <w:tcPr>
            <w:tcW w:w="8140" w:type="dxa"/>
            <w:vAlign w:val="bottom"/>
          </w:tcPr>
          <w:p>
            <w:pPr>
              <w:ind w:left="100"/>
              <w:spacing w:after="0"/>
              <w:rPr>
                <w:sz w:val="20"/>
                <w:szCs w:val="20"/>
                <w:color w:val="auto"/>
              </w:rPr>
            </w:pPr>
            <w:r>
              <w:rPr>
                <w:rFonts w:ascii="Arial" w:cs="Arial" w:eastAsia="Arial" w:hAnsi="Arial"/>
                <w:sz w:val="22"/>
                <w:szCs w:val="22"/>
                <w:color w:val="auto"/>
              </w:rPr>
              <w:t>Class A Preferred Shares; Class C Common Shares</w:t>
            </w:r>
          </w:p>
        </w:tc>
        <w:tc>
          <w:tcPr>
            <w:tcW w:w="238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2.03</w:t>
            </w:r>
          </w:p>
        </w:tc>
        <w:tc>
          <w:tcPr>
            <w:tcW w:w="8140" w:type="dxa"/>
            <w:vAlign w:val="bottom"/>
          </w:tcPr>
          <w:p>
            <w:pPr>
              <w:ind w:left="100"/>
              <w:spacing w:after="0"/>
              <w:rPr>
                <w:sz w:val="20"/>
                <w:szCs w:val="20"/>
                <w:color w:val="auto"/>
              </w:rPr>
            </w:pPr>
            <w:r>
              <w:rPr>
                <w:rFonts w:ascii="Arial" w:cs="Arial" w:eastAsia="Arial" w:hAnsi="Arial"/>
                <w:sz w:val="22"/>
                <w:szCs w:val="22"/>
                <w:color w:val="auto"/>
              </w:rPr>
              <w:t>Class B Common Shares</w:t>
            </w:r>
          </w:p>
        </w:tc>
        <w:tc>
          <w:tcPr>
            <w:tcW w:w="238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11"/>
        </w:trPr>
        <w:tc>
          <w:tcPr>
            <w:tcW w:w="700" w:type="dxa"/>
            <w:vAlign w:val="bottom"/>
          </w:tcPr>
          <w:p>
            <w:pPr>
              <w:ind w:left="220"/>
              <w:spacing w:after="0"/>
              <w:rPr>
                <w:sz w:val="20"/>
                <w:szCs w:val="20"/>
                <w:color w:val="auto"/>
              </w:rPr>
            </w:pPr>
            <w:r>
              <w:rPr>
                <w:rFonts w:ascii="Arial" w:cs="Arial" w:eastAsia="Arial" w:hAnsi="Arial"/>
                <w:sz w:val="22"/>
                <w:szCs w:val="22"/>
                <w:color w:val="auto"/>
              </w:rPr>
              <w:t>2.04</w:t>
            </w:r>
          </w:p>
        </w:tc>
        <w:tc>
          <w:tcPr>
            <w:tcW w:w="8140" w:type="dxa"/>
            <w:vAlign w:val="bottom"/>
          </w:tcPr>
          <w:p>
            <w:pPr>
              <w:ind w:left="100"/>
              <w:spacing w:after="0"/>
              <w:rPr>
                <w:sz w:val="20"/>
                <w:szCs w:val="20"/>
                <w:color w:val="auto"/>
              </w:rPr>
            </w:pPr>
            <w:r>
              <w:rPr>
                <w:rFonts w:ascii="Arial" w:cs="Arial" w:eastAsia="Arial" w:hAnsi="Arial"/>
                <w:sz w:val="22"/>
                <w:szCs w:val="22"/>
                <w:color w:val="auto"/>
              </w:rPr>
              <w:t>Additional Classes of Shares</w:t>
            </w:r>
          </w:p>
        </w:tc>
        <w:tc>
          <w:tcPr>
            <w:tcW w:w="238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2.05</w:t>
            </w:r>
          </w:p>
        </w:tc>
        <w:tc>
          <w:tcPr>
            <w:tcW w:w="8140" w:type="dxa"/>
            <w:vAlign w:val="bottom"/>
          </w:tcPr>
          <w:p>
            <w:pPr>
              <w:ind w:left="100"/>
              <w:spacing w:after="0"/>
              <w:rPr>
                <w:sz w:val="20"/>
                <w:szCs w:val="20"/>
                <w:color w:val="auto"/>
              </w:rPr>
            </w:pPr>
            <w:r>
              <w:rPr>
                <w:rFonts w:ascii="Arial" w:cs="Arial" w:eastAsia="Arial" w:hAnsi="Arial"/>
                <w:sz w:val="22"/>
                <w:szCs w:val="22"/>
                <w:color w:val="auto"/>
              </w:rPr>
              <w:t>Other Contributions</w:t>
            </w:r>
          </w:p>
        </w:tc>
        <w:tc>
          <w:tcPr>
            <w:tcW w:w="238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2.06</w:t>
            </w:r>
          </w:p>
        </w:tc>
        <w:tc>
          <w:tcPr>
            <w:tcW w:w="8140" w:type="dxa"/>
            <w:vAlign w:val="bottom"/>
          </w:tcPr>
          <w:p>
            <w:pPr>
              <w:ind w:left="100"/>
              <w:spacing w:after="0"/>
              <w:rPr>
                <w:sz w:val="20"/>
                <w:szCs w:val="20"/>
                <w:color w:val="auto"/>
              </w:rPr>
            </w:pPr>
            <w:r>
              <w:rPr>
                <w:rFonts w:ascii="Arial" w:cs="Arial" w:eastAsia="Arial" w:hAnsi="Arial"/>
                <w:sz w:val="22"/>
                <w:szCs w:val="22"/>
                <w:color w:val="auto"/>
              </w:rPr>
              <w:t>Issuances of Shares</w:t>
            </w:r>
          </w:p>
        </w:tc>
        <w:tc>
          <w:tcPr>
            <w:tcW w:w="238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2.07</w:t>
            </w:r>
          </w:p>
        </w:tc>
        <w:tc>
          <w:tcPr>
            <w:tcW w:w="8140" w:type="dxa"/>
            <w:vAlign w:val="bottom"/>
          </w:tcPr>
          <w:p>
            <w:pPr>
              <w:ind w:left="100"/>
              <w:spacing w:after="0"/>
              <w:rPr>
                <w:sz w:val="20"/>
                <w:szCs w:val="20"/>
                <w:color w:val="auto"/>
              </w:rPr>
            </w:pPr>
            <w:r>
              <w:rPr>
                <w:rFonts w:ascii="Arial" w:cs="Arial" w:eastAsia="Arial" w:hAnsi="Arial"/>
                <w:sz w:val="22"/>
                <w:szCs w:val="22"/>
                <w:color w:val="auto"/>
              </w:rPr>
              <w:t>Preemptive Rights</w:t>
            </w:r>
          </w:p>
        </w:tc>
        <w:tc>
          <w:tcPr>
            <w:tcW w:w="238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2.08</w:t>
            </w:r>
          </w:p>
        </w:tc>
        <w:tc>
          <w:tcPr>
            <w:tcW w:w="8140" w:type="dxa"/>
            <w:vAlign w:val="bottom"/>
          </w:tcPr>
          <w:p>
            <w:pPr>
              <w:ind w:left="100"/>
              <w:spacing w:after="0"/>
              <w:rPr>
                <w:sz w:val="20"/>
                <w:szCs w:val="20"/>
                <w:color w:val="auto"/>
              </w:rPr>
            </w:pPr>
            <w:r>
              <w:rPr>
                <w:rFonts w:ascii="Arial" w:cs="Arial" w:eastAsia="Arial" w:hAnsi="Arial"/>
                <w:sz w:val="22"/>
                <w:szCs w:val="22"/>
                <w:color w:val="auto"/>
              </w:rPr>
              <w:t>Certificates</w:t>
            </w:r>
          </w:p>
        </w:tc>
        <w:tc>
          <w:tcPr>
            <w:tcW w:w="238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11"/>
        </w:trPr>
        <w:tc>
          <w:tcPr>
            <w:tcW w:w="700" w:type="dxa"/>
            <w:vAlign w:val="bottom"/>
          </w:tcPr>
          <w:p>
            <w:pPr>
              <w:ind w:left="220"/>
              <w:spacing w:after="0"/>
              <w:rPr>
                <w:sz w:val="20"/>
                <w:szCs w:val="20"/>
                <w:color w:val="auto"/>
              </w:rPr>
            </w:pPr>
            <w:r>
              <w:rPr>
                <w:rFonts w:ascii="Arial" w:cs="Arial" w:eastAsia="Arial" w:hAnsi="Arial"/>
                <w:sz w:val="22"/>
                <w:szCs w:val="22"/>
                <w:color w:val="auto"/>
              </w:rPr>
              <w:t>2.09</w:t>
            </w:r>
          </w:p>
        </w:tc>
        <w:tc>
          <w:tcPr>
            <w:tcW w:w="8140" w:type="dxa"/>
            <w:vAlign w:val="bottom"/>
          </w:tcPr>
          <w:p>
            <w:pPr>
              <w:ind w:left="100"/>
              <w:spacing w:after="0"/>
              <w:rPr>
                <w:sz w:val="20"/>
                <w:szCs w:val="20"/>
                <w:color w:val="auto"/>
              </w:rPr>
            </w:pPr>
            <w:r>
              <w:rPr>
                <w:rFonts w:ascii="Arial" w:cs="Arial" w:eastAsia="Arial" w:hAnsi="Arial"/>
                <w:sz w:val="22"/>
                <w:szCs w:val="22"/>
                <w:color w:val="auto"/>
              </w:rPr>
              <w:t>Repurchase Rights</w:t>
            </w:r>
          </w:p>
        </w:tc>
        <w:tc>
          <w:tcPr>
            <w:tcW w:w="238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2.10</w:t>
            </w:r>
          </w:p>
        </w:tc>
        <w:tc>
          <w:tcPr>
            <w:tcW w:w="8140" w:type="dxa"/>
            <w:vAlign w:val="bottom"/>
          </w:tcPr>
          <w:p>
            <w:pPr>
              <w:ind w:left="100"/>
              <w:spacing w:after="0"/>
              <w:rPr>
                <w:sz w:val="20"/>
                <w:szCs w:val="20"/>
                <w:color w:val="auto"/>
              </w:rPr>
            </w:pPr>
            <w:r>
              <w:rPr>
                <w:rFonts w:ascii="Arial" w:cs="Arial" w:eastAsia="Arial" w:hAnsi="Arial"/>
                <w:sz w:val="22"/>
                <w:szCs w:val="22"/>
                <w:color w:val="auto"/>
              </w:rPr>
              <w:t>Optional A-1 Conversion</w:t>
            </w:r>
          </w:p>
        </w:tc>
        <w:tc>
          <w:tcPr>
            <w:tcW w:w="238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2.11</w:t>
            </w:r>
          </w:p>
        </w:tc>
        <w:tc>
          <w:tcPr>
            <w:tcW w:w="8140" w:type="dxa"/>
            <w:vAlign w:val="bottom"/>
          </w:tcPr>
          <w:p>
            <w:pPr>
              <w:ind w:left="80"/>
              <w:spacing w:after="0"/>
              <w:rPr>
                <w:sz w:val="20"/>
                <w:szCs w:val="20"/>
                <w:color w:val="auto"/>
              </w:rPr>
            </w:pPr>
            <w:r>
              <w:rPr>
                <w:rFonts w:ascii="Arial" w:cs="Arial" w:eastAsia="Arial" w:hAnsi="Arial"/>
                <w:sz w:val="22"/>
                <w:szCs w:val="22"/>
                <w:color w:val="auto"/>
              </w:rPr>
              <w:t>Optional A-2 Conversion</w:t>
            </w:r>
          </w:p>
        </w:tc>
        <w:tc>
          <w:tcPr>
            <w:tcW w:w="238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580"/>
        </w:trPr>
        <w:tc>
          <w:tcPr>
            <w:tcW w:w="8840" w:type="dxa"/>
            <w:vAlign w:val="bottom"/>
            <w:gridSpan w:val="2"/>
          </w:tcPr>
          <w:p>
            <w:pPr>
              <w:spacing w:after="0"/>
              <w:rPr>
                <w:sz w:val="20"/>
                <w:szCs w:val="20"/>
                <w:color w:val="auto"/>
              </w:rPr>
            </w:pPr>
            <w:r>
              <w:rPr>
                <w:rFonts w:ascii="Arial" w:cs="Arial" w:eastAsia="Arial" w:hAnsi="Arial"/>
                <w:sz w:val="22"/>
                <w:szCs w:val="22"/>
                <w:color w:val="auto"/>
              </w:rPr>
              <w:t>ARTICLE III DISTRIBUTIONS</w:t>
            </w:r>
          </w:p>
        </w:tc>
        <w:tc>
          <w:tcPr>
            <w:tcW w:w="238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3.01</w:t>
            </w:r>
          </w:p>
        </w:tc>
        <w:tc>
          <w:tcPr>
            <w:tcW w:w="8140" w:type="dxa"/>
            <w:vAlign w:val="bottom"/>
          </w:tcPr>
          <w:p>
            <w:pPr>
              <w:ind w:left="100"/>
              <w:spacing w:after="0"/>
              <w:rPr>
                <w:sz w:val="20"/>
                <w:szCs w:val="20"/>
                <w:color w:val="auto"/>
              </w:rPr>
            </w:pPr>
            <w:r>
              <w:rPr>
                <w:rFonts w:ascii="Arial" w:cs="Arial" w:eastAsia="Arial" w:hAnsi="Arial"/>
                <w:sz w:val="22"/>
                <w:szCs w:val="22"/>
                <w:color w:val="auto"/>
              </w:rPr>
              <w:t>Distributions</w:t>
            </w:r>
          </w:p>
        </w:tc>
        <w:tc>
          <w:tcPr>
            <w:tcW w:w="238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3.02</w:t>
            </w:r>
          </w:p>
        </w:tc>
        <w:tc>
          <w:tcPr>
            <w:tcW w:w="8140" w:type="dxa"/>
            <w:vAlign w:val="bottom"/>
          </w:tcPr>
          <w:p>
            <w:pPr>
              <w:ind w:left="100"/>
              <w:spacing w:after="0"/>
              <w:rPr>
                <w:sz w:val="20"/>
                <w:szCs w:val="20"/>
                <w:color w:val="auto"/>
              </w:rPr>
            </w:pPr>
            <w:r>
              <w:rPr>
                <w:rFonts w:ascii="Arial" w:cs="Arial" w:eastAsia="Arial" w:hAnsi="Arial"/>
                <w:sz w:val="22"/>
                <w:szCs w:val="22"/>
                <w:color w:val="auto"/>
              </w:rPr>
              <w:t>Distributions Upon Liquidation or a Deemed Liquidation Event</w:t>
            </w:r>
          </w:p>
        </w:tc>
        <w:tc>
          <w:tcPr>
            <w:tcW w:w="238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3.03</w:t>
            </w:r>
          </w:p>
        </w:tc>
        <w:tc>
          <w:tcPr>
            <w:tcW w:w="8140" w:type="dxa"/>
            <w:vAlign w:val="bottom"/>
          </w:tcPr>
          <w:p>
            <w:pPr>
              <w:ind w:left="100"/>
              <w:spacing w:after="0"/>
              <w:rPr>
                <w:sz w:val="20"/>
                <w:szCs w:val="20"/>
                <w:color w:val="auto"/>
              </w:rPr>
            </w:pPr>
            <w:r>
              <w:rPr>
                <w:rFonts w:ascii="Arial" w:cs="Arial" w:eastAsia="Arial" w:hAnsi="Arial"/>
                <w:sz w:val="22"/>
                <w:szCs w:val="22"/>
                <w:color w:val="auto"/>
              </w:rPr>
              <w:t>Distributions In-Kind</w:t>
            </w:r>
          </w:p>
        </w:tc>
        <w:tc>
          <w:tcPr>
            <w:tcW w:w="238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580"/>
        </w:trPr>
        <w:tc>
          <w:tcPr>
            <w:tcW w:w="8840" w:type="dxa"/>
            <w:vAlign w:val="bottom"/>
            <w:gridSpan w:val="2"/>
          </w:tcPr>
          <w:p>
            <w:pPr>
              <w:spacing w:after="0"/>
              <w:rPr>
                <w:sz w:val="20"/>
                <w:szCs w:val="20"/>
                <w:color w:val="auto"/>
              </w:rPr>
            </w:pPr>
            <w:r>
              <w:rPr>
                <w:rFonts w:ascii="Arial" w:cs="Arial" w:eastAsia="Arial" w:hAnsi="Arial"/>
                <w:sz w:val="22"/>
                <w:szCs w:val="22"/>
                <w:color w:val="auto"/>
              </w:rPr>
              <w:t>ARTICLE IV TAX MATTERS</w:t>
            </w:r>
          </w:p>
        </w:tc>
        <w:tc>
          <w:tcPr>
            <w:tcW w:w="238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11"/>
        </w:trPr>
        <w:tc>
          <w:tcPr>
            <w:tcW w:w="700" w:type="dxa"/>
            <w:vAlign w:val="bottom"/>
          </w:tcPr>
          <w:p>
            <w:pPr>
              <w:ind w:left="220"/>
              <w:spacing w:after="0"/>
              <w:rPr>
                <w:sz w:val="20"/>
                <w:szCs w:val="20"/>
                <w:color w:val="auto"/>
              </w:rPr>
            </w:pPr>
            <w:r>
              <w:rPr>
                <w:rFonts w:ascii="Arial" w:cs="Arial" w:eastAsia="Arial" w:hAnsi="Arial"/>
                <w:sz w:val="22"/>
                <w:szCs w:val="22"/>
                <w:color w:val="auto"/>
              </w:rPr>
              <w:t>4.01</w:t>
            </w:r>
          </w:p>
        </w:tc>
        <w:tc>
          <w:tcPr>
            <w:tcW w:w="8140" w:type="dxa"/>
            <w:vAlign w:val="bottom"/>
          </w:tcPr>
          <w:p>
            <w:pPr>
              <w:ind w:left="100"/>
              <w:spacing w:after="0"/>
              <w:rPr>
                <w:sz w:val="20"/>
                <w:szCs w:val="20"/>
                <w:color w:val="auto"/>
              </w:rPr>
            </w:pPr>
            <w:r>
              <w:rPr>
                <w:rFonts w:ascii="Arial" w:cs="Arial" w:eastAsia="Arial" w:hAnsi="Arial"/>
                <w:sz w:val="22"/>
                <w:szCs w:val="22"/>
                <w:color w:val="auto"/>
              </w:rPr>
              <w:t>Corporate Status</w:t>
            </w:r>
          </w:p>
        </w:tc>
        <w:tc>
          <w:tcPr>
            <w:tcW w:w="238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4.02</w:t>
            </w:r>
          </w:p>
        </w:tc>
        <w:tc>
          <w:tcPr>
            <w:tcW w:w="8140" w:type="dxa"/>
            <w:vAlign w:val="bottom"/>
          </w:tcPr>
          <w:p>
            <w:pPr>
              <w:ind w:left="100"/>
              <w:spacing w:after="0"/>
              <w:rPr>
                <w:sz w:val="20"/>
                <w:szCs w:val="20"/>
                <w:color w:val="auto"/>
              </w:rPr>
            </w:pPr>
            <w:r>
              <w:rPr>
                <w:rFonts w:ascii="Arial" w:cs="Arial" w:eastAsia="Arial" w:hAnsi="Arial"/>
                <w:sz w:val="22"/>
                <w:szCs w:val="22"/>
                <w:color w:val="auto"/>
              </w:rPr>
              <w:t>Withholding</w:t>
            </w:r>
          </w:p>
        </w:tc>
        <w:tc>
          <w:tcPr>
            <w:tcW w:w="238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4.03</w:t>
            </w:r>
          </w:p>
        </w:tc>
        <w:tc>
          <w:tcPr>
            <w:tcW w:w="8140" w:type="dxa"/>
            <w:vAlign w:val="bottom"/>
          </w:tcPr>
          <w:p>
            <w:pPr>
              <w:ind w:left="100"/>
              <w:spacing w:after="0"/>
              <w:rPr>
                <w:sz w:val="20"/>
                <w:szCs w:val="20"/>
                <w:color w:val="auto"/>
              </w:rPr>
            </w:pPr>
            <w:r>
              <w:rPr>
                <w:rFonts w:ascii="Arial" w:cs="Arial" w:eastAsia="Arial" w:hAnsi="Arial"/>
                <w:sz w:val="22"/>
                <w:szCs w:val="22"/>
                <w:color w:val="auto"/>
              </w:rPr>
              <w:t>Tax Sharing</w:t>
            </w:r>
          </w:p>
        </w:tc>
        <w:tc>
          <w:tcPr>
            <w:tcW w:w="238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4.04</w:t>
            </w:r>
          </w:p>
        </w:tc>
        <w:tc>
          <w:tcPr>
            <w:tcW w:w="8140" w:type="dxa"/>
            <w:vAlign w:val="bottom"/>
          </w:tcPr>
          <w:p>
            <w:pPr>
              <w:ind w:left="100"/>
              <w:spacing w:after="0"/>
              <w:rPr>
                <w:sz w:val="20"/>
                <w:szCs w:val="20"/>
                <w:color w:val="auto"/>
              </w:rPr>
            </w:pPr>
            <w:r>
              <w:rPr>
                <w:rFonts w:ascii="Arial" w:cs="Arial" w:eastAsia="Arial" w:hAnsi="Arial"/>
                <w:sz w:val="22"/>
                <w:szCs w:val="22"/>
                <w:color w:val="auto"/>
              </w:rPr>
              <w:t>Transfer Taxes</w:t>
            </w:r>
          </w:p>
        </w:tc>
        <w:tc>
          <w:tcPr>
            <w:tcW w:w="238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580"/>
        </w:trPr>
        <w:tc>
          <w:tcPr>
            <w:tcW w:w="8840" w:type="dxa"/>
            <w:vAlign w:val="bottom"/>
            <w:gridSpan w:val="2"/>
          </w:tcPr>
          <w:p>
            <w:pPr>
              <w:spacing w:after="0"/>
              <w:rPr>
                <w:sz w:val="20"/>
                <w:szCs w:val="20"/>
                <w:color w:val="auto"/>
              </w:rPr>
            </w:pPr>
            <w:r>
              <w:rPr>
                <w:rFonts w:ascii="Arial" w:cs="Arial" w:eastAsia="Arial" w:hAnsi="Arial"/>
                <w:sz w:val="22"/>
                <w:szCs w:val="22"/>
                <w:color w:val="auto"/>
              </w:rPr>
              <w:t>ARTICLE V MEMBERS</w:t>
            </w:r>
          </w:p>
        </w:tc>
        <w:tc>
          <w:tcPr>
            <w:tcW w:w="238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11"/>
        </w:trPr>
        <w:tc>
          <w:tcPr>
            <w:tcW w:w="700" w:type="dxa"/>
            <w:vAlign w:val="bottom"/>
          </w:tcPr>
          <w:p>
            <w:pPr>
              <w:ind w:left="220"/>
              <w:spacing w:after="0"/>
              <w:rPr>
                <w:sz w:val="20"/>
                <w:szCs w:val="20"/>
                <w:color w:val="auto"/>
              </w:rPr>
            </w:pPr>
            <w:r>
              <w:rPr>
                <w:rFonts w:ascii="Arial" w:cs="Arial" w:eastAsia="Arial" w:hAnsi="Arial"/>
                <w:sz w:val="22"/>
                <w:szCs w:val="22"/>
                <w:color w:val="auto"/>
              </w:rPr>
              <w:t>5.01</w:t>
            </w:r>
          </w:p>
        </w:tc>
        <w:tc>
          <w:tcPr>
            <w:tcW w:w="8140" w:type="dxa"/>
            <w:vAlign w:val="bottom"/>
          </w:tcPr>
          <w:p>
            <w:pPr>
              <w:ind w:left="100"/>
              <w:spacing w:after="0"/>
              <w:rPr>
                <w:sz w:val="20"/>
                <w:szCs w:val="20"/>
                <w:color w:val="auto"/>
              </w:rPr>
            </w:pPr>
            <w:r>
              <w:rPr>
                <w:rFonts w:ascii="Arial" w:cs="Arial" w:eastAsia="Arial" w:hAnsi="Arial"/>
                <w:sz w:val="22"/>
                <w:szCs w:val="22"/>
                <w:color w:val="auto"/>
              </w:rPr>
              <w:t>Voting Rights of Members</w:t>
            </w:r>
          </w:p>
        </w:tc>
        <w:tc>
          <w:tcPr>
            <w:tcW w:w="238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5.02</w:t>
            </w:r>
          </w:p>
        </w:tc>
        <w:tc>
          <w:tcPr>
            <w:tcW w:w="8140" w:type="dxa"/>
            <w:vAlign w:val="bottom"/>
          </w:tcPr>
          <w:p>
            <w:pPr>
              <w:ind w:left="100"/>
              <w:spacing w:after="0"/>
              <w:rPr>
                <w:sz w:val="20"/>
                <w:szCs w:val="20"/>
                <w:color w:val="auto"/>
              </w:rPr>
            </w:pPr>
            <w:r>
              <w:rPr>
                <w:rFonts w:ascii="Arial" w:cs="Arial" w:eastAsia="Arial" w:hAnsi="Arial"/>
                <w:sz w:val="22"/>
                <w:szCs w:val="22"/>
                <w:color w:val="auto"/>
              </w:rPr>
              <w:t>Quorum; Voting</w:t>
            </w:r>
          </w:p>
        </w:tc>
        <w:tc>
          <w:tcPr>
            <w:tcW w:w="23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5.03</w:t>
            </w:r>
          </w:p>
        </w:tc>
        <w:tc>
          <w:tcPr>
            <w:tcW w:w="8140" w:type="dxa"/>
            <w:vAlign w:val="bottom"/>
          </w:tcPr>
          <w:p>
            <w:pPr>
              <w:ind w:left="100"/>
              <w:spacing w:after="0"/>
              <w:rPr>
                <w:sz w:val="20"/>
                <w:szCs w:val="20"/>
                <w:color w:val="auto"/>
              </w:rPr>
            </w:pPr>
            <w:r>
              <w:rPr>
                <w:rFonts w:ascii="Arial" w:cs="Arial" w:eastAsia="Arial" w:hAnsi="Arial"/>
                <w:sz w:val="22"/>
                <w:szCs w:val="22"/>
                <w:color w:val="auto"/>
              </w:rPr>
              <w:t>Written Consent</w:t>
            </w:r>
          </w:p>
        </w:tc>
        <w:tc>
          <w:tcPr>
            <w:tcW w:w="23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5.04</w:t>
            </w:r>
          </w:p>
        </w:tc>
        <w:tc>
          <w:tcPr>
            <w:tcW w:w="8140" w:type="dxa"/>
            <w:vAlign w:val="bottom"/>
          </w:tcPr>
          <w:p>
            <w:pPr>
              <w:ind w:left="100"/>
              <w:spacing w:after="0"/>
              <w:rPr>
                <w:sz w:val="20"/>
                <w:szCs w:val="20"/>
                <w:color w:val="auto"/>
              </w:rPr>
            </w:pPr>
            <w:r>
              <w:rPr>
                <w:rFonts w:ascii="Arial" w:cs="Arial" w:eastAsia="Arial" w:hAnsi="Arial"/>
                <w:sz w:val="22"/>
                <w:szCs w:val="22"/>
                <w:color w:val="auto"/>
              </w:rPr>
              <w:t>Meetings</w:t>
            </w:r>
          </w:p>
        </w:tc>
        <w:tc>
          <w:tcPr>
            <w:tcW w:w="23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1"/>
        </w:trPr>
        <w:tc>
          <w:tcPr>
            <w:tcW w:w="700" w:type="dxa"/>
            <w:vAlign w:val="bottom"/>
          </w:tcPr>
          <w:p>
            <w:pPr>
              <w:ind w:left="220"/>
              <w:spacing w:after="0"/>
              <w:rPr>
                <w:sz w:val="20"/>
                <w:szCs w:val="20"/>
                <w:color w:val="auto"/>
              </w:rPr>
            </w:pPr>
            <w:r>
              <w:rPr>
                <w:rFonts w:ascii="Arial" w:cs="Arial" w:eastAsia="Arial" w:hAnsi="Arial"/>
                <w:sz w:val="22"/>
                <w:szCs w:val="22"/>
                <w:color w:val="auto"/>
              </w:rPr>
              <w:t>5.05</w:t>
            </w:r>
          </w:p>
        </w:tc>
        <w:tc>
          <w:tcPr>
            <w:tcW w:w="8140" w:type="dxa"/>
            <w:vAlign w:val="bottom"/>
          </w:tcPr>
          <w:p>
            <w:pPr>
              <w:ind w:left="100"/>
              <w:spacing w:after="0"/>
              <w:rPr>
                <w:sz w:val="20"/>
                <w:szCs w:val="20"/>
                <w:color w:val="auto"/>
              </w:rPr>
            </w:pPr>
            <w:r>
              <w:rPr>
                <w:rFonts w:ascii="Arial" w:cs="Arial" w:eastAsia="Arial" w:hAnsi="Arial"/>
                <w:sz w:val="22"/>
                <w:szCs w:val="22"/>
                <w:color w:val="auto"/>
              </w:rPr>
              <w:t>Place of Meeting</w:t>
            </w:r>
          </w:p>
        </w:tc>
        <w:tc>
          <w:tcPr>
            <w:tcW w:w="2380" w:type="dxa"/>
            <w:vAlign w:val="bottom"/>
          </w:tcPr>
          <w:p>
            <w:pPr>
              <w:jc w:val="right"/>
              <w:spacing w:after="0"/>
              <w:rPr>
                <w:sz w:val="20"/>
                <w:szCs w:val="20"/>
                <w:color w:val="auto"/>
              </w:rPr>
            </w:pPr>
            <w:r>
              <w:rPr>
                <w:rFonts w:ascii="Arial" w:cs="Arial" w:eastAsia="Arial" w:hAnsi="Arial"/>
                <w:sz w:val="22"/>
                <w:szCs w:val="22"/>
                <w:color w:val="auto"/>
              </w:rPr>
              <w:t>26</w:t>
            </w:r>
          </w:p>
        </w:tc>
      </w:tr>
    </w:tbl>
    <w:p>
      <w:pPr>
        <w:spacing w:after="0" w:line="200" w:lineRule="exact"/>
        <w:rPr>
          <w:sz w:val="20"/>
          <w:szCs w:val="20"/>
          <w:color w:val="auto"/>
        </w:rPr>
      </w:pPr>
    </w:p>
    <w:p>
      <w:pPr>
        <w:sectPr>
          <w:pgSz w:w="11900" w:h="16838" w:orient="portrait"/>
          <w:cols w:equalWidth="0" w:num="1">
            <w:col w:w="11220"/>
          </w:cols>
          <w:pgMar w:left="340" w:top="585" w:right="339" w:bottom="5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w:t>
      </w:r>
      <w:r>
        <w:rPr>
          <w:rFonts w:ascii="Arial" w:cs="Arial" w:eastAsia="Arial" w:hAnsi="Arial"/>
          <w:sz w:val="14"/>
          <w:szCs w:val="14"/>
          <w:color w:val="auto"/>
        </w:rPr>
        <w:t>|</w:t>
      </w:r>
    </w:p>
    <w:p>
      <w:pPr>
        <w:sectPr>
          <w:pgSz w:w="11900" w:h="16838" w:orient="portrait"/>
          <w:cols w:equalWidth="0" w:num="1">
            <w:col w:w="11220"/>
          </w:cols>
          <w:pgMar w:left="340" w:top="585" w:right="339" w:bottom="539" w:gutter="0" w:footer="0" w:header="0"/>
          <w:type w:val="continuous"/>
        </w:sectPr>
      </w:pPr>
    </w:p>
    <w:bookmarkStart w:id="63" w:name="page64"/>
    <w:bookmarkEnd w:id="63"/>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(continued)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70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770"/>
        </w:trPr>
        <w:tc>
          <w:tcPr>
            <w:tcW w:w="700" w:type="dxa"/>
            <w:vAlign w:val="bottom"/>
          </w:tcPr>
          <w:p>
            <w:pPr>
              <w:ind w:left="220"/>
              <w:spacing w:after="0"/>
              <w:rPr>
                <w:sz w:val="20"/>
                <w:szCs w:val="20"/>
                <w:color w:val="auto"/>
              </w:rPr>
            </w:pPr>
            <w:r>
              <w:rPr>
                <w:rFonts w:ascii="Arial" w:cs="Arial" w:eastAsia="Arial" w:hAnsi="Arial"/>
                <w:sz w:val="22"/>
                <w:szCs w:val="22"/>
                <w:color w:val="auto"/>
              </w:rPr>
              <w:t>5.06</w:t>
            </w:r>
          </w:p>
        </w:tc>
        <w:tc>
          <w:tcPr>
            <w:tcW w:w="9140" w:type="dxa"/>
            <w:vAlign w:val="bottom"/>
          </w:tcPr>
          <w:p>
            <w:pPr>
              <w:ind w:left="100"/>
              <w:spacing w:after="0"/>
              <w:rPr>
                <w:sz w:val="20"/>
                <w:szCs w:val="20"/>
                <w:color w:val="auto"/>
              </w:rPr>
            </w:pPr>
            <w:r>
              <w:rPr>
                <w:rFonts w:ascii="Arial" w:cs="Arial" w:eastAsia="Arial" w:hAnsi="Arial"/>
                <w:sz w:val="22"/>
                <w:szCs w:val="22"/>
                <w:color w:val="auto"/>
              </w:rPr>
              <w:t>Notice of Meeting</w:t>
            </w:r>
          </w:p>
        </w:tc>
        <w:tc>
          <w:tcPr>
            <w:tcW w:w="138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5.07</w:t>
            </w:r>
          </w:p>
        </w:tc>
        <w:tc>
          <w:tcPr>
            <w:tcW w:w="9140" w:type="dxa"/>
            <w:vAlign w:val="bottom"/>
          </w:tcPr>
          <w:p>
            <w:pPr>
              <w:ind w:left="100"/>
              <w:spacing w:after="0"/>
              <w:rPr>
                <w:sz w:val="20"/>
                <w:szCs w:val="20"/>
                <w:color w:val="auto"/>
              </w:rPr>
            </w:pPr>
            <w:r>
              <w:rPr>
                <w:rFonts w:ascii="Arial" w:cs="Arial" w:eastAsia="Arial" w:hAnsi="Arial"/>
                <w:sz w:val="22"/>
                <w:szCs w:val="22"/>
                <w:color w:val="auto"/>
              </w:rPr>
              <w:t>Withdrawal; Partition</w:t>
            </w:r>
          </w:p>
        </w:tc>
        <w:tc>
          <w:tcPr>
            <w:tcW w:w="138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11"/>
        </w:trPr>
        <w:tc>
          <w:tcPr>
            <w:tcW w:w="700" w:type="dxa"/>
            <w:vAlign w:val="bottom"/>
          </w:tcPr>
          <w:p>
            <w:pPr>
              <w:ind w:left="220"/>
              <w:spacing w:after="0"/>
              <w:rPr>
                <w:sz w:val="20"/>
                <w:szCs w:val="20"/>
                <w:color w:val="auto"/>
              </w:rPr>
            </w:pPr>
            <w:r>
              <w:rPr>
                <w:rFonts w:ascii="Arial" w:cs="Arial" w:eastAsia="Arial" w:hAnsi="Arial"/>
                <w:sz w:val="22"/>
                <w:szCs w:val="22"/>
                <w:color w:val="auto"/>
              </w:rPr>
              <w:t>5.08</w:t>
            </w:r>
          </w:p>
        </w:tc>
        <w:tc>
          <w:tcPr>
            <w:tcW w:w="9140" w:type="dxa"/>
            <w:vAlign w:val="bottom"/>
          </w:tcPr>
          <w:p>
            <w:pPr>
              <w:ind w:left="100"/>
              <w:spacing w:after="0"/>
              <w:rPr>
                <w:sz w:val="20"/>
                <w:szCs w:val="20"/>
                <w:color w:val="auto"/>
              </w:rPr>
            </w:pPr>
            <w:r>
              <w:rPr>
                <w:rFonts w:ascii="Arial" w:cs="Arial" w:eastAsia="Arial" w:hAnsi="Arial"/>
                <w:sz w:val="22"/>
                <w:szCs w:val="22"/>
                <w:color w:val="auto"/>
              </w:rPr>
              <w:t>Business Opportunities; Performance of Duties</w:t>
            </w:r>
          </w:p>
        </w:tc>
        <w:tc>
          <w:tcPr>
            <w:tcW w:w="138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5.09</w:t>
            </w:r>
          </w:p>
        </w:tc>
        <w:tc>
          <w:tcPr>
            <w:tcW w:w="9140" w:type="dxa"/>
            <w:vAlign w:val="bottom"/>
          </w:tcPr>
          <w:p>
            <w:pPr>
              <w:ind w:left="100"/>
              <w:spacing w:after="0"/>
              <w:rPr>
                <w:sz w:val="20"/>
                <w:szCs w:val="20"/>
                <w:color w:val="auto"/>
              </w:rPr>
            </w:pPr>
            <w:r>
              <w:rPr>
                <w:rFonts w:ascii="Arial" w:cs="Arial" w:eastAsia="Arial" w:hAnsi="Arial"/>
                <w:sz w:val="22"/>
                <w:szCs w:val="22"/>
                <w:color w:val="auto"/>
              </w:rPr>
              <w:t>Limitation of Liability</w:t>
            </w:r>
          </w:p>
        </w:tc>
        <w:tc>
          <w:tcPr>
            <w:tcW w:w="138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11"/>
        </w:trPr>
        <w:tc>
          <w:tcPr>
            <w:tcW w:w="700" w:type="dxa"/>
            <w:vAlign w:val="bottom"/>
          </w:tcPr>
          <w:p>
            <w:pPr>
              <w:ind w:left="220"/>
              <w:spacing w:after="0"/>
              <w:rPr>
                <w:sz w:val="20"/>
                <w:szCs w:val="20"/>
                <w:color w:val="auto"/>
              </w:rPr>
            </w:pPr>
            <w:r>
              <w:rPr>
                <w:rFonts w:ascii="Arial" w:cs="Arial" w:eastAsia="Arial" w:hAnsi="Arial"/>
                <w:sz w:val="22"/>
                <w:szCs w:val="22"/>
                <w:color w:val="auto"/>
              </w:rPr>
              <w:t>5.10</w:t>
            </w:r>
          </w:p>
        </w:tc>
        <w:tc>
          <w:tcPr>
            <w:tcW w:w="9140" w:type="dxa"/>
            <w:vAlign w:val="bottom"/>
          </w:tcPr>
          <w:p>
            <w:pPr>
              <w:ind w:left="100"/>
              <w:spacing w:after="0"/>
              <w:rPr>
                <w:sz w:val="20"/>
                <w:szCs w:val="20"/>
                <w:color w:val="auto"/>
              </w:rPr>
            </w:pPr>
            <w:r>
              <w:rPr>
                <w:rFonts w:ascii="Arial" w:cs="Arial" w:eastAsia="Arial" w:hAnsi="Arial"/>
                <w:sz w:val="22"/>
                <w:szCs w:val="22"/>
                <w:color w:val="auto"/>
              </w:rPr>
              <w:t>Authority</w:t>
            </w:r>
          </w:p>
        </w:tc>
        <w:tc>
          <w:tcPr>
            <w:tcW w:w="13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10"/>
        </w:trPr>
        <w:tc>
          <w:tcPr>
            <w:tcW w:w="9840" w:type="dxa"/>
            <w:vAlign w:val="bottom"/>
            <w:gridSpan w:val="2"/>
          </w:tcPr>
          <w:p>
            <w:pPr>
              <w:ind w:left="220"/>
              <w:spacing w:after="0"/>
              <w:rPr>
                <w:sz w:val="20"/>
                <w:szCs w:val="20"/>
                <w:color w:val="auto"/>
              </w:rPr>
            </w:pPr>
            <w:r>
              <w:rPr>
                <w:rFonts w:ascii="Arial" w:cs="Arial" w:eastAsia="Arial" w:hAnsi="Arial"/>
                <w:sz w:val="22"/>
                <w:szCs w:val="22"/>
                <w:color w:val="auto"/>
              </w:rPr>
              <w:t>5.11  Sale of the Company; IPO</w:t>
            </w:r>
          </w:p>
        </w:tc>
        <w:tc>
          <w:tcPr>
            <w:tcW w:w="13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11"/>
        </w:trPr>
        <w:tc>
          <w:tcPr>
            <w:tcW w:w="700" w:type="dxa"/>
            <w:vAlign w:val="bottom"/>
          </w:tcPr>
          <w:p>
            <w:pPr>
              <w:ind w:left="220"/>
              <w:spacing w:after="0"/>
              <w:rPr>
                <w:sz w:val="20"/>
                <w:szCs w:val="20"/>
                <w:color w:val="auto"/>
              </w:rPr>
            </w:pPr>
            <w:r>
              <w:rPr>
                <w:rFonts w:ascii="Arial" w:cs="Arial" w:eastAsia="Arial" w:hAnsi="Arial"/>
                <w:sz w:val="22"/>
                <w:szCs w:val="22"/>
                <w:color w:val="auto"/>
              </w:rPr>
              <w:t>5.12</w:t>
            </w:r>
          </w:p>
        </w:tc>
        <w:tc>
          <w:tcPr>
            <w:tcW w:w="9140" w:type="dxa"/>
            <w:vAlign w:val="bottom"/>
          </w:tcPr>
          <w:p>
            <w:pPr>
              <w:ind w:left="100"/>
              <w:spacing w:after="0"/>
              <w:rPr>
                <w:sz w:val="20"/>
                <w:szCs w:val="20"/>
                <w:color w:val="auto"/>
              </w:rPr>
            </w:pPr>
            <w:r>
              <w:rPr>
                <w:rFonts w:ascii="Arial" w:cs="Arial" w:eastAsia="Arial" w:hAnsi="Arial"/>
                <w:sz w:val="22"/>
                <w:szCs w:val="22"/>
                <w:color w:val="auto"/>
              </w:rPr>
              <w:t>Honda Minority Consent Right</w:t>
            </w:r>
          </w:p>
        </w:tc>
        <w:tc>
          <w:tcPr>
            <w:tcW w:w="13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11"/>
        </w:trPr>
        <w:tc>
          <w:tcPr>
            <w:tcW w:w="700" w:type="dxa"/>
            <w:vAlign w:val="bottom"/>
          </w:tcPr>
          <w:p>
            <w:pPr>
              <w:ind w:left="220"/>
              <w:spacing w:after="0"/>
              <w:rPr>
                <w:sz w:val="20"/>
                <w:szCs w:val="20"/>
                <w:color w:val="auto"/>
              </w:rPr>
            </w:pPr>
            <w:r>
              <w:rPr>
                <w:rFonts w:ascii="Arial" w:cs="Arial" w:eastAsia="Arial" w:hAnsi="Arial"/>
                <w:sz w:val="22"/>
                <w:szCs w:val="22"/>
                <w:color w:val="auto"/>
              </w:rPr>
              <w:t>5.13</w:t>
            </w:r>
          </w:p>
        </w:tc>
        <w:tc>
          <w:tcPr>
            <w:tcW w:w="9140" w:type="dxa"/>
            <w:vAlign w:val="bottom"/>
          </w:tcPr>
          <w:p>
            <w:pPr>
              <w:ind w:left="100"/>
              <w:spacing w:after="0"/>
              <w:rPr>
                <w:sz w:val="20"/>
                <w:szCs w:val="20"/>
                <w:color w:val="auto"/>
              </w:rPr>
            </w:pPr>
            <w:r>
              <w:rPr>
                <w:rFonts w:ascii="Arial" w:cs="Arial" w:eastAsia="Arial" w:hAnsi="Arial"/>
                <w:sz w:val="22"/>
                <w:szCs w:val="22"/>
                <w:color w:val="auto"/>
              </w:rPr>
              <w:t>Class F Minority Consent Right</w:t>
            </w:r>
          </w:p>
        </w:tc>
        <w:tc>
          <w:tcPr>
            <w:tcW w:w="13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5.14</w:t>
            </w:r>
          </w:p>
        </w:tc>
        <w:tc>
          <w:tcPr>
            <w:tcW w:w="9140" w:type="dxa"/>
            <w:vAlign w:val="bottom"/>
          </w:tcPr>
          <w:p>
            <w:pPr>
              <w:ind w:left="100"/>
              <w:spacing w:after="0"/>
              <w:rPr>
                <w:sz w:val="20"/>
                <w:szCs w:val="20"/>
                <w:color w:val="auto"/>
              </w:rPr>
            </w:pPr>
            <w:r>
              <w:rPr>
                <w:rFonts w:ascii="Arial" w:cs="Arial" w:eastAsia="Arial" w:hAnsi="Arial"/>
                <w:sz w:val="22"/>
                <w:szCs w:val="22"/>
                <w:color w:val="auto"/>
              </w:rPr>
              <w:t>Class G Minority Consent Right</w:t>
            </w:r>
          </w:p>
        </w:tc>
        <w:tc>
          <w:tcPr>
            <w:tcW w:w="138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581"/>
        </w:trPr>
        <w:tc>
          <w:tcPr>
            <w:tcW w:w="9840" w:type="dxa"/>
            <w:vAlign w:val="bottom"/>
            <w:gridSpan w:val="2"/>
          </w:tcPr>
          <w:p>
            <w:pPr>
              <w:spacing w:after="0"/>
              <w:rPr>
                <w:sz w:val="20"/>
                <w:szCs w:val="20"/>
                <w:color w:val="auto"/>
              </w:rPr>
            </w:pPr>
            <w:r>
              <w:rPr>
                <w:rFonts w:ascii="Arial" w:cs="Arial" w:eastAsia="Arial" w:hAnsi="Arial"/>
                <w:sz w:val="22"/>
                <w:szCs w:val="22"/>
                <w:color w:val="auto"/>
              </w:rPr>
              <w:t>ARTICLE VI MANAGEMENT</w:t>
            </w:r>
          </w:p>
        </w:tc>
        <w:tc>
          <w:tcPr>
            <w:tcW w:w="138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6.01</w:t>
            </w:r>
          </w:p>
        </w:tc>
        <w:tc>
          <w:tcPr>
            <w:tcW w:w="9140" w:type="dxa"/>
            <w:vAlign w:val="bottom"/>
          </w:tcPr>
          <w:p>
            <w:pPr>
              <w:ind w:left="100"/>
              <w:spacing w:after="0"/>
              <w:rPr>
                <w:sz w:val="20"/>
                <w:szCs w:val="20"/>
                <w:color w:val="auto"/>
              </w:rPr>
            </w:pPr>
            <w:r>
              <w:rPr>
                <w:rFonts w:ascii="Arial" w:cs="Arial" w:eastAsia="Arial" w:hAnsi="Arial"/>
                <w:sz w:val="22"/>
                <w:szCs w:val="22"/>
                <w:color w:val="auto"/>
              </w:rPr>
              <w:t>Management</w:t>
            </w:r>
          </w:p>
        </w:tc>
        <w:tc>
          <w:tcPr>
            <w:tcW w:w="138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11"/>
        </w:trPr>
        <w:tc>
          <w:tcPr>
            <w:tcW w:w="700" w:type="dxa"/>
            <w:vAlign w:val="bottom"/>
          </w:tcPr>
          <w:p>
            <w:pPr>
              <w:ind w:left="220"/>
              <w:spacing w:after="0"/>
              <w:rPr>
                <w:sz w:val="20"/>
                <w:szCs w:val="20"/>
                <w:color w:val="auto"/>
              </w:rPr>
            </w:pPr>
            <w:r>
              <w:rPr>
                <w:rFonts w:ascii="Arial" w:cs="Arial" w:eastAsia="Arial" w:hAnsi="Arial"/>
                <w:sz w:val="22"/>
                <w:szCs w:val="22"/>
                <w:color w:val="auto"/>
              </w:rPr>
              <w:t>6.02</w:t>
            </w:r>
          </w:p>
        </w:tc>
        <w:tc>
          <w:tcPr>
            <w:tcW w:w="9140" w:type="dxa"/>
            <w:vAlign w:val="bottom"/>
          </w:tcPr>
          <w:p>
            <w:pPr>
              <w:ind w:left="100"/>
              <w:spacing w:after="0"/>
              <w:rPr>
                <w:sz w:val="20"/>
                <w:szCs w:val="20"/>
                <w:color w:val="auto"/>
              </w:rPr>
            </w:pPr>
            <w:r>
              <w:rPr>
                <w:rFonts w:ascii="Arial" w:cs="Arial" w:eastAsia="Arial" w:hAnsi="Arial"/>
                <w:sz w:val="22"/>
                <w:szCs w:val="22"/>
                <w:color w:val="auto"/>
              </w:rPr>
              <w:t>Number of Directors</w:t>
            </w:r>
          </w:p>
        </w:tc>
        <w:tc>
          <w:tcPr>
            <w:tcW w:w="138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6.03</w:t>
            </w:r>
          </w:p>
        </w:tc>
        <w:tc>
          <w:tcPr>
            <w:tcW w:w="9140" w:type="dxa"/>
            <w:vAlign w:val="bottom"/>
          </w:tcPr>
          <w:p>
            <w:pPr>
              <w:ind w:left="100"/>
              <w:spacing w:after="0"/>
              <w:rPr>
                <w:sz w:val="20"/>
                <w:szCs w:val="20"/>
                <w:color w:val="auto"/>
              </w:rPr>
            </w:pPr>
            <w:r>
              <w:rPr>
                <w:rFonts w:ascii="Arial" w:cs="Arial" w:eastAsia="Arial" w:hAnsi="Arial"/>
                <w:sz w:val="22"/>
                <w:szCs w:val="22"/>
                <w:color w:val="auto"/>
              </w:rPr>
              <w:t>Board Designation Rights and Composition; Proxies</w:t>
            </w:r>
          </w:p>
        </w:tc>
        <w:tc>
          <w:tcPr>
            <w:tcW w:w="138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11"/>
        </w:trPr>
        <w:tc>
          <w:tcPr>
            <w:tcW w:w="700" w:type="dxa"/>
            <w:vAlign w:val="bottom"/>
          </w:tcPr>
          <w:p>
            <w:pPr>
              <w:ind w:left="220"/>
              <w:spacing w:after="0"/>
              <w:rPr>
                <w:sz w:val="20"/>
                <w:szCs w:val="20"/>
                <w:color w:val="auto"/>
              </w:rPr>
            </w:pPr>
            <w:r>
              <w:rPr>
                <w:rFonts w:ascii="Arial" w:cs="Arial" w:eastAsia="Arial" w:hAnsi="Arial"/>
                <w:sz w:val="22"/>
                <w:szCs w:val="22"/>
                <w:color w:val="auto"/>
              </w:rPr>
              <w:t>6.04</w:t>
            </w:r>
          </w:p>
        </w:tc>
        <w:tc>
          <w:tcPr>
            <w:tcW w:w="9140" w:type="dxa"/>
            <w:vAlign w:val="bottom"/>
          </w:tcPr>
          <w:p>
            <w:pPr>
              <w:ind w:left="100"/>
              <w:spacing w:after="0"/>
              <w:rPr>
                <w:sz w:val="20"/>
                <w:szCs w:val="20"/>
                <w:color w:val="auto"/>
              </w:rPr>
            </w:pPr>
            <w:r>
              <w:rPr>
                <w:rFonts w:ascii="Arial" w:cs="Arial" w:eastAsia="Arial" w:hAnsi="Arial"/>
                <w:sz w:val="22"/>
                <w:szCs w:val="22"/>
                <w:color w:val="auto"/>
              </w:rPr>
              <w:t>Board Observers</w:t>
            </w:r>
          </w:p>
        </w:tc>
        <w:tc>
          <w:tcPr>
            <w:tcW w:w="138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6.05</w:t>
            </w:r>
          </w:p>
        </w:tc>
        <w:tc>
          <w:tcPr>
            <w:tcW w:w="9140" w:type="dxa"/>
            <w:vAlign w:val="bottom"/>
          </w:tcPr>
          <w:p>
            <w:pPr>
              <w:ind w:left="100"/>
              <w:spacing w:after="0"/>
              <w:rPr>
                <w:sz w:val="20"/>
                <w:szCs w:val="20"/>
                <w:color w:val="auto"/>
              </w:rPr>
            </w:pPr>
            <w:r>
              <w:rPr>
                <w:rFonts w:ascii="Arial" w:cs="Arial" w:eastAsia="Arial" w:hAnsi="Arial"/>
                <w:sz w:val="22"/>
                <w:szCs w:val="22"/>
                <w:color w:val="auto"/>
              </w:rPr>
              <w:t>Director Appointee Screening</w:t>
            </w:r>
          </w:p>
        </w:tc>
        <w:tc>
          <w:tcPr>
            <w:tcW w:w="138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6.06</w:t>
            </w:r>
          </w:p>
        </w:tc>
        <w:tc>
          <w:tcPr>
            <w:tcW w:w="9140" w:type="dxa"/>
            <w:vAlign w:val="bottom"/>
          </w:tcPr>
          <w:p>
            <w:pPr>
              <w:ind w:left="100"/>
              <w:spacing w:after="0"/>
              <w:rPr>
                <w:sz w:val="20"/>
                <w:szCs w:val="20"/>
                <w:color w:val="auto"/>
              </w:rPr>
            </w:pPr>
            <w:r>
              <w:rPr>
                <w:rFonts w:ascii="Arial" w:cs="Arial" w:eastAsia="Arial" w:hAnsi="Arial"/>
                <w:sz w:val="22"/>
                <w:szCs w:val="22"/>
                <w:color w:val="auto"/>
              </w:rPr>
              <w:t>Tenure of Directors</w:t>
            </w:r>
          </w:p>
        </w:tc>
        <w:tc>
          <w:tcPr>
            <w:tcW w:w="138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6.07</w:t>
            </w:r>
          </w:p>
        </w:tc>
        <w:tc>
          <w:tcPr>
            <w:tcW w:w="9140" w:type="dxa"/>
            <w:vAlign w:val="bottom"/>
          </w:tcPr>
          <w:p>
            <w:pPr>
              <w:ind w:left="100"/>
              <w:spacing w:after="0"/>
              <w:rPr>
                <w:sz w:val="20"/>
                <w:szCs w:val="20"/>
                <w:color w:val="auto"/>
              </w:rPr>
            </w:pPr>
            <w:r>
              <w:rPr>
                <w:rFonts w:ascii="Arial" w:cs="Arial" w:eastAsia="Arial" w:hAnsi="Arial"/>
                <w:sz w:val="22"/>
                <w:szCs w:val="22"/>
                <w:color w:val="auto"/>
              </w:rPr>
              <w:t>Committees</w:t>
            </w:r>
          </w:p>
        </w:tc>
        <w:tc>
          <w:tcPr>
            <w:tcW w:w="138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11"/>
        </w:trPr>
        <w:tc>
          <w:tcPr>
            <w:tcW w:w="700" w:type="dxa"/>
            <w:vAlign w:val="bottom"/>
          </w:tcPr>
          <w:p>
            <w:pPr>
              <w:ind w:left="220"/>
              <w:spacing w:after="0"/>
              <w:rPr>
                <w:sz w:val="20"/>
                <w:szCs w:val="20"/>
                <w:color w:val="auto"/>
              </w:rPr>
            </w:pPr>
            <w:r>
              <w:rPr>
                <w:rFonts w:ascii="Arial" w:cs="Arial" w:eastAsia="Arial" w:hAnsi="Arial"/>
                <w:sz w:val="22"/>
                <w:szCs w:val="22"/>
                <w:color w:val="auto"/>
              </w:rPr>
              <w:t>6.08</w:t>
            </w:r>
          </w:p>
        </w:tc>
        <w:tc>
          <w:tcPr>
            <w:tcW w:w="9140" w:type="dxa"/>
            <w:vAlign w:val="bottom"/>
          </w:tcPr>
          <w:p>
            <w:pPr>
              <w:ind w:left="100"/>
              <w:spacing w:after="0"/>
              <w:rPr>
                <w:sz w:val="20"/>
                <w:szCs w:val="20"/>
                <w:color w:val="auto"/>
              </w:rPr>
            </w:pPr>
            <w:r>
              <w:rPr>
                <w:rFonts w:ascii="Arial" w:cs="Arial" w:eastAsia="Arial" w:hAnsi="Arial"/>
                <w:sz w:val="22"/>
                <w:szCs w:val="22"/>
                <w:color w:val="auto"/>
              </w:rPr>
              <w:t>Director Compensation</w:t>
            </w:r>
          </w:p>
        </w:tc>
        <w:tc>
          <w:tcPr>
            <w:tcW w:w="138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6.09</w:t>
            </w:r>
          </w:p>
        </w:tc>
        <w:tc>
          <w:tcPr>
            <w:tcW w:w="9140" w:type="dxa"/>
            <w:vAlign w:val="bottom"/>
          </w:tcPr>
          <w:p>
            <w:pPr>
              <w:ind w:left="100"/>
              <w:spacing w:after="0"/>
              <w:rPr>
                <w:sz w:val="20"/>
                <w:szCs w:val="20"/>
                <w:color w:val="auto"/>
              </w:rPr>
            </w:pPr>
            <w:r>
              <w:rPr>
                <w:rFonts w:ascii="Arial" w:cs="Arial" w:eastAsia="Arial" w:hAnsi="Arial"/>
                <w:sz w:val="22"/>
                <w:szCs w:val="22"/>
                <w:color w:val="auto"/>
              </w:rPr>
              <w:t>Director Resignation</w:t>
            </w:r>
          </w:p>
        </w:tc>
        <w:tc>
          <w:tcPr>
            <w:tcW w:w="138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6.10</w:t>
            </w:r>
          </w:p>
        </w:tc>
        <w:tc>
          <w:tcPr>
            <w:tcW w:w="9140" w:type="dxa"/>
            <w:vAlign w:val="bottom"/>
          </w:tcPr>
          <w:p>
            <w:pPr>
              <w:ind w:left="100"/>
              <w:spacing w:after="0"/>
              <w:rPr>
                <w:sz w:val="20"/>
                <w:szCs w:val="20"/>
                <w:color w:val="auto"/>
              </w:rPr>
            </w:pPr>
            <w:r>
              <w:rPr>
                <w:rFonts w:ascii="Arial" w:cs="Arial" w:eastAsia="Arial" w:hAnsi="Arial"/>
                <w:sz w:val="22"/>
                <w:szCs w:val="22"/>
                <w:color w:val="auto"/>
              </w:rPr>
              <w:t>Vacancies</w:t>
            </w:r>
          </w:p>
        </w:tc>
        <w:tc>
          <w:tcPr>
            <w:tcW w:w="138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6.11</w:t>
            </w:r>
          </w:p>
        </w:tc>
        <w:tc>
          <w:tcPr>
            <w:tcW w:w="9140" w:type="dxa"/>
            <w:vAlign w:val="bottom"/>
          </w:tcPr>
          <w:p>
            <w:pPr>
              <w:ind w:left="80"/>
              <w:spacing w:after="0"/>
              <w:rPr>
                <w:sz w:val="20"/>
                <w:szCs w:val="20"/>
                <w:color w:val="auto"/>
              </w:rPr>
            </w:pPr>
            <w:r>
              <w:rPr>
                <w:rFonts w:ascii="Arial" w:cs="Arial" w:eastAsia="Arial" w:hAnsi="Arial"/>
                <w:sz w:val="22"/>
                <w:szCs w:val="22"/>
                <w:color w:val="auto"/>
              </w:rPr>
              <w:t>Meetings</w:t>
            </w:r>
          </w:p>
        </w:tc>
        <w:tc>
          <w:tcPr>
            <w:tcW w:w="138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6.12</w:t>
            </w:r>
          </w:p>
        </w:tc>
        <w:tc>
          <w:tcPr>
            <w:tcW w:w="9140" w:type="dxa"/>
            <w:vAlign w:val="bottom"/>
          </w:tcPr>
          <w:p>
            <w:pPr>
              <w:ind w:left="100"/>
              <w:spacing w:after="0"/>
              <w:rPr>
                <w:sz w:val="20"/>
                <w:szCs w:val="20"/>
                <w:color w:val="auto"/>
              </w:rPr>
            </w:pPr>
            <w:r>
              <w:rPr>
                <w:rFonts w:ascii="Arial" w:cs="Arial" w:eastAsia="Arial" w:hAnsi="Arial"/>
                <w:sz w:val="22"/>
                <w:szCs w:val="22"/>
                <w:color w:val="auto"/>
              </w:rPr>
              <w:t>Meetings by Telephone</w:t>
            </w:r>
          </w:p>
        </w:tc>
        <w:tc>
          <w:tcPr>
            <w:tcW w:w="138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6.13</w:t>
            </w:r>
          </w:p>
        </w:tc>
        <w:tc>
          <w:tcPr>
            <w:tcW w:w="9140" w:type="dxa"/>
            <w:vAlign w:val="bottom"/>
          </w:tcPr>
          <w:p>
            <w:pPr>
              <w:ind w:left="100"/>
              <w:spacing w:after="0"/>
              <w:rPr>
                <w:sz w:val="20"/>
                <w:szCs w:val="20"/>
                <w:color w:val="auto"/>
              </w:rPr>
            </w:pPr>
            <w:r>
              <w:rPr>
                <w:rFonts w:ascii="Arial" w:cs="Arial" w:eastAsia="Arial" w:hAnsi="Arial"/>
                <w:sz w:val="22"/>
                <w:szCs w:val="22"/>
                <w:color w:val="auto"/>
              </w:rPr>
              <w:t>Quorum; Actions of Board of Directors; SoftBank Minority Consent Rights</w:t>
            </w:r>
          </w:p>
        </w:tc>
        <w:tc>
          <w:tcPr>
            <w:tcW w:w="138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6.14</w:t>
            </w:r>
          </w:p>
        </w:tc>
        <w:tc>
          <w:tcPr>
            <w:tcW w:w="9140" w:type="dxa"/>
            <w:vAlign w:val="bottom"/>
          </w:tcPr>
          <w:p>
            <w:pPr>
              <w:ind w:left="100"/>
              <w:spacing w:after="0"/>
              <w:rPr>
                <w:sz w:val="20"/>
                <w:szCs w:val="20"/>
                <w:color w:val="auto"/>
              </w:rPr>
            </w:pPr>
            <w:r>
              <w:rPr>
                <w:rFonts w:ascii="Arial" w:cs="Arial" w:eastAsia="Arial" w:hAnsi="Arial"/>
                <w:sz w:val="22"/>
                <w:szCs w:val="22"/>
                <w:color w:val="auto"/>
              </w:rPr>
              <w:t>Competitively Sensitive Information</w:t>
            </w:r>
          </w:p>
        </w:tc>
        <w:tc>
          <w:tcPr>
            <w:tcW w:w="13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11"/>
        </w:trPr>
        <w:tc>
          <w:tcPr>
            <w:tcW w:w="700" w:type="dxa"/>
            <w:vAlign w:val="bottom"/>
          </w:tcPr>
          <w:p>
            <w:pPr>
              <w:ind w:left="220"/>
              <w:spacing w:after="0"/>
              <w:rPr>
                <w:sz w:val="20"/>
                <w:szCs w:val="20"/>
                <w:color w:val="auto"/>
              </w:rPr>
            </w:pPr>
            <w:r>
              <w:rPr>
                <w:rFonts w:ascii="Arial" w:cs="Arial" w:eastAsia="Arial" w:hAnsi="Arial"/>
                <w:sz w:val="22"/>
                <w:szCs w:val="22"/>
                <w:color w:val="auto"/>
              </w:rPr>
              <w:t>6.15</w:t>
            </w:r>
          </w:p>
        </w:tc>
        <w:tc>
          <w:tcPr>
            <w:tcW w:w="9140" w:type="dxa"/>
            <w:vAlign w:val="bottom"/>
          </w:tcPr>
          <w:p>
            <w:pPr>
              <w:ind w:left="100"/>
              <w:spacing w:after="0"/>
              <w:rPr>
                <w:sz w:val="20"/>
                <w:szCs w:val="20"/>
                <w:color w:val="auto"/>
              </w:rPr>
            </w:pPr>
            <w:r>
              <w:rPr>
                <w:rFonts w:ascii="Arial" w:cs="Arial" w:eastAsia="Arial" w:hAnsi="Arial"/>
                <w:sz w:val="22"/>
                <w:szCs w:val="22"/>
                <w:color w:val="auto"/>
              </w:rPr>
              <w:t>Officers</w:t>
            </w:r>
          </w:p>
        </w:tc>
        <w:tc>
          <w:tcPr>
            <w:tcW w:w="138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6.16</w:t>
            </w:r>
          </w:p>
        </w:tc>
        <w:tc>
          <w:tcPr>
            <w:tcW w:w="9140" w:type="dxa"/>
            <w:vAlign w:val="bottom"/>
          </w:tcPr>
          <w:p>
            <w:pPr>
              <w:ind w:left="100"/>
              <w:spacing w:after="0"/>
              <w:rPr>
                <w:sz w:val="20"/>
                <w:szCs w:val="20"/>
                <w:color w:val="auto"/>
              </w:rPr>
            </w:pPr>
            <w:r>
              <w:rPr>
                <w:rFonts w:ascii="Arial" w:cs="Arial" w:eastAsia="Arial" w:hAnsi="Arial"/>
                <w:sz w:val="22"/>
                <w:szCs w:val="22"/>
                <w:color w:val="auto"/>
              </w:rPr>
              <w:t>Enhanced Voting Rights</w:t>
            </w:r>
          </w:p>
        </w:tc>
        <w:tc>
          <w:tcPr>
            <w:tcW w:w="138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580"/>
        </w:trPr>
        <w:tc>
          <w:tcPr>
            <w:tcW w:w="9840" w:type="dxa"/>
            <w:vAlign w:val="bottom"/>
            <w:gridSpan w:val="2"/>
          </w:tcPr>
          <w:p>
            <w:pPr>
              <w:spacing w:after="0"/>
              <w:rPr>
                <w:sz w:val="20"/>
                <w:szCs w:val="20"/>
                <w:color w:val="auto"/>
              </w:rPr>
            </w:pPr>
            <w:r>
              <w:rPr>
                <w:rFonts w:ascii="Arial" w:cs="Arial" w:eastAsia="Arial" w:hAnsi="Arial"/>
                <w:sz w:val="22"/>
                <w:szCs w:val="22"/>
                <w:color w:val="auto"/>
              </w:rPr>
              <w:t>ARTICLE VII EXCULPATION AND INDEMNIFICATION</w:t>
            </w:r>
          </w:p>
        </w:tc>
        <w:tc>
          <w:tcPr>
            <w:tcW w:w="138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7.01</w:t>
            </w:r>
          </w:p>
        </w:tc>
        <w:tc>
          <w:tcPr>
            <w:tcW w:w="9140" w:type="dxa"/>
            <w:vAlign w:val="bottom"/>
          </w:tcPr>
          <w:p>
            <w:pPr>
              <w:ind w:left="100"/>
              <w:spacing w:after="0"/>
              <w:rPr>
                <w:sz w:val="20"/>
                <w:szCs w:val="20"/>
                <w:color w:val="auto"/>
              </w:rPr>
            </w:pPr>
            <w:r>
              <w:rPr>
                <w:rFonts w:ascii="Arial" w:cs="Arial" w:eastAsia="Arial" w:hAnsi="Arial"/>
                <w:sz w:val="22"/>
                <w:szCs w:val="22"/>
                <w:color w:val="auto"/>
              </w:rPr>
              <w:t>Exculpation</w:t>
            </w:r>
          </w:p>
        </w:tc>
        <w:tc>
          <w:tcPr>
            <w:tcW w:w="138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7.02</w:t>
            </w:r>
          </w:p>
        </w:tc>
        <w:tc>
          <w:tcPr>
            <w:tcW w:w="9140" w:type="dxa"/>
            <w:vAlign w:val="bottom"/>
          </w:tcPr>
          <w:p>
            <w:pPr>
              <w:ind w:left="100"/>
              <w:spacing w:after="0"/>
              <w:rPr>
                <w:sz w:val="20"/>
                <w:szCs w:val="20"/>
                <w:color w:val="auto"/>
              </w:rPr>
            </w:pPr>
            <w:r>
              <w:rPr>
                <w:rFonts w:ascii="Arial" w:cs="Arial" w:eastAsia="Arial" w:hAnsi="Arial"/>
                <w:sz w:val="22"/>
                <w:szCs w:val="22"/>
                <w:color w:val="auto"/>
              </w:rPr>
              <w:t>Indemnification</w:t>
            </w:r>
          </w:p>
        </w:tc>
        <w:tc>
          <w:tcPr>
            <w:tcW w:w="138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7.03</w:t>
            </w:r>
          </w:p>
        </w:tc>
        <w:tc>
          <w:tcPr>
            <w:tcW w:w="9140" w:type="dxa"/>
            <w:vAlign w:val="bottom"/>
          </w:tcPr>
          <w:p>
            <w:pPr>
              <w:ind w:left="100"/>
              <w:spacing w:after="0"/>
              <w:rPr>
                <w:sz w:val="20"/>
                <w:szCs w:val="20"/>
                <w:color w:val="auto"/>
              </w:rPr>
            </w:pPr>
            <w:r>
              <w:rPr>
                <w:rFonts w:ascii="Arial" w:cs="Arial" w:eastAsia="Arial" w:hAnsi="Arial"/>
                <w:sz w:val="22"/>
                <w:szCs w:val="22"/>
                <w:color w:val="auto"/>
              </w:rPr>
              <w:t>No Personal Liability</w:t>
            </w:r>
          </w:p>
        </w:tc>
        <w:tc>
          <w:tcPr>
            <w:tcW w:w="138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580"/>
        </w:trPr>
        <w:tc>
          <w:tcPr>
            <w:tcW w:w="9840" w:type="dxa"/>
            <w:vAlign w:val="bottom"/>
            <w:gridSpan w:val="2"/>
          </w:tcPr>
          <w:p>
            <w:pPr>
              <w:spacing w:after="0"/>
              <w:rPr>
                <w:sz w:val="20"/>
                <w:szCs w:val="20"/>
                <w:color w:val="auto"/>
              </w:rPr>
            </w:pPr>
            <w:r>
              <w:rPr>
                <w:rFonts w:ascii="Arial" w:cs="Arial" w:eastAsia="Arial" w:hAnsi="Arial"/>
                <w:sz w:val="22"/>
                <w:szCs w:val="22"/>
                <w:color w:val="auto"/>
              </w:rPr>
              <w:t>ARTICLE VIII BOOKS AND RECORDS; INFORMATION; RELATED MATTERS; COMPLIANCE</w:t>
            </w:r>
          </w:p>
        </w:tc>
        <w:tc>
          <w:tcPr>
            <w:tcW w:w="138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8.01</w:t>
            </w:r>
          </w:p>
        </w:tc>
        <w:tc>
          <w:tcPr>
            <w:tcW w:w="9140" w:type="dxa"/>
            <w:vAlign w:val="bottom"/>
          </w:tcPr>
          <w:p>
            <w:pPr>
              <w:ind w:left="100"/>
              <w:spacing w:after="0"/>
              <w:rPr>
                <w:sz w:val="20"/>
                <w:szCs w:val="20"/>
                <w:color w:val="auto"/>
              </w:rPr>
            </w:pPr>
            <w:r>
              <w:rPr>
                <w:rFonts w:ascii="Arial" w:cs="Arial" w:eastAsia="Arial" w:hAnsi="Arial"/>
                <w:sz w:val="22"/>
                <w:szCs w:val="22"/>
                <w:color w:val="auto"/>
              </w:rPr>
              <w:t>Generally</w:t>
            </w:r>
          </w:p>
        </w:tc>
        <w:tc>
          <w:tcPr>
            <w:tcW w:w="138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8.02</w:t>
            </w:r>
          </w:p>
        </w:tc>
        <w:tc>
          <w:tcPr>
            <w:tcW w:w="9140" w:type="dxa"/>
            <w:vAlign w:val="bottom"/>
          </w:tcPr>
          <w:p>
            <w:pPr>
              <w:ind w:left="100"/>
              <w:spacing w:after="0"/>
              <w:rPr>
                <w:sz w:val="20"/>
                <w:szCs w:val="20"/>
                <w:color w:val="auto"/>
              </w:rPr>
            </w:pPr>
            <w:r>
              <w:rPr>
                <w:rFonts w:ascii="Arial" w:cs="Arial" w:eastAsia="Arial" w:hAnsi="Arial"/>
                <w:sz w:val="22"/>
                <w:szCs w:val="22"/>
                <w:color w:val="auto"/>
              </w:rPr>
              <w:t>Delivery of Financial Information</w:t>
            </w:r>
          </w:p>
        </w:tc>
        <w:tc>
          <w:tcPr>
            <w:tcW w:w="13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8.03</w:t>
            </w:r>
          </w:p>
        </w:tc>
        <w:tc>
          <w:tcPr>
            <w:tcW w:w="9140" w:type="dxa"/>
            <w:vAlign w:val="bottom"/>
          </w:tcPr>
          <w:p>
            <w:pPr>
              <w:ind w:left="100"/>
              <w:spacing w:after="0"/>
              <w:rPr>
                <w:sz w:val="20"/>
                <w:szCs w:val="20"/>
                <w:color w:val="auto"/>
              </w:rPr>
            </w:pPr>
            <w:r>
              <w:rPr>
                <w:rFonts w:ascii="Arial" w:cs="Arial" w:eastAsia="Arial" w:hAnsi="Arial"/>
                <w:sz w:val="22"/>
                <w:szCs w:val="22"/>
                <w:color w:val="auto"/>
              </w:rPr>
              <w:t>Technical Information</w:t>
            </w:r>
          </w:p>
        </w:tc>
        <w:tc>
          <w:tcPr>
            <w:tcW w:w="138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11"/>
        </w:trPr>
        <w:tc>
          <w:tcPr>
            <w:tcW w:w="700" w:type="dxa"/>
            <w:vAlign w:val="bottom"/>
          </w:tcPr>
          <w:p>
            <w:pPr>
              <w:ind w:left="220"/>
              <w:spacing w:after="0"/>
              <w:rPr>
                <w:sz w:val="20"/>
                <w:szCs w:val="20"/>
                <w:color w:val="auto"/>
              </w:rPr>
            </w:pPr>
            <w:r>
              <w:rPr>
                <w:rFonts w:ascii="Arial" w:cs="Arial" w:eastAsia="Arial" w:hAnsi="Arial"/>
                <w:sz w:val="22"/>
                <w:szCs w:val="22"/>
                <w:color w:val="auto"/>
              </w:rPr>
              <w:t>8.04</w:t>
            </w:r>
          </w:p>
        </w:tc>
        <w:tc>
          <w:tcPr>
            <w:tcW w:w="9140" w:type="dxa"/>
            <w:vAlign w:val="bottom"/>
          </w:tcPr>
          <w:p>
            <w:pPr>
              <w:ind w:left="100"/>
              <w:spacing w:after="0"/>
              <w:rPr>
                <w:sz w:val="20"/>
                <w:szCs w:val="20"/>
                <w:color w:val="auto"/>
              </w:rPr>
            </w:pPr>
            <w:r>
              <w:rPr>
                <w:rFonts w:ascii="Arial" w:cs="Arial" w:eastAsia="Arial" w:hAnsi="Arial"/>
                <w:sz w:val="22"/>
                <w:szCs w:val="22"/>
                <w:color w:val="auto"/>
              </w:rPr>
              <w:t>Applicable ABAC/AML/Trade Laws</w:t>
            </w:r>
          </w:p>
        </w:tc>
        <w:tc>
          <w:tcPr>
            <w:tcW w:w="138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8.05</w:t>
            </w:r>
          </w:p>
        </w:tc>
        <w:tc>
          <w:tcPr>
            <w:tcW w:w="9140" w:type="dxa"/>
            <w:vAlign w:val="bottom"/>
          </w:tcPr>
          <w:p>
            <w:pPr>
              <w:ind w:left="100"/>
              <w:spacing w:after="0"/>
              <w:rPr>
                <w:sz w:val="20"/>
                <w:szCs w:val="20"/>
                <w:color w:val="auto"/>
              </w:rPr>
            </w:pPr>
            <w:r>
              <w:rPr>
                <w:rFonts w:ascii="Arial" w:cs="Arial" w:eastAsia="Arial" w:hAnsi="Arial"/>
                <w:sz w:val="22"/>
                <w:szCs w:val="22"/>
                <w:color w:val="auto"/>
              </w:rPr>
              <w:t>Notice to Honda of an OEM Investment</w:t>
            </w:r>
          </w:p>
        </w:tc>
        <w:tc>
          <w:tcPr>
            <w:tcW w:w="138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310"/>
        </w:trPr>
        <w:tc>
          <w:tcPr>
            <w:tcW w:w="700" w:type="dxa"/>
            <w:vAlign w:val="bottom"/>
          </w:tcPr>
          <w:p>
            <w:pPr>
              <w:ind w:left="220"/>
              <w:spacing w:after="0"/>
              <w:rPr>
                <w:sz w:val="20"/>
                <w:szCs w:val="20"/>
                <w:color w:val="auto"/>
              </w:rPr>
            </w:pPr>
            <w:r>
              <w:rPr>
                <w:rFonts w:ascii="Arial" w:cs="Arial" w:eastAsia="Arial" w:hAnsi="Arial"/>
                <w:sz w:val="22"/>
                <w:szCs w:val="22"/>
                <w:color w:val="auto"/>
              </w:rPr>
              <w:t>8.06</w:t>
            </w:r>
          </w:p>
        </w:tc>
        <w:tc>
          <w:tcPr>
            <w:tcW w:w="9140" w:type="dxa"/>
            <w:vAlign w:val="bottom"/>
          </w:tcPr>
          <w:p>
            <w:pPr>
              <w:ind w:left="100"/>
              <w:spacing w:after="0"/>
              <w:rPr>
                <w:sz w:val="20"/>
                <w:szCs w:val="20"/>
                <w:color w:val="auto"/>
              </w:rPr>
            </w:pPr>
            <w:r>
              <w:rPr>
                <w:rFonts w:ascii="Arial" w:cs="Arial" w:eastAsia="Arial" w:hAnsi="Arial"/>
                <w:sz w:val="22"/>
                <w:szCs w:val="22"/>
                <w:color w:val="auto"/>
              </w:rPr>
              <w:t>Material Non-Public Information</w:t>
            </w:r>
          </w:p>
        </w:tc>
        <w:tc>
          <w:tcPr>
            <w:tcW w:w="1380" w:type="dxa"/>
            <w:vAlign w:val="bottom"/>
          </w:tcPr>
          <w:p>
            <w:pPr>
              <w:jc w:val="right"/>
              <w:spacing w:after="0"/>
              <w:rPr>
                <w:sz w:val="20"/>
                <w:szCs w:val="20"/>
                <w:color w:val="auto"/>
              </w:rPr>
            </w:pPr>
            <w:r>
              <w:rPr>
                <w:rFonts w:ascii="Arial" w:cs="Arial" w:eastAsia="Arial" w:hAnsi="Arial"/>
                <w:sz w:val="22"/>
                <w:szCs w:val="22"/>
                <w:color w:val="auto"/>
              </w:rPr>
              <w:t>47</w:t>
            </w:r>
          </w:p>
        </w:tc>
      </w:tr>
    </w:tbl>
    <w:p>
      <w:pPr>
        <w:spacing w:after="0" w:line="200" w:lineRule="exact"/>
        <w:rPr>
          <w:sz w:val="20"/>
          <w:szCs w:val="20"/>
          <w:color w:val="auto"/>
        </w:rPr>
      </w:pPr>
    </w:p>
    <w:p>
      <w:pPr>
        <w:sectPr>
          <w:pgSz w:w="11900" w:h="16838" w:orient="portrait"/>
          <w:cols w:equalWidth="0" w:num="1">
            <w:col w:w="11220"/>
          </w:cols>
          <w:pgMar w:left="340" w:top="436" w:right="339" w:bottom="7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20"/>
          </w:cols>
          <w:pgMar w:left="340" w:top="436" w:right="339" w:bottom="715" w:gutter="0" w:footer="0" w:header="0"/>
          <w:type w:val="continuous"/>
        </w:sectPr>
      </w:pPr>
    </w:p>
    <w:bookmarkStart w:id="64" w:name="page65"/>
    <w:bookmarkEnd w:id="64"/>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(continued)</w:t>
      </w:r>
    </w:p>
    <w:p>
      <w:pPr>
        <w:spacing w:after="0" w:line="6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0260" w:type="dxa"/>
            <w:vAlign w:val="bottom"/>
            <w:gridSpan w:val="3"/>
          </w:tcPr>
          <w:p>
            <w:pPr>
              <w:spacing w:after="0"/>
              <w:rPr>
                <w:sz w:val="20"/>
                <w:szCs w:val="20"/>
                <w:color w:val="auto"/>
              </w:rPr>
            </w:pPr>
            <w:r>
              <w:rPr>
                <w:rFonts w:ascii="Arial" w:cs="Arial" w:eastAsia="Arial" w:hAnsi="Arial"/>
                <w:sz w:val="22"/>
                <w:szCs w:val="22"/>
                <w:color w:val="auto"/>
              </w:rPr>
              <w:t>ARTICLE IX TRANSFERS OF COMPANY INTERESTS; ADMISSION OF NEW MEMBERS; GM CALL</w:t>
            </w:r>
          </w:p>
        </w:tc>
        <w:tc>
          <w:tcPr>
            <w:tcW w:w="94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310"/>
        </w:trPr>
        <w:tc>
          <w:tcPr>
            <w:tcW w:w="740" w:type="dxa"/>
            <w:vAlign w:val="bottom"/>
          </w:tcPr>
          <w:p>
            <w:pPr>
              <w:ind w:left="220"/>
              <w:spacing w:after="0"/>
              <w:rPr>
                <w:sz w:val="20"/>
                <w:szCs w:val="20"/>
                <w:color w:val="auto"/>
              </w:rPr>
            </w:pPr>
            <w:r>
              <w:rPr>
                <w:rFonts w:ascii="Arial" w:cs="Arial" w:eastAsia="Arial" w:hAnsi="Arial"/>
                <w:sz w:val="22"/>
                <w:szCs w:val="22"/>
                <w:color w:val="auto"/>
              </w:rPr>
              <w:t>9.01</w:t>
            </w:r>
          </w:p>
        </w:tc>
        <w:tc>
          <w:tcPr>
            <w:tcW w:w="20" w:type="dxa"/>
            <w:vAlign w:val="bottom"/>
          </w:tcPr>
          <w:p>
            <w:pPr>
              <w:spacing w:after="0"/>
              <w:rPr>
                <w:sz w:val="24"/>
                <w:szCs w:val="24"/>
                <w:color w:val="auto"/>
              </w:rPr>
            </w:pPr>
          </w:p>
        </w:tc>
        <w:tc>
          <w:tcPr>
            <w:tcW w:w="9500" w:type="dxa"/>
            <w:vAlign w:val="bottom"/>
          </w:tcPr>
          <w:p>
            <w:pPr>
              <w:ind w:left="40"/>
              <w:spacing w:after="0"/>
              <w:rPr>
                <w:sz w:val="20"/>
                <w:szCs w:val="20"/>
                <w:color w:val="auto"/>
              </w:rPr>
            </w:pPr>
            <w:r>
              <w:rPr>
                <w:rFonts w:ascii="Arial" w:cs="Arial" w:eastAsia="Arial" w:hAnsi="Arial"/>
                <w:sz w:val="22"/>
                <w:szCs w:val="22"/>
                <w:color w:val="auto"/>
              </w:rPr>
              <w:t>Limitations on Transfer</w:t>
            </w:r>
          </w:p>
        </w:tc>
        <w:tc>
          <w:tcPr>
            <w:tcW w:w="94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311"/>
        </w:trPr>
        <w:tc>
          <w:tcPr>
            <w:tcW w:w="740" w:type="dxa"/>
            <w:vAlign w:val="bottom"/>
          </w:tcPr>
          <w:p>
            <w:pPr>
              <w:ind w:left="220"/>
              <w:spacing w:after="0"/>
              <w:rPr>
                <w:sz w:val="20"/>
                <w:szCs w:val="20"/>
                <w:color w:val="auto"/>
              </w:rPr>
            </w:pPr>
            <w:r>
              <w:rPr>
                <w:rFonts w:ascii="Arial" w:cs="Arial" w:eastAsia="Arial" w:hAnsi="Arial"/>
                <w:sz w:val="22"/>
                <w:szCs w:val="22"/>
                <w:color w:val="auto"/>
              </w:rPr>
              <w:t>9.02</w:t>
            </w:r>
          </w:p>
        </w:tc>
        <w:tc>
          <w:tcPr>
            <w:tcW w:w="20" w:type="dxa"/>
            <w:vAlign w:val="bottom"/>
          </w:tcPr>
          <w:p>
            <w:pPr>
              <w:spacing w:after="0"/>
              <w:rPr>
                <w:sz w:val="24"/>
                <w:szCs w:val="24"/>
                <w:color w:val="auto"/>
              </w:rPr>
            </w:pPr>
          </w:p>
        </w:tc>
        <w:tc>
          <w:tcPr>
            <w:tcW w:w="9500" w:type="dxa"/>
            <w:vAlign w:val="bottom"/>
          </w:tcPr>
          <w:p>
            <w:pPr>
              <w:ind w:left="40"/>
              <w:spacing w:after="0"/>
              <w:rPr>
                <w:sz w:val="20"/>
                <w:szCs w:val="20"/>
                <w:color w:val="auto"/>
              </w:rPr>
            </w:pPr>
            <w:r>
              <w:rPr>
                <w:rFonts w:ascii="Arial" w:cs="Arial" w:eastAsia="Arial" w:hAnsi="Arial"/>
                <w:sz w:val="22"/>
                <w:szCs w:val="22"/>
                <w:color w:val="auto"/>
              </w:rPr>
              <w:t>Permitted Transfers</w:t>
            </w:r>
          </w:p>
        </w:tc>
        <w:tc>
          <w:tcPr>
            <w:tcW w:w="94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10"/>
        </w:trPr>
        <w:tc>
          <w:tcPr>
            <w:tcW w:w="10260" w:type="dxa"/>
            <w:vAlign w:val="bottom"/>
            <w:gridSpan w:val="3"/>
          </w:tcPr>
          <w:p>
            <w:pPr>
              <w:ind w:left="220"/>
              <w:spacing w:after="0"/>
              <w:rPr>
                <w:sz w:val="20"/>
                <w:szCs w:val="20"/>
                <w:color w:val="auto"/>
              </w:rPr>
            </w:pPr>
            <w:r>
              <w:rPr>
                <w:rFonts w:ascii="Arial" w:cs="Arial" w:eastAsia="Arial" w:hAnsi="Arial"/>
                <w:sz w:val="22"/>
                <w:szCs w:val="22"/>
                <w:color w:val="auto"/>
              </w:rPr>
              <w:t>9.03 Assignee's Rights and Obligations</w:t>
            </w:r>
          </w:p>
        </w:tc>
        <w:tc>
          <w:tcPr>
            <w:tcW w:w="94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311"/>
        </w:trPr>
        <w:tc>
          <w:tcPr>
            <w:tcW w:w="740" w:type="dxa"/>
            <w:vAlign w:val="bottom"/>
          </w:tcPr>
          <w:p>
            <w:pPr>
              <w:ind w:left="220"/>
              <w:spacing w:after="0"/>
              <w:rPr>
                <w:sz w:val="20"/>
                <w:szCs w:val="20"/>
                <w:color w:val="auto"/>
              </w:rPr>
            </w:pPr>
            <w:r>
              <w:rPr>
                <w:rFonts w:ascii="Arial" w:cs="Arial" w:eastAsia="Arial" w:hAnsi="Arial"/>
                <w:sz w:val="22"/>
                <w:szCs w:val="22"/>
                <w:color w:val="auto"/>
              </w:rPr>
              <w:t>9.04</w:t>
            </w:r>
          </w:p>
        </w:tc>
        <w:tc>
          <w:tcPr>
            <w:tcW w:w="20" w:type="dxa"/>
            <w:vAlign w:val="bottom"/>
          </w:tcPr>
          <w:p>
            <w:pPr>
              <w:spacing w:after="0"/>
              <w:rPr>
                <w:sz w:val="24"/>
                <w:szCs w:val="24"/>
                <w:color w:val="auto"/>
              </w:rPr>
            </w:pPr>
          </w:p>
        </w:tc>
        <w:tc>
          <w:tcPr>
            <w:tcW w:w="9500" w:type="dxa"/>
            <w:vAlign w:val="bottom"/>
          </w:tcPr>
          <w:p>
            <w:pPr>
              <w:ind w:left="40"/>
              <w:spacing w:after="0"/>
              <w:rPr>
                <w:sz w:val="20"/>
                <w:szCs w:val="20"/>
                <w:color w:val="auto"/>
              </w:rPr>
            </w:pPr>
            <w:r>
              <w:rPr>
                <w:rFonts w:ascii="Arial" w:cs="Arial" w:eastAsia="Arial" w:hAnsi="Arial"/>
                <w:sz w:val="22"/>
                <w:szCs w:val="22"/>
                <w:color w:val="auto"/>
              </w:rPr>
              <w:t>Admission of Members</w:t>
            </w:r>
          </w:p>
        </w:tc>
        <w:tc>
          <w:tcPr>
            <w:tcW w:w="94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10"/>
        </w:trPr>
        <w:tc>
          <w:tcPr>
            <w:tcW w:w="740" w:type="dxa"/>
            <w:vAlign w:val="bottom"/>
          </w:tcPr>
          <w:p>
            <w:pPr>
              <w:ind w:left="220"/>
              <w:spacing w:after="0"/>
              <w:rPr>
                <w:sz w:val="20"/>
                <w:szCs w:val="20"/>
                <w:color w:val="auto"/>
              </w:rPr>
            </w:pPr>
            <w:r>
              <w:rPr>
                <w:rFonts w:ascii="Arial" w:cs="Arial" w:eastAsia="Arial" w:hAnsi="Arial"/>
                <w:sz w:val="22"/>
                <w:szCs w:val="22"/>
                <w:color w:val="auto"/>
              </w:rPr>
              <w:t>9.05</w:t>
            </w:r>
          </w:p>
        </w:tc>
        <w:tc>
          <w:tcPr>
            <w:tcW w:w="9520" w:type="dxa"/>
            <w:vAlign w:val="bottom"/>
            <w:gridSpan w:val="2"/>
          </w:tcPr>
          <w:p>
            <w:pPr>
              <w:ind w:left="60"/>
              <w:spacing w:after="0"/>
              <w:rPr>
                <w:sz w:val="20"/>
                <w:szCs w:val="20"/>
                <w:color w:val="auto"/>
              </w:rPr>
            </w:pPr>
            <w:r>
              <w:rPr>
                <w:rFonts w:ascii="Arial" w:cs="Arial" w:eastAsia="Arial" w:hAnsi="Arial"/>
                <w:sz w:val="22"/>
                <w:szCs w:val="22"/>
                <w:color w:val="auto"/>
              </w:rPr>
              <w:t>Certain Requirements of Prospective Members</w:t>
            </w:r>
          </w:p>
        </w:tc>
        <w:tc>
          <w:tcPr>
            <w:tcW w:w="94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11"/>
        </w:trPr>
        <w:tc>
          <w:tcPr>
            <w:tcW w:w="740" w:type="dxa"/>
            <w:vAlign w:val="bottom"/>
          </w:tcPr>
          <w:p>
            <w:pPr>
              <w:ind w:left="220"/>
              <w:spacing w:after="0"/>
              <w:rPr>
                <w:sz w:val="20"/>
                <w:szCs w:val="20"/>
                <w:color w:val="auto"/>
              </w:rPr>
            </w:pPr>
            <w:r>
              <w:rPr>
                <w:rFonts w:ascii="Arial" w:cs="Arial" w:eastAsia="Arial" w:hAnsi="Arial"/>
                <w:sz w:val="22"/>
                <w:szCs w:val="22"/>
                <w:color w:val="auto"/>
              </w:rPr>
              <w:t>9.06</w:t>
            </w:r>
          </w:p>
        </w:tc>
        <w:tc>
          <w:tcPr>
            <w:tcW w:w="9520" w:type="dxa"/>
            <w:vAlign w:val="bottom"/>
            <w:gridSpan w:val="2"/>
          </w:tcPr>
          <w:p>
            <w:pPr>
              <w:ind w:left="60"/>
              <w:spacing w:after="0"/>
              <w:rPr>
                <w:sz w:val="20"/>
                <w:szCs w:val="20"/>
                <w:color w:val="auto"/>
              </w:rPr>
            </w:pPr>
            <w:r>
              <w:rPr>
                <w:rFonts w:ascii="Arial" w:cs="Arial" w:eastAsia="Arial" w:hAnsi="Arial"/>
                <w:sz w:val="22"/>
                <w:szCs w:val="22"/>
                <w:color w:val="auto"/>
              </w:rPr>
              <w:t>Status of Transferred Shares</w:t>
            </w:r>
          </w:p>
        </w:tc>
        <w:tc>
          <w:tcPr>
            <w:tcW w:w="94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11"/>
        </w:trPr>
        <w:tc>
          <w:tcPr>
            <w:tcW w:w="740" w:type="dxa"/>
            <w:vAlign w:val="bottom"/>
          </w:tcPr>
          <w:p>
            <w:pPr>
              <w:ind w:left="220"/>
              <w:spacing w:after="0"/>
              <w:rPr>
                <w:sz w:val="20"/>
                <w:szCs w:val="20"/>
                <w:color w:val="auto"/>
              </w:rPr>
            </w:pPr>
            <w:r>
              <w:rPr>
                <w:rFonts w:ascii="Arial" w:cs="Arial" w:eastAsia="Arial" w:hAnsi="Arial"/>
                <w:sz w:val="22"/>
                <w:szCs w:val="22"/>
                <w:color w:val="auto"/>
              </w:rPr>
              <w:t>9.07</w:t>
            </w:r>
          </w:p>
        </w:tc>
        <w:tc>
          <w:tcPr>
            <w:tcW w:w="20" w:type="dxa"/>
            <w:vAlign w:val="bottom"/>
          </w:tcPr>
          <w:p>
            <w:pPr>
              <w:spacing w:after="0"/>
              <w:rPr>
                <w:sz w:val="24"/>
                <w:szCs w:val="24"/>
                <w:color w:val="auto"/>
              </w:rPr>
            </w:pPr>
          </w:p>
        </w:tc>
        <w:tc>
          <w:tcPr>
            <w:tcW w:w="9500" w:type="dxa"/>
            <w:vAlign w:val="bottom"/>
          </w:tcPr>
          <w:p>
            <w:pPr>
              <w:ind w:left="40"/>
              <w:spacing w:after="0"/>
              <w:rPr>
                <w:sz w:val="20"/>
                <w:szCs w:val="20"/>
                <w:color w:val="auto"/>
              </w:rPr>
            </w:pPr>
            <w:r>
              <w:rPr>
                <w:rFonts w:ascii="Arial" w:cs="Arial" w:eastAsia="Arial" w:hAnsi="Arial"/>
                <w:sz w:val="22"/>
                <w:szCs w:val="22"/>
                <w:color w:val="auto"/>
              </w:rPr>
              <w:t>Tag-Along Rights</w:t>
            </w:r>
          </w:p>
        </w:tc>
        <w:tc>
          <w:tcPr>
            <w:tcW w:w="94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10"/>
        </w:trPr>
        <w:tc>
          <w:tcPr>
            <w:tcW w:w="740" w:type="dxa"/>
            <w:vAlign w:val="bottom"/>
          </w:tcPr>
          <w:p>
            <w:pPr>
              <w:ind w:left="220"/>
              <w:spacing w:after="0"/>
              <w:rPr>
                <w:sz w:val="20"/>
                <w:szCs w:val="20"/>
                <w:color w:val="auto"/>
              </w:rPr>
            </w:pPr>
            <w:r>
              <w:rPr>
                <w:rFonts w:ascii="Arial" w:cs="Arial" w:eastAsia="Arial" w:hAnsi="Arial"/>
                <w:sz w:val="22"/>
                <w:szCs w:val="22"/>
                <w:color w:val="auto"/>
              </w:rPr>
              <w:t>9.08</w:t>
            </w:r>
          </w:p>
        </w:tc>
        <w:tc>
          <w:tcPr>
            <w:tcW w:w="9520" w:type="dxa"/>
            <w:vAlign w:val="bottom"/>
            <w:gridSpan w:val="2"/>
          </w:tcPr>
          <w:p>
            <w:pPr>
              <w:ind w:left="60"/>
              <w:spacing w:after="0"/>
              <w:rPr>
                <w:sz w:val="20"/>
                <w:szCs w:val="20"/>
                <w:color w:val="auto"/>
              </w:rPr>
            </w:pPr>
            <w:r>
              <w:rPr>
                <w:rFonts w:ascii="Arial" w:cs="Arial" w:eastAsia="Arial" w:hAnsi="Arial"/>
                <w:sz w:val="22"/>
                <w:szCs w:val="22"/>
                <w:color w:val="auto"/>
              </w:rPr>
              <w:t>Sale of the Company</w:t>
            </w:r>
          </w:p>
        </w:tc>
        <w:tc>
          <w:tcPr>
            <w:tcW w:w="94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311"/>
        </w:trPr>
        <w:tc>
          <w:tcPr>
            <w:tcW w:w="740" w:type="dxa"/>
            <w:vAlign w:val="bottom"/>
          </w:tcPr>
          <w:p>
            <w:pPr>
              <w:ind w:left="220"/>
              <w:spacing w:after="0"/>
              <w:rPr>
                <w:sz w:val="20"/>
                <w:szCs w:val="20"/>
                <w:color w:val="auto"/>
              </w:rPr>
            </w:pPr>
            <w:r>
              <w:rPr>
                <w:rFonts w:ascii="Arial" w:cs="Arial" w:eastAsia="Arial" w:hAnsi="Arial"/>
                <w:sz w:val="22"/>
                <w:szCs w:val="22"/>
                <w:color w:val="auto"/>
              </w:rPr>
              <w:t>9.09</w:t>
            </w:r>
          </w:p>
        </w:tc>
        <w:tc>
          <w:tcPr>
            <w:tcW w:w="9520" w:type="dxa"/>
            <w:vAlign w:val="bottom"/>
            <w:gridSpan w:val="2"/>
          </w:tcPr>
          <w:p>
            <w:pPr>
              <w:ind w:left="60"/>
              <w:spacing w:after="0"/>
              <w:rPr>
                <w:sz w:val="20"/>
                <w:szCs w:val="20"/>
                <w:color w:val="auto"/>
              </w:rPr>
            </w:pPr>
            <w:r>
              <w:rPr>
                <w:rFonts w:ascii="Arial" w:cs="Arial" w:eastAsia="Arial" w:hAnsi="Arial"/>
                <w:sz w:val="22"/>
                <w:szCs w:val="22"/>
                <w:color w:val="auto"/>
              </w:rPr>
              <w:t>Drag-Along</w:t>
            </w:r>
          </w:p>
        </w:tc>
        <w:tc>
          <w:tcPr>
            <w:tcW w:w="94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10"/>
        </w:trPr>
        <w:tc>
          <w:tcPr>
            <w:tcW w:w="740" w:type="dxa"/>
            <w:vAlign w:val="bottom"/>
          </w:tcPr>
          <w:p>
            <w:pPr>
              <w:ind w:left="220"/>
              <w:spacing w:after="0"/>
              <w:rPr>
                <w:sz w:val="20"/>
                <w:szCs w:val="20"/>
                <w:color w:val="auto"/>
              </w:rPr>
            </w:pPr>
            <w:r>
              <w:rPr>
                <w:rFonts w:ascii="Arial" w:cs="Arial" w:eastAsia="Arial" w:hAnsi="Arial"/>
                <w:sz w:val="22"/>
                <w:szCs w:val="22"/>
                <w:color w:val="auto"/>
              </w:rPr>
              <w:t>9.10</w:t>
            </w:r>
          </w:p>
        </w:tc>
        <w:tc>
          <w:tcPr>
            <w:tcW w:w="20" w:type="dxa"/>
            <w:vAlign w:val="bottom"/>
          </w:tcPr>
          <w:p>
            <w:pPr>
              <w:spacing w:after="0"/>
              <w:rPr>
                <w:sz w:val="24"/>
                <w:szCs w:val="24"/>
                <w:color w:val="auto"/>
              </w:rPr>
            </w:pPr>
          </w:p>
        </w:tc>
        <w:tc>
          <w:tcPr>
            <w:tcW w:w="9500" w:type="dxa"/>
            <w:vAlign w:val="bottom"/>
          </w:tcPr>
          <w:p>
            <w:pPr>
              <w:ind w:left="40"/>
              <w:spacing w:after="0"/>
              <w:rPr>
                <w:sz w:val="20"/>
                <w:szCs w:val="20"/>
                <w:color w:val="auto"/>
              </w:rPr>
            </w:pPr>
            <w:r>
              <w:rPr>
                <w:rFonts w:ascii="Arial" w:cs="Arial" w:eastAsia="Arial" w:hAnsi="Arial"/>
                <w:sz w:val="22"/>
                <w:szCs w:val="22"/>
                <w:color w:val="auto"/>
              </w:rPr>
              <w:t>Public Offering</w:t>
            </w:r>
          </w:p>
        </w:tc>
        <w:tc>
          <w:tcPr>
            <w:tcW w:w="9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311"/>
        </w:trPr>
        <w:tc>
          <w:tcPr>
            <w:tcW w:w="10260" w:type="dxa"/>
            <w:vAlign w:val="bottom"/>
            <w:gridSpan w:val="3"/>
          </w:tcPr>
          <w:p>
            <w:pPr>
              <w:ind w:left="220"/>
              <w:spacing w:after="0"/>
              <w:rPr>
                <w:sz w:val="20"/>
                <w:szCs w:val="20"/>
                <w:color w:val="auto"/>
              </w:rPr>
            </w:pPr>
            <w:r>
              <w:rPr>
                <w:rFonts w:ascii="Arial" w:cs="Arial" w:eastAsia="Arial" w:hAnsi="Arial"/>
                <w:sz w:val="22"/>
                <w:szCs w:val="22"/>
                <w:color w:val="auto"/>
              </w:rPr>
              <w:t>9.11  Registration Rights; “Market Stand-Off” Agreement; Volume Restrictions</w:t>
            </w:r>
          </w:p>
        </w:tc>
        <w:tc>
          <w:tcPr>
            <w:tcW w:w="94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310"/>
        </w:trPr>
        <w:tc>
          <w:tcPr>
            <w:tcW w:w="740" w:type="dxa"/>
            <w:vAlign w:val="bottom"/>
          </w:tcPr>
          <w:p>
            <w:pPr>
              <w:ind w:left="220"/>
              <w:spacing w:after="0"/>
              <w:rPr>
                <w:sz w:val="20"/>
                <w:szCs w:val="20"/>
                <w:color w:val="auto"/>
              </w:rPr>
            </w:pPr>
            <w:r>
              <w:rPr>
                <w:rFonts w:ascii="Arial" w:cs="Arial" w:eastAsia="Arial" w:hAnsi="Arial"/>
                <w:sz w:val="22"/>
                <w:szCs w:val="22"/>
                <w:color w:val="auto"/>
              </w:rPr>
              <w:t>9.12</w:t>
            </w:r>
          </w:p>
        </w:tc>
        <w:tc>
          <w:tcPr>
            <w:tcW w:w="20" w:type="dxa"/>
            <w:vAlign w:val="bottom"/>
          </w:tcPr>
          <w:p>
            <w:pPr>
              <w:spacing w:after="0"/>
              <w:rPr>
                <w:sz w:val="24"/>
                <w:szCs w:val="24"/>
                <w:color w:val="auto"/>
              </w:rPr>
            </w:pPr>
          </w:p>
        </w:tc>
        <w:tc>
          <w:tcPr>
            <w:tcW w:w="9500" w:type="dxa"/>
            <w:vAlign w:val="bottom"/>
          </w:tcPr>
          <w:p>
            <w:pPr>
              <w:ind w:left="40"/>
              <w:spacing w:after="0"/>
              <w:rPr>
                <w:sz w:val="20"/>
                <w:szCs w:val="20"/>
                <w:color w:val="auto"/>
              </w:rPr>
            </w:pPr>
            <w:r>
              <w:rPr>
                <w:rFonts w:ascii="Arial" w:cs="Arial" w:eastAsia="Arial" w:hAnsi="Arial"/>
                <w:sz w:val="22"/>
                <w:szCs w:val="22"/>
                <w:color w:val="auto"/>
              </w:rPr>
              <w:t>Call Rights</w:t>
            </w:r>
          </w:p>
        </w:tc>
        <w:tc>
          <w:tcPr>
            <w:tcW w:w="94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11"/>
        </w:trPr>
        <w:tc>
          <w:tcPr>
            <w:tcW w:w="740" w:type="dxa"/>
            <w:vAlign w:val="bottom"/>
          </w:tcPr>
          <w:p>
            <w:pPr>
              <w:ind w:left="220"/>
              <w:spacing w:after="0"/>
              <w:rPr>
                <w:sz w:val="20"/>
                <w:szCs w:val="20"/>
                <w:color w:val="auto"/>
              </w:rPr>
            </w:pPr>
            <w:r>
              <w:rPr>
                <w:rFonts w:ascii="Arial" w:cs="Arial" w:eastAsia="Arial" w:hAnsi="Arial"/>
                <w:sz w:val="22"/>
                <w:szCs w:val="22"/>
                <w:color w:val="auto"/>
              </w:rPr>
              <w:t>9.13</w:t>
            </w:r>
          </w:p>
        </w:tc>
        <w:tc>
          <w:tcPr>
            <w:tcW w:w="20" w:type="dxa"/>
            <w:vAlign w:val="bottom"/>
          </w:tcPr>
          <w:p>
            <w:pPr>
              <w:spacing w:after="0"/>
              <w:rPr>
                <w:sz w:val="24"/>
                <w:szCs w:val="24"/>
                <w:color w:val="auto"/>
              </w:rPr>
            </w:pPr>
          </w:p>
        </w:tc>
        <w:tc>
          <w:tcPr>
            <w:tcW w:w="9500" w:type="dxa"/>
            <w:vAlign w:val="bottom"/>
          </w:tcPr>
          <w:p>
            <w:pPr>
              <w:ind w:left="40"/>
              <w:spacing w:after="0"/>
              <w:rPr>
                <w:sz w:val="20"/>
                <w:szCs w:val="20"/>
                <w:color w:val="auto"/>
              </w:rPr>
            </w:pPr>
            <w:r>
              <w:rPr>
                <w:rFonts w:ascii="Arial" w:cs="Arial" w:eastAsia="Arial" w:hAnsi="Arial"/>
                <w:sz w:val="22"/>
                <w:szCs w:val="22"/>
                <w:color w:val="auto"/>
              </w:rPr>
              <w:t>Optional SoftBank Conversion</w:t>
            </w:r>
          </w:p>
        </w:tc>
        <w:tc>
          <w:tcPr>
            <w:tcW w:w="94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580"/>
        </w:trPr>
        <w:tc>
          <w:tcPr>
            <w:tcW w:w="10260" w:type="dxa"/>
            <w:vAlign w:val="bottom"/>
            <w:gridSpan w:val="3"/>
          </w:tcPr>
          <w:p>
            <w:pPr>
              <w:spacing w:after="0"/>
              <w:rPr>
                <w:sz w:val="20"/>
                <w:szCs w:val="20"/>
                <w:color w:val="auto"/>
              </w:rPr>
            </w:pPr>
            <w:r>
              <w:rPr>
                <w:rFonts w:ascii="Arial" w:cs="Arial" w:eastAsia="Arial" w:hAnsi="Arial"/>
                <w:sz w:val="22"/>
                <w:szCs w:val="22"/>
                <w:color w:val="auto"/>
              </w:rPr>
              <w:t>ARTICLE X DISSOLUTION</w:t>
            </w:r>
          </w:p>
        </w:tc>
        <w:tc>
          <w:tcPr>
            <w:tcW w:w="94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310"/>
        </w:trPr>
        <w:tc>
          <w:tcPr>
            <w:tcW w:w="760" w:type="dxa"/>
            <w:vAlign w:val="bottom"/>
            <w:gridSpan w:val="2"/>
          </w:tcPr>
          <w:p>
            <w:pPr>
              <w:ind w:left="220"/>
              <w:spacing w:after="0"/>
              <w:rPr>
                <w:sz w:val="20"/>
                <w:szCs w:val="20"/>
                <w:color w:val="auto"/>
              </w:rPr>
            </w:pPr>
            <w:r>
              <w:rPr>
                <w:rFonts w:ascii="Arial" w:cs="Arial" w:eastAsia="Arial" w:hAnsi="Arial"/>
                <w:sz w:val="22"/>
                <w:szCs w:val="22"/>
                <w:color w:val="auto"/>
                <w:w w:val="94"/>
              </w:rPr>
              <w:t>10.01</w:t>
            </w:r>
          </w:p>
        </w:tc>
        <w:tc>
          <w:tcPr>
            <w:tcW w:w="9500" w:type="dxa"/>
            <w:vAlign w:val="bottom"/>
          </w:tcPr>
          <w:p>
            <w:pPr>
              <w:ind w:left="140"/>
              <w:spacing w:after="0"/>
              <w:rPr>
                <w:sz w:val="20"/>
                <w:szCs w:val="20"/>
                <w:color w:val="auto"/>
              </w:rPr>
            </w:pPr>
            <w:r>
              <w:rPr>
                <w:rFonts w:ascii="Arial" w:cs="Arial" w:eastAsia="Arial" w:hAnsi="Arial"/>
                <w:sz w:val="22"/>
                <w:szCs w:val="22"/>
                <w:color w:val="auto"/>
              </w:rPr>
              <w:t>Events of Dissolution</w:t>
            </w:r>
          </w:p>
        </w:tc>
        <w:tc>
          <w:tcPr>
            <w:tcW w:w="94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310"/>
        </w:trPr>
        <w:tc>
          <w:tcPr>
            <w:tcW w:w="760" w:type="dxa"/>
            <w:vAlign w:val="bottom"/>
            <w:gridSpan w:val="2"/>
          </w:tcPr>
          <w:p>
            <w:pPr>
              <w:ind w:left="220"/>
              <w:spacing w:after="0"/>
              <w:rPr>
                <w:sz w:val="20"/>
                <w:szCs w:val="20"/>
                <w:color w:val="auto"/>
              </w:rPr>
            </w:pPr>
            <w:r>
              <w:rPr>
                <w:rFonts w:ascii="Arial" w:cs="Arial" w:eastAsia="Arial" w:hAnsi="Arial"/>
                <w:sz w:val="22"/>
                <w:szCs w:val="22"/>
                <w:color w:val="auto"/>
                <w:w w:val="94"/>
              </w:rPr>
              <w:t>10.02</w:t>
            </w:r>
          </w:p>
        </w:tc>
        <w:tc>
          <w:tcPr>
            <w:tcW w:w="9500" w:type="dxa"/>
            <w:vAlign w:val="bottom"/>
          </w:tcPr>
          <w:p>
            <w:pPr>
              <w:ind w:left="140"/>
              <w:spacing w:after="0"/>
              <w:rPr>
                <w:sz w:val="20"/>
                <w:szCs w:val="20"/>
                <w:color w:val="auto"/>
              </w:rPr>
            </w:pPr>
            <w:r>
              <w:rPr>
                <w:rFonts w:ascii="Arial" w:cs="Arial" w:eastAsia="Arial" w:hAnsi="Arial"/>
                <w:sz w:val="22"/>
                <w:szCs w:val="22"/>
                <w:color w:val="auto"/>
              </w:rPr>
              <w:t>Liquidation and Termination</w:t>
            </w:r>
          </w:p>
        </w:tc>
        <w:tc>
          <w:tcPr>
            <w:tcW w:w="94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311"/>
        </w:trPr>
        <w:tc>
          <w:tcPr>
            <w:tcW w:w="760" w:type="dxa"/>
            <w:vAlign w:val="bottom"/>
            <w:gridSpan w:val="2"/>
          </w:tcPr>
          <w:p>
            <w:pPr>
              <w:ind w:left="220"/>
              <w:spacing w:after="0"/>
              <w:rPr>
                <w:sz w:val="20"/>
                <w:szCs w:val="20"/>
                <w:color w:val="auto"/>
              </w:rPr>
            </w:pPr>
            <w:r>
              <w:rPr>
                <w:rFonts w:ascii="Arial" w:cs="Arial" w:eastAsia="Arial" w:hAnsi="Arial"/>
                <w:sz w:val="22"/>
                <w:szCs w:val="22"/>
                <w:color w:val="auto"/>
                <w:w w:val="94"/>
              </w:rPr>
              <w:t>10.03</w:t>
            </w:r>
          </w:p>
        </w:tc>
        <w:tc>
          <w:tcPr>
            <w:tcW w:w="9500" w:type="dxa"/>
            <w:vAlign w:val="bottom"/>
          </w:tcPr>
          <w:p>
            <w:pPr>
              <w:ind w:left="140"/>
              <w:spacing w:after="0"/>
              <w:rPr>
                <w:sz w:val="20"/>
                <w:szCs w:val="20"/>
                <w:color w:val="auto"/>
              </w:rPr>
            </w:pPr>
            <w:r>
              <w:rPr>
                <w:rFonts w:ascii="Arial" w:cs="Arial" w:eastAsia="Arial" w:hAnsi="Arial"/>
                <w:sz w:val="22"/>
                <w:szCs w:val="22"/>
                <w:color w:val="auto"/>
              </w:rPr>
              <w:t>Cancellation of Certificate</w:t>
            </w:r>
          </w:p>
        </w:tc>
        <w:tc>
          <w:tcPr>
            <w:tcW w:w="94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580"/>
        </w:trPr>
        <w:tc>
          <w:tcPr>
            <w:tcW w:w="10260" w:type="dxa"/>
            <w:vAlign w:val="bottom"/>
            <w:gridSpan w:val="3"/>
          </w:tcPr>
          <w:p>
            <w:pPr>
              <w:spacing w:after="0"/>
              <w:rPr>
                <w:sz w:val="20"/>
                <w:szCs w:val="20"/>
                <w:color w:val="auto"/>
              </w:rPr>
            </w:pPr>
            <w:r>
              <w:rPr>
                <w:rFonts w:ascii="Arial" w:cs="Arial" w:eastAsia="Arial" w:hAnsi="Arial"/>
                <w:sz w:val="22"/>
                <w:szCs w:val="22"/>
                <w:color w:val="auto"/>
              </w:rPr>
              <w:t>ARTICLE XI EXCLUSIVITY; NON-COMPETE</w:t>
            </w:r>
          </w:p>
        </w:tc>
        <w:tc>
          <w:tcPr>
            <w:tcW w:w="94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310"/>
        </w:trPr>
        <w:tc>
          <w:tcPr>
            <w:tcW w:w="740" w:type="dxa"/>
            <w:vAlign w:val="bottom"/>
          </w:tcPr>
          <w:p>
            <w:pPr>
              <w:ind w:left="220"/>
              <w:spacing w:after="0"/>
              <w:rPr>
                <w:sz w:val="20"/>
                <w:szCs w:val="20"/>
                <w:color w:val="auto"/>
              </w:rPr>
            </w:pPr>
            <w:r>
              <w:rPr>
                <w:rFonts w:ascii="Arial" w:cs="Arial" w:eastAsia="Arial" w:hAnsi="Arial"/>
                <w:sz w:val="22"/>
                <w:szCs w:val="22"/>
                <w:color w:val="auto"/>
                <w:w w:val="90"/>
              </w:rPr>
              <w:t>11.01</w:t>
            </w:r>
          </w:p>
        </w:tc>
        <w:tc>
          <w:tcPr>
            <w:tcW w:w="20" w:type="dxa"/>
            <w:vAlign w:val="bottom"/>
          </w:tcPr>
          <w:p>
            <w:pPr>
              <w:spacing w:after="0"/>
              <w:rPr>
                <w:sz w:val="24"/>
                <w:szCs w:val="24"/>
                <w:color w:val="auto"/>
              </w:rPr>
            </w:pPr>
          </w:p>
        </w:tc>
        <w:tc>
          <w:tcPr>
            <w:tcW w:w="9500" w:type="dxa"/>
            <w:vAlign w:val="bottom"/>
          </w:tcPr>
          <w:p>
            <w:pPr>
              <w:ind w:left="140"/>
              <w:spacing w:after="0"/>
              <w:rPr>
                <w:sz w:val="20"/>
                <w:szCs w:val="20"/>
                <w:color w:val="auto"/>
              </w:rPr>
            </w:pPr>
            <w:r>
              <w:rPr>
                <w:rFonts w:ascii="Arial" w:cs="Arial" w:eastAsia="Arial" w:hAnsi="Arial"/>
                <w:sz w:val="22"/>
                <w:szCs w:val="22"/>
                <w:color w:val="auto"/>
              </w:rPr>
              <w:t>Exclusivity</w:t>
            </w:r>
          </w:p>
        </w:tc>
        <w:tc>
          <w:tcPr>
            <w:tcW w:w="94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310"/>
        </w:trPr>
        <w:tc>
          <w:tcPr>
            <w:tcW w:w="10260" w:type="dxa"/>
            <w:vAlign w:val="bottom"/>
            <w:gridSpan w:val="3"/>
          </w:tcPr>
          <w:p>
            <w:pPr>
              <w:ind w:left="220"/>
              <w:spacing w:after="0"/>
              <w:rPr>
                <w:sz w:val="20"/>
                <w:szCs w:val="20"/>
                <w:color w:val="auto"/>
              </w:rPr>
            </w:pPr>
            <w:r>
              <w:rPr>
                <w:rFonts w:ascii="Arial" w:cs="Arial" w:eastAsia="Arial" w:hAnsi="Arial"/>
                <w:sz w:val="22"/>
                <w:szCs w:val="22"/>
                <w:color w:val="auto"/>
              </w:rPr>
              <w:t>11.02  Non-Compete</w:t>
            </w:r>
          </w:p>
        </w:tc>
        <w:tc>
          <w:tcPr>
            <w:tcW w:w="94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580"/>
        </w:trPr>
        <w:tc>
          <w:tcPr>
            <w:tcW w:w="10260" w:type="dxa"/>
            <w:vAlign w:val="bottom"/>
            <w:gridSpan w:val="3"/>
          </w:tcPr>
          <w:p>
            <w:pPr>
              <w:spacing w:after="0"/>
              <w:rPr>
                <w:sz w:val="20"/>
                <w:szCs w:val="20"/>
                <w:color w:val="auto"/>
              </w:rPr>
            </w:pPr>
            <w:r>
              <w:rPr>
                <w:rFonts w:ascii="Arial" w:cs="Arial" w:eastAsia="Arial" w:hAnsi="Arial"/>
                <w:sz w:val="22"/>
                <w:szCs w:val="22"/>
                <w:color w:val="auto"/>
              </w:rPr>
              <w:t>ARTICLE XII GENERAL PROVISIONS</w:t>
            </w:r>
          </w:p>
        </w:tc>
        <w:tc>
          <w:tcPr>
            <w:tcW w:w="94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310"/>
        </w:trPr>
        <w:tc>
          <w:tcPr>
            <w:tcW w:w="760" w:type="dxa"/>
            <w:vAlign w:val="bottom"/>
            <w:gridSpan w:val="2"/>
          </w:tcPr>
          <w:p>
            <w:pPr>
              <w:ind w:left="220"/>
              <w:spacing w:after="0"/>
              <w:rPr>
                <w:sz w:val="20"/>
                <w:szCs w:val="20"/>
                <w:color w:val="auto"/>
              </w:rPr>
            </w:pPr>
            <w:r>
              <w:rPr>
                <w:rFonts w:ascii="Arial" w:cs="Arial" w:eastAsia="Arial" w:hAnsi="Arial"/>
                <w:sz w:val="22"/>
                <w:szCs w:val="22"/>
                <w:color w:val="auto"/>
                <w:w w:val="94"/>
              </w:rPr>
              <w:t>12.01</w:t>
            </w:r>
          </w:p>
        </w:tc>
        <w:tc>
          <w:tcPr>
            <w:tcW w:w="9500" w:type="dxa"/>
            <w:vAlign w:val="bottom"/>
          </w:tcPr>
          <w:p>
            <w:pPr>
              <w:ind w:left="140"/>
              <w:spacing w:after="0"/>
              <w:rPr>
                <w:sz w:val="20"/>
                <w:szCs w:val="20"/>
                <w:color w:val="auto"/>
              </w:rPr>
            </w:pPr>
            <w:r>
              <w:rPr>
                <w:rFonts w:ascii="Arial" w:cs="Arial" w:eastAsia="Arial" w:hAnsi="Arial"/>
                <w:sz w:val="22"/>
                <w:szCs w:val="22"/>
                <w:color w:val="auto"/>
              </w:rPr>
              <w:t>Expenses</w:t>
            </w:r>
          </w:p>
        </w:tc>
        <w:tc>
          <w:tcPr>
            <w:tcW w:w="94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310"/>
        </w:trPr>
        <w:tc>
          <w:tcPr>
            <w:tcW w:w="760" w:type="dxa"/>
            <w:vAlign w:val="bottom"/>
            <w:gridSpan w:val="2"/>
          </w:tcPr>
          <w:p>
            <w:pPr>
              <w:ind w:left="220"/>
              <w:spacing w:after="0"/>
              <w:rPr>
                <w:sz w:val="20"/>
                <w:szCs w:val="20"/>
                <w:color w:val="auto"/>
              </w:rPr>
            </w:pPr>
            <w:r>
              <w:rPr>
                <w:rFonts w:ascii="Arial" w:cs="Arial" w:eastAsia="Arial" w:hAnsi="Arial"/>
                <w:sz w:val="22"/>
                <w:szCs w:val="22"/>
                <w:color w:val="auto"/>
                <w:w w:val="94"/>
              </w:rPr>
              <w:t>12.02</w:t>
            </w:r>
          </w:p>
        </w:tc>
        <w:tc>
          <w:tcPr>
            <w:tcW w:w="9500" w:type="dxa"/>
            <w:vAlign w:val="bottom"/>
          </w:tcPr>
          <w:p>
            <w:pPr>
              <w:ind w:left="140"/>
              <w:spacing w:after="0"/>
              <w:rPr>
                <w:sz w:val="20"/>
                <w:szCs w:val="20"/>
                <w:color w:val="auto"/>
              </w:rPr>
            </w:pPr>
            <w:r>
              <w:rPr>
                <w:rFonts w:ascii="Arial" w:cs="Arial" w:eastAsia="Arial" w:hAnsi="Arial"/>
                <w:sz w:val="22"/>
                <w:szCs w:val="22"/>
                <w:color w:val="auto"/>
              </w:rPr>
              <w:t>No Third-Party Rights</w:t>
            </w:r>
          </w:p>
        </w:tc>
        <w:tc>
          <w:tcPr>
            <w:tcW w:w="94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310"/>
        </w:trPr>
        <w:tc>
          <w:tcPr>
            <w:tcW w:w="760" w:type="dxa"/>
            <w:vAlign w:val="bottom"/>
            <w:gridSpan w:val="2"/>
          </w:tcPr>
          <w:p>
            <w:pPr>
              <w:ind w:left="220"/>
              <w:spacing w:after="0"/>
              <w:rPr>
                <w:sz w:val="20"/>
                <w:szCs w:val="20"/>
                <w:color w:val="auto"/>
              </w:rPr>
            </w:pPr>
            <w:r>
              <w:rPr>
                <w:rFonts w:ascii="Arial" w:cs="Arial" w:eastAsia="Arial" w:hAnsi="Arial"/>
                <w:sz w:val="22"/>
                <w:szCs w:val="22"/>
                <w:color w:val="auto"/>
                <w:w w:val="94"/>
              </w:rPr>
              <w:t>12.03</w:t>
            </w:r>
          </w:p>
        </w:tc>
        <w:tc>
          <w:tcPr>
            <w:tcW w:w="9500" w:type="dxa"/>
            <w:vAlign w:val="bottom"/>
          </w:tcPr>
          <w:p>
            <w:pPr>
              <w:ind w:left="140"/>
              <w:spacing w:after="0"/>
              <w:rPr>
                <w:sz w:val="20"/>
                <w:szCs w:val="20"/>
                <w:color w:val="auto"/>
              </w:rPr>
            </w:pPr>
            <w:r>
              <w:rPr>
                <w:rFonts w:ascii="Arial" w:cs="Arial" w:eastAsia="Arial" w:hAnsi="Arial"/>
                <w:sz w:val="22"/>
                <w:szCs w:val="22"/>
                <w:color w:val="auto"/>
              </w:rPr>
              <w:t>Legend on Certificates for Certificated Shares</w:t>
            </w:r>
          </w:p>
        </w:tc>
        <w:tc>
          <w:tcPr>
            <w:tcW w:w="94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311"/>
        </w:trPr>
        <w:tc>
          <w:tcPr>
            <w:tcW w:w="760" w:type="dxa"/>
            <w:vAlign w:val="bottom"/>
            <w:gridSpan w:val="2"/>
          </w:tcPr>
          <w:p>
            <w:pPr>
              <w:ind w:left="220"/>
              <w:spacing w:after="0"/>
              <w:rPr>
                <w:sz w:val="20"/>
                <w:szCs w:val="20"/>
                <w:color w:val="auto"/>
              </w:rPr>
            </w:pPr>
            <w:r>
              <w:rPr>
                <w:rFonts w:ascii="Arial" w:cs="Arial" w:eastAsia="Arial" w:hAnsi="Arial"/>
                <w:sz w:val="22"/>
                <w:szCs w:val="22"/>
                <w:color w:val="auto"/>
                <w:w w:val="94"/>
              </w:rPr>
              <w:t>12.04</w:t>
            </w:r>
          </w:p>
        </w:tc>
        <w:tc>
          <w:tcPr>
            <w:tcW w:w="9500" w:type="dxa"/>
            <w:vAlign w:val="bottom"/>
          </w:tcPr>
          <w:p>
            <w:pPr>
              <w:ind w:left="140"/>
              <w:spacing w:after="0"/>
              <w:rPr>
                <w:sz w:val="20"/>
                <w:szCs w:val="20"/>
                <w:color w:val="auto"/>
              </w:rPr>
            </w:pPr>
            <w:r>
              <w:rPr>
                <w:rFonts w:ascii="Arial" w:cs="Arial" w:eastAsia="Arial" w:hAnsi="Arial"/>
                <w:sz w:val="22"/>
                <w:szCs w:val="22"/>
                <w:color w:val="auto"/>
              </w:rPr>
              <w:t>Confidentiality</w:t>
            </w:r>
          </w:p>
        </w:tc>
        <w:tc>
          <w:tcPr>
            <w:tcW w:w="94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310"/>
        </w:trPr>
        <w:tc>
          <w:tcPr>
            <w:tcW w:w="760" w:type="dxa"/>
            <w:vAlign w:val="bottom"/>
            <w:gridSpan w:val="2"/>
          </w:tcPr>
          <w:p>
            <w:pPr>
              <w:ind w:left="220"/>
              <w:spacing w:after="0"/>
              <w:rPr>
                <w:sz w:val="20"/>
                <w:szCs w:val="20"/>
                <w:color w:val="auto"/>
              </w:rPr>
            </w:pPr>
            <w:r>
              <w:rPr>
                <w:rFonts w:ascii="Arial" w:cs="Arial" w:eastAsia="Arial" w:hAnsi="Arial"/>
                <w:sz w:val="22"/>
                <w:szCs w:val="22"/>
                <w:color w:val="auto"/>
                <w:w w:val="94"/>
              </w:rPr>
              <w:t>12.05</w:t>
            </w:r>
          </w:p>
        </w:tc>
        <w:tc>
          <w:tcPr>
            <w:tcW w:w="9500" w:type="dxa"/>
            <w:vAlign w:val="bottom"/>
          </w:tcPr>
          <w:p>
            <w:pPr>
              <w:ind w:left="140"/>
              <w:spacing w:after="0"/>
              <w:rPr>
                <w:sz w:val="20"/>
                <w:szCs w:val="20"/>
                <w:color w:val="auto"/>
              </w:rPr>
            </w:pPr>
            <w:r>
              <w:rPr>
                <w:rFonts w:ascii="Arial" w:cs="Arial" w:eastAsia="Arial" w:hAnsi="Arial"/>
                <w:sz w:val="22"/>
                <w:szCs w:val="22"/>
                <w:color w:val="auto"/>
              </w:rPr>
              <w:t>Power of Attorney</w:t>
            </w:r>
          </w:p>
        </w:tc>
        <w:tc>
          <w:tcPr>
            <w:tcW w:w="94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310"/>
        </w:trPr>
        <w:tc>
          <w:tcPr>
            <w:tcW w:w="760" w:type="dxa"/>
            <w:vAlign w:val="bottom"/>
            <w:gridSpan w:val="2"/>
          </w:tcPr>
          <w:p>
            <w:pPr>
              <w:ind w:left="220"/>
              <w:spacing w:after="0"/>
              <w:rPr>
                <w:sz w:val="20"/>
                <w:szCs w:val="20"/>
                <w:color w:val="auto"/>
              </w:rPr>
            </w:pPr>
            <w:r>
              <w:rPr>
                <w:rFonts w:ascii="Arial" w:cs="Arial" w:eastAsia="Arial" w:hAnsi="Arial"/>
                <w:sz w:val="22"/>
                <w:szCs w:val="22"/>
                <w:color w:val="auto"/>
                <w:w w:val="94"/>
              </w:rPr>
              <w:t>12.06</w:t>
            </w:r>
          </w:p>
        </w:tc>
        <w:tc>
          <w:tcPr>
            <w:tcW w:w="9500" w:type="dxa"/>
            <w:vAlign w:val="bottom"/>
          </w:tcPr>
          <w:p>
            <w:pPr>
              <w:ind w:left="140"/>
              <w:spacing w:after="0"/>
              <w:rPr>
                <w:sz w:val="20"/>
                <w:szCs w:val="20"/>
                <w:color w:val="auto"/>
              </w:rPr>
            </w:pPr>
            <w:r>
              <w:rPr>
                <w:rFonts w:ascii="Arial" w:cs="Arial" w:eastAsia="Arial" w:hAnsi="Arial"/>
                <w:sz w:val="22"/>
                <w:szCs w:val="22"/>
                <w:color w:val="auto"/>
              </w:rPr>
              <w:t>Notices</w:t>
            </w:r>
          </w:p>
        </w:tc>
        <w:tc>
          <w:tcPr>
            <w:tcW w:w="94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10"/>
        </w:trPr>
        <w:tc>
          <w:tcPr>
            <w:tcW w:w="760" w:type="dxa"/>
            <w:vAlign w:val="bottom"/>
            <w:gridSpan w:val="2"/>
          </w:tcPr>
          <w:p>
            <w:pPr>
              <w:ind w:left="220"/>
              <w:spacing w:after="0"/>
              <w:rPr>
                <w:sz w:val="20"/>
                <w:szCs w:val="20"/>
                <w:color w:val="auto"/>
              </w:rPr>
            </w:pPr>
            <w:r>
              <w:rPr>
                <w:rFonts w:ascii="Arial" w:cs="Arial" w:eastAsia="Arial" w:hAnsi="Arial"/>
                <w:sz w:val="22"/>
                <w:szCs w:val="22"/>
                <w:color w:val="auto"/>
                <w:w w:val="94"/>
              </w:rPr>
              <w:t>12.07</w:t>
            </w:r>
          </w:p>
        </w:tc>
        <w:tc>
          <w:tcPr>
            <w:tcW w:w="9500" w:type="dxa"/>
            <w:vAlign w:val="bottom"/>
          </w:tcPr>
          <w:p>
            <w:pPr>
              <w:ind w:left="140"/>
              <w:spacing w:after="0"/>
              <w:rPr>
                <w:sz w:val="20"/>
                <w:szCs w:val="20"/>
                <w:color w:val="auto"/>
              </w:rPr>
            </w:pPr>
            <w:r>
              <w:rPr>
                <w:rFonts w:ascii="Arial" w:cs="Arial" w:eastAsia="Arial" w:hAnsi="Arial"/>
                <w:sz w:val="22"/>
                <w:szCs w:val="22"/>
                <w:color w:val="auto"/>
              </w:rPr>
              <w:t>Electronic Mail</w:t>
            </w:r>
          </w:p>
        </w:tc>
        <w:tc>
          <w:tcPr>
            <w:tcW w:w="94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10"/>
        </w:trPr>
        <w:tc>
          <w:tcPr>
            <w:tcW w:w="760" w:type="dxa"/>
            <w:vAlign w:val="bottom"/>
            <w:gridSpan w:val="2"/>
          </w:tcPr>
          <w:p>
            <w:pPr>
              <w:ind w:left="220"/>
              <w:spacing w:after="0"/>
              <w:rPr>
                <w:sz w:val="20"/>
                <w:szCs w:val="20"/>
                <w:color w:val="auto"/>
              </w:rPr>
            </w:pPr>
            <w:r>
              <w:rPr>
                <w:rFonts w:ascii="Arial" w:cs="Arial" w:eastAsia="Arial" w:hAnsi="Arial"/>
                <w:sz w:val="22"/>
                <w:szCs w:val="22"/>
                <w:color w:val="auto"/>
                <w:w w:val="94"/>
              </w:rPr>
              <w:t>12.08</w:t>
            </w:r>
          </w:p>
        </w:tc>
        <w:tc>
          <w:tcPr>
            <w:tcW w:w="9500" w:type="dxa"/>
            <w:vAlign w:val="bottom"/>
          </w:tcPr>
          <w:p>
            <w:pPr>
              <w:ind w:left="140"/>
              <w:spacing w:after="0"/>
              <w:rPr>
                <w:sz w:val="20"/>
                <w:szCs w:val="20"/>
                <w:color w:val="auto"/>
              </w:rPr>
            </w:pPr>
            <w:r>
              <w:rPr>
                <w:rFonts w:ascii="Arial" w:cs="Arial" w:eastAsia="Arial" w:hAnsi="Arial"/>
                <w:sz w:val="22"/>
                <w:szCs w:val="22"/>
                <w:color w:val="auto"/>
              </w:rPr>
              <w:t>Amendment</w:t>
            </w:r>
          </w:p>
        </w:tc>
        <w:tc>
          <w:tcPr>
            <w:tcW w:w="94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11"/>
        </w:trPr>
        <w:tc>
          <w:tcPr>
            <w:tcW w:w="760" w:type="dxa"/>
            <w:vAlign w:val="bottom"/>
            <w:gridSpan w:val="2"/>
          </w:tcPr>
          <w:p>
            <w:pPr>
              <w:ind w:left="220"/>
              <w:spacing w:after="0"/>
              <w:rPr>
                <w:sz w:val="20"/>
                <w:szCs w:val="20"/>
                <w:color w:val="auto"/>
              </w:rPr>
            </w:pPr>
            <w:r>
              <w:rPr>
                <w:rFonts w:ascii="Arial" w:cs="Arial" w:eastAsia="Arial" w:hAnsi="Arial"/>
                <w:sz w:val="22"/>
                <w:szCs w:val="22"/>
                <w:color w:val="auto"/>
                <w:w w:val="94"/>
              </w:rPr>
              <w:t>12.09</w:t>
            </w:r>
          </w:p>
        </w:tc>
        <w:tc>
          <w:tcPr>
            <w:tcW w:w="9500" w:type="dxa"/>
            <w:vAlign w:val="bottom"/>
          </w:tcPr>
          <w:p>
            <w:pPr>
              <w:ind w:left="140"/>
              <w:spacing w:after="0"/>
              <w:rPr>
                <w:sz w:val="20"/>
                <w:szCs w:val="20"/>
                <w:color w:val="auto"/>
              </w:rPr>
            </w:pPr>
            <w:r>
              <w:rPr>
                <w:rFonts w:ascii="Arial" w:cs="Arial" w:eastAsia="Arial" w:hAnsi="Arial"/>
                <w:sz w:val="22"/>
                <w:szCs w:val="22"/>
                <w:color w:val="auto"/>
              </w:rPr>
              <w:t>Tax and Other Advice</w:t>
            </w:r>
          </w:p>
        </w:tc>
        <w:tc>
          <w:tcPr>
            <w:tcW w:w="94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10"/>
        </w:trPr>
        <w:tc>
          <w:tcPr>
            <w:tcW w:w="760" w:type="dxa"/>
            <w:vAlign w:val="bottom"/>
            <w:gridSpan w:val="2"/>
          </w:tcPr>
          <w:p>
            <w:pPr>
              <w:ind w:left="220"/>
              <w:spacing w:after="0"/>
              <w:rPr>
                <w:sz w:val="20"/>
                <w:szCs w:val="20"/>
                <w:color w:val="auto"/>
              </w:rPr>
            </w:pPr>
            <w:r>
              <w:rPr>
                <w:rFonts w:ascii="Arial" w:cs="Arial" w:eastAsia="Arial" w:hAnsi="Arial"/>
                <w:sz w:val="22"/>
                <w:szCs w:val="22"/>
                <w:color w:val="auto"/>
                <w:w w:val="94"/>
              </w:rPr>
              <w:t>12.10</w:t>
            </w:r>
          </w:p>
        </w:tc>
        <w:tc>
          <w:tcPr>
            <w:tcW w:w="9500" w:type="dxa"/>
            <w:vAlign w:val="bottom"/>
          </w:tcPr>
          <w:p>
            <w:pPr>
              <w:ind w:left="140"/>
              <w:spacing w:after="0"/>
              <w:rPr>
                <w:sz w:val="20"/>
                <w:szCs w:val="20"/>
                <w:color w:val="auto"/>
              </w:rPr>
            </w:pPr>
            <w:r>
              <w:rPr>
                <w:rFonts w:ascii="Arial" w:cs="Arial" w:eastAsia="Arial" w:hAnsi="Arial"/>
                <w:sz w:val="22"/>
                <w:szCs w:val="22"/>
                <w:color w:val="auto"/>
              </w:rPr>
              <w:t>Acknowledgments</w:t>
            </w:r>
          </w:p>
        </w:tc>
        <w:tc>
          <w:tcPr>
            <w:tcW w:w="94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10"/>
        </w:trPr>
        <w:tc>
          <w:tcPr>
            <w:tcW w:w="740" w:type="dxa"/>
            <w:vAlign w:val="bottom"/>
          </w:tcPr>
          <w:p>
            <w:pPr>
              <w:ind w:left="220"/>
              <w:spacing w:after="0"/>
              <w:rPr>
                <w:sz w:val="20"/>
                <w:szCs w:val="20"/>
                <w:color w:val="auto"/>
              </w:rPr>
            </w:pPr>
            <w:r>
              <w:rPr>
                <w:rFonts w:ascii="Arial" w:cs="Arial" w:eastAsia="Arial" w:hAnsi="Arial"/>
                <w:sz w:val="22"/>
                <w:szCs w:val="22"/>
                <w:color w:val="auto"/>
                <w:w w:val="90"/>
              </w:rPr>
              <w:t>12.11</w:t>
            </w:r>
          </w:p>
        </w:tc>
        <w:tc>
          <w:tcPr>
            <w:tcW w:w="20" w:type="dxa"/>
            <w:vAlign w:val="bottom"/>
          </w:tcPr>
          <w:p>
            <w:pPr>
              <w:spacing w:after="0"/>
              <w:rPr>
                <w:sz w:val="24"/>
                <w:szCs w:val="24"/>
                <w:color w:val="auto"/>
              </w:rPr>
            </w:pPr>
          </w:p>
        </w:tc>
        <w:tc>
          <w:tcPr>
            <w:tcW w:w="9500" w:type="dxa"/>
            <w:vAlign w:val="bottom"/>
          </w:tcPr>
          <w:p>
            <w:pPr>
              <w:ind w:left="140"/>
              <w:spacing w:after="0"/>
              <w:rPr>
                <w:sz w:val="20"/>
                <w:szCs w:val="20"/>
                <w:color w:val="auto"/>
              </w:rPr>
            </w:pPr>
            <w:r>
              <w:rPr>
                <w:rFonts w:ascii="Arial" w:cs="Arial" w:eastAsia="Arial" w:hAnsi="Arial"/>
                <w:sz w:val="22"/>
                <w:szCs w:val="22"/>
                <w:color w:val="auto"/>
              </w:rPr>
              <w:t>Miscellaneous</w:t>
            </w:r>
          </w:p>
        </w:tc>
        <w:tc>
          <w:tcPr>
            <w:tcW w:w="94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310"/>
        </w:trPr>
        <w:tc>
          <w:tcPr>
            <w:tcW w:w="760" w:type="dxa"/>
            <w:vAlign w:val="bottom"/>
            <w:gridSpan w:val="2"/>
          </w:tcPr>
          <w:p>
            <w:pPr>
              <w:ind w:left="220"/>
              <w:spacing w:after="0"/>
              <w:rPr>
                <w:sz w:val="20"/>
                <w:szCs w:val="20"/>
                <w:color w:val="auto"/>
              </w:rPr>
            </w:pPr>
            <w:r>
              <w:rPr>
                <w:rFonts w:ascii="Arial" w:cs="Arial" w:eastAsia="Arial" w:hAnsi="Arial"/>
                <w:sz w:val="22"/>
                <w:szCs w:val="22"/>
                <w:color w:val="auto"/>
                <w:w w:val="94"/>
              </w:rPr>
              <w:t>12.12</w:t>
            </w:r>
          </w:p>
        </w:tc>
        <w:tc>
          <w:tcPr>
            <w:tcW w:w="9500" w:type="dxa"/>
            <w:vAlign w:val="bottom"/>
          </w:tcPr>
          <w:p>
            <w:pPr>
              <w:ind w:left="140"/>
              <w:spacing w:after="0"/>
              <w:rPr>
                <w:sz w:val="20"/>
                <w:szCs w:val="20"/>
                <w:color w:val="auto"/>
              </w:rPr>
            </w:pPr>
            <w:r>
              <w:rPr>
                <w:rFonts w:ascii="Arial" w:cs="Arial" w:eastAsia="Arial" w:hAnsi="Arial"/>
                <w:sz w:val="22"/>
                <w:szCs w:val="22"/>
                <w:color w:val="auto"/>
              </w:rPr>
              <w:t>Title to Company Assets</w:t>
            </w:r>
          </w:p>
        </w:tc>
        <w:tc>
          <w:tcPr>
            <w:tcW w:w="94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311"/>
        </w:trPr>
        <w:tc>
          <w:tcPr>
            <w:tcW w:w="760" w:type="dxa"/>
            <w:vAlign w:val="bottom"/>
            <w:gridSpan w:val="2"/>
          </w:tcPr>
          <w:p>
            <w:pPr>
              <w:ind w:left="220"/>
              <w:spacing w:after="0"/>
              <w:rPr>
                <w:sz w:val="20"/>
                <w:szCs w:val="20"/>
                <w:color w:val="auto"/>
              </w:rPr>
            </w:pPr>
            <w:r>
              <w:rPr>
                <w:rFonts w:ascii="Arial" w:cs="Arial" w:eastAsia="Arial" w:hAnsi="Arial"/>
                <w:sz w:val="22"/>
                <w:szCs w:val="22"/>
                <w:color w:val="auto"/>
                <w:w w:val="94"/>
              </w:rPr>
              <w:t>12.13</w:t>
            </w:r>
          </w:p>
        </w:tc>
        <w:tc>
          <w:tcPr>
            <w:tcW w:w="9500" w:type="dxa"/>
            <w:vAlign w:val="bottom"/>
          </w:tcPr>
          <w:p>
            <w:pPr>
              <w:ind w:left="140"/>
              <w:spacing w:after="0"/>
              <w:rPr>
                <w:sz w:val="20"/>
                <w:szCs w:val="20"/>
                <w:color w:val="auto"/>
              </w:rPr>
            </w:pPr>
            <w:r>
              <w:rPr>
                <w:rFonts w:ascii="Arial" w:cs="Arial" w:eastAsia="Arial" w:hAnsi="Arial"/>
                <w:sz w:val="22"/>
                <w:szCs w:val="22"/>
                <w:color w:val="auto"/>
              </w:rPr>
              <w:t>Creditors</w:t>
            </w:r>
          </w:p>
        </w:tc>
        <w:tc>
          <w:tcPr>
            <w:tcW w:w="94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310"/>
        </w:trPr>
        <w:tc>
          <w:tcPr>
            <w:tcW w:w="760" w:type="dxa"/>
            <w:vAlign w:val="bottom"/>
            <w:gridSpan w:val="2"/>
          </w:tcPr>
          <w:p>
            <w:pPr>
              <w:ind w:left="220"/>
              <w:spacing w:after="0"/>
              <w:rPr>
                <w:sz w:val="20"/>
                <w:szCs w:val="20"/>
                <w:color w:val="auto"/>
              </w:rPr>
            </w:pPr>
            <w:r>
              <w:rPr>
                <w:rFonts w:ascii="Arial" w:cs="Arial" w:eastAsia="Arial" w:hAnsi="Arial"/>
                <w:sz w:val="22"/>
                <w:szCs w:val="22"/>
                <w:color w:val="auto"/>
                <w:w w:val="94"/>
              </w:rPr>
              <w:t>12.14</w:t>
            </w:r>
          </w:p>
        </w:tc>
        <w:tc>
          <w:tcPr>
            <w:tcW w:w="9500" w:type="dxa"/>
            <w:vAlign w:val="bottom"/>
          </w:tcPr>
          <w:p>
            <w:pPr>
              <w:ind w:left="140"/>
              <w:spacing w:after="0"/>
              <w:rPr>
                <w:sz w:val="20"/>
                <w:szCs w:val="20"/>
                <w:color w:val="auto"/>
              </w:rPr>
            </w:pPr>
            <w:r>
              <w:rPr>
                <w:rFonts w:ascii="Arial" w:cs="Arial" w:eastAsia="Arial" w:hAnsi="Arial"/>
                <w:sz w:val="22"/>
                <w:szCs w:val="22"/>
                <w:color w:val="auto"/>
              </w:rPr>
              <w:t>Remedies</w:t>
            </w:r>
          </w:p>
        </w:tc>
        <w:tc>
          <w:tcPr>
            <w:tcW w:w="940" w:type="dxa"/>
            <w:vAlign w:val="bottom"/>
          </w:tcPr>
          <w:p>
            <w:pPr>
              <w:jc w:val="right"/>
              <w:spacing w:after="0"/>
              <w:rPr>
                <w:sz w:val="20"/>
                <w:szCs w:val="20"/>
                <w:color w:val="auto"/>
              </w:rPr>
            </w:pPr>
            <w:r>
              <w:rPr>
                <w:rFonts w:ascii="Arial" w:cs="Arial" w:eastAsia="Arial" w:hAnsi="Arial"/>
                <w:sz w:val="22"/>
                <w:szCs w:val="22"/>
                <w:color w:val="auto"/>
              </w:rPr>
              <w:t>79</w:t>
            </w:r>
          </w:p>
        </w:tc>
      </w:tr>
    </w:tbl>
    <w:p>
      <w:pPr>
        <w:spacing w:after="0" w:line="200" w:lineRule="exact"/>
        <w:rPr>
          <w:sz w:val="20"/>
          <w:szCs w:val="20"/>
          <w:color w:val="auto"/>
        </w:rPr>
      </w:pPr>
    </w:p>
    <w:p>
      <w:pPr>
        <w:sectPr>
          <w:pgSz w:w="11900" w:h="16838" w:orient="portrait"/>
          <w:cols w:equalWidth="0" w:num="1">
            <w:col w:w="11220"/>
          </w:cols>
          <w:pgMar w:left="340" w:top="436" w:right="339" w:bottom="7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220"/>
          </w:cols>
          <w:pgMar w:left="340" w:top="436" w:right="339" w:bottom="755" w:gutter="0" w:footer="0" w:header="0"/>
          <w:type w:val="continuous"/>
        </w:sectPr>
      </w:pPr>
    </w:p>
    <w:bookmarkStart w:id="65" w:name="page66"/>
    <w:bookmarkEnd w:id="65"/>
    <w:p>
      <w:pPr>
        <w:jc w:val="center"/>
        <w:ind w:right="240"/>
        <w:spacing w:after="0"/>
        <w:rPr>
          <w:sz w:val="20"/>
          <w:szCs w:val="20"/>
          <w:color w:val="auto"/>
        </w:rPr>
      </w:pPr>
      <w:r>
        <w:rPr>
          <w:rFonts w:ascii="Arial" w:cs="Arial" w:eastAsia="Arial" w:hAnsi="Arial"/>
          <w:sz w:val="22"/>
          <w:szCs w:val="22"/>
          <w:b w:val="1"/>
          <w:bCs w:val="1"/>
          <w:color w:val="auto"/>
        </w:rPr>
        <w:t>TABLE OF CONTENTS</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auto"/>
        </w:rPr>
        <w:t>(continued)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42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770"/>
        </w:trPr>
        <w:tc>
          <w:tcPr>
            <w:tcW w:w="580" w:type="dxa"/>
            <w:vAlign w:val="bottom"/>
          </w:tcPr>
          <w:p>
            <w:pPr>
              <w:jc w:val="right"/>
              <w:spacing w:after="0"/>
              <w:rPr>
                <w:sz w:val="20"/>
                <w:szCs w:val="20"/>
                <w:color w:val="auto"/>
              </w:rPr>
            </w:pPr>
            <w:r>
              <w:rPr>
                <w:rFonts w:ascii="Arial" w:cs="Arial" w:eastAsia="Arial" w:hAnsi="Arial"/>
                <w:sz w:val="22"/>
                <w:szCs w:val="22"/>
                <w:color w:val="auto"/>
                <w:w w:val="83"/>
              </w:rPr>
              <w:t>12.15</w:t>
            </w:r>
          </w:p>
        </w:tc>
        <w:tc>
          <w:tcPr>
            <w:tcW w:w="7000" w:type="dxa"/>
            <w:vAlign w:val="bottom"/>
          </w:tcPr>
          <w:p>
            <w:pPr>
              <w:ind w:left="100"/>
              <w:spacing w:after="0"/>
              <w:rPr>
                <w:sz w:val="20"/>
                <w:szCs w:val="20"/>
                <w:color w:val="auto"/>
              </w:rPr>
            </w:pPr>
            <w:r>
              <w:rPr>
                <w:rFonts w:ascii="Arial" w:cs="Arial" w:eastAsia="Arial" w:hAnsi="Arial"/>
                <w:sz w:val="22"/>
                <w:szCs w:val="22"/>
                <w:color w:val="auto"/>
              </w:rPr>
              <w:t>Time is of the Essence; Computation of Time</w:t>
            </w:r>
          </w:p>
        </w:tc>
        <w:tc>
          <w:tcPr>
            <w:tcW w:w="342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310"/>
        </w:trPr>
        <w:tc>
          <w:tcPr>
            <w:tcW w:w="580" w:type="dxa"/>
            <w:vAlign w:val="bottom"/>
          </w:tcPr>
          <w:p>
            <w:pPr>
              <w:jc w:val="right"/>
              <w:spacing w:after="0"/>
              <w:rPr>
                <w:sz w:val="20"/>
                <w:szCs w:val="20"/>
                <w:color w:val="auto"/>
              </w:rPr>
            </w:pPr>
            <w:r>
              <w:rPr>
                <w:rFonts w:ascii="Arial" w:cs="Arial" w:eastAsia="Arial" w:hAnsi="Arial"/>
                <w:sz w:val="22"/>
                <w:szCs w:val="22"/>
                <w:color w:val="auto"/>
                <w:w w:val="83"/>
              </w:rPr>
              <w:t>12.16</w:t>
            </w:r>
          </w:p>
        </w:tc>
        <w:tc>
          <w:tcPr>
            <w:tcW w:w="7000" w:type="dxa"/>
            <w:vAlign w:val="bottom"/>
          </w:tcPr>
          <w:p>
            <w:pPr>
              <w:ind w:left="100"/>
              <w:spacing w:after="0"/>
              <w:rPr>
                <w:sz w:val="20"/>
                <w:szCs w:val="20"/>
                <w:color w:val="auto"/>
              </w:rPr>
            </w:pPr>
            <w:r>
              <w:rPr>
                <w:rFonts w:ascii="Arial" w:cs="Arial" w:eastAsia="Arial" w:hAnsi="Arial"/>
                <w:sz w:val="22"/>
                <w:szCs w:val="22"/>
                <w:color w:val="auto"/>
              </w:rPr>
              <w:t>Notice to Members of Provisions</w:t>
            </w:r>
          </w:p>
        </w:tc>
        <w:tc>
          <w:tcPr>
            <w:tcW w:w="342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311"/>
        </w:trPr>
        <w:tc>
          <w:tcPr>
            <w:tcW w:w="580" w:type="dxa"/>
            <w:vAlign w:val="bottom"/>
          </w:tcPr>
          <w:p>
            <w:pPr>
              <w:jc w:val="right"/>
              <w:spacing w:after="0"/>
              <w:rPr>
                <w:sz w:val="20"/>
                <w:szCs w:val="20"/>
                <w:color w:val="auto"/>
              </w:rPr>
            </w:pPr>
            <w:r>
              <w:rPr>
                <w:rFonts w:ascii="Arial" w:cs="Arial" w:eastAsia="Arial" w:hAnsi="Arial"/>
                <w:sz w:val="22"/>
                <w:szCs w:val="22"/>
                <w:color w:val="auto"/>
                <w:w w:val="83"/>
              </w:rPr>
              <w:t>12.17</w:t>
            </w:r>
          </w:p>
        </w:tc>
        <w:tc>
          <w:tcPr>
            <w:tcW w:w="7000" w:type="dxa"/>
            <w:vAlign w:val="bottom"/>
          </w:tcPr>
          <w:p>
            <w:pPr>
              <w:ind w:left="100"/>
              <w:spacing w:after="0"/>
              <w:rPr>
                <w:sz w:val="20"/>
                <w:szCs w:val="20"/>
                <w:color w:val="auto"/>
              </w:rPr>
            </w:pPr>
            <w:r>
              <w:rPr>
                <w:rFonts w:ascii="Arial" w:cs="Arial" w:eastAsia="Arial" w:hAnsi="Arial"/>
                <w:sz w:val="22"/>
                <w:szCs w:val="22"/>
                <w:color w:val="auto"/>
              </w:rPr>
              <w:t>Further Assurances</w:t>
            </w:r>
          </w:p>
        </w:tc>
        <w:tc>
          <w:tcPr>
            <w:tcW w:w="342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310"/>
        </w:trPr>
        <w:tc>
          <w:tcPr>
            <w:tcW w:w="580" w:type="dxa"/>
            <w:vAlign w:val="bottom"/>
          </w:tcPr>
          <w:p>
            <w:pPr>
              <w:jc w:val="right"/>
              <w:spacing w:after="0"/>
              <w:rPr>
                <w:sz w:val="20"/>
                <w:szCs w:val="20"/>
                <w:color w:val="auto"/>
              </w:rPr>
            </w:pPr>
            <w:r>
              <w:rPr>
                <w:rFonts w:ascii="Arial" w:cs="Arial" w:eastAsia="Arial" w:hAnsi="Arial"/>
                <w:sz w:val="22"/>
                <w:szCs w:val="22"/>
                <w:color w:val="auto"/>
                <w:w w:val="83"/>
              </w:rPr>
              <w:t>12.18</w:t>
            </w:r>
          </w:p>
        </w:tc>
        <w:tc>
          <w:tcPr>
            <w:tcW w:w="7000" w:type="dxa"/>
            <w:vAlign w:val="bottom"/>
          </w:tcPr>
          <w:p>
            <w:pPr>
              <w:ind w:left="100"/>
              <w:spacing w:after="0"/>
              <w:rPr>
                <w:sz w:val="20"/>
                <w:szCs w:val="20"/>
                <w:color w:val="auto"/>
              </w:rPr>
            </w:pPr>
            <w:r>
              <w:rPr>
                <w:rFonts w:ascii="Arial" w:cs="Arial" w:eastAsia="Arial" w:hAnsi="Arial"/>
                <w:sz w:val="22"/>
                <w:szCs w:val="22"/>
                <w:color w:val="auto"/>
              </w:rPr>
              <w:t>Termination</w:t>
            </w:r>
          </w:p>
        </w:tc>
        <w:tc>
          <w:tcPr>
            <w:tcW w:w="3420" w:type="dxa"/>
            <w:vAlign w:val="bottom"/>
          </w:tcPr>
          <w:p>
            <w:pPr>
              <w:jc w:val="right"/>
              <w:spacing w:after="0"/>
              <w:rPr>
                <w:sz w:val="20"/>
                <w:szCs w:val="20"/>
                <w:color w:val="auto"/>
              </w:rPr>
            </w:pPr>
            <w:r>
              <w:rPr>
                <w:rFonts w:ascii="Arial" w:cs="Arial" w:eastAsia="Arial" w:hAnsi="Arial"/>
                <w:sz w:val="22"/>
                <w:szCs w:val="22"/>
                <w:color w:val="auto"/>
              </w:rPr>
              <w:t>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000"/>
          </w:cols>
          <w:pgMar w:left="560" w:top="436" w:right="339" w:bottom="1440" w:gutter="0" w:footer="0" w:header="0"/>
        </w:sectPr>
      </w:pPr>
    </w:p>
    <w:bookmarkStart w:id="66" w:name="page67"/>
    <w:bookmarkEnd w:id="66"/>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GM CRUISE HOLDINGS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SEVENTH AMENDED AND RESTATED LIMITED LIABILITY COMPANY AGREEMENT</w:t>
      </w: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This SEVENTH AMENDED AND RESTATED LIMITED LIABILITY COMPANY AGREEMENT for GM Cruise Holdings LLC (the “</w:t>
      </w:r>
      <w:r>
        <w:rPr>
          <w:rFonts w:ascii="Arial" w:cs="Arial" w:eastAsia="Arial" w:hAnsi="Arial"/>
          <w:sz w:val="21"/>
          <w:szCs w:val="21"/>
          <w:b w:val="1"/>
          <w:bCs w:val="1"/>
          <w:color w:val="auto"/>
        </w:rPr>
        <w:t>Company</w:t>
      </w:r>
      <w:r>
        <w:rPr>
          <w:rFonts w:ascii="Arial" w:cs="Arial" w:eastAsia="Arial" w:hAnsi="Arial"/>
          <w:sz w:val="21"/>
          <w:szCs w:val="21"/>
          <w:color w:val="auto"/>
        </w:rPr>
        <w:t>”), dated as of March 14, 2021, is entered into by and among the Company, General Motors Holdings LLC, a Delaware limited liability company (“</w:t>
      </w:r>
      <w:r>
        <w:rPr>
          <w:rFonts w:ascii="Arial" w:cs="Arial" w:eastAsia="Arial" w:hAnsi="Arial"/>
          <w:sz w:val="21"/>
          <w:szCs w:val="21"/>
          <w:b w:val="1"/>
          <w:bCs w:val="1"/>
          <w:color w:val="auto"/>
        </w:rPr>
        <w:t>GM</w:t>
      </w:r>
      <w:r>
        <w:rPr>
          <w:rFonts w:ascii="Arial" w:cs="Arial" w:eastAsia="Arial" w:hAnsi="Arial"/>
          <w:sz w:val="21"/>
          <w:szCs w:val="21"/>
          <w:color w:val="auto"/>
        </w:rPr>
        <w:t>”), SoftBank Vision Fund (AIV M2) L.P., a Delaware limited partnership (“</w:t>
      </w:r>
      <w:r>
        <w:rPr>
          <w:rFonts w:ascii="Arial" w:cs="Arial" w:eastAsia="Arial" w:hAnsi="Arial"/>
          <w:sz w:val="21"/>
          <w:szCs w:val="21"/>
          <w:b w:val="1"/>
          <w:bCs w:val="1"/>
          <w:color w:val="auto"/>
        </w:rPr>
        <w:t>SoftBank</w:t>
      </w:r>
      <w:r>
        <w:rPr>
          <w:rFonts w:ascii="Arial" w:cs="Arial" w:eastAsia="Arial" w:hAnsi="Arial"/>
          <w:sz w:val="21"/>
          <w:szCs w:val="21"/>
          <w:color w:val="auto"/>
        </w:rPr>
        <w:t>”), Honda Motor Co., Ltd., a Japanese company (“</w:t>
      </w:r>
      <w:r>
        <w:rPr>
          <w:rFonts w:ascii="Arial" w:cs="Arial" w:eastAsia="Arial" w:hAnsi="Arial"/>
          <w:sz w:val="21"/>
          <w:szCs w:val="21"/>
          <w:b w:val="1"/>
          <w:bCs w:val="1"/>
          <w:color w:val="auto"/>
        </w:rPr>
        <w:t>Honda</w:t>
      </w:r>
      <w:r>
        <w:rPr>
          <w:rFonts w:ascii="Arial" w:cs="Arial" w:eastAsia="Arial" w:hAnsi="Arial"/>
          <w:sz w:val="21"/>
          <w:szCs w:val="21"/>
          <w:color w:val="auto"/>
        </w:rPr>
        <w:t>”), the Class F New Members (as defined herein), the Class G New Members (as defined herein) (including Microsoft Corporation (“</w:t>
      </w:r>
      <w:r>
        <w:rPr>
          <w:rFonts w:ascii="Arial" w:cs="Arial" w:eastAsia="Arial" w:hAnsi="Arial"/>
          <w:sz w:val="21"/>
          <w:szCs w:val="21"/>
          <w:b w:val="1"/>
          <w:bCs w:val="1"/>
          <w:color w:val="auto"/>
        </w:rPr>
        <w:t>Microsoft</w:t>
      </w:r>
      <w:r>
        <w:rPr>
          <w:rFonts w:ascii="Arial" w:cs="Arial" w:eastAsia="Arial" w:hAnsi="Arial"/>
          <w:sz w:val="21"/>
          <w:szCs w:val="21"/>
          <w:color w:val="auto"/>
        </w:rPr>
        <w:t>”)), and the Class H Members (as defined herein), and any and all other Persons who are Members as of the date hereof or who hereafter become Members. Certain capitalized terms used herein are defined in Appendix I.</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 E C I T A L S</w:t>
      </w:r>
    </w:p>
    <w:p>
      <w:pPr>
        <w:spacing w:after="0" w:line="220" w:lineRule="exact"/>
        <w:rPr>
          <w:sz w:val="20"/>
          <w:szCs w:val="20"/>
          <w:color w:val="auto"/>
        </w:rPr>
      </w:pPr>
    </w:p>
    <w:p>
      <w:pPr>
        <w:ind w:firstLine="656"/>
        <w:spacing w:after="0" w:line="263" w:lineRule="auto"/>
        <w:tabs>
          <w:tab w:leader="none" w:pos="1162"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Company was formed as a Delaware limited liability company effective on May 23, 2018 by the filing of a Certificate of Formation with the Delaware Secretary of State.</w:t>
      </w:r>
    </w:p>
    <w:p>
      <w:pPr>
        <w:spacing w:after="0" w:line="174" w:lineRule="exact"/>
        <w:rPr>
          <w:rFonts w:ascii="Arial" w:cs="Arial" w:eastAsia="Arial" w:hAnsi="Arial"/>
          <w:sz w:val="22"/>
          <w:szCs w:val="22"/>
          <w:color w:val="auto"/>
        </w:rPr>
      </w:pPr>
    </w:p>
    <w:p>
      <w:pPr>
        <w:ind w:firstLine="656"/>
        <w:spacing w:after="0" w:line="263" w:lineRule="auto"/>
        <w:tabs>
          <w:tab w:leader="none" w:pos="1168" w:val="left"/>
        </w:tabs>
        <w:numPr>
          <w:ilvl w:val="0"/>
          <w:numId w:val="36"/>
        </w:numPr>
        <w:rPr>
          <w:rFonts w:ascii="Arial" w:cs="Arial" w:eastAsia="Arial" w:hAnsi="Arial"/>
          <w:sz w:val="22"/>
          <w:szCs w:val="22"/>
          <w:color w:val="auto"/>
        </w:rPr>
      </w:pPr>
      <w:r>
        <w:rPr>
          <w:rFonts w:ascii="Arial" w:cs="Arial" w:eastAsia="Arial" w:hAnsi="Arial"/>
          <w:sz w:val="22"/>
          <w:szCs w:val="22"/>
          <w:color w:val="auto"/>
        </w:rPr>
        <w:t>On May 23, 2018, GM, the initial and sole member of the Company, entered into a Limited Liability Company Agreement of the Company (the “</w:t>
      </w:r>
      <w:r>
        <w:rPr>
          <w:rFonts w:ascii="Arial" w:cs="Arial" w:eastAsia="Arial" w:hAnsi="Arial"/>
          <w:sz w:val="22"/>
          <w:szCs w:val="22"/>
          <w:b w:val="1"/>
          <w:bCs w:val="1"/>
          <w:color w:val="auto"/>
        </w:rPr>
        <w:t>Original Agreement</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firstLine="656"/>
        <w:spacing w:after="0" w:line="263" w:lineRule="auto"/>
        <w:tabs>
          <w:tab w:leader="none" w:pos="1101" w:val="left"/>
        </w:tabs>
        <w:numPr>
          <w:ilvl w:val="0"/>
          <w:numId w:val="36"/>
        </w:numPr>
        <w:rPr>
          <w:rFonts w:ascii="Arial" w:cs="Arial" w:eastAsia="Arial" w:hAnsi="Arial"/>
          <w:sz w:val="22"/>
          <w:szCs w:val="22"/>
          <w:color w:val="auto"/>
        </w:rPr>
      </w:pPr>
      <w:r>
        <w:rPr>
          <w:rFonts w:ascii="Arial" w:cs="Arial" w:eastAsia="Arial" w:hAnsi="Arial"/>
          <w:sz w:val="22"/>
          <w:szCs w:val="22"/>
          <w:color w:val="auto"/>
        </w:rPr>
        <w:t>On May 24, 2018, GM made an election under Treasury Regulations Section 301.7701-3 to treat the Company as a corporation for U.S. federal income tax purposes, effective as of May 23, 2018.</w:t>
      </w:r>
    </w:p>
    <w:p>
      <w:pPr>
        <w:spacing w:after="0" w:line="168" w:lineRule="exact"/>
        <w:rPr>
          <w:rFonts w:ascii="Arial" w:cs="Arial" w:eastAsia="Arial" w:hAnsi="Arial"/>
          <w:sz w:val="22"/>
          <w:szCs w:val="22"/>
          <w:color w:val="auto"/>
        </w:rPr>
      </w:pPr>
    </w:p>
    <w:p>
      <w:pPr>
        <w:ind w:firstLine="656"/>
        <w:spacing w:after="0" w:line="349" w:lineRule="auto"/>
        <w:tabs>
          <w:tab w:leader="none" w:pos="1146" w:val="left"/>
        </w:tabs>
        <w:numPr>
          <w:ilvl w:val="0"/>
          <w:numId w:val="36"/>
        </w:numPr>
        <w:rPr>
          <w:rFonts w:ascii="Arial" w:cs="Arial" w:eastAsia="Arial" w:hAnsi="Arial"/>
          <w:sz w:val="19"/>
          <w:szCs w:val="19"/>
          <w:color w:val="auto"/>
        </w:rPr>
      </w:pPr>
      <w:r>
        <w:rPr>
          <w:rFonts w:ascii="Arial" w:cs="Arial" w:eastAsia="Arial" w:hAnsi="Arial"/>
          <w:sz w:val="19"/>
          <w:szCs w:val="19"/>
          <w:color w:val="auto"/>
        </w:rPr>
        <w:t>On June 28, 2018 (the “</w:t>
      </w:r>
      <w:r>
        <w:rPr>
          <w:rFonts w:ascii="Arial" w:cs="Arial" w:eastAsia="Arial" w:hAnsi="Arial"/>
          <w:sz w:val="19"/>
          <w:szCs w:val="19"/>
          <w:b w:val="1"/>
          <w:bCs w:val="1"/>
          <w:color w:val="auto"/>
        </w:rPr>
        <w:t>Original Closing Date</w:t>
      </w:r>
      <w:r>
        <w:rPr>
          <w:rFonts w:ascii="Arial" w:cs="Arial" w:eastAsia="Arial" w:hAnsi="Arial"/>
          <w:sz w:val="19"/>
          <w:szCs w:val="19"/>
          <w:color w:val="auto"/>
        </w:rPr>
        <w:t>”), GM, SB Investment Holdings (UK) Limited (“</w:t>
      </w:r>
      <w:r>
        <w:rPr>
          <w:rFonts w:ascii="Arial" w:cs="Arial" w:eastAsia="Arial" w:hAnsi="Arial"/>
          <w:sz w:val="19"/>
          <w:szCs w:val="19"/>
          <w:b w:val="1"/>
          <w:bCs w:val="1"/>
          <w:color w:val="auto"/>
        </w:rPr>
        <w:t>SoftBank UK</w:t>
      </w:r>
      <w:r>
        <w:rPr>
          <w:rFonts w:ascii="Arial" w:cs="Arial" w:eastAsia="Arial" w:hAnsi="Arial"/>
          <w:sz w:val="19"/>
          <w:szCs w:val="19"/>
          <w:color w:val="auto"/>
        </w:rPr>
        <w:t>”) and the Company amended and restated the Original Agreement (as amended and restated, the “</w:t>
      </w:r>
      <w:r>
        <w:rPr>
          <w:rFonts w:ascii="Arial" w:cs="Arial" w:eastAsia="Arial" w:hAnsi="Arial"/>
          <w:sz w:val="19"/>
          <w:szCs w:val="19"/>
          <w:b w:val="1"/>
          <w:bCs w:val="1"/>
          <w:color w:val="auto"/>
        </w:rPr>
        <w:t>First A&amp;R Agreement</w:t>
      </w:r>
      <w:r>
        <w:rPr>
          <w:rFonts w:ascii="Arial" w:cs="Arial" w:eastAsia="Arial" w:hAnsi="Arial"/>
          <w:sz w:val="19"/>
          <w:szCs w:val="19"/>
          <w:color w:val="auto"/>
        </w:rPr>
        <w:t>”).</w:t>
      </w:r>
    </w:p>
    <w:p>
      <w:pPr>
        <w:spacing w:after="0" w:line="93" w:lineRule="exact"/>
        <w:rPr>
          <w:rFonts w:ascii="Arial" w:cs="Arial" w:eastAsia="Arial" w:hAnsi="Arial"/>
          <w:sz w:val="19"/>
          <w:szCs w:val="19"/>
          <w:color w:val="auto"/>
        </w:rPr>
      </w:pPr>
    </w:p>
    <w:p>
      <w:pPr>
        <w:jc w:val="both"/>
        <w:ind w:firstLine="656"/>
        <w:spacing w:after="0" w:line="256" w:lineRule="auto"/>
        <w:tabs>
          <w:tab w:leader="none" w:pos="1076" w:val="left"/>
        </w:tabs>
        <w:numPr>
          <w:ilvl w:val="0"/>
          <w:numId w:val="36"/>
        </w:numPr>
        <w:rPr>
          <w:rFonts w:ascii="Arial" w:cs="Arial" w:eastAsia="Arial" w:hAnsi="Arial"/>
          <w:sz w:val="22"/>
          <w:szCs w:val="22"/>
          <w:color w:val="auto"/>
        </w:rPr>
      </w:pPr>
      <w:r>
        <w:rPr>
          <w:rFonts w:ascii="Arial" w:cs="Arial" w:eastAsia="Arial" w:hAnsi="Arial"/>
          <w:sz w:val="22"/>
          <w:szCs w:val="22"/>
          <w:color w:val="auto"/>
        </w:rPr>
        <w:t>On October 3, 2018, the Company and Honda, entered into that certain Purchase Agreement (the “</w:t>
      </w:r>
      <w:r>
        <w:rPr>
          <w:rFonts w:ascii="Arial" w:cs="Arial" w:eastAsia="Arial" w:hAnsi="Arial"/>
          <w:sz w:val="22"/>
          <w:szCs w:val="22"/>
          <w:b w:val="1"/>
          <w:bCs w:val="1"/>
          <w:color w:val="auto"/>
        </w:rPr>
        <w:t>Honda Purchase</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 pursuant to which the Company issued certain Shares to Honda in exchange for the Honda Commitment on and</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terms and conditions therein.</w:t>
      </w:r>
    </w:p>
    <w:p>
      <w:pPr>
        <w:spacing w:after="0" w:line="182" w:lineRule="exact"/>
        <w:rPr>
          <w:rFonts w:ascii="Arial" w:cs="Arial" w:eastAsia="Arial" w:hAnsi="Arial"/>
          <w:sz w:val="22"/>
          <w:szCs w:val="22"/>
          <w:color w:val="auto"/>
        </w:rPr>
      </w:pPr>
    </w:p>
    <w:p>
      <w:pPr>
        <w:ind w:firstLine="656"/>
        <w:spacing w:after="0" w:line="287" w:lineRule="auto"/>
        <w:tabs>
          <w:tab w:leader="none" w:pos="1042" w:val="left"/>
        </w:tabs>
        <w:numPr>
          <w:ilvl w:val="0"/>
          <w:numId w:val="36"/>
        </w:numPr>
        <w:rPr>
          <w:rFonts w:ascii="Arial" w:cs="Arial" w:eastAsia="Arial" w:hAnsi="Arial"/>
          <w:sz w:val="21"/>
          <w:szCs w:val="21"/>
          <w:color w:val="auto"/>
        </w:rPr>
      </w:pPr>
      <w:r>
        <w:rPr>
          <w:rFonts w:ascii="Arial" w:cs="Arial" w:eastAsia="Arial" w:hAnsi="Arial"/>
          <w:sz w:val="21"/>
          <w:szCs w:val="21"/>
          <w:color w:val="auto"/>
        </w:rPr>
        <w:t>On October 3, 2018, concurrently with entering into the Honda Purchase Agreement, GM, Honda, SoftBank UK and the Company amended and restated the First A&amp;R Agreement (as amended, the “</w:t>
      </w:r>
      <w:r>
        <w:rPr>
          <w:rFonts w:ascii="Arial" w:cs="Arial" w:eastAsia="Arial" w:hAnsi="Arial"/>
          <w:sz w:val="21"/>
          <w:szCs w:val="21"/>
          <w:b w:val="1"/>
          <w:bCs w:val="1"/>
          <w:color w:val="auto"/>
        </w:rPr>
        <w:t>Second A&amp;R Agreement</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ind w:left="1080" w:hanging="424"/>
        <w:spacing w:after="0"/>
        <w:tabs>
          <w:tab w:leader="none" w:pos="10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On January 16, 2019, SoftBank UK Transferred all of its interests in the Company to SoftBank.</w:t>
      </w:r>
    </w:p>
    <w:p>
      <w:pPr>
        <w:spacing w:after="0" w:line="219" w:lineRule="exact"/>
        <w:rPr>
          <w:rFonts w:ascii="Arial" w:cs="Arial" w:eastAsia="Arial" w:hAnsi="Arial"/>
          <w:sz w:val="22"/>
          <w:szCs w:val="22"/>
          <w:color w:val="auto"/>
        </w:rPr>
      </w:pPr>
    </w:p>
    <w:p>
      <w:pPr>
        <w:jc w:val="both"/>
        <w:ind w:firstLine="656"/>
        <w:spacing w:after="0" w:line="312" w:lineRule="auto"/>
        <w:tabs>
          <w:tab w:leader="none" w:pos="1184" w:val="left"/>
        </w:tabs>
        <w:numPr>
          <w:ilvl w:val="0"/>
          <w:numId w:val="36"/>
        </w:numPr>
        <w:rPr>
          <w:rFonts w:ascii="Arial" w:cs="Arial" w:eastAsia="Arial" w:hAnsi="Arial"/>
          <w:sz w:val="19"/>
          <w:szCs w:val="19"/>
          <w:color w:val="auto"/>
        </w:rPr>
      </w:pPr>
      <w:r>
        <w:rPr>
          <w:rFonts w:ascii="Arial" w:cs="Arial" w:eastAsia="Arial" w:hAnsi="Arial"/>
          <w:sz w:val="19"/>
          <w:szCs w:val="19"/>
          <w:color w:val="auto"/>
        </w:rPr>
        <w:t>On May 7, 2019, the Company, the Class F New Members, SoftBank, Honda and GM entered into that certain Purchase Agreement (the “</w:t>
      </w:r>
      <w:r>
        <w:rPr>
          <w:rFonts w:ascii="Arial" w:cs="Arial" w:eastAsia="Arial" w:hAnsi="Arial"/>
          <w:sz w:val="19"/>
          <w:szCs w:val="19"/>
          <w:b w:val="1"/>
          <w:bCs w:val="1"/>
          <w:color w:val="auto"/>
        </w:rPr>
        <w:t>Class F Purchase Agreement</w:t>
      </w:r>
      <w:r>
        <w:rPr>
          <w:rFonts w:ascii="Arial" w:cs="Arial" w:eastAsia="Arial" w:hAnsi="Arial"/>
          <w:sz w:val="19"/>
          <w:szCs w:val="19"/>
          <w:color w:val="auto"/>
        </w:rPr>
        <w:t>”), pursuant to which the Company agreed to issue certain Class F Preferred Shares to such Class F New Members, SoftBank, Honda and GM on and subject to the terms and conditions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40" w:right="339" w:bottom="1440" w:gutter="0" w:footer="0" w:header="0"/>
        </w:sectPr>
      </w:pPr>
    </w:p>
    <w:bookmarkStart w:id="67" w:name="page68"/>
    <w:bookmarkEnd w:id="67"/>
    <w:p>
      <w:pPr>
        <w:spacing w:after="0" w:line="204" w:lineRule="exact"/>
        <w:rPr>
          <w:sz w:val="20"/>
          <w:szCs w:val="20"/>
          <w:color w:val="auto"/>
        </w:rPr>
      </w:pPr>
    </w:p>
    <w:p>
      <w:pPr>
        <w:jc w:val="both"/>
        <w:ind w:firstLine="656"/>
        <w:spacing w:after="0" w:line="253" w:lineRule="auto"/>
        <w:tabs>
          <w:tab w:leader="none" w:pos="997" w:val="left"/>
        </w:tabs>
        <w:numPr>
          <w:ilvl w:val="0"/>
          <w:numId w:val="37"/>
        </w:numPr>
        <w:rPr>
          <w:rFonts w:ascii="Arial" w:cs="Arial" w:eastAsia="Arial" w:hAnsi="Arial"/>
          <w:sz w:val="22"/>
          <w:szCs w:val="22"/>
          <w:color w:val="auto"/>
        </w:rPr>
      </w:pPr>
      <w:r>
        <w:rPr>
          <w:rFonts w:ascii="Arial" w:cs="Arial" w:eastAsia="Arial" w:hAnsi="Arial"/>
          <w:sz w:val="22"/>
          <w:szCs w:val="22"/>
          <w:color w:val="auto"/>
        </w:rPr>
        <w:t>On May 7, 2019, concurrently with entering into the Class F Purchase Agreement, GM, Honda, SoftBank, the Class F New Members and the Company amended and restated the Second A&amp;R Agreement (as amended, the “</w:t>
      </w:r>
      <w:r>
        <w:rPr>
          <w:rFonts w:ascii="Arial" w:cs="Arial" w:eastAsia="Arial" w:hAnsi="Arial"/>
          <w:sz w:val="22"/>
          <w:szCs w:val="22"/>
          <w:b w:val="1"/>
          <w:bCs w:val="1"/>
          <w:color w:val="auto"/>
        </w:rPr>
        <w:t>Third A&amp;R</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firstLine="656"/>
        <w:spacing w:after="0" w:line="263" w:lineRule="auto"/>
        <w:tabs>
          <w:tab w:leader="none" w:pos="1050" w:val="left"/>
        </w:tabs>
        <w:numPr>
          <w:ilvl w:val="0"/>
          <w:numId w:val="37"/>
        </w:numPr>
        <w:rPr>
          <w:rFonts w:ascii="Arial" w:cs="Arial" w:eastAsia="Arial" w:hAnsi="Arial"/>
          <w:sz w:val="22"/>
          <w:szCs w:val="22"/>
          <w:color w:val="auto"/>
        </w:rPr>
      </w:pPr>
      <w:r>
        <w:rPr>
          <w:rFonts w:ascii="Arial" w:cs="Arial" w:eastAsia="Arial" w:hAnsi="Arial"/>
          <w:sz w:val="22"/>
          <w:szCs w:val="22"/>
          <w:color w:val="auto"/>
        </w:rPr>
        <w:t>On July 17, 2019, the Board of Directors approved a 100 for 1 split of all of the Company’s issued and outstanding Shares (the “</w:t>
      </w:r>
      <w:r>
        <w:rPr>
          <w:rFonts w:ascii="Arial" w:cs="Arial" w:eastAsia="Arial" w:hAnsi="Arial"/>
          <w:sz w:val="22"/>
          <w:szCs w:val="22"/>
          <w:b w:val="1"/>
          <w:bCs w:val="1"/>
          <w:color w:val="auto"/>
        </w:rPr>
        <w:t>Share Split</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firstLine="656"/>
        <w:spacing w:after="0" w:line="269" w:lineRule="auto"/>
        <w:tabs>
          <w:tab w:leader="none" w:pos="1115" w:val="left"/>
        </w:tabs>
        <w:numPr>
          <w:ilvl w:val="0"/>
          <w:numId w:val="37"/>
        </w:numPr>
        <w:rPr>
          <w:rFonts w:ascii="Arial" w:cs="Arial" w:eastAsia="Arial" w:hAnsi="Arial"/>
          <w:sz w:val="22"/>
          <w:szCs w:val="22"/>
          <w:color w:val="auto"/>
        </w:rPr>
      </w:pPr>
      <w:r>
        <w:rPr>
          <w:rFonts w:ascii="Arial" w:cs="Arial" w:eastAsia="Arial" w:hAnsi="Arial"/>
          <w:sz w:val="22"/>
          <w:szCs w:val="22"/>
          <w:color w:val="auto"/>
        </w:rPr>
        <w:t>On July 22, 2019, the Company amended and restated the Third A&amp;R Agreement (“</w:t>
      </w:r>
      <w:r>
        <w:rPr>
          <w:rFonts w:ascii="Arial" w:cs="Arial" w:eastAsia="Arial" w:hAnsi="Arial"/>
          <w:sz w:val="22"/>
          <w:szCs w:val="22"/>
          <w:b w:val="1"/>
          <w:bCs w:val="1"/>
          <w:color w:val="auto"/>
        </w:rPr>
        <w:t>Fourth A&amp;R Agreement</w:t>
      </w:r>
      <w:r>
        <w:rPr>
          <w:rFonts w:ascii="Arial" w:cs="Arial" w:eastAsia="Arial" w:hAnsi="Arial"/>
          <w:sz w:val="22"/>
          <w:szCs w:val="22"/>
          <w:color w:val="auto"/>
        </w:rPr>
        <w:t>”) to reflect the Share Split.</w:t>
      </w:r>
    </w:p>
    <w:p>
      <w:pPr>
        <w:spacing w:after="0" w:line="167" w:lineRule="exact"/>
        <w:rPr>
          <w:rFonts w:ascii="Arial" w:cs="Arial" w:eastAsia="Arial" w:hAnsi="Arial"/>
          <w:sz w:val="22"/>
          <w:szCs w:val="22"/>
          <w:color w:val="auto"/>
        </w:rPr>
      </w:pPr>
    </w:p>
    <w:p>
      <w:pPr>
        <w:ind w:right="20" w:firstLine="656"/>
        <w:spacing w:after="0" w:line="263" w:lineRule="auto"/>
        <w:tabs>
          <w:tab w:leader="none" w:pos="1130" w:val="left"/>
        </w:tabs>
        <w:numPr>
          <w:ilvl w:val="0"/>
          <w:numId w:val="37"/>
        </w:numPr>
        <w:rPr>
          <w:rFonts w:ascii="Arial" w:cs="Arial" w:eastAsia="Arial" w:hAnsi="Arial"/>
          <w:sz w:val="22"/>
          <w:szCs w:val="22"/>
          <w:color w:val="auto"/>
        </w:rPr>
      </w:pPr>
      <w:r>
        <w:rPr>
          <w:rFonts w:ascii="Arial" w:cs="Arial" w:eastAsia="Arial" w:hAnsi="Arial"/>
          <w:sz w:val="22"/>
          <w:szCs w:val="22"/>
          <w:color w:val="auto"/>
        </w:rPr>
        <w:t>For U.S. federal income tax purposes, the GM Commitment and the SoftBank Commitment, taken together, were intended to qualify as a contribution under Section 351(a) of the Code.</w:t>
      </w:r>
    </w:p>
    <w:p>
      <w:pPr>
        <w:spacing w:after="0" w:line="174" w:lineRule="exact"/>
        <w:rPr>
          <w:rFonts w:ascii="Arial" w:cs="Arial" w:eastAsia="Arial" w:hAnsi="Arial"/>
          <w:sz w:val="22"/>
          <w:szCs w:val="22"/>
          <w:color w:val="auto"/>
        </w:rPr>
      </w:pPr>
    </w:p>
    <w:p>
      <w:pPr>
        <w:jc w:val="both"/>
        <w:ind w:firstLine="656"/>
        <w:spacing w:after="0" w:line="259" w:lineRule="auto"/>
        <w:tabs>
          <w:tab w:leader="none" w:pos="1133"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Parties intended that, immediately following the contributions of property and issuance of Shares contemplated by each of the GM Commitment, the SoftBank Commitment, the Honda Commitment, and the Class F Commitment (together with the issuance of any additional Shares contemplated by the Class F Purchase Agreement), GM continued to own, an amount of Equity Securities that (i) constituted “control” within the meaning of Section 368(c) of the Code and the Treasury Regulations thereunder and (ii) allowed the Company to be a member of the GM Affiliated Group under Section 1504 of the Code. Immediately following the contributions of property and issuance of shares contemplated by the Class G Commitment (together with the issuance of any additional Shares contemplated by the Class G Purchase Agreement), GM shall continue to own an amount of Equity Securities that constitutes “control” within the meaning of Section 368(c) of the Code and the Treasury Regulations thereunder.</w:t>
      </w:r>
    </w:p>
    <w:p>
      <w:pPr>
        <w:spacing w:after="0" w:line="173" w:lineRule="exact"/>
        <w:rPr>
          <w:rFonts w:ascii="Arial" w:cs="Arial" w:eastAsia="Arial" w:hAnsi="Arial"/>
          <w:sz w:val="21"/>
          <w:szCs w:val="21"/>
          <w:color w:val="auto"/>
        </w:rPr>
      </w:pPr>
    </w:p>
    <w:p>
      <w:pPr>
        <w:ind w:left="1360" w:hanging="704"/>
        <w:spacing w:after="0"/>
        <w:tabs>
          <w:tab w:leader="none" w:pos="1360" w:val="left"/>
        </w:tabs>
        <w:numPr>
          <w:ilvl w:val="0"/>
          <w:numId w:val="37"/>
        </w:numPr>
        <w:rPr>
          <w:rFonts w:ascii="Arial" w:cs="Arial" w:eastAsia="Arial" w:hAnsi="Arial"/>
          <w:sz w:val="21"/>
          <w:szCs w:val="21"/>
          <w:color w:val="auto"/>
        </w:rPr>
      </w:pPr>
      <w:r>
        <w:rPr>
          <w:rFonts w:ascii="Arial" w:cs="Arial" w:eastAsia="Arial" w:hAnsi="Arial"/>
          <w:sz w:val="21"/>
          <w:szCs w:val="21"/>
          <w:color w:val="auto"/>
        </w:rPr>
        <w:t>On December 18, 2019, the Company amended and restated the Fourth A&amp;R Agreement (“</w:t>
      </w:r>
      <w:r>
        <w:rPr>
          <w:rFonts w:ascii="Arial" w:cs="Arial" w:eastAsia="Arial" w:hAnsi="Arial"/>
          <w:sz w:val="21"/>
          <w:szCs w:val="21"/>
          <w:b w:val="1"/>
          <w:bCs w:val="1"/>
          <w:color w:val="auto"/>
        </w:rPr>
        <w:t>Fifth A&amp;R</w:t>
      </w:r>
    </w:p>
    <w:p>
      <w:pPr>
        <w:spacing w:after="0" w:line="38"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201" w:lineRule="exact"/>
        <w:rPr>
          <w:rFonts w:ascii="Arial" w:cs="Arial" w:eastAsia="Arial" w:hAnsi="Arial"/>
          <w:sz w:val="21"/>
          <w:szCs w:val="21"/>
          <w:color w:val="auto"/>
        </w:rPr>
      </w:pPr>
    </w:p>
    <w:p>
      <w:pPr>
        <w:jc w:val="both"/>
        <w:ind w:firstLine="656"/>
        <w:spacing w:after="0" w:line="302" w:lineRule="auto"/>
        <w:tabs>
          <w:tab w:leader="none" w:pos="1177" w:val="left"/>
        </w:tabs>
        <w:numPr>
          <w:ilvl w:val="0"/>
          <w:numId w:val="37"/>
        </w:numPr>
        <w:rPr>
          <w:rFonts w:ascii="Arial" w:cs="Arial" w:eastAsia="Arial" w:hAnsi="Arial"/>
          <w:sz w:val="19"/>
          <w:szCs w:val="19"/>
          <w:color w:val="auto"/>
        </w:rPr>
      </w:pPr>
      <w:r>
        <w:rPr>
          <w:rFonts w:ascii="Arial" w:cs="Arial" w:eastAsia="Arial" w:hAnsi="Arial"/>
          <w:sz w:val="19"/>
          <w:szCs w:val="19"/>
          <w:color w:val="auto"/>
        </w:rPr>
        <w:t>On January 18, 2021, the Company, certain existing Members, and the Class G New Members entered into that certain Purchase Agreement (the “</w:t>
      </w:r>
      <w:r>
        <w:rPr>
          <w:rFonts w:ascii="Arial" w:cs="Arial" w:eastAsia="Arial" w:hAnsi="Arial"/>
          <w:sz w:val="19"/>
          <w:szCs w:val="19"/>
          <w:b w:val="1"/>
          <w:bCs w:val="1"/>
          <w:color w:val="auto"/>
        </w:rPr>
        <w:t>Class G Purchase Agreement</w:t>
      </w:r>
      <w:r>
        <w:rPr>
          <w:rFonts w:ascii="Arial" w:cs="Arial" w:eastAsia="Arial" w:hAnsi="Arial"/>
          <w:sz w:val="19"/>
          <w:szCs w:val="19"/>
          <w:color w:val="auto"/>
        </w:rPr>
        <w:t>”), pursuant to which the Company agreed to issue certain Class G Preferred Shares to such existing Members and the Class G New Members, on and subject to the terms and conditions therein, and the Company amended and restated the Fifth A&amp;R Agreement (“</w:t>
      </w:r>
      <w:r>
        <w:rPr>
          <w:rFonts w:ascii="Arial" w:cs="Arial" w:eastAsia="Arial" w:hAnsi="Arial"/>
          <w:sz w:val="19"/>
          <w:szCs w:val="19"/>
          <w:b w:val="1"/>
          <w:bCs w:val="1"/>
          <w:color w:val="auto"/>
        </w:rPr>
        <w:t>Sixth A&amp;R Agreement</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jc w:val="both"/>
        <w:ind w:firstLine="656"/>
        <w:spacing w:after="0" w:line="253" w:lineRule="auto"/>
        <w:tabs>
          <w:tab w:leader="none" w:pos="1019" w:val="left"/>
        </w:tabs>
        <w:numPr>
          <w:ilvl w:val="0"/>
          <w:numId w:val="37"/>
        </w:numPr>
        <w:rPr>
          <w:rFonts w:ascii="Arial" w:cs="Arial" w:eastAsia="Arial" w:hAnsi="Arial"/>
          <w:sz w:val="22"/>
          <w:szCs w:val="22"/>
          <w:color w:val="auto"/>
        </w:rPr>
      </w:pPr>
      <w:r>
        <w:rPr>
          <w:rFonts w:ascii="Arial" w:cs="Arial" w:eastAsia="Arial" w:hAnsi="Arial"/>
          <w:sz w:val="22"/>
          <w:szCs w:val="22"/>
          <w:color w:val="auto"/>
        </w:rPr>
        <w:t>On March 14, 2021, the Company amended and restated the Sixth A&amp;R Agreement, as set forth in this Agreement, to create and designate Class H Common Shares (as defined below) issuable, from time to time, to Class H Members in connection with M&amp;A Transactions (as defined below).</w:t>
      </w:r>
    </w:p>
    <w:p>
      <w:pPr>
        <w:spacing w:after="0" w:line="185" w:lineRule="exact"/>
        <w:rPr>
          <w:rFonts w:ascii="Arial" w:cs="Arial" w:eastAsia="Arial" w:hAnsi="Arial"/>
          <w:sz w:val="22"/>
          <w:szCs w:val="22"/>
          <w:color w:val="auto"/>
        </w:rPr>
      </w:pPr>
    </w:p>
    <w:p>
      <w:pPr>
        <w:ind w:firstLine="656"/>
        <w:spacing w:after="0" w:line="263" w:lineRule="auto"/>
        <w:tabs>
          <w:tab w:leader="none" w:pos="1073" w:val="left"/>
        </w:tabs>
        <w:numPr>
          <w:ilvl w:val="0"/>
          <w:numId w:val="37"/>
        </w:numPr>
        <w:rPr>
          <w:rFonts w:ascii="Arial" w:cs="Arial" w:eastAsia="Arial" w:hAnsi="Arial"/>
          <w:sz w:val="22"/>
          <w:szCs w:val="22"/>
          <w:color w:val="auto"/>
        </w:rPr>
      </w:pPr>
      <w:r>
        <w:rPr>
          <w:rFonts w:ascii="Arial" w:cs="Arial" w:eastAsia="Arial" w:hAnsi="Arial"/>
          <w:sz w:val="22"/>
          <w:szCs w:val="22"/>
          <w:color w:val="auto"/>
        </w:rPr>
        <w:t>A Majority of the Members and the Board of Directors desire to amend and restate the Sixth A&amp;R Agreement and to effect this Agreement to set forth, among other things, the rights and obligations of the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68" w:name="page69"/>
    <w:bookmarkEnd w:id="68"/>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 G R E E M E N T 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mutual promises contained in this Agreement and for other good and valuable consideration, the receipt and sufficiency of which are hereby acknowledged, the parties hereto agree that the Sixth A&amp;R Agreement is hereby amended and restated in its entirety as follows:</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I</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22"/>
          <w:szCs w:val="22"/>
          <w:b w:val="1"/>
          <w:bCs w:val="1"/>
          <w:u w:val="single" w:color="auto"/>
          <w:color w:val="auto"/>
        </w:rPr>
        <w:t>ORGANIZATIONAL MATTERS AND CERTAIN DEFINITIONS</w:t>
      </w:r>
    </w:p>
    <w:p>
      <w:pPr>
        <w:spacing w:after="0" w:line="19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19"/>
          <w:szCs w:val="19"/>
          <w:b w:val="1"/>
          <w:bCs w:val="1"/>
          <w:u w:val="single" w:color="auto"/>
          <w:color w:val="auto"/>
        </w:rPr>
        <w:t>Organization of Company</w:t>
      </w:r>
      <w:r>
        <w:rPr>
          <w:rFonts w:ascii="Arial" w:cs="Arial" w:eastAsia="Arial" w:hAnsi="Arial"/>
          <w:sz w:val="19"/>
          <w:szCs w:val="19"/>
          <w:color w:val="auto"/>
        </w:rPr>
        <w:t>. The Company was formed as a limited liability company on May 23, 2018.</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1.02 </w:t>
      </w:r>
      <w:r>
        <w:rPr>
          <w:rFonts w:ascii="Arial" w:cs="Arial" w:eastAsia="Arial" w:hAnsi="Arial"/>
          <w:sz w:val="22"/>
          <w:szCs w:val="22"/>
          <w:b w:val="1"/>
          <w:bCs w:val="1"/>
          <w:u w:val="single" w:color="auto"/>
          <w:color w:val="auto"/>
        </w:rPr>
        <w:t>Legal Status</w:t>
      </w:r>
      <w:r>
        <w:rPr>
          <w:rFonts w:ascii="Arial" w:cs="Arial" w:eastAsia="Arial" w:hAnsi="Arial"/>
          <w:sz w:val="22"/>
          <w:szCs w:val="22"/>
          <w:color w:val="auto"/>
        </w:rPr>
        <w:t>. The Company is a limited liability company organized and existing under the Delaware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Liability Company Act (the “</w:t>
      </w:r>
      <w:r>
        <w:rPr>
          <w:rFonts w:ascii="Arial" w:cs="Arial" w:eastAsia="Arial" w:hAnsi="Arial"/>
          <w:sz w:val="22"/>
          <w:szCs w:val="22"/>
          <w:b w:val="1"/>
          <w:bCs w:val="1"/>
          <w:color w:val="auto"/>
        </w:rPr>
        <w:t>Act</w:t>
      </w:r>
      <w:r>
        <w:rPr>
          <w:rFonts w:ascii="Arial" w:cs="Arial" w:eastAsia="Arial" w:hAnsi="Arial"/>
          <w:sz w:val="22"/>
          <w:szCs w:val="22"/>
          <w:color w:val="auto"/>
        </w:rPr>
        <w:t>”). The Members shall take such steps as are necessary to permit the Company to conduct business, to maintain its status as a limited liability company formed under the laws of the State of Delaware and qualified to conduct business in any jurisdiction where the Company does so.</w:t>
      </w:r>
    </w:p>
    <w:p>
      <w:pPr>
        <w:spacing w:after="0" w:line="18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1.03 </w:t>
      </w:r>
      <w:r>
        <w:rPr>
          <w:rFonts w:ascii="Arial" w:cs="Arial" w:eastAsia="Arial" w:hAnsi="Arial"/>
          <w:sz w:val="22"/>
          <w:szCs w:val="22"/>
          <w:b w:val="1"/>
          <w:bCs w:val="1"/>
          <w:u w:val="single" w:color="auto"/>
          <w:color w:val="auto"/>
        </w:rPr>
        <w:t>Name</w:t>
      </w:r>
      <w:r>
        <w:rPr>
          <w:rFonts w:ascii="Arial" w:cs="Arial" w:eastAsia="Arial" w:hAnsi="Arial"/>
          <w:sz w:val="22"/>
          <w:szCs w:val="22"/>
          <w:color w:val="auto"/>
        </w:rPr>
        <w:t>. The name of the Company shall be “GM Cruise Holdings LLC” or such other name as the Board of</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shall, from time to time, hereafter designate.</w:t>
      </w:r>
    </w:p>
    <w:p>
      <w:pPr>
        <w:spacing w:after="0" w:line="16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1.04</w:t>
      </w:r>
      <w:r>
        <w:rPr>
          <w:sz w:val="20"/>
          <w:szCs w:val="20"/>
          <w:color w:val="auto"/>
        </w:rPr>
        <w:tab/>
      </w:r>
      <w:r>
        <w:rPr>
          <w:rFonts w:ascii="Arial" w:cs="Arial" w:eastAsia="Arial" w:hAnsi="Arial"/>
          <w:sz w:val="19"/>
          <w:szCs w:val="19"/>
          <w:b w:val="1"/>
          <w:bCs w:val="1"/>
          <w:u w:val="single" w:color="auto"/>
          <w:color w:val="auto"/>
        </w:rPr>
        <w:t>Registered Office and Registered Agent; Principal Office</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47" w:lineRule="auto"/>
        <w:tabs>
          <w:tab w:leader="none" w:pos="1752" w:val="left"/>
        </w:tabs>
        <w:numPr>
          <w:ilvl w:val="0"/>
          <w:numId w:val="38"/>
        </w:numPr>
        <w:rPr>
          <w:rFonts w:ascii="Arial" w:cs="Arial" w:eastAsia="Arial" w:hAnsi="Arial"/>
          <w:sz w:val="22"/>
          <w:szCs w:val="22"/>
          <w:color w:val="010000"/>
        </w:rPr>
      </w:pPr>
      <w:r>
        <w:rPr>
          <w:rFonts w:ascii="Arial" w:cs="Arial" w:eastAsia="Arial" w:hAnsi="Arial"/>
          <w:sz w:val="22"/>
          <w:szCs w:val="22"/>
          <w:color w:val="auto"/>
        </w:rPr>
        <w:t>The address of the registered office of the Company in the State of Delaware shall be c/o Corporation Service Company, 251 Little Falls Drive, New Castle County, Wilmington, Delaware 19808, and the initial registered agent for service of process on the Company in the State of Delaware at such registered office shall be Corporation Service Company. The Board of Directors may, in its discretion, change the registered office and/or registered agent from time to time by filing the address of the new registered office and/or the name of the new registered agent with the Secretary of State of the State of Delaware pursuant to the Act.</w:t>
      </w:r>
    </w:p>
    <w:p>
      <w:pPr>
        <w:spacing w:after="0" w:line="192" w:lineRule="exact"/>
        <w:rPr>
          <w:rFonts w:ascii="Arial" w:cs="Arial" w:eastAsia="Arial" w:hAnsi="Arial"/>
          <w:sz w:val="22"/>
          <w:szCs w:val="22"/>
          <w:color w:val="010000"/>
        </w:rPr>
      </w:pPr>
    </w:p>
    <w:p>
      <w:pPr>
        <w:jc w:val="both"/>
        <w:ind w:right="20" w:firstLine="1304"/>
        <w:spacing w:after="0" w:line="253" w:lineRule="auto"/>
        <w:tabs>
          <w:tab w:leader="none" w:pos="1831" w:val="left"/>
        </w:tabs>
        <w:numPr>
          <w:ilvl w:val="0"/>
          <w:numId w:val="38"/>
        </w:numPr>
        <w:rPr>
          <w:rFonts w:ascii="Arial" w:cs="Arial" w:eastAsia="Arial" w:hAnsi="Arial"/>
          <w:sz w:val="22"/>
          <w:szCs w:val="22"/>
          <w:color w:val="010000"/>
        </w:rPr>
      </w:pPr>
      <w:r>
        <w:rPr>
          <w:rFonts w:ascii="Arial" w:cs="Arial" w:eastAsia="Arial" w:hAnsi="Arial"/>
          <w:sz w:val="22"/>
          <w:szCs w:val="22"/>
          <w:color w:val="auto"/>
        </w:rPr>
        <w:t>The principal office of the Company shall be located at such place (whether inside or outside the State of Delaware) as the Board of Directors may from time to time designate. The Company may have such other offices (whether inside or outside the State of Delaware) as the Board of Directors may from time to time designate.</w:t>
      </w:r>
    </w:p>
    <w:p>
      <w:pPr>
        <w:spacing w:after="0" w:line="1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1.05 </w:t>
      </w:r>
      <w:r>
        <w:rPr>
          <w:rFonts w:ascii="Arial" w:cs="Arial" w:eastAsia="Arial" w:hAnsi="Arial"/>
          <w:sz w:val="22"/>
          <w:szCs w:val="22"/>
          <w:b w:val="1"/>
          <w:bCs w:val="1"/>
          <w:u w:val="single" w:color="auto"/>
          <w:color w:val="auto"/>
        </w:rPr>
        <w:t>Purpose</w:t>
      </w:r>
      <w:r>
        <w:rPr>
          <w:rFonts w:ascii="Arial" w:cs="Arial" w:eastAsia="Arial" w:hAnsi="Arial"/>
          <w:sz w:val="22"/>
          <w:szCs w:val="22"/>
          <w:color w:val="auto"/>
        </w:rPr>
        <w:t>. The Company is formed for the object and purpose of, and the nature of the business to be conducted and</w:t>
      </w:r>
      <w:r>
        <w:rPr>
          <w:rFonts w:ascii="Arial" w:cs="Arial" w:eastAsia="Arial" w:hAnsi="Arial"/>
          <w:sz w:val="22"/>
          <w:szCs w:val="22"/>
          <w:b w:val="1"/>
          <w:bCs w:val="1"/>
          <w:color w:val="auto"/>
        </w:rPr>
        <w:t xml:space="preserve"> </w:t>
      </w:r>
      <w:r>
        <w:rPr>
          <w:rFonts w:ascii="Arial" w:cs="Arial" w:eastAsia="Arial" w:hAnsi="Arial"/>
          <w:sz w:val="22"/>
          <w:szCs w:val="22"/>
          <w:color w:val="auto"/>
        </w:rPr>
        <w:t>promoted by the Company is to, engage in any lawful act or activity for which limited liability companies may be formed under the Act, including carrying on the AVCo Business. The Company shall have the power and authority to take any and all actions that are necessary, appropriate, advisable, convenient or incidental to, or for the furtherance of, the purposes set forth in this Section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9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1.06</w:t>
      </w:r>
      <w:r>
        <w:rPr>
          <w:sz w:val="20"/>
          <w:szCs w:val="20"/>
          <w:color w:val="auto"/>
        </w:rPr>
        <w:tab/>
      </w:r>
      <w:r>
        <w:rPr>
          <w:rFonts w:ascii="Arial" w:cs="Arial" w:eastAsia="Arial" w:hAnsi="Arial"/>
          <w:sz w:val="19"/>
          <w:szCs w:val="19"/>
          <w:b w:val="1"/>
          <w:bCs w:val="1"/>
          <w:u w:val="single" w:color="auto"/>
          <w:color w:val="auto"/>
        </w:rPr>
        <w:t>Term</w:t>
      </w:r>
      <w:r>
        <w:rPr>
          <w:rFonts w:ascii="Arial" w:cs="Arial" w:eastAsia="Arial" w:hAnsi="Arial"/>
          <w:sz w:val="19"/>
          <w:szCs w:val="19"/>
          <w:color w:val="auto"/>
        </w:rPr>
        <w:t>. Unless terminated in accordance with Article X, the existence of the Company shall be perpetual.</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1.07</w:t>
      </w:r>
      <w:r>
        <w:rPr>
          <w:sz w:val="20"/>
          <w:szCs w:val="20"/>
          <w:color w:val="auto"/>
        </w:rPr>
        <w:tab/>
      </w:r>
      <w:r>
        <w:rPr>
          <w:rFonts w:ascii="Arial" w:cs="Arial" w:eastAsia="Arial" w:hAnsi="Arial"/>
          <w:sz w:val="19"/>
          <w:szCs w:val="19"/>
          <w:b w:val="1"/>
          <w:bCs w:val="1"/>
          <w:u w:val="single" w:color="auto"/>
          <w:color w:val="auto"/>
        </w:rPr>
        <w:t>Certain Definitions</w:t>
      </w:r>
      <w:r>
        <w:rPr>
          <w:rFonts w:ascii="Arial" w:cs="Arial" w:eastAsia="Arial" w:hAnsi="Arial"/>
          <w:sz w:val="19"/>
          <w:szCs w:val="19"/>
          <w:color w:val="auto"/>
        </w:rPr>
        <w:t>. Certain capitalized terms used in this Agreement are defined in Appendix I hereto.</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1.08 </w:t>
      </w:r>
      <w:r>
        <w:rPr>
          <w:rFonts w:ascii="Arial" w:cs="Arial" w:eastAsia="Arial" w:hAnsi="Arial"/>
          <w:sz w:val="22"/>
          <w:szCs w:val="22"/>
          <w:b w:val="1"/>
          <w:bCs w:val="1"/>
          <w:u w:val="single" w:color="auto"/>
          <w:color w:val="auto"/>
        </w:rPr>
        <w:t>No State-Law Partnership</w:t>
      </w:r>
      <w:r>
        <w:rPr>
          <w:rFonts w:ascii="Arial" w:cs="Arial" w:eastAsia="Arial" w:hAnsi="Arial"/>
          <w:sz w:val="22"/>
          <w:szCs w:val="22"/>
          <w:color w:val="auto"/>
        </w:rPr>
        <w:t>. The Members intend that the Company not be a partnership (including a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partnership), and that no Member or Assignee be a partner of any other Member or Assignee by virtue of this Agreement for any purposes, and neither this Agreement nor any other document entered into by the Company or any Member or Assignee relating to the subject matter hereof shall be construed to suggest otherwise.</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1.09 </w:t>
      </w:r>
      <w:r>
        <w:rPr>
          <w:rFonts w:ascii="Arial" w:cs="Arial" w:eastAsia="Arial" w:hAnsi="Arial"/>
          <w:sz w:val="21"/>
          <w:szCs w:val="21"/>
          <w:b w:val="1"/>
          <w:bCs w:val="1"/>
          <w:u w:val="single" w:color="auto"/>
          <w:color w:val="auto"/>
        </w:rPr>
        <w:t>Limited Liability Company Agreement</w:t>
      </w:r>
      <w:r>
        <w:rPr>
          <w:rFonts w:ascii="Arial" w:cs="Arial" w:eastAsia="Arial" w:hAnsi="Arial"/>
          <w:sz w:val="21"/>
          <w:szCs w:val="21"/>
          <w:color w:val="auto"/>
        </w:rPr>
        <w:t>. The Members hereby are each a party to this Agreement to conduct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affairs and the business of the Company in accordance with the provisions of the Act. The Members hereby agree that, during the term of the Company set forth in Section 1.06, the rights, powers and obligations of the Members and Assignees with respect to the Company will be determined in accordance with the terms and conditions of this Agreement and the Act; </w:t>
      </w:r>
      <w:r>
        <w:rPr>
          <w:rFonts w:ascii="Arial" w:cs="Arial" w:eastAsia="Arial" w:hAnsi="Arial"/>
          <w:sz w:val="21"/>
          <w:szCs w:val="21"/>
          <w:u w:val="single" w:color="auto"/>
          <w:color w:val="auto"/>
        </w:rPr>
        <w:t>provided</w:t>
      </w:r>
      <w:r>
        <w:rPr>
          <w:rFonts w:ascii="Arial" w:cs="Arial" w:eastAsia="Arial" w:hAnsi="Arial"/>
          <w:sz w:val="21"/>
          <w:szCs w:val="21"/>
          <w:color w:val="auto"/>
        </w:rPr>
        <w:t>, that to the fullest extent permitted by the Act, the terms of this Agreement shall control and, notwithstanding anything to the contrary, Section 18-210 of the Act (entitled “Contractual Appraisal Rights”) and Section 18-305(a) of the Act (entitled “Access to and Confidentiality of Information; Records”) shall not apply or be incorporated into this Agreement. This Agreement hereby supersedes and preempts the Sixth A&amp;R Agreement in all respects, and the Sixth A&amp;R Agreement shall hereafter be null and void.</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CAPITAL CONTRIBUTIONS; ISSUANCES OF SHARES</w:t>
      </w:r>
    </w:p>
    <w:p>
      <w:pPr>
        <w:spacing w:after="0" w:line="19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2.01</w:t>
      </w:r>
      <w:r>
        <w:rPr>
          <w:sz w:val="20"/>
          <w:szCs w:val="20"/>
          <w:color w:val="auto"/>
        </w:rPr>
        <w:tab/>
      </w:r>
      <w:r>
        <w:rPr>
          <w:rFonts w:ascii="Arial" w:cs="Arial" w:eastAsia="Arial" w:hAnsi="Arial"/>
          <w:sz w:val="19"/>
          <w:szCs w:val="19"/>
          <w:b w:val="1"/>
          <w:bCs w:val="1"/>
          <w:u w:val="single" w:color="auto"/>
          <w:color w:val="auto"/>
        </w:rPr>
        <w:t>Shares Generally</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57" w:lineRule="auto"/>
        <w:tabs>
          <w:tab w:leader="none" w:pos="1792" w:val="left"/>
        </w:tabs>
        <w:numPr>
          <w:ilvl w:val="0"/>
          <w:numId w:val="39"/>
        </w:numPr>
        <w:rPr>
          <w:rFonts w:ascii="Arial" w:cs="Arial" w:eastAsia="Arial" w:hAnsi="Arial"/>
          <w:sz w:val="21"/>
          <w:szCs w:val="21"/>
          <w:color w:val="010000"/>
        </w:rPr>
      </w:pPr>
      <w:r>
        <w:rPr>
          <w:rFonts w:ascii="Arial" w:cs="Arial" w:eastAsia="Arial" w:hAnsi="Arial"/>
          <w:sz w:val="21"/>
          <w:szCs w:val="21"/>
          <w:color w:val="auto"/>
        </w:rPr>
        <w:t>All interests of the Members in Distributions and other amounts specified in this Agreement, as well as the rights of the Members to vote on, consent to or approve any matter for which a vote of Members is required under this Agreement or the Act, shall be denominated in shares of membership interests in the Company (each a “</w:t>
      </w:r>
      <w:r>
        <w:rPr>
          <w:rFonts w:ascii="Arial" w:cs="Arial" w:eastAsia="Arial" w:hAnsi="Arial"/>
          <w:sz w:val="21"/>
          <w:szCs w:val="21"/>
          <w:b w:val="1"/>
          <w:bCs w:val="1"/>
          <w:color w:val="auto"/>
        </w:rPr>
        <w:t>Share</w:t>
      </w:r>
      <w:r>
        <w:rPr>
          <w:rFonts w:ascii="Arial" w:cs="Arial" w:eastAsia="Arial" w:hAnsi="Arial"/>
          <w:sz w:val="21"/>
          <w:szCs w:val="21"/>
          <w:color w:val="auto"/>
        </w:rPr>
        <w:t>” and collectively, the “</w:t>
      </w:r>
      <w:r>
        <w:rPr>
          <w:rFonts w:ascii="Arial" w:cs="Arial" w:eastAsia="Arial" w:hAnsi="Arial"/>
          <w:sz w:val="21"/>
          <w:szCs w:val="21"/>
          <w:b w:val="1"/>
          <w:bCs w:val="1"/>
          <w:color w:val="auto"/>
        </w:rPr>
        <w:t>Shares</w:t>
      </w:r>
      <w:r>
        <w:rPr>
          <w:rFonts w:ascii="Arial" w:cs="Arial" w:eastAsia="Arial" w:hAnsi="Arial"/>
          <w:sz w:val="21"/>
          <w:szCs w:val="21"/>
          <w:color w:val="auto"/>
        </w:rPr>
        <w:t>”), and the relative rights, privileges, preferences and obligations of the Members with respect to Shares shall be determined under this Agreement to the extent provided herein. As of the date of this Agreement, the classes of Shares that the Company is authorized to issue are as follows: “</w:t>
      </w:r>
      <w:r>
        <w:rPr>
          <w:rFonts w:ascii="Arial" w:cs="Arial" w:eastAsia="Arial" w:hAnsi="Arial"/>
          <w:sz w:val="21"/>
          <w:szCs w:val="21"/>
          <w:b w:val="1"/>
          <w:bCs w:val="1"/>
          <w:color w:val="auto"/>
        </w:rPr>
        <w:t>Class A-1-A Preferred Shares</w:t>
      </w:r>
      <w:r>
        <w:rPr>
          <w:rFonts w:ascii="Arial" w:cs="Arial" w:eastAsia="Arial" w:hAnsi="Arial"/>
          <w:sz w:val="21"/>
          <w:szCs w:val="21"/>
          <w:color w:val="auto"/>
        </w:rPr>
        <w:t>”, “</w:t>
      </w:r>
      <w:r>
        <w:rPr>
          <w:rFonts w:ascii="Arial" w:cs="Arial" w:eastAsia="Arial" w:hAnsi="Arial"/>
          <w:sz w:val="21"/>
          <w:szCs w:val="21"/>
          <w:b w:val="1"/>
          <w:bCs w:val="1"/>
          <w:color w:val="auto"/>
        </w:rPr>
        <w:t>Class A-1-B Preferred Shares</w:t>
      </w:r>
      <w:r>
        <w:rPr>
          <w:rFonts w:ascii="Arial" w:cs="Arial" w:eastAsia="Arial" w:hAnsi="Arial"/>
          <w:sz w:val="21"/>
          <w:szCs w:val="21"/>
          <w:color w:val="auto"/>
        </w:rPr>
        <w:t>” (collectively with the Class A-1-A Preferred Shares, the “</w:t>
      </w:r>
      <w:r>
        <w:rPr>
          <w:rFonts w:ascii="Arial" w:cs="Arial" w:eastAsia="Arial" w:hAnsi="Arial"/>
          <w:sz w:val="21"/>
          <w:szCs w:val="21"/>
          <w:b w:val="1"/>
          <w:bCs w:val="1"/>
          <w:color w:val="auto"/>
        </w:rPr>
        <w:t>Class A-1 Preferred Shares</w:t>
      </w:r>
      <w:r>
        <w:rPr>
          <w:rFonts w:ascii="Arial" w:cs="Arial" w:eastAsia="Arial" w:hAnsi="Arial"/>
          <w:sz w:val="21"/>
          <w:szCs w:val="21"/>
          <w:color w:val="auto"/>
        </w:rPr>
        <w:t>”), “</w:t>
      </w:r>
      <w:r>
        <w:rPr>
          <w:rFonts w:ascii="Arial" w:cs="Arial" w:eastAsia="Arial" w:hAnsi="Arial"/>
          <w:sz w:val="21"/>
          <w:szCs w:val="21"/>
          <w:b w:val="1"/>
          <w:bCs w:val="1"/>
          <w:color w:val="auto"/>
        </w:rPr>
        <w:t>Class A-2 Preferred Shares</w:t>
      </w:r>
      <w:r>
        <w:rPr>
          <w:rFonts w:ascii="Arial" w:cs="Arial" w:eastAsia="Arial" w:hAnsi="Arial"/>
          <w:sz w:val="21"/>
          <w:szCs w:val="21"/>
          <w:color w:val="auto"/>
        </w:rPr>
        <w:t>”, “</w:t>
      </w:r>
      <w:r>
        <w:rPr>
          <w:rFonts w:ascii="Arial" w:cs="Arial" w:eastAsia="Arial" w:hAnsi="Arial"/>
          <w:sz w:val="21"/>
          <w:szCs w:val="21"/>
          <w:b w:val="1"/>
          <w:bCs w:val="1"/>
          <w:color w:val="auto"/>
        </w:rPr>
        <w:t>Class B Common</w:t>
      </w:r>
      <w:r>
        <w:rPr>
          <w:rFonts w:ascii="Arial" w:cs="Arial" w:eastAsia="Arial" w:hAnsi="Arial"/>
          <w:sz w:val="21"/>
          <w:szCs w:val="21"/>
          <w:color w:val="auto"/>
        </w:rPr>
        <w:t xml:space="preserve"> </w:t>
      </w:r>
      <w:r>
        <w:rPr>
          <w:rFonts w:ascii="Arial" w:cs="Arial" w:eastAsia="Arial" w:hAnsi="Arial"/>
          <w:sz w:val="21"/>
          <w:szCs w:val="21"/>
          <w:b w:val="1"/>
          <w:bCs w:val="1"/>
          <w:color w:val="auto"/>
        </w:rPr>
        <w:t>Shares</w:t>
      </w:r>
      <w:r>
        <w:rPr>
          <w:rFonts w:ascii="Arial" w:cs="Arial" w:eastAsia="Arial" w:hAnsi="Arial"/>
          <w:sz w:val="21"/>
          <w:szCs w:val="21"/>
          <w:color w:val="auto"/>
        </w:rPr>
        <w:t>”, “</w:t>
      </w:r>
      <w:r>
        <w:rPr>
          <w:rFonts w:ascii="Arial" w:cs="Arial" w:eastAsia="Arial" w:hAnsi="Arial"/>
          <w:sz w:val="21"/>
          <w:szCs w:val="21"/>
          <w:b w:val="1"/>
          <w:bCs w:val="1"/>
          <w:color w:val="auto"/>
        </w:rPr>
        <w:t>Class C Common Shares</w:t>
      </w:r>
      <w:r>
        <w:rPr>
          <w:rFonts w:ascii="Arial" w:cs="Arial" w:eastAsia="Arial" w:hAnsi="Arial"/>
          <w:sz w:val="21"/>
          <w:szCs w:val="21"/>
          <w:color w:val="auto"/>
        </w:rPr>
        <w:t>”, “</w:t>
      </w:r>
      <w:r>
        <w:rPr>
          <w:rFonts w:ascii="Arial" w:cs="Arial" w:eastAsia="Arial" w:hAnsi="Arial"/>
          <w:sz w:val="21"/>
          <w:szCs w:val="21"/>
          <w:b w:val="1"/>
          <w:bCs w:val="1"/>
          <w:color w:val="auto"/>
        </w:rPr>
        <w:t>Class D Common Shares</w:t>
      </w:r>
      <w:r>
        <w:rPr>
          <w:rFonts w:ascii="Arial" w:cs="Arial" w:eastAsia="Arial" w:hAnsi="Arial"/>
          <w:sz w:val="21"/>
          <w:szCs w:val="21"/>
          <w:color w:val="auto"/>
        </w:rPr>
        <w:t>”, “</w:t>
      </w:r>
      <w:r>
        <w:rPr>
          <w:rFonts w:ascii="Arial" w:cs="Arial" w:eastAsia="Arial" w:hAnsi="Arial"/>
          <w:sz w:val="21"/>
          <w:szCs w:val="21"/>
          <w:b w:val="1"/>
          <w:bCs w:val="1"/>
          <w:color w:val="auto"/>
        </w:rPr>
        <w:t>Class E Common Shares</w:t>
      </w:r>
      <w:r>
        <w:rPr>
          <w:rFonts w:ascii="Arial" w:cs="Arial" w:eastAsia="Arial" w:hAnsi="Arial"/>
          <w:sz w:val="21"/>
          <w:szCs w:val="21"/>
          <w:color w:val="auto"/>
        </w:rPr>
        <w:t>”, “</w:t>
      </w:r>
      <w:r>
        <w:rPr>
          <w:rFonts w:ascii="Arial" w:cs="Arial" w:eastAsia="Arial" w:hAnsi="Arial"/>
          <w:sz w:val="21"/>
          <w:szCs w:val="21"/>
          <w:b w:val="1"/>
          <w:bCs w:val="1"/>
          <w:color w:val="auto"/>
        </w:rPr>
        <w:t>Class H Common Shares</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Class F Preferred Shares</w:t>
      </w:r>
      <w:r>
        <w:rPr>
          <w:rFonts w:ascii="Arial" w:cs="Arial" w:eastAsia="Arial" w:hAnsi="Arial"/>
          <w:sz w:val="21"/>
          <w:szCs w:val="21"/>
          <w:color w:val="auto"/>
        </w:rPr>
        <w:t>”, and “</w:t>
      </w:r>
      <w:r>
        <w:rPr>
          <w:rFonts w:ascii="Arial" w:cs="Arial" w:eastAsia="Arial" w:hAnsi="Arial"/>
          <w:sz w:val="21"/>
          <w:szCs w:val="21"/>
          <w:b w:val="1"/>
          <w:bCs w:val="1"/>
          <w:color w:val="auto"/>
        </w:rPr>
        <w:t>Class G Preferred Shares</w:t>
      </w:r>
      <w:r>
        <w:rPr>
          <w:rFonts w:ascii="Arial" w:cs="Arial" w:eastAsia="Arial" w:hAnsi="Arial"/>
          <w:sz w:val="21"/>
          <w:szCs w:val="21"/>
          <w:color w:val="auto"/>
        </w:rPr>
        <w:t>”. Subject to the limitations (in each case to the extent applicable) set forth in Section 2.02, Section 2.07 and Section 6.13, the Company may, from time to time following the date of this Agreement, create and issue other classes and series of Shares or Equity Securities. Subject to approval by the Board of Directors, the Company is hereby authorized to issue an unlimited number of Class A-1-A Preferred Shares, Class A-1-B Preferred Shares, Class A-2 Preferred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70" w:name="page71"/>
    <w:bookmarkEnd w:id="70"/>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Class B Common Shares, Class C Common Shares, Class D Common Shares, Class E Common Shares, Class H Common Shares, Class F Preferred Shares, Class G Preferred Shares, and any new class or series of Shares or Equity Securities in the Company. The Company may issue fractional Shares, and all Shares shall be rounded to the nearest fourth decimal place. Ownership of a Share (or a fraction thereof) shall not entitle a Member to call for a partition or division of any property of the Company or for any accounting.</w:t>
      </w:r>
    </w:p>
    <w:p>
      <w:pPr>
        <w:spacing w:after="0" w:line="192" w:lineRule="exact"/>
        <w:rPr>
          <w:sz w:val="20"/>
          <w:szCs w:val="20"/>
          <w:color w:val="auto"/>
        </w:rPr>
      </w:pPr>
    </w:p>
    <w:p>
      <w:pPr>
        <w:jc w:val="both"/>
        <w:ind w:firstLine="1304"/>
        <w:spacing w:after="0" w:line="248" w:lineRule="auto"/>
        <w:tabs>
          <w:tab w:leader="none" w:pos="1885" w:val="left"/>
        </w:tabs>
        <w:numPr>
          <w:ilvl w:val="0"/>
          <w:numId w:val="40"/>
        </w:numPr>
        <w:rPr>
          <w:rFonts w:ascii="Arial" w:cs="Arial" w:eastAsia="Arial" w:hAnsi="Arial"/>
          <w:sz w:val="22"/>
          <w:szCs w:val="22"/>
          <w:color w:val="010000"/>
        </w:rPr>
      </w:pPr>
      <w:r>
        <w:rPr>
          <w:rFonts w:ascii="Arial" w:cs="Arial" w:eastAsia="Arial" w:hAnsi="Arial"/>
          <w:sz w:val="22"/>
          <w:szCs w:val="22"/>
          <w:color w:val="auto"/>
        </w:rPr>
        <w:t>The Members, their respective Commitments and Capital Contributions and their respective classes and numbers of Shares issued, sold, granted or Transferred to them shall be set forth on a ledger maintained by the Company (the “</w:t>
      </w:r>
      <w:r>
        <w:rPr>
          <w:rFonts w:ascii="Arial" w:cs="Arial" w:eastAsia="Arial" w:hAnsi="Arial"/>
          <w:sz w:val="22"/>
          <w:szCs w:val="22"/>
          <w:b w:val="1"/>
          <w:bCs w:val="1"/>
          <w:color w:val="auto"/>
        </w:rPr>
        <w:t>Members Schedule</w:t>
      </w:r>
      <w:r>
        <w:rPr>
          <w:rFonts w:ascii="Arial" w:cs="Arial" w:eastAsia="Arial" w:hAnsi="Arial"/>
          <w:sz w:val="22"/>
          <w:szCs w:val="22"/>
          <w:color w:val="auto"/>
        </w:rPr>
        <w:t>”), as may be amended and restated from time to time in accordance with the provisions of this Agreement. Absent manifest error, the ownership interests recorded on the Members Schedule shall be a conclusive record of the Shares that are issued and outstanding.</w:t>
      </w:r>
    </w:p>
    <w:p>
      <w:pPr>
        <w:spacing w:after="0" w:line="191" w:lineRule="exact"/>
        <w:rPr>
          <w:rFonts w:ascii="Arial" w:cs="Arial" w:eastAsia="Arial" w:hAnsi="Arial"/>
          <w:sz w:val="22"/>
          <w:szCs w:val="22"/>
          <w:color w:val="010000"/>
        </w:rPr>
      </w:pPr>
    </w:p>
    <w:p>
      <w:pPr>
        <w:jc w:val="both"/>
        <w:ind w:firstLine="1304"/>
        <w:spacing w:after="0" w:line="285" w:lineRule="auto"/>
        <w:tabs>
          <w:tab w:leader="none" w:pos="1873" w:val="left"/>
        </w:tabs>
        <w:numPr>
          <w:ilvl w:val="0"/>
          <w:numId w:val="40"/>
        </w:numPr>
        <w:rPr>
          <w:rFonts w:ascii="Arial" w:cs="Arial" w:eastAsia="Arial" w:hAnsi="Arial"/>
          <w:sz w:val="19"/>
          <w:szCs w:val="19"/>
          <w:color w:val="010000"/>
        </w:rPr>
      </w:pPr>
      <w:r>
        <w:rPr>
          <w:rFonts w:ascii="Arial" w:cs="Arial" w:eastAsia="Arial" w:hAnsi="Arial"/>
          <w:sz w:val="19"/>
          <w:szCs w:val="19"/>
          <w:color w:val="auto"/>
        </w:rPr>
        <w:t>A partial copy of the Members Schedule as of the date of the First A&amp;R Agreement showing only the aggregate number of each class of Shares held by the Members as at such time (but not any identifying information about the Persons holding any Shares) was provided to SoftBank prior to the execution of the SoftBank Purchase Agreement. A partial copy of the Members Schedule as of the date of the Second A&amp;R Agreement showing only the aggregate number of each class of Shares held by the Members (but not any identifying information about the Persons holding any Shares) was provided to Honda prior to the execution of the Honda Purchase Agreement. A partial copy of the Members Schedule as of the date of the Third A&amp;R Agreement showing only the aggregate number of each class of Shares held by the Members (but not any identifying information about the Persons holding any Shares (other than the Class F Preferred Shares)) was provided to the Class F Preferred Members prior to the execution of the Class F Purchase Agreement. A partial copy of the Members Schedule as of the date of the Sixth A&amp;R Agreement showing only the aggregate number of each class of Shares held by the Members (but not any identifying information about the Persons holding any Shares (other than the Class G Preferred Shares)) was provided to the Class G Preferred Members prior to the execution of the Class G Purchase Agreement. Any amendment or revision to the Members Schedule made to reflect an action taken in accordance with this Agreement shall not be deemed an amendment to this Agreement. A current copy of the Members Schedule shall be held in confidence by the Company and maintained in a separate file conspicuously marked as confidential. A redacted version of the Members Schedule shall be made available to any Member at the request of such Member, which such redacted version will show only the Shares held by such Member and the aggregate number of issued and outstanding Shares held by other Members (and not, for clarity, any other identifying information about any other Person holding Shares). Notwithstanding the foregoing, each of the GM Investor, SoftBank, Honda, and Microsoft shall be entitled to request a full and complete unredacted copy of the Members Schedule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22"/>
          <w:szCs w:val="22"/>
          <w:b w:val="1"/>
          <w:bCs w:val="1"/>
          <w:color w:val="auto"/>
        </w:rPr>
        <w:t>2.02</w:t>
      </w:r>
      <w:r>
        <w:rPr>
          <w:sz w:val="20"/>
          <w:szCs w:val="20"/>
          <w:color w:val="auto"/>
        </w:rPr>
        <w:tab/>
      </w:r>
      <w:r>
        <w:rPr>
          <w:rFonts w:ascii="Arial" w:cs="Arial" w:eastAsia="Arial" w:hAnsi="Arial"/>
          <w:sz w:val="19"/>
          <w:szCs w:val="19"/>
          <w:b w:val="1"/>
          <w:bCs w:val="1"/>
          <w:u w:val="single" w:color="auto"/>
          <w:color w:val="auto"/>
        </w:rPr>
        <w:t>Class A Preferred Shares; Class C Common Shares</w:t>
      </w:r>
      <w:r>
        <w:rPr>
          <w:rFonts w:ascii="Arial" w:cs="Arial" w:eastAsia="Arial" w:hAnsi="Arial"/>
          <w:sz w:val="19"/>
          <w:szCs w:val="19"/>
          <w:color w:val="auto"/>
        </w:rPr>
        <w:t>.</w:t>
      </w:r>
    </w:p>
    <w:p>
      <w:pPr>
        <w:spacing w:after="0" w:line="27" w:lineRule="exact"/>
        <w:rPr>
          <w:sz w:val="20"/>
          <w:szCs w:val="20"/>
          <w:color w:val="auto"/>
        </w:rPr>
      </w:pPr>
    </w:p>
    <w:p>
      <w:pPr>
        <w:jc w:val="both"/>
        <w:ind w:firstLine="1304"/>
        <w:spacing w:after="0" w:line="244" w:lineRule="auto"/>
        <w:tabs>
          <w:tab w:leader="none" w:pos="1752" w:val="left"/>
        </w:tabs>
        <w:numPr>
          <w:ilvl w:val="0"/>
          <w:numId w:val="41"/>
        </w:numPr>
        <w:rPr>
          <w:rFonts w:ascii="Arial" w:cs="Arial" w:eastAsia="Arial" w:hAnsi="Arial"/>
          <w:sz w:val="22"/>
          <w:szCs w:val="22"/>
          <w:color w:val="010000"/>
        </w:rPr>
      </w:pPr>
      <w:r>
        <w:rPr>
          <w:rFonts w:ascii="Arial" w:cs="Arial" w:eastAsia="Arial" w:hAnsi="Arial"/>
          <w:sz w:val="22"/>
          <w:szCs w:val="22"/>
          <w:color w:val="auto"/>
        </w:rPr>
        <w:t>Pursuant to the SoftBank Purchase Agreement, and subject to the terms and conditions thereof, SoftBank UK made Capital Contributions totaling $900,000,000 in the aggregate (the “</w:t>
      </w:r>
      <w:r>
        <w:rPr>
          <w:rFonts w:ascii="Arial" w:cs="Arial" w:eastAsia="Arial" w:hAnsi="Arial"/>
          <w:sz w:val="22"/>
          <w:szCs w:val="22"/>
          <w:b w:val="1"/>
          <w:bCs w:val="1"/>
          <w:color w:val="auto"/>
        </w:rPr>
        <w:t>SoftBank Commitment</w:t>
      </w:r>
      <w:r>
        <w:rPr>
          <w:rFonts w:ascii="Arial" w:cs="Arial" w:eastAsia="Arial" w:hAnsi="Arial"/>
          <w:sz w:val="22"/>
          <w:szCs w:val="22"/>
          <w:color w:val="auto"/>
        </w:rPr>
        <w:t>”), pursuant to which the Company issued to SoftBank UK 900,000 Class A-1-A Preferred Shares, which Class A-1-A Preferred Shares were subsequently Transferred by Softbank UK to SoftBank.</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(b)</w:t>
      </w:r>
    </w:p>
    <w:p>
      <w:pPr>
        <w:spacing w:after="0" w:line="220" w:lineRule="exact"/>
        <w:rPr>
          <w:sz w:val="20"/>
          <w:szCs w:val="20"/>
          <w:color w:val="auto"/>
        </w:rPr>
      </w:pPr>
    </w:p>
    <w:p>
      <w:pPr>
        <w:jc w:val="both"/>
        <w:ind w:firstLine="1952"/>
        <w:spacing w:after="0" w:line="288" w:lineRule="auto"/>
        <w:tabs>
          <w:tab w:leader="none" w:pos="2377" w:val="left"/>
        </w:tabs>
        <w:numPr>
          <w:ilvl w:val="0"/>
          <w:numId w:val="42"/>
        </w:numPr>
        <w:rPr>
          <w:rFonts w:ascii="Arial" w:cs="Arial" w:eastAsia="Arial" w:hAnsi="Arial"/>
          <w:sz w:val="19"/>
          <w:szCs w:val="19"/>
          <w:color w:val="010000"/>
        </w:rPr>
      </w:pPr>
      <w:r>
        <w:rPr>
          <w:rFonts w:ascii="Arial" w:cs="Arial" w:eastAsia="Arial" w:hAnsi="Arial"/>
          <w:sz w:val="19"/>
          <w:szCs w:val="19"/>
          <w:color w:val="auto"/>
        </w:rPr>
        <w:t>At any time that the Company determines, acting in good faith, that it is reasonably likely to be ready to commercially deploy vehicles in fully driverless operation (the date of readiness for such initial deployment, the “</w:t>
      </w:r>
      <w:r>
        <w:rPr>
          <w:rFonts w:ascii="Arial" w:cs="Arial" w:eastAsia="Arial" w:hAnsi="Arial"/>
          <w:sz w:val="19"/>
          <w:szCs w:val="19"/>
          <w:b w:val="1"/>
          <w:bCs w:val="1"/>
          <w:color w:val="auto"/>
        </w:rPr>
        <w:t>Commercial</w:t>
      </w:r>
      <w:r>
        <w:rPr>
          <w:rFonts w:ascii="Arial" w:cs="Arial" w:eastAsia="Arial" w:hAnsi="Arial"/>
          <w:sz w:val="19"/>
          <w:szCs w:val="19"/>
          <w:color w:val="auto"/>
        </w:rPr>
        <w:t xml:space="preserve"> </w:t>
      </w:r>
      <w:r>
        <w:rPr>
          <w:rFonts w:ascii="Arial" w:cs="Arial" w:eastAsia="Arial" w:hAnsi="Arial"/>
          <w:sz w:val="19"/>
          <w:szCs w:val="19"/>
          <w:b w:val="1"/>
          <w:bCs w:val="1"/>
          <w:color w:val="auto"/>
        </w:rPr>
        <w:t>Deployment</w:t>
      </w:r>
      <w:r>
        <w:rPr>
          <w:rFonts w:ascii="Arial" w:cs="Arial" w:eastAsia="Arial" w:hAnsi="Arial"/>
          <w:sz w:val="19"/>
          <w:szCs w:val="19"/>
          <w:color w:val="auto"/>
        </w:rPr>
        <w:t>”) within the following one hundred twenty (120) day period, the Company shall be entitled to deliver written notice</w:t>
      </w:r>
      <w:r>
        <w:rPr>
          <w:rFonts w:ascii="Arial" w:cs="Arial" w:eastAsia="Arial" w:hAnsi="Arial"/>
          <w:sz w:val="19"/>
          <w:szCs w:val="19"/>
          <w:b w:val="1"/>
          <w:bCs w:val="1"/>
          <w:color w:val="auto"/>
        </w:rPr>
        <w:t xml:space="preserve"> </w:t>
      </w:r>
      <w:r>
        <w:rPr>
          <w:rFonts w:ascii="Arial" w:cs="Arial" w:eastAsia="Arial" w:hAnsi="Arial"/>
          <w:sz w:val="19"/>
          <w:szCs w:val="19"/>
          <w:color w:val="auto"/>
        </w:rPr>
        <w:t>of such determination to SoftBank (it being understood that delivery of such written notice (or failure to deliver such written notice) shall not be binding in any respect and the failure of Commercial Deployment to occur on such timetable shall not constitute a breach of this Agreement by any Member or the Company). Following delivery of any such written notification, the Company and SoftBank (each acting reasonably and in good faith) will cooperate to identify and mutually agree upon, as promptly as reasonably practicable, whether any approvals, consents, registrations, permits or authorizations (or the expiration of any waiting periods) are required under the HSR Act or any comparable laws in any foreign jurisdiction (the “</w:t>
      </w:r>
      <w:r>
        <w:rPr>
          <w:rFonts w:ascii="Arial" w:cs="Arial" w:eastAsia="Arial" w:hAnsi="Arial"/>
          <w:sz w:val="19"/>
          <w:szCs w:val="19"/>
          <w:b w:val="1"/>
          <w:bCs w:val="1"/>
          <w:color w:val="auto"/>
        </w:rPr>
        <w:t>A-1-B Antitrust</w:t>
      </w:r>
      <w:r>
        <w:rPr>
          <w:rFonts w:ascii="Arial" w:cs="Arial" w:eastAsia="Arial" w:hAnsi="Arial"/>
          <w:sz w:val="19"/>
          <w:szCs w:val="19"/>
          <w:color w:val="auto"/>
        </w:rPr>
        <w:t xml:space="preserve"> </w:t>
      </w:r>
      <w:r>
        <w:rPr>
          <w:rFonts w:ascii="Arial" w:cs="Arial" w:eastAsia="Arial" w:hAnsi="Arial"/>
          <w:sz w:val="19"/>
          <w:szCs w:val="19"/>
          <w:b w:val="1"/>
          <w:bCs w:val="1"/>
          <w:color w:val="auto"/>
        </w:rPr>
        <w:t>Approvals</w:t>
      </w:r>
      <w:r>
        <w:rPr>
          <w:rFonts w:ascii="Arial" w:cs="Arial" w:eastAsia="Arial" w:hAnsi="Arial"/>
          <w:sz w:val="19"/>
          <w:szCs w:val="19"/>
          <w:color w:val="auto"/>
        </w:rPr>
        <w:t>”) in connection with the issuance of Class A-1-B Preferred Shares pursuant to Section 2.02(c).</w:t>
      </w:r>
    </w:p>
    <w:p>
      <w:pPr>
        <w:spacing w:after="0" w:line="159" w:lineRule="exact"/>
        <w:rPr>
          <w:rFonts w:ascii="Arial" w:cs="Arial" w:eastAsia="Arial" w:hAnsi="Arial"/>
          <w:sz w:val="19"/>
          <w:szCs w:val="19"/>
          <w:color w:val="010000"/>
        </w:rPr>
      </w:pPr>
    </w:p>
    <w:p>
      <w:pPr>
        <w:jc w:val="both"/>
        <w:ind w:firstLine="1952"/>
        <w:spacing w:after="0" w:line="286" w:lineRule="auto"/>
        <w:tabs>
          <w:tab w:leader="none" w:pos="2464" w:val="left"/>
        </w:tabs>
        <w:numPr>
          <w:ilvl w:val="0"/>
          <w:numId w:val="42"/>
        </w:numPr>
        <w:rPr>
          <w:rFonts w:ascii="Arial" w:cs="Arial" w:eastAsia="Arial" w:hAnsi="Arial"/>
          <w:sz w:val="19"/>
          <w:szCs w:val="19"/>
          <w:color w:val="010000"/>
        </w:rPr>
      </w:pPr>
      <w:r>
        <w:rPr>
          <w:rFonts w:ascii="Arial" w:cs="Arial" w:eastAsia="Arial" w:hAnsi="Arial"/>
          <w:sz w:val="19"/>
          <w:szCs w:val="19"/>
          <w:color w:val="auto"/>
        </w:rPr>
        <w:t xml:space="preserve">If any A-1-B Antitrust Approvals are identified and agreed pursuant to Section 2.02(b)(i) then each Class A-1 Preferred Member and each Class A-2 Preferred Member will (and will cause its Affiliates to) (A) make (as promptly as reasonably practicable) such notifications, registrations and filings necessary or advisable in connection with obtaining the A-1-B Antitrust Approvals and (B) without limiting the foregoing, use its reasonable best efforts to obtain (as promptly as reasonably practicable) the A-1-B Antitrust Approvals. If the A-1-B Antitrust Approvals are not obtained (or, as applicable, any waiting period has not expired or early termination of any waiting period has not been granted) prior to end of the Payment Period, then the Payment Period will be extended until such A-1-B Antitrust Approvals are obtained or until the waiting periods with respect to such A-1-B Antitrust Approvals have expired or been terminated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order to obtain such A-1-B Antitrust Approvals, (1) none of GM nor any of its Subsidiaries or other Affiliates shall be required to offer or commit to hold separate, sell, divest or dispose, or suffer any restriction on the operation, of any assets, properties or businesses of GM Parent or any of its Subsidiaries or other Affiliates (including the Company), and (2) none of SoftBank nor any of its Subsidiaries or other Affiliates shall be required to offer or commit to hold separate, sell, divest or dispose, or suffer any restriction on the operation, management, or governance of, any assets, properties or businesses of SoftBank or any portfolio companies (as such term is commonly understood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72" w:name="page73"/>
    <w:bookmarkEnd w:id="72"/>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private equity industry) of SoftBank or its Subsidiaries or Affiliates or, with the sole exception of the Company, any companies in which SoftBank or any of SoftBank’s Subsidiaries or other Affiliates hold a minority equity position.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(c)</w:t>
      </w:r>
    </w:p>
    <w:p>
      <w:pPr>
        <w:spacing w:after="0" w:line="220" w:lineRule="exact"/>
        <w:rPr>
          <w:sz w:val="20"/>
          <w:szCs w:val="20"/>
          <w:color w:val="auto"/>
        </w:rPr>
      </w:pPr>
    </w:p>
    <w:p>
      <w:pPr>
        <w:jc w:val="both"/>
        <w:ind w:firstLine="1952"/>
        <w:spacing w:after="0" w:line="286" w:lineRule="auto"/>
        <w:tabs>
          <w:tab w:leader="none" w:pos="2485" w:val="left"/>
        </w:tabs>
        <w:numPr>
          <w:ilvl w:val="0"/>
          <w:numId w:val="43"/>
        </w:numPr>
        <w:rPr>
          <w:rFonts w:ascii="Arial" w:cs="Arial" w:eastAsia="Arial" w:hAnsi="Arial"/>
          <w:sz w:val="19"/>
          <w:szCs w:val="19"/>
          <w:color w:val="010000"/>
        </w:rPr>
      </w:pPr>
      <w:r>
        <w:rPr>
          <w:rFonts w:ascii="Arial" w:cs="Arial" w:eastAsia="Arial" w:hAnsi="Arial"/>
          <w:sz w:val="19"/>
          <w:szCs w:val="19"/>
          <w:color w:val="auto"/>
        </w:rPr>
        <w:t>Within three (3) Business Days of the date on which Commercial Deployment has occurred, the Company will provide written notice to SoftBank and the GM Investor of the same (such notice, the “</w:t>
      </w:r>
      <w:r>
        <w:rPr>
          <w:rFonts w:ascii="Arial" w:cs="Arial" w:eastAsia="Arial" w:hAnsi="Arial"/>
          <w:sz w:val="19"/>
          <w:szCs w:val="19"/>
          <w:b w:val="1"/>
          <w:bCs w:val="1"/>
          <w:color w:val="auto"/>
        </w:rPr>
        <w:t>CD Notice</w:t>
      </w:r>
      <w:r>
        <w:rPr>
          <w:rFonts w:ascii="Arial" w:cs="Arial" w:eastAsia="Arial" w:hAnsi="Arial"/>
          <w:sz w:val="19"/>
          <w:szCs w:val="19"/>
          <w:color w:val="auto"/>
        </w:rPr>
        <w:t>”). Subject to the satisfaction of the Second Tranche Conditions, within fifty (50) days (or such shorter period contemplated by the immediately following sentence) of the delivery of the CD Notice (such applicable period, the “</w:t>
      </w:r>
      <w:r>
        <w:rPr>
          <w:rFonts w:ascii="Arial" w:cs="Arial" w:eastAsia="Arial" w:hAnsi="Arial"/>
          <w:sz w:val="19"/>
          <w:szCs w:val="19"/>
          <w:b w:val="1"/>
          <w:bCs w:val="1"/>
          <w:color w:val="auto"/>
        </w:rPr>
        <w:t>Payment Period</w:t>
      </w:r>
      <w:r>
        <w:rPr>
          <w:rFonts w:ascii="Arial" w:cs="Arial" w:eastAsia="Arial" w:hAnsi="Arial"/>
          <w:sz w:val="19"/>
          <w:szCs w:val="19"/>
          <w:color w:val="auto"/>
        </w:rPr>
        <w:t>”), SoftBank will purchase and acquire from the Company, and the Company will issue, sell and deliver to SoftBank, a number of Class A-1-B Preferred Shares equal to $1,350,000,000 (the “</w:t>
      </w:r>
      <w:r>
        <w:rPr>
          <w:rFonts w:ascii="Arial" w:cs="Arial" w:eastAsia="Arial" w:hAnsi="Arial"/>
          <w:sz w:val="19"/>
          <w:szCs w:val="19"/>
          <w:b w:val="1"/>
          <w:bCs w:val="1"/>
          <w:color w:val="auto"/>
        </w:rPr>
        <w:t>Subsequent SoftBank Commitment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the Class A-1-B Preferred Capital Value, in consideration for payment by SoftBank in full of such amount paid by wire transfer of immediately available funds to an account designated by the Company and free and clear of any withholding. If GM, prior to the date that Commercial Deployment occurs, confirms (by way of a binding and irrevocable written notice to SoftBank (the “</w:t>
      </w:r>
      <w:r>
        <w:rPr>
          <w:rFonts w:ascii="Arial" w:cs="Arial" w:eastAsia="Arial" w:hAnsi="Arial"/>
          <w:sz w:val="19"/>
          <w:szCs w:val="19"/>
          <w:b w:val="1"/>
          <w:bCs w:val="1"/>
          <w:color w:val="auto"/>
        </w:rPr>
        <w:t>Advance Notice</w:t>
      </w:r>
      <w:r>
        <w:rPr>
          <w:rFonts w:ascii="Arial" w:cs="Arial" w:eastAsia="Arial" w:hAnsi="Arial"/>
          <w:sz w:val="19"/>
          <w:szCs w:val="19"/>
          <w:color w:val="auto"/>
        </w:rPr>
        <w:t xml:space="preserve">”)) the definitive date on which Commercial Deployment will occur, then the Payment Period will be reduced by the aggregate number of days between the date the Advance Notice is delivered to SoftBank in accordance with the terms of this Agreement and the date of Commercial Deployment; </w:t>
      </w:r>
      <w:r>
        <w:rPr>
          <w:rFonts w:ascii="Arial" w:cs="Arial" w:eastAsia="Arial" w:hAnsi="Arial"/>
          <w:sz w:val="19"/>
          <w:szCs w:val="19"/>
          <w:u w:val="single" w:color="auto"/>
          <w:color w:val="auto"/>
        </w:rPr>
        <w:t>provided</w:t>
      </w:r>
      <w:r>
        <w:rPr>
          <w:rFonts w:ascii="Arial" w:cs="Arial" w:eastAsia="Arial" w:hAnsi="Arial"/>
          <w:sz w:val="19"/>
          <w:szCs w:val="19"/>
          <w:color w:val="auto"/>
        </w:rPr>
        <w:t>, that in no event will the Payment Period be reduced to fewer than twenty five (25) days following the date on which Commercial Deployment occurs.</w:t>
      </w:r>
    </w:p>
    <w:p>
      <w:pPr>
        <w:spacing w:after="0" w:line="165" w:lineRule="exact"/>
        <w:rPr>
          <w:rFonts w:ascii="Arial" w:cs="Arial" w:eastAsia="Arial" w:hAnsi="Arial"/>
          <w:sz w:val="19"/>
          <w:szCs w:val="19"/>
          <w:color w:val="010000"/>
        </w:rPr>
      </w:pPr>
    </w:p>
    <w:p>
      <w:pPr>
        <w:jc w:val="both"/>
        <w:ind w:firstLine="1952"/>
        <w:spacing w:after="0" w:line="287" w:lineRule="auto"/>
        <w:tabs>
          <w:tab w:leader="none" w:pos="2478" w:val="left"/>
        </w:tabs>
        <w:numPr>
          <w:ilvl w:val="0"/>
          <w:numId w:val="43"/>
        </w:numPr>
        <w:rPr>
          <w:rFonts w:ascii="Arial" w:cs="Arial" w:eastAsia="Arial" w:hAnsi="Arial"/>
          <w:sz w:val="19"/>
          <w:szCs w:val="19"/>
          <w:color w:val="010000"/>
        </w:rPr>
      </w:pPr>
      <w:r>
        <w:rPr>
          <w:rFonts w:ascii="Arial" w:cs="Arial" w:eastAsia="Arial" w:hAnsi="Arial"/>
          <w:sz w:val="19"/>
          <w:szCs w:val="19"/>
          <w:color w:val="auto"/>
        </w:rPr>
        <w:t>If the Second Tranche Conditions have been satisfied but the Subsequent SoftBank Commitment is not fully paid by start of the Business Day following the final day of the Payment Period, then, automatically and without any further action by the Company or any Member (and without any recourse by any Member): (A) the provisions of Section 6.13(a) through 6.13(d) will be suspended and cease to apply for such time as any amount of the Subsequent SoftBank Commitment is due and payable but remains unpaid, (B) the Class A-1 Preferred Return will cease to accrue on each Class A-1 Preferred Share (with, subject to the immediately following proviso, no catch-up right or right to be made whole if the Subsequent SoftBank Commitment is later paid in full; provided, that if the Subsequent SoftBank Commitment is paid in full within fifteen (15) days of the final day of the Payment Period (such fifteen (15) day period, the “</w:t>
      </w:r>
      <w:r>
        <w:rPr>
          <w:rFonts w:ascii="Arial" w:cs="Arial" w:eastAsia="Arial" w:hAnsi="Arial"/>
          <w:sz w:val="19"/>
          <w:szCs w:val="19"/>
          <w:b w:val="1"/>
          <w:bCs w:val="1"/>
          <w:color w:val="auto"/>
        </w:rPr>
        <w:t>Cure Period</w:t>
      </w:r>
      <w:r>
        <w:rPr>
          <w:rFonts w:ascii="Arial" w:cs="Arial" w:eastAsia="Arial" w:hAnsi="Arial"/>
          <w:sz w:val="19"/>
          <w:szCs w:val="19"/>
          <w:color w:val="auto"/>
        </w:rPr>
        <w:t>”), each Class A-1 Preferred Share will be entitled to the Class A-1 Preferred Return accrued during the period beginning on the final day of the Payment Period and ending on the date that the Subsequent SoftBank Commitment is fully paid), and (C) in the event that the Subsequent SoftBank Commitment is not paid in full by the end of the Cure Period, the amendments to this Agreement contemplated by Sections 2.02(d)(i) and Section 2.02(d)(ii) will apply and become effective from and after the final day of the Cure Period.</w:t>
      </w:r>
    </w:p>
    <w:p>
      <w:pPr>
        <w:spacing w:after="0" w:line="158" w:lineRule="exact"/>
        <w:rPr>
          <w:rFonts w:ascii="Arial" w:cs="Arial" w:eastAsia="Arial" w:hAnsi="Arial"/>
          <w:sz w:val="19"/>
          <w:szCs w:val="19"/>
          <w:color w:val="010000"/>
        </w:rPr>
      </w:pPr>
    </w:p>
    <w:p>
      <w:pPr>
        <w:jc w:val="both"/>
        <w:ind w:firstLine="1952"/>
        <w:spacing w:after="0" w:line="253" w:lineRule="auto"/>
        <w:tabs>
          <w:tab w:leader="none" w:pos="2484" w:val="left"/>
        </w:tabs>
        <w:numPr>
          <w:ilvl w:val="0"/>
          <w:numId w:val="43"/>
        </w:numPr>
        <w:rPr>
          <w:rFonts w:ascii="Arial" w:cs="Arial" w:eastAsia="Arial" w:hAnsi="Arial"/>
          <w:sz w:val="22"/>
          <w:szCs w:val="22"/>
          <w:color w:val="010000"/>
        </w:rPr>
      </w:pPr>
      <w:r>
        <w:rPr>
          <w:rFonts w:ascii="Arial" w:cs="Arial" w:eastAsia="Arial" w:hAnsi="Arial"/>
          <w:sz w:val="22"/>
          <w:szCs w:val="22"/>
          <w:color w:val="auto"/>
        </w:rPr>
        <w:t>The remedies provided for in Section 2.02(c)(ii) are in addition to, and not in limitation of, any other right of the Company or any other Member provided by law, this Agreement or any other agreement entered into by or among any one or more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73" w:name="page74"/>
    <w:bookmarkEnd w:id="73"/>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Members (or their Affiliates) or the Company (including any rights arising as a result of or in connection with a breach by SoftBank of its obligations under Section 5.1 of the SoftBank Purchase Agreement). Each Member further acknowledges that any actions taken or not taken by the Company pursuant to Section 2.02(c)(ii) shall not constitute a breach of this Agreement or any other duty stated or implied in law or equity to any Member.</w:t>
      </w:r>
    </w:p>
    <w:p>
      <w:pPr>
        <w:spacing w:after="0" w:line="188" w:lineRule="exact"/>
        <w:rPr>
          <w:sz w:val="20"/>
          <w:szCs w:val="20"/>
          <w:color w:val="auto"/>
        </w:rPr>
      </w:pPr>
    </w:p>
    <w:p>
      <w:pPr>
        <w:jc w:val="both"/>
        <w:ind w:firstLine="1304"/>
        <w:spacing w:after="0" w:line="302" w:lineRule="auto"/>
        <w:tabs>
          <w:tab w:leader="none" w:pos="1777" w:val="left"/>
        </w:tabs>
        <w:numPr>
          <w:ilvl w:val="0"/>
          <w:numId w:val="44"/>
        </w:numPr>
        <w:rPr>
          <w:rFonts w:ascii="Arial" w:cs="Arial" w:eastAsia="Arial" w:hAnsi="Arial"/>
          <w:sz w:val="19"/>
          <w:szCs w:val="19"/>
          <w:color w:val="010000"/>
        </w:rPr>
      </w:pPr>
      <w:r>
        <w:rPr>
          <w:rFonts w:ascii="Arial" w:cs="Arial" w:eastAsia="Arial" w:hAnsi="Arial"/>
          <w:sz w:val="19"/>
          <w:szCs w:val="19"/>
          <w:color w:val="auto"/>
        </w:rPr>
        <w:t>If the SoftBank CFIUS Condition has not been satisfied prior to the occurrence of Commercial Deployment, then (without prejudice to the rights of GM or the Company arising as a result of or in connection with any breach by SoftBank of its obligations under Section 5.1 of the SoftBank Purchase Agreement) upon the occurrence of Commercial Deployment, automatically and without any further action by the Company or any Member (and without any recourse by any Member):</w:t>
      </w:r>
    </w:p>
    <w:p>
      <w:pPr>
        <w:spacing w:after="0" w:line="142" w:lineRule="exact"/>
        <w:rPr>
          <w:rFonts w:ascii="Arial" w:cs="Arial" w:eastAsia="Arial" w:hAnsi="Arial"/>
          <w:sz w:val="19"/>
          <w:szCs w:val="19"/>
          <w:color w:val="010000"/>
        </w:rPr>
      </w:pPr>
    </w:p>
    <w:p>
      <w:pPr>
        <w:ind w:firstLine="1952"/>
        <w:spacing w:after="0" w:line="343" w:lineRule="auto"/>
        <w:tabs>
          <w:tab w:leader="none" w:pos="2418" w:val="left"/>
        </w:tabs>
        <w:numPr>
          <w:ilvl w:val="1"/>
          <w:numId w:val="44"/>
        </w:numPr>
        <w:rPr>
          <w:rFonts w:ascii="Arial" w:cs="Arial" w:eastAsia="Arial" w:hAnsi="Arial"/>
          <w:sz w:val="19"/>
          <w:szCs w:val="19"/>
          <w:color w:val="010000"/>
        </w:rPr>
      </w:pPr>
      <w:r>
        <w:rPr>
          <w:rFonts w:ascii="Arial" w:cs="Arial" w:eastAsia="Arial" w:hAnsi="Arial"/>
          <w:sz w:val="19"/>
          <w:szCs w:val="19"/>
          <w:color w:val="auto"/>
        </w:rPr>
        <w:t>the Class A-1 Preferred Return will (effective on and after the date of Commercial Deployment) be permanently reduced from a rate of seven percent (7%) per annum to a rate of three and a half percent (3.5%) per annum;</w:t>
      </w:r>
    </w:p>
    <w:p>
      <w:pPr>
        <w:spacing w:after="0" w:line="104" w:lineRule="exact"/>
        <w:rPr>
          <w:rFonts w:ascii="Arial" w:cs="Arial" w:eastAsia="Arial" w:hAnsi="Arial"/>
          <w:sz w:val="19"/>
          <w:szCs w:val="19"/>
          <w:color w:val="010000"/>
        </w:rPr>
      </w:pPr>
    </w:p>
    <w:p>
      <w:pPr>
        <w:ind w:left="2520" w:hanging="568"/>
        <w:spacing w:after="0"/>
        <w:tabs>
          <w:tab w:leader="none" w:pos="2520" w:val="left"/>
        </w:tabs>
        <w:numPr>
          <w:ilvl w:val="1"/>
          <w:numId w:val="44"/>
        </w:numPr>
        <w:rPr>
          <w:rFonts w:ascii="Arial" w:cs="Arial" w:eastAsia="Arial" w:hAnsi="Arial"/>
          <w:sz w:val="19"/>
          <w:szCs w:val="19"/>
          <w:color w:val="010000"/>
        </w:rPr>
      </w:pPr>
      <w:r>
        <w:rPr>
          <w:rFonts w:ascii="Arial" w:cs="Arial" w:eastAsia="Arial" w:hAnsi="Arial"/>
          <w:sz w:val="19"/>
          <w:szCs w:val="19"/>
          <w:color w:val="auto"/>
        </w:rPr>
        <w:t>the denominator in the definition of A-1-A Preferred Share Conversion Ratio will be permanently</w:t>
      </w:r>
    </w:p>
    <w:p>
      <w:pPr>
        <w:spacing w:after="0" w:line="5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increased from $10 to $16;</w:t>
      </w:r>
    </w:p>
    <w:p>
      <w:pPr>
        <w:spacing w:after="0" w:line="201" w:lineRule="exact"/>
        <w:rPr>
          <w:rFonts w:ascii="Arial" w:cs="Arial" w:eastAsia="Arial" w:hAnsi="Arial"/>
          <w:sz w:val="19"/>
          <w:szCs w:val="19"/>
          <w:color w:val="010000"/>
        </w:rPr>
      </w:pPr>
    </w:p>
    <w:p>
      <w:pPr>
        <w:jc w:val="both"/>
        <w:ind w:firstLine="1952"/>
        <w:spacing w:after="0" w:line="246" w:lineRule="auto"/>
        <w:tabs>
          <w:tab w:leader="none" w:pos="2524" w:val="left"/>
        </w:tabs>
        <w:numPr>
          <w:ilvl w:val="1"/>
          <w:numId w:val="44"/>
        </w:numPr>
        <w:rPr>
          <w:rFonts w:ascii="Arial" w:cs="Arial" w:eastAsia="Arial" w:hAnsi="Arial"/>
          <w:sz w:val="22"/>
          <w:szCs w:val="22"/>
          <w:color w:val="010000"/>
        </w:rPr>
      </w:pPr>
      <w:r>
        <w:rPr>
          <w:rFonts w:ascii="Arial" w:cs="Arial" w:eastAsia="Arial" w:hAnsi="Arial"/>
          <w:sz w:val="22"/>
          <w:szCs w:val="22"/>
          <w:color w:val="auto"/>
        </w:rPr>
        <w:t>the conversion ratio for the Class A-2 Preferred Shares pursuant to Section 2.11(a), Section 9.07(a) (i), Section 9.10(a), clause (ii) of the definition of “Control Period”, the definition of “SoftBank Floor Amount”, clause (i) of the definition of “Optional SoftBank Conversion Share Price”, the definition of “Per Class A-1 Preferred Share FMV” and clause (i) of the definition of “Preemptive Proportion” shall be adjusted from a 1:1 ratio to 0.625 of a Class C Common Share per one Class A-2 Preferred Share (as adjusted, as necessary, to reflect appropriate and proportional adjustments to take into account any subdivision, reorganization, reclassification, recapitalization, stock split, reverse stock split, combination of shares or similar event); and</w:t>
      </w:r>
    </w:p>
    <w:p>
      <w:pPr>
        <w:spacing w:after="0" w:line="196" w:lineRule="exact"/>
        <w:rPr>
          <w:rFonts w:ascii="Arial" w:cs="Arial" w:eastAsia="Arial" w:hAnsi="Arial"/>
          <w:sz w:val="22"/>
          <w:szCs w:val="22"/>
          <w:color w:val="010000"/>
        </w:rPr>
      </w:pPr>
    </w:p>
    <w:p>
      <w:pPr>
        <w:ind w:left="2480" w:hanging="528"/>
        <w:spacing w:after="0"/>
        <w:tabs>
          <w:tab w:leader="none" w:pos="2480" w:val="left"/>
        </w:tabs>
        <w:numPr>
          <w:ilvl w:val="1"/>
          <w:numId w:val="44"/>
        </w:numPr>
        <w:rPr>
          <w:rFonts w:ascii="Arial" w:cs="Arial" w:eastAsia="Arial" w:hAnsi="Arial"/>
          <w:sz w:val="22"/>
          <w:szCs w:val="22"/>
          <w:color w:val="010000"/>
        </w:rPr>
      </w:pPr>
      <w:r>
        <w:rPr>
          <w:rFonts w:ascii="Arial" w:cs="Arial" w:eastAsia="Arial" w:hAnsi="Arial"/>
          <w:sz w:val="22"/>
          <w:szCs w:val="22"/>
          <w:color w:val="auto"/>
        </w:rPr>
        <w:t>Section 6.13(c) will be amended to read, in its entirety, as follows:</w:t>
      </w:r>
    </w:p>
    <w:p>
      <w:pPr>
        <w:spacing w:after="0" w:line="220" w:lineRule="exact"/>
        <w:rPr>
          <w:sz w:val="20"/>
          <w:szCs w:val="20"/>
          <w:color w:val="auto"/>
        </w:rPr>
      </w:pPr>
    </w:p>
    <w:p>
      <w:pPr>
        <w:jc w:val="both"/>
        <w:ind w:left="660" w:right="660"/>
        <w:spacing w:after="0" w:line="248" w:lineRule="auto"/>
        <w:rPr>
          <w:sz w:val="20"/>
          <w:szCs w:val="20"/>
          <w:color w:val="auto"/>
        </w:rPr>
      </w:pPr>
      <w:r>
        <w:rPr>
          <w:rFonts w:ascii="Arial" w:cs="Arial" w:eastAsia="Arial" w:hAnsi="Arial"/>
          <w:sz w:val="22"/>
          <w:szCs w:val="22"/>
          <w:color w:val="auto"/>
        </w:rPr>
        <w:t>“issue any Equity Securities that have rights, preferences or privileges with respect to Distributions, senior to the rights of the Class A-1 Preferred Shares in Sections 3.01(b)(i) or 3.02(a)(i) (“</w:t>
      </w:r>
      <w:r>
        <w:rPr>
          <w:rFonts w:ascii="Arial" w:cs="Arial" w:eastAsia="Arial" w:hAnsi="Arial"/>
          <w:sz w:val="22"/>
          <w:szCs w:val="22"/>
          <w:b w:val="1"/>
          <w:bCs w:val="1"/>
          <w:color w:val="auto"/>
        </w:rPr>
        <w:t>Senior Securities</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that this Section 6.13(c) will not apply to the first $1,350,000,000 of new Senior Securities issued after the occurrence of Commercial Deployment (with such amount being calculated based on the consideration paid by the recipient(s) of such Senior Securities).”</w:t>
      </w:r>
    </w:p>
    <w:p>
      <w:pPr>
        <w:spacing w:after="0" w:line="192" w:lineRule="exact"/>
        <w:rPr>
          <w:sz w:val="20"/>
          <w:szCs w:val="20"/>
          <w:color w:val="auto"/>
        </w:rPr>
      </w:pPr>
    </w:p>
    <w:p>
      <w:pPr>
        <w:jc w:val="both"/>
        <w:ind w:firstLine="1304"/>
        <w:spacing w:after="0" w:line="248" w:lineRule="auto"/>
        <w:tabs>
          <w:tab w:leader="none" w:pos="1900" w:val="left"/>
        </w:tabs>
        <w:numPr>
          <w:ilvl w:val="0"/>
          <w:numId w:val="45"/>
        </w:numPr>
        <w:rPr>
          <w:rFonts w:ascii="Arial" w:cs="Arial" w:eastAsia="Arial" w:hAnsi="Arial"/>
          <w:sz w:val="22"/>
          <w:szCs w:val="22"/>
          <w:color w:val="010000"/>
        </w:rPr>
      </w:pPr>
      <w:r>
        <w:rPr>
          <w:rFonts w:ascii="Arial" w:cs="Arial" w:eastAsia="Arial" w:hAnsi="Arial"/>
          <w:sz w:val="22"/>
          <w:szCs w:val="22"/>
          <w:color w:val="auto"/>
        </w:rPr>
        <w:t>Pursuant to the SoftBank Purchase Agreement and the IPMA, and subject to the terms and conditions thereof, on the Original Closing Date, GM (i) made, (A) a Capital Contribution totaling $1,100,000,000 in the aggregate and (B) a contribution of the Transferred Entities (as defined in the SoftBank Purchase Agreement) pursuant to the Restructuring (as defined in the SoftBank Purchase Agreement) and (ii) granted certain rights to the Company under the IPMA (together with the contributions in clause (i), the “</w:t>
      </w:r>
      <w:r>
        <w:rPr>
          <w:rFonts w:ascii="Arial" w:cs="Arial" w:eastAsia="Arial" w:hAnsi="Arial"/>
          <w:sz w:val="22"/>
          <w:szCs w:val="22"/>
          <w:b w:val="1"/>
          <w:bCs w:val="1"/>
          <w:color w:val="auto"/>
        </w:rPr>
        <w:t>GM Commitment</w:t>
      </w:r>
      <w:r>
        <w:rPr>
          <w:rFonts w:ascii="Arial" w:cs="Arial" w:eastAsia="Arial" w:hAnsi="Arial"/>
          <w:sz w:val="22"/>
          <w:szCs w:val="22"/>
          <w:color w:val="auto"/>
        </w:rPr>
        <w: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74" w:name="page75"/>
    <w:bookmarkEnd w:id="74"/>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exchange for which the Company issued to GM 1,100,000 Class A-2 Preferred Shares and 5,500,000 Class C Common Shares.</w:t>
      </w:r>
    </w:p>
    <w:p>
      <w:pPr>
        <w:spacing w:after="0" w:line="254" w:lineRule="exact"/>
        <w:rPr>
          <w:sz w:val="20"/>
          <w:szCs w:val="20"/>
          <w:color w:val="auto"/>
        </w:rPr>
      </w:pPr>
    </w:p>
    <w:p>
      <w:pPr>
        <w:ind w:firstLine="1304"/>
        <w:spacing w:after="0" w:line="263" w:lineRule="auto"/>
        <w:tabs>
          <w:tab w:leader="none" w:pos="2038" w:val="left"/>
        </w:tabs>
        <w:numPr>
          <w:ilvl w:val="0"/>
          <w:numId w:val="46"/>
        </w:numPr>
        <w:rPr>
          <w:rFonts w:ascii="Arial" w:cs="Arial" w:eastAsia="Arial" w:hAnsi="Arial"/>
          <w:sz w:val="22"/>
          <w:szCs w:val="22"/>
          <w:color w:val="010000"/>
        </w:rPr>
      </w:pPr>
      <w:r>
        <w:rPr>
          <w:rFonts w:ascii="Arial" w:cs="Arial" w:eastAsia="Arial" w:hAnsi="Arial"/>
          <w:sz w:val="22"/>
          <w:szCs w:val="22"/>
          <w:color w:val="auto"/>
        </w:rPr>
        <w:t>As promptly as reasonably practicable following the consummation of the Subsequent SoftBank Commitment, the Company shall deliver to Honda an updated Members Schedule.</w:t>
      </w:r>
    </w:p>
    <w:p>
      <w:pPr>
        <w:spacing w:after="0" w:line="16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2.03</w:t>
      </w:r>
      <w:r>
        <w:rPr>
          <w:sz w:val="20"/>
          <w:szCs w:val="20"/>
          <w:color w:val="auto"/>
        </w:rPr>
        <w:tab/>
      </w:r>
      <w:r>
        <w:rPr>
          <w:rFonts w:ascii="Arial" w:cs="Arial" w:eastAsia="Arial" w:hAnsi="Arial"/>
          <w:sz w:val="19"/>
          <w:szCs w:val="19"/>
          <w:b w:val="1"/>
          <w:bCs w:val="1"/>
          <w:u w:val="single" w:color="auto"/>
          <w:color w:val="auto"/>
        </w:rPr>
        <w:t>Class B Common Shares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49" w:lineRule="auto"/>
        <w:tabs>
          <w:tab w:leader="none" w:pos="1900" w:val="left"/>
        </w:tabs>
        <w:numPr>
          <w:ilvl w:val="0"/>
          <w:numId w:val="47"/>
        </w:numPr>
        <w:rPr>
          <w:rFonts w:ascii="Arial" w:cs="Arial" w:eastAsia="Arial" w:hAnsi="Arial"/>
          <w:sz w:val="22"/>
          <w:szCs w:val="22"/>
          <w:color w:val="010000"/>
        </w:rPr>
      </w:pPr>
      <w:r>
        <w:rPr>
          <w:rFonts w:ascii="Arial" w:cs="Arial" w:eastAsia="Arial" w:hAnsi="Arial"/>
          <w:sz w:val="22"/>
          <w:szCs w:val="22"/>
          <w:color w:val="auto"/>
        </w:rPr>
        <w:t>Awards of Class B Common Shares (“</w:t>
      </w:r>
      <w:r>
        <w:rPr>
          <w:rFonts w:ascii="Arial" w:cs="Arial" w:eastAsia="Arial" w:hAnsi="Arial"/>
          <w:sz w:val="22"/>
          <w:szCs w:val="22"/>
          <w:b w:val="1"/>
          <w:bCs w:val="1"/>
          <w:color w:val="auto"/>
        </w:rPr>
        <w:t>Share Awards</w:t>
      </w:r>
      <w:r>
        <w:rPr>
          <w:rFonts w:ascii="Arial" w:cs="Arial" w:eastAsia="Arial" w:hAnsi="Arial"/>
          <w:sz w:val="22"/>
          <w:szCs w:val="22"/>
          <w:color w:val="auto"/>
        </w:rPr>
        <w:t>”), options to purchase Class B Common Shares (“</w:t>
      </w:r>
      <w:r>
        <w:rPr>
          <w:rFonts w:ascii="Arial" w:cs="Arial" w:eastAsia="Arial" w:hAnsi="Arial"/>
          <w:sz w:val="22"/>
          <w:szCs w:val="22"/>
          <w:b w:val="1"/>
          <w:bCs w:val="1"/>
          <w:color w:val="auto"/>
        </w:rPr>
        <w:t>Options</w:t>
      </w:r>
      <w:r>
        <w:rPr>
          <w:rFonts w:ascii="Arial" w:cs="Arial" w:eastAsia="Arial" w:hAnsi="Arial"/>
          <w:sz w:val="22"/>
          <w:szCs w:val="22"/>
          <w:color w:val="auto"/>
        </w:rPr>
        <w:t>”) and restricted stock units in respect of Class B Common Shares (“</w:t>
      </w:r>
      <w:r>
        <w:rPr>
          <w:rFonts w:ascii="Arial" w:cs="Arial" w:eastAsia="Arial" w:hAnsi="Arial"/>
          <w:sz w:val="22"/>
          <w:szCs w:val="22"/>
          <w:b w:val="1"/>
          <w:bCs w:val="1"/>
          <w:color w:val="auto"/>
        </w:rPr>
        <w:t>RSUs</w:t>
      </w:r>
      <w:r>
        <w:rPr>
          <w:rFonts w:ascii="Arial" w:cs="Arial" w:eastAsia="Arial" w:hAnsi="Arial"/>
          <w:sz w:val="22"/>
          <w:szCs w:val="22"/>
          <w:color w:val="auto"/>
        </w:rPr>
        <w:t>”, and collectively with Share Awards and Options, “</w:t>
      </w:r>
      <w:r>
        <w:rPr>
          <w:rFonts w:ascii="Arial" w:cs="Arial" w:eastAsia="Arial" w:hAnsi="Arial"/>
          <w:sz w:val="22"/>
          <w:szCs w:val="22"/>
          <w:b w:val="1"/>
          <w:bCs w:val="1"/>
          <w:color w:val="auto"/>
        </w:rPr>
        <w:t>Equity Awards</w:t>
      </w:r>
      <w:r>
        <w:rPr>
          <w:rFonts w:ascii="Arial" w:cs="Arial" w:eastAsia="Arial" w:hAnsi="Arial"/>
          <w:sz w:val="22"/>
          <w:szCs w:val="22"/>
          <w:color w:val="auto"/>
        </w:rPr>
        <w:t>”) may be granted or issued, as applicable, on or after the Original Closing Date to Employee Members pursuant to the terms of a Share Grant Agreement and in accordance with the 2018 Incentive Plan or any successor employee incentive plan.</w:t>
      </w:r>
    </w:p>
    <w:p>
      <w:pPr>
        <w:spacing w:after="0" w:line="192" w:lineRule="exact"/>
        <w:rPr>
          <w:rFonts w:ascii="Arial" w:cs="Arial" w:eastAsia="Arial" w:hAnsi="Arial"/>
          <w:sz w:val="22"/>
          <w:szCs w:val="22"/>
          <w:color w:val="010000"/>
        </w:rPr>
      </w:pPr>
    </w:p>
    <w:p>
      <w:pPr>
        <w:jc w:val="both"/>
        <w:ind w:firstLine="1304"/>
        <w:spacing w:after="0" w:line="302" w:lineRule="auto"/>
        <w:tabs>
          <w:tab w:leader="none" w:pos="1912" w:val="left"/>
        </w:tabs>
        <w:numPr>
          <w:ilvl w:val="0"/>
          <w:numId w:val="47"/>
        </w:numPr>
        <w:rPr>
          <w:rFonts w:ascii="Arial" w:cs="Arial" w:eastAsia="Arial" w:hAnsi="Arial"/>
          <w:sz w:val="19"/>
          <w:szCs w:val="19"/>
          <w:color w:val="010000"/>
        </w:rPr>
      </w:pPr>
      <w:r>
        <w:rPr>
          <w:rFonts w:ascii="Arial" w:cs="Arial" w:eastAsia="Arial" w:hAnsi="Arial"/>
          <w:sz w:val="19"/>
          <w:szCs w:val="19"/>
          <w:color w:val="auto"/>
        </w:rPr>
        <w:t>With respect to Fiscal Years 2021 and 2022, the Company may grant or issue to Employee Members (pursuant to Share Grant Agreements) Equity Awards that may be issued, exercised or settled into, in the aggregate, up to that maximum number of Class B Common Shares set forth in the 2018 Incentive Plan. From and after Fiscal Year 2022, the Company (acting upon the approval of the Board of Directors) may issue additional Equity Awards to Employee Members.</w:t>
      </w:r>
    </w:p>
    <w:p>
      <w:pPr>
        <w:spacing w:after="0" w:line="142" w:lineRule="exact"/>
        <w:rPr>
          <w:rFonts w:ascii="Arial" w:cs="Arial" w:eastAsia="Arial" w:hAnsi="Arial"/>
          <w:sz w:val="19"/>
          <w:szCs w:val="19"/>
          <w:color w:val="010000"/>
        </w:rPr>
      </w:pPr>
    </w:p>
    <w:p>
      <w:pPr>
        <w:jc w:val="both"/>
        <w:ind w:firstLine="1304"/>
        <w:spacing w:after="0" w:line="302" w:lineRule="auto"/>
        <w:tabs>
          <w:tab w:leader="none" w:pos="1833" w:val="left"/>
        </w:tabs>
        <w:numPr>
          <w:ilvl w:val="0"/>
          <w:numId w:val="47"/>
        </w:numPr>
        <w:rPr>
          <w:rFonts w:ascii="Arial" w:cs="Arial" w:eastAsia="Arial" w:hAnsi="Arial"/>
          <w:sz w:val="19"/>
          <w:szCs w:val="19"/>
          <w:color w:val="010000"/>
        </w:rPr>
      </w:pPr>
      <w:r>
        <w:rPr>
          <w:rFonts w:ascii="Arial" w:cs="Arial" w:eastAsia="Arial" w:hAnsi="Arial"/>
          <w:sz w:val="19"/>
          <w:szCs w:val="19"/>
          <w:color w:val="auto"/>
        </w:rPr>
        <w:t>The Board of Directors shall have the authority to determine the terms and conditions of the Share Grant Agreement to be executed by any Employee Members in connection with the grant of Equity Awards to such Employee Members (including terms and conditions relating to vesting, forfeiture, options to purchase and/or sell Class B Common Shares upon termination of employment and purchase prices and terms of any purchase and/or sale with respect thereto).</w:t>
      </w:r>
    </w:p>
    <w:p>
      <w:pPr>
        <w:spacing w:after="0" w:line="13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2.04</w:t>
      </w:r>
      <w:r>
        <w:rPr>
          <w:sz w:val="20"/>
          <w:szCs w:val="20"/>
          <w:color w:val="auto"/>
        </w:rPr>
        <w:tab/>
      </w:r>
      <w:r>
        <w:rPr>
          <w:rFonts w:ascii="Arial" w:cs="Arial" w:eastAsia="Arial" w:hAnsi="Arial"/>
          <w:sz w:val="18"/>
          <w:szCs w:val="18"/>
          <w:b w:val="1"/>
          <w:bCs w:val="1"/>
          <w:u w:val="single" w:color="auto"/>
          <w:color w:val="auto"/>
        </w:rPr>
        <w:t>Additional Classes of Shares</w:t>
      </w:r>
      <w:r>
        <w:rPr>
          <w:rFonts w:ascii="Arial" w:cs="Arial" w:eastAsia="Arial" w:hAnsi="Arial"/>
          <w:sz w:val="18"/>
          <w:szCs w:val="18"/>
          <w:color w:val="auto"/>
        </w:rPr>
        <w:t>.</w:t>
      </w:r>
    </w:p>
    <w:p>
      <w:pPr>
        <w:spacing w:after="0" w:line="226" w:lineRule="exact"/>
        <w:rPr>
          <w:sz w:val="20"/>
          <w:szCs w:val="20"/>
          <w:color w:val="auto"/>
        </w:rPr>
      </w:pPr>
    </w:p>
    <w:p>
      <w:pPr>
        <w:jc w:val="both"/>
        <w:ind w:firstLine="1304"/>
        <w:spacing w:after="0" w:line="253" w:lineRule="auto"/>
        <w:tabs>
          <w:tab w:leader="none" w:pos="1941" w:val="left"/>
        </w:tabs>
        <w:numPr>
          <w:ilvl w:val="0"/>
          <w:numId w:val="48"/>
        </w:numPr>
        <w:rPr>
          <w:rFonts w:ascii="Arial" w:cs="Arial" w:eastAsia="Arial" w:hAnsi="Arial"/>
          <w:sz w:val="22"/>
          <w:szCs w:val="22"/>
          <w:color w:val="010000"/>
        </w:rPr>
      </w:pPr>
      <w:r>
        <w:rPr>
          <w:rFonts w:ascii="Arial" w:cs="Arial" w:eastAsia="Arial" w:hAnsi="Arial"/>
          <w:sz w:val="22"/>
          <w:szCs w:val="22"/>
          <w:u w:val="single" w:color="auto"/>
          <w:color w:val="auto"/>
        </w:rPr>
        <w:t>Class E Common Shares</w:t>
      </w:r>
      <w:r>
        <w:rPr>
          <w:rFonts w:ascii="Arial" w:cs="Arial" w:eastAsia="Arial" w:hAnsi="Arial"/>
          <w:sz w:val="22"/>
          <w:szCs w:val="22"/>
          <w:color w:val="auto"/>
        </w:rPr>
        <w:t>. Pursuant to the Honda Purchase Agreement, and subject to the terms and conditions thereof, Honda made Capital Contributions totaling $750,000,000 in the aggregate (the “</w:t>
      </w:r>
      <w:r>
        <w:rPr>
          <w:rFonts w:ascii="Arial" w:cs="Arial" w:eastAsia="Arial" w:hAnsi="Arial"/>
          <w:sz w:val="22"/>
          <w:szCs w:val="22"/>
          <w:b w:val="1"/>
          <w:bCs w:val="1"/>
          <w:color w:val="auto"/>
        </w:rPr>
        <w:t>Honda Commitment</w:t>
      </w:r>
      <w:r>
        <w:rPr>
          <w:rFonts w:ascii="Arial" w:cs="Arial" w:eastAsia="Arial" w:hAnsi="Arial"/>
          <w:sz w:val="22"/>
          <w:szCs w:val="22"/>
          <w:color w:val="auto"/>
        </w:rPr>
        <w:t>”), pursuant to which the Company has issued to Honda 495,000 Class E Common Shares.</w:t>
      </w:r>
    </w:p>
    <w:p>
      <w:pPr>
        <w:spacing w:after="0" w:line="185" w:lineRule="exact"/>
        <w:rPr>
          <w:rFonts w:ascii="Arial" w:cs="Arial" w:eastAsia="Arial" w:hAnsi="Arial"/>
          <w:sz w:val="22"/>
          <w:szCs w:val="22"/>
          <w:color w:val="010000"/>
        </w:rPr>
      </w:pPr>
    </w:p>
    <w:p>
      <w:pPr>
        <w:jc w:val="both"/>
        <w:ind w:firstLine="1304"/>
        <w:spacing w:after="0" w:line="247" w:lineRule="auto"/>
        <w:tabs>
          <w:tab w:leader="none" w:pos="1926" w:val="left"/>
        </w:tabs>
        <w:numPr>
          <w:ilvl w:val="0"/>
          <w:numId w:val="48"/>
        </w:numPr>
        <w:rPr>
          <w:rFonts w:ascii="Arial" w:cs="Arial" w:eastAsia="Arial" w:hAnsi="Arial"/>
          <w:sz w:val="22"/>
          <w:szCs w:val="22"/>
          <w:color w:val="010000"/>
        </w:rPr>
      </w:pPr>
      <w:r>
        <w:rPr>
          <w:rFonts w:ascii="Arial" w:cs="Arial" w:eastAsia="Arial" w:hAnsi="Arial"/>
          <w:sz w:val="22"/>
          <w:szCs w:val="22"/>
          <w:u w:val="single" w:color="auto"/>
          <w:color w:val="auto"/>
        </w:rPr>
        <w:t>Class F Preferred Shares</w:t>
      </w:r>
      <w:r>
        <w:rPr>
          <w:rFonts w:ascii="Arial" w:cs="Arial" w:eastAsia="Arial" w:hAnsi="Arial"/>
          <w:sz w:val="22"/>
          <w:szCs w:val="22"/>
          <w:color w:val="auto"/>
        </w:rPr>
        <w:t xml:space="preserve">. Pursuant to the Class F Purchase Agreement, and subject to the terms and conditions thereof, each Class F New Member, SoftBank, Honda and GM made the Capital Contributions shown against the name of such Class F Preferred Member on </w:t>
      </w:r>
      <w:r>
        <w:rPr>
          <w:rFonts w:ascii="Arial" w:cs="Arial" w:eastAsia="Arial" w:hAnsi="Arial"/>
          <w:sz w:val="22"/>
          <w:szCs w:val="22"/>
          <w:b w:val="1"/>
          <w:bCs w:val="1"/>
          <w:color w:val="auto"/>
        </w:rPr>
        <w:t>Exhibit III</w:t>
      </w:r>
      <w:r>
        <w:rPr>
          <w:rFonts w:ascii="Arial" w:cs="Arial" w:eastAsia="Arial" w:hAnsi="Arial"/>
          <w:sz w:val="22"/>
          <w:szCs w:val="22"/>
          <w:color w:val="auto"/>
        </w:rPr>
        <w:t>, totaling $1,150,000,025 in the aggregate (the “</w:t>
      </w:r>
      <w:r>
        <w:rPr>
          <w:rFonts w:ascii="Arial" w:cs="Arial" w:eastAsia="Arial" w:hAnsi="Arial"/>
          <w:sz w:val="22"/>
          <w:szCs w:val="22"/>
          <w:b w:val="1"/>
          <w:bCs w:val="1"/>
          <w:color w:val="auto"/>
        </w:rPr>
        <w:t>Class F Commitment</w:t>
      </w:r>
      <w:r>
        <w:rPr>
          <w:rFonts w:ascii="Arial" w:cs="Arial" w:eastAsia="Arial" w:hAnsi="Arial"/>
          <w:sz w:val="22"/>
          <w:szCs w:val="22"/>
          <w:color w:val="auto"/>
        </w:rPr>
        <w:t xml:space="preserve">”), pursuant to which the Company issued to such Class F Preferred Members the Class F Preferred Shares shown against the name of such Class F Preferred Member on </w:t>
      </w:r>
      <w:r>
        <w:rPr>
          <w:rFonts w:ascii="Arial" w:cs="Arial" w:eastAsia="Arial" w:hAnsi="Arial"/>
          <w:sz w:val="22"/>
          <w:szCs w:val="22"/>
          <w:b w:val="1"/>
          <w:bCs w:val="1"/>
          <w:color w:val="auto"/>
        </w:rPr>
        <w:t>Exhibit III</w:t>
      </w:r>
      <w:r>
        <w:rPr>
          <w:rFonts w:ascii="Arial" w:cs="Arial" w:eastAsia="Arial" w:hAnsi="Arial"/>
          <w:sz w:val="22"/>
          <w:szCs w:val="22"/>
          <w:color w:val="auto"/>
        </w:rPr>
        <w:t>, which includes the Deferred Shares (as defined in the Class F Purchase Agreement) issued to SoftBank.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75" w:name="page76"/>
    <w:bookmarkEnd w:id="75"/>
    <w:p>
      <w:pPr>
        <w:spacing w:after="0" w:line="204" w:lineRule="exact"/>
        <w:rPr>
          <w:sz w:val="20"/>
          <w:szCs w:val="20"/>
          <w:color w:val="auto"/>
        </w:rPr>
      </w:pPr>
    </w:p>
    <w:p>
      <w:pPr>
        <w:jc w:val="both"/>
        <w:ind w:firstLine="1304"/>
        <w:spacing w:after="0" w:line="263" w:lineRule="auto"/>
        <w:tabs>
          <w:tab w:leader="none" w:pos="1900" w:val="left"/>
        </w:tabs>
        <w:numPr>
          <w:ilvl w:val="0"/>
          <w:numId w:val="49"/>
        </w:numPr>
        <w:rPr>
          <w:rFonts w:ascii="Arial" w:cs="Arial" w:eastAsia="Arial" w:hAnsi="Arial"/>
          <w:sz w:val="21"/>
          <w:szCs w:val="21"/>
          <w:color w:val="010000"/>
        </w:rPr>
      </w:pPr>
      <w:r>
        <w:rPr>
          <w:rFonts w:ascii="Arial" w:cs="Arial" w:eastAsia="Arial" w:hAnsi="Arial"/>
          <w:sz w:val="21"/>
          <w:szCs w:val="21"/>
          <w:u w:val="single" w:color="auto"/>
          <w:color w:val="auto"/>
        </w:rPr>
        <w:t>Class G Preferred Shares</w:t>
      </w:r>
      <w:r>
        <w:rPr>
          <w:rFonts w:ascii="Arial" w:cs="Arial" w:eastAsia="Arial" w:hAnsi="Arial"/>
          <w:sz w:val="21"/>
          <w:szCs w:val="21"/>
          <w:color w:val="auto"/>
        </w:rPr>
        <w:t xml:space="preserve">. Pursuant to the Class G Purchase Agreement, and subject to the terms and conditions thereof, certain existing Members and the Class G New Members made the Capital Contributions shown against the name of such Class G Preferred Member on </w:t>
      </w:r>
      <w:r>
        <w:rPr>
          <w:rFonts w:ascii="Arial" w:cs="Arial" w:eastAsia="Arial" w:hAnsi="Arial"/>
          <w:sz w:val="21"/>
          <w:szCs w:val="21"/>
          <w:b w:val="1"/>
          <w:bCs w:val="1"/>
          <w:color w:val="auto"/>
        </w:rPr>
        <w:t>Exhibit IV</w:t>
      </w:r>
      <w:r>
        <w:rPr>
          <w:rFonts w:ascii="Arial" w:cs="Arial" w:eastAsia="Arial" w:hAnsi="Arial"/>
          <w:sz w:val="21"/>
          <w:szCs w:val="21"/>
          <w:color w:val="auto"/>
        </w:rPr>
        <w:t>, in an aggregate amount of up to $3,000,000,000 (the “</w:t>
      </w:r>
      <w:r>
        <w:rPr>
          <w:rFonts w:ascii="Arial" w:cs="Arial" w:eastAsia="Arial" w:hAnsi="Arial"/>
          <w:sz w:val="21"/>
          <w:szCs w:val="21"/>
          <w:b w:val="1"/>
          <w:bCs w:val="1"/>
          <w:color w:val="auto"/>
        </w:rPr>
        <w:t>Class G</w:t>
      </w:r>
      <w:r>
        <w:rPr>
          <w:rFonts w:ascii="Arial" w:cs="Arial" w:eastAsia="Arial" w:hAnsi="Arial"/>
          <w:sz w:val="21"/>
          <w:szCs w:val="21"/>
          <w:color w:val="auto"/>
        </w:rPr>
        <w:t xml:space="preserve"> </w:t>
      </w:r>
      <w:r>
        <w:rPr>
          <w:rFonts w:ascii="Arial" w:cs="Arial" w:eastAsia="Arial" w:hAnsi="Arial"/>
          <w:sz w:val="21"/>
          <w:szCs w:val="21"/>
          <w:b w:val="1"/>
          <w:bCs w:val="1"/>
          <w:color w:val="auto"/>
        </w:rPr>
        <w:t>Commitment</w:t>
      </w:r>
      <w:r>
        <w:rPr>
          <w:rFonts w:ascii="Arial" w:cs="Arial" w:eastAsia="Arial" w:hAnsi="Arial"/>
          <w:sz w:val="21"/>
          <w:szCs w:val="21"/>
          <w:color w:val="auto"/>
        </w:rPr>
        <w:t>”), pursuant to which the Company issued to such Class G Preferred Members the Class G Preferred Shares shown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against the name of such Class G Preferred Member on </w:t>
      </w:r>
      <w:r>
        <w:rPr>
          <w:rFonts w:ascii="Arial" w:cs="Arial" w:eastAsia="Arial" w:hAnsi="Arial"/>
          <w:sz w:val="21"/>
          <w:szCs w:val="21"/>
          <w:b w:val="1"/>
          <w:bCs w:val="1"/>
          <w:color w:val="auto"/>
        </w:rPr>
        <w:t>Exhibit IV</w:t>
      </w:r>
      <w:r>
        <w:rPr>
          <w:rFonts w:ascii="Arial" w:cs="Arial" w:eastAsia="Arial" w:hAnsi="Arial"/>
          <w:sz w:val="21"/>
          <w:szCs w:val="21"/>
          <w:color w:val="auto"/>
        </w:rPr>
        <w:t>.</w:t>
      </w:r>
    </w:p>
    <w:p>
      <w:pPr>
        <w:spacing w:after="0" w:line="175" w:lineRule="exact"/>
        <w:rPr>
          <w:rFonts w:ascii="Arial" w:cs="Arial" w:eastAsia="Arial" w:hAnsi="Arial"/>
          <w:sz w:val="21"/>
          <w:szCs w:val="21"/>
          <w:color w:val="010000"/>
        </w:rPr>
      </w:pPr>
    </w:p>
    <w:p>
      <w:pPr>
        <w:jc w:val="both"/>
        <w:ind w:firstLine="1304"/>
        <w:spacing w:after="0" w:line="247" w:lineRule="auto"/>
        <w:tabs>
          <w:tab w:leader="none" w:pos="1872" w:val="left"/>
        </w:tabs>
        <w:numPr>
          <w:ilvl w:val="0"/>
          <w:numId w:val="49"/>
        </w:numPr>
        <w:rPr>
          <w:rFonts w:ascii="Arial" w:cs="Arial" w:eastAsia="Arial" w:hAnsi="Arial"/>
          <w:sz w:val="22"/>
          <w:szCs w:val="22"/>
          <w:color w:val="010000"/>
        </w:rPr>
      </w:pPr>
      <w:r>
        <w:rPr>
          <w:rFonts w:ascii="Arial" w:cs="Arial" w:eastAsia="Arial" w:hAnsi="Arial"/>
          <w:sz w:val="22"/>
          <w:szCs w:val="22"/>
          <w:u w:val="single" w:color="auto"/>
          <w:color w:val="auto"/>
        </w:rPr>
        <w:t>Class H Common Shares</w:t>
      </w:r>
      <w:r>
        <w:rPr>
          <w:rFonts w:ascii="Arial" w:cs="Arial" w:eastAsia="Arial" w:hAnsi="Arial"/>
          <w:sz w:val="22"/>
          <w:szCs w:val="22"/>
          <w:color w:val="auto"/>
        </w:rPr>
        <w:t xml:space="preserve">. In accordance with, and subject to the terms and conditions hereof (including Sections 2.06 and 2.07(h)(vi)) and pursuant to the applicable definitive agreement(s), the Company is authorized to issue, in connection with M&amp;A Transactions, Class H Common Shares to Class H Members shown against the name of such Class H Member on </w:t>
      </w:r>
      <w:r>
        <w:rPr>
          <w:rFonts w:ascii="Arial" w:cs="Arial" w:eastAsia="Arial" w:hAnsi="Arial"/>
          <w:sz w:val="22"/>
          <w:szCs w:val="22"/>
          <w:b w:val="1"/>
          <w:bCs w:val="1"/>
          <w:color w:val="auto"/>
        </w:rPr>
        <w:t>Exhibit V</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issuances of Class H Common Shares in connection with M&amp;A Transactions shall not exceed an aggregate of $250,000,000 with respect to any individual calendar year without the prior written consent of the GM Investor.</w:t>
      </w:r>
    </w:p>
    <w:p>
      <w:pPr>
        <w:spacing w:after="0" w:line="18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2.05 </w:t>
      </w:r>
      <w:r>
        <w:rPr>
          <w:rFonts w:ascii="Arial" w:cs="Arial" w:eastAsia="Arial" w:hAnsi="Arial"/>
          <w:sz w:val="22"/>
          <w:szCs w:val="22"/>
          <w:b w:val="1"/>
          <w:bCs w:val="1"/>
          <w:u w:val="single" w:color="auto"/>
          <w:color w:val="auto"/>
        </w:rPr>
        <w:t>Other Contributions</w:t>
      </w:r>
      <w:r>
        <w:rPr>
          <w:rFonts w:ascii="Arial" w:cs="Arial" w:eastAsia="Arial" w:hAnsi="Arial"/>
          <w:sz w:val="22"/>
          <w:szCs w:val="22"/>
          <w:color w:val="auto"/>
        </w:rPr>
        <w:t>. No Member shall be required to make any contributions to the Company other than the</w:t>
      </w:r>
      <w:r>
        <w:rPr>
          <w:rFonts w:ascii="Arial" w:cs="Arial" w:eastAsia="Arial" w:hAnsi="Arial"/>
          <w:sz w:val="22"/>
          <w:szCs w:val="22"/>
          <w:b w:val="1"/>
          <w:bCs w:val="1"/>
          <w:color w:val="auto"/>
        </w:rPr>
        <w:t xml:space="preserve"> </w:t>
      </w:r>
      <w:r>
        <w:rPr>
          <w:rFonts w:ascii="Arial" w:cs="Arial" w:eastAsia="Arial" w:hAnsi="Arial"/>
          <w:sz w:val="22"/>
          <w:szCs w:val="22"/>
          <w:color w:val="auto"/>
        </w:rPr>
        <w:t>Capital Contributions as provided in this Article II or as otherwise expressly set forth in this Agreement. Subject to Section 2.07, the Company shall not accept any Capital Contributions, other than Capital Contributions in respect of the Commitments, from a Member or any other Person unless the terms and conditions of any such Capital Contribution and related issuance of Shares have been approved by the Board of Directors.</w:t>
      </w:r>
    </w:p>
    <w:p>
      <w:pPr>
        <w:spacing w:after="0" w:line="18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2.06 </w:t>
      </w:r>
      <w:r>
        <w:rPr>
          <w:rFonts w:ascii="Arial" w:cs="Arial" w:eastAsia="Arial" w:hAnsi="Arial"/>
          <w:sz w:val="19"/>
          <w:szCs w:val="19"/>
          <w:b w:val="1"/>
          <w:bCs w:val="1"/>
          <w:u w:val="single" w:color="auto"/>
          <w:color w:val="auto"/>
        </w:rPr>
        <w:t>Issuances of Shares</w:t>
      </w:r>
      <w:r>
        <w:rPr>
          <w:rFonts w:ascii="Arial" w:cs="Arial" w:eastAsia="Arial" w:hAnsi="Arial"/>
          <w:sz w:val="19"/>
          <w:szCs w:val="19"/>
          <w:color w:val="auto"/>
        </w:rPr>
        <w:t>. Subject to the limitations set forth in this Agreement (including Section 2.02, Section 2.07</w:t>
      </w:r>
      <w:r>
        <w:rPr>
          <w:rFonts w:ascii="Arial" w:cs="Arial" w:eastAsia="Arial" w:hAnsi="Arial"/>
          <w:sz w:val="19"/>
          <w:szCs w:val="19"/>
          <w:b w:val="1"/>
          <w:bCs w:val="1"/>
          <w:color w:val="auto"/>
        </w:rPr>
        <w:t xml:space="preserve"> </w:t>
      </w:r>
      <w:r>
        <w:rPr>
          <w:rFonts w:ascii="Arial" w:cs="Arial" w:eastAsia="Arial" w:hAnsi="Arial"/>
          <w:sz w:val="19"/>
          <w:szCs w:val="19"/>
          <w:color w:val="auto"/>
        </w:rPr>
        <w:t>and Section 6.13), the Board of Directors shall have sole and complete discretion in determining whether to issue any Equity Securities, the number and type of Equity Securities to be issued (including the creation of new series or classes of Shares) at any particular time and all other terms and conditions governing any such Equity Securities (including the issuance thereof); provided, that (a) the parties hereto acknowledge and agree that the Subsequent SoftBank Commitment shall be on the terms set forth in this Agreement and shall not require any additional approval of the Board of Directors and (b) the Company shall not issue any Equity Securities (whether denominated as Shares or otherwise) to any Person unless such Person shall have agreed to be bound by this Agreement and shall have executed such documents or instruments as the Board of Directors determines to be necessary or appropriate to effect such Person’s admission as a Member.</w:t>
      </w:r>
    </w:p>
    <w:p>
      <w:pPr>
        <w:spacing w:after="0" w:line="14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2.07</w:t>
      </w:r>
      <w:r>
        <w:rPr>
          <w:sz w:val="20"/>
          <w:szCs w:val="20"/>
          <w:color w:val="auto"/>
        </w:rPr>
        <w:tab/>
      </w:r>
      <w:r>
        <w:rPr>
          <w:rFonts w:ascii="Arial" w:cs="Arial" w:eastAsia="Arial" w:hAnsi="Arial"/>
          <w:sz w:val="19"/>
          <w:szCs w:val="19"/>
          <w:b w:val="1"/>
          <w:bCs w:val="1"/>
          <w:u w:val="single" w:color="auto"/>
          <w:color w:val="auto"/>
        </w:rPr>
        <w:t>Preemptive Rights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94" w:lineRule="auto"/>
        <w:tabs>
          <w:tab w:leader="none" w:pos="1900" w:val="left"/>
        </w:tabs>
        <w:numPr>
          <w:ilvl w:val="0"/>
          <w:numId w:val="50"/>
        </w:numPr>
        <w:rPr>
          <w:rFonts w:ascii="Arial" w:cs="Arial" w:eastAsia="Arial" w:hAnsi="Arial"/>
          <w:sz w:val="19"/>
          <w:szCs w:val="19"/>
          <w:color w:val="010000"/>
        </w:rPr>
      </w:pPr>
      <w:r>
        <w:rPr>
          <w:rFonts w:ascii="Arial" w:cs="Arial" w:eastAsia="Arial" w:hAnsi="Arial"/>
          <w:sz w:val="19"/>
          <w:szCs w:val="19"/>
          <w:color w:val="auto"/>
        </w:rPr>
        <w:t>Except as provided in Section 2.07(g) or Section 2.07(h), if the Company wishes to issue any Equity Securities to any Person or Persons (all such Equity Securities, collectively, the “</w:t>
      </w:r>
      <w:r>
        <w:rPr>
          <w:rFonts w:ascii="Arial" w:cs="Arial" w:eastAsia="Arial" w:hAnsi="Arial"/>
          <w:sz w:val="19"/>
          <w:szCs w:val="19"/>
          <w:b w:val="1"/>
          <w:bCs w:val="1"/>
          <w:color w:val="auto"/>
        </w:rPr>
        <w:t>New Securities</w:t>
      </w:r>
      <w:r>
        <w:rPr>
          <w:rFonts w:ascii="Arial" w:cs="Arial" w:eastAsia="Arial" w:hAnsi="Arial"/>
          <w:sz w:val="19"/>
          <w:szCs w:val="19"/>
          <w:color w:val="auto"/>
        </w:rPr>
        <w:t>”), then the Company shall promptly deliver a written notice of intention to sell (the “</w:t>
      </w:r>
      <w:r>
        <w:rPr>
          <w:rFonts w:ascii="Arial" w:cs="Arial" w:eastAsia="Arial" w:hAnsi="Arial"/>
          <w:sz w:val="19"/>
          <w:szCs w:val="19"/>
          <w:b w:val="1"/>
          <w:bCs w:val="1"/>
          <w:color w:val="auto"/>
        </w:rPr>
        <w:t>Company’s Notice of Intention to Sell</w:t>
      </w:r>
      <w:r>
        <w:rPr>
          <w:rFonts w:ascii="Arial" w:cs="Arial" w:eastAsia="Arial" w:hAnsi="Arial"/>
          <w:sz w:val="19"/>
          <w:szCs w:val="19"/>
          <w:color w:val="auto"/>
        </w:rPr>
        <w:t>”) to each holder of Preemptive Shares setting forth a description of the New Securities to be sold, the proposed purchase price, the aggregate number of New Securities to be sold and the terms and conditions of sale. Upon receipt of the Company’s Notice of Intention to Sell, each holder of Preemptive Shares shall have the right, during the Acceptance Period, to elect to purchase, at the price and on the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76" w:name="page77"/>
    <w:bookmarkEnd w:id="76"/>
    <w:p>
      <w:pPr>
        <w:spacing w:after="0" w:line="204"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and conditions stated in the Company’s Notice of Intention to Sell, up to the number of New Securities equal to the product of (i) such holder’s Preemptive Proportion, multiplied by (ii) the aggregate number of New Securities to be issued; provided, that if the New Securities consist of more than one class, series or type of Equity Securities, then any holder of Preemptive Shares who elects to purchase such New Securities pursuant to this Section 2.07 must purchase the same proportionate mix of all of such securities;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New Securities are issued in connection with any debt financing undertaken by the Company or any of its Subsidiaries and to which preemptive rights otherwise apply pursuant to this Section 2.07, then any Class A-1 Member, Class D Member, Class E Member, Class F Preferred Member, or Class G Preferred Member who elects to purchase such New Securities pursuant to this Section 2.07 must, to be eligible to receive such New Securities, participate in the underlying debt instrument for such financing (A) with and on the same terms as the other lenders thereunder and (B) in the same percentage as their Preemptive Proportion of New Securities that such Member wishes to purchase pursuant to this Section 2.07.</w:t>
      </w:r>
    </w:p>
    <w:p>
      <w:pPr>
        <w:spacing w:after="0" w:line="159" w:lineRule="exact"/>
        <w:rPr>
          <w:sz w:val="20"/>
          <w:szCs w:val="20"/>
          <w:color w:val="auto"/>
        </w:rPr>
      </w:pPr>
    </w:p>
    <w:p>
      <w:pPr>
        <w:jc w:val="both"/>
        <w:ind w:firstLine="1304"/>
        <w:spacing w:after="0" w:line="247" w:lineRule="auto"/>
        <w:tabs>
          <w:tab w:leader="none" w:pos="1777" w:val="left"/>
        </w:tabs>
        <w:numPr>
          <w:ilvl w:val="0"/>
          <w:numId w:val="51"/>
        </w:numPr>
        <w:rPr>
          <w:rFonts w:ascii="Arial" w:cs="Arial" w:eastAsia="Arial" w:hAnsi="Arial"/>
          <w:sz w:val="22"/>
          <w:szCs w:val="22"/>
          <w:color w:val="010000"/>
        </w:rPr>
      </w:pPr>
      <w:r>
        <w:rPr>
          <w:rFonts w:ascii="Arial" w:cs="Arial" w:eastAsia="Arial" w:hAnsi="Arial"/>
          <w:sz w:val="22"/>
          <w:szCs w:val="22"/>
          <w:color w:val="auto"/>
        </w:rPr>
        <w:t>If one or more holders of Preemptive Shares do not elect to purchase their entire share of the New Securities (such aggregate portion of New Securities that has not been so elected, the “</w:t>
      </w:r>
      <w:r>
        <w:rPr>
          <w:rFonts w:ascii="Arial" w:cs="Arial" w:eastAsia="Arial" w:hAnsi="Arial"/>
          <w:sz w:val="22"/>
          <w:szCs w:val="22"/>
          <w:b w:val="1"/>
          <w:bCs w:val="1"/>
          <w:color w:val="auto"/>
        </w:rPr>
        <w:t>Excess New Securities</w:t>
      </w:r>
      <w:r>
        <w:rPr>
          <w:rFonts w:ascii="Arial" w:cs="Arial" w:eastAsia="Arial" w:hAnsi="Arial"/>
          <w:sz w:val="22"/>
          <w:szCs w:val="22"/>
          <w:color w:val="auto"/>
        </w:rPr>
        <w:t>”), then the Company will offer, by written notice (the “</w:t>
      </w:r>
      <w:r>
        <w:rPr>
          <w:rFonts w:ascii="Arial" w:cs="Arial" w:eastAsia="Arial" w:hAnsi="Arial"/>
          <w:sz w:val="22"/>
          <w:szCs w:val="22"/>
          <w:b w:val="1"/>
          <w:bCs w:val="1"/>
          <w:color w:val="auto"/>
        </w:rPr>
        <w:t>Supplemental Notice of Intention to Sell</w:t>
      </w:r>
      <w:r>
        <w:rPr>
          <w:rFonts w:ascii="Arial" w:cs="Arial" w:eastAsia="Arial" w:hAnsi="Arial"/>
          <w:sz w:val="22"/>
          <w:szCs w:val="22"/>
          <w:color w:val="auto"/>
        </w:rPr>
        <w:t>”), to each holder of Preemptive Shares who has elected to purchase his, her or its entire proportion of the New Securities allocated to such holder pursuant to Section 2.07(a) (the “</w:t>
      </w:r>
      <w:r>
        <w:rPr>
          <w:rFonts w:ascii="Arial" w:cs="Arial" w:eastAsia="Arial" w:hAnsi="Arial"/>
          <w:sz w:val="22"/>
          <w:szCs w:val="22"/>
          <w:b w:val="1"/>
          <w:bCs w:val="1"/>
          <w:color w:val="auto"/>
        </w:rPr>
        <w:t>Overallotment Investors</w:t>
      </w:r>
      <w:r>
        <w:rPr>
          <w:rFonts w:ascii="Arial" w:cs="Arial" w:eastAsia="Arial" w:hAnsi="Arial"/>
          <w:sz w:val="22"/>
          <w:szCs w:val="22"/>
          <w:color w:val="auto"/>
        </w:rPr>
        <w:t>”) the right to elect to purchase, at the price and on the terms and conditions stated in the Company’s Notice of Intention to Sell:</w:t>
      </w:r>
    </w:p>
    <w:p>
      <w:pPr>
        <w:spacing w:after="0" w:line="192" w:lineRule="exact"/>
        <w:rPr>
          <w:rFonts w:ascii="Arial" w:cs="Arial" w:eastAsia="Arial" w:hAnsi="Arial"/>
          <w:sz w:val="22"/>
          <w:szCs w:val="22"/>
          <w:color w:val="010000"/>
        </w:rPr>
      </w:pPr>
    </w:p>
    <w:p>
      <w:pPr>
        <w:ind w:firstLine="1952"/>
        <w:spacing w:after="0" w:line="263" w:lineRule="auto"/>
        <w:tabs>
          <w:tab w:leader="none" w:pos="2445" w:val="left"/>
        </w:tabs>
        <w:numPr>
          <w:ilvl w:val="1"/>
          <w:numId w:val="51"/>
        </w:numPr>
        <w:rPr>
          <w:rFonts w:ascii="Arial" w:cs="Arial" w:eastAsia="Arial" w:hAnsi="Arial"/>
          <w:sz w:val="22"/>
          <w:szCs w:val="22"/>
          <w:color w:val="010000"/>
        </w:rPr>
      </w:pPr>
      <w:r>
        <w:rPr>
          <w:rFonts w:ascii="Arial" w:cs="Arial" w:eastAsia="Arial" w:hAnsi="Arial"/>
          <w:sz w:val="22"/>
          <w:szCs w:val="22"/>
          <w:color w:val="auto"/>
        </w:rPr>
        <w:t>up to such Overallotment Investor’s Second Preemptive Proportion of such Excess New Securities (the “</w:t>
      </w:r>
      <w:r>
        <w:rPr>
          <w:rFonts w:ascii="Arial" w:cs="Arial" w:eastAsia="Arial" w:hAnsi="Arial"/>
          <w:sz w:val="22"/>
          <w:szCs w:val="22"/>
          <w:b w:val="1"/>
          <w:bCs w:val="1"/>
          <w:color w:val="auto"/>
        </w:rPr>
        <w:t>First Overallotment Process</w:t>
      </w:r>
      <w:r>
        <w:rPr>
          <w:rFonts w:ascii="Arial" w:cs="Arial" w:eastAsia="Arial" w:hAnsi="Arial"/>
          <w:sz w:val="22"/>
          <w:szCs w:val="22"/>
          <w:color w:val="auto"/>
        </w:rPr>
        <w:t>”); and</w:t>
      </w:r>
    </w:p>
    <w:p>
      <w:pPr>
        <w:spacing w:after="0" w:line="174" w:lineRule="exact"/>
        <w:rPr>
          <w:rFonts w:ascii="Arial" w:cs="Arial" w:eastAsia="Arial" w:hAnsi="Arial"/>
          <w:sz w:val="22"/>
          <w:szCs w:val="22"/>
          <w:color w:val="010000"/>
        </w:rPr>
      </w:pPr>
    </w:p>
    <w:p>
      <w:pPr>
        <w:jc w:val="both"/>
        <w:ind w:firstLine="1952"/>
        <w:spacing w:after="0" w:line="253" w:lineRule="auto"/>
        <w:tabs>
          <w:tab w:leader="none" w:pos="2613" w:val="left"/>
        </w:tabs>
        <w:numPr>
          <w:ilvl w:val="1"/>
          <w:numId w:val="51"/>
        </w:numPr>
        <w:rPr>
          <w:rFonts w:ascii="Arial" w:cs="Arial" w:eastAsia="Arial" w:hAnsi="Arial"/>
          <w:sz w:val="22"/>
          <w:szCs w:val="22"/>
          <w:color w:val="010000"/>
        </w:rPr>
      </w:pPr>
      <w:r>
        <w:rPr>
          <w:rFonts w:ascii="Arial" w:cs="Arial" w:eastAsia="Arial" w:hAnsi="Arial"/>
          <w:sz w:val="22"/>
          <w:szCs w:val="22"/>
          <w:color w:val="auto"/>
        </w:rPr>
        <w:t>following completion of the First Overallotment Process, up to such Overallotment Investor’s Remaining Preemptive Proportion of such Excess New Securities that remain available for purchase following the First Overallotment Process.</w:t>
      </w:r>
    </w:p>
    <w:p>
      <w:pPr>
        <w:spacing w:after="0" w:line="185" w:lineRule="exact"/>
        <w:rPr>
          <w:rFonts w:ascii="Arial" w:cs="Arial" w:eastAsia="Arial" w:hAnsi="Arial"/>
          <w:sz w:val="22"/>
          <w:szCs w:val="22"/>
          <w:color w:val="010000"/>
        </w:rPr>
      </w:pPr>
    </w:p>
    <w:p>
      <w:pPr>
        <w:jc w:val="both"/>
        <w:ind w:firstLine="1304"/>
        <w:spacing w:after="0" w:line="250" w:lineRule="auto"/>
        <w:tabs>
          <w:tab w:leader="none" w:pos="1846" w:val="left"/>
        </w:tabs>
        <w:numPr>
          <w:ilvl w:val="0"/>
          <w:numId w:val="51"/>
        </w:numPr>
        <w:rPr>
          <w:rFonts w:ascii="Arial" w:cs="Arial" w:eastAsia="Arial" w:hAnsi="Arial"/>
          <w:sz w:val="22"/>
          <w:szCs w:val="22"/>
          <w:color w:val="010000"/>
        </w:rPr>
      </w:pPr>
      <w:r>
        <w:rPr>
          <w:rFonts w:ascii="Arial" w:cs="Arial" w:eastAsia="Arial" w:hAnsi="Arial"/>
          <w:sz w:val="22"/>
          <w:szCs w:val="22"/>
          <w:color w:val="auto"/>
        </w:rPr>
        <w:t>All elections under Section 2.07(a) and Section 2.07(b) must be made by written notice to the Company within fifteen (15) days (or such later date determined by the Board of Directors) after receipt by such holder of Preemptive Shares of (as applicable) the Company’s Notice of Intention to Sell or the Supplemental Notice of Intention to Sell (the “</w:t>
      </w:r>
      <w:r>
        <w:rPr>
          <w:rFonts w:ascii="Arial" w:cs="Arial" w:eastAsia="Arial" w:hAnsi="Arial"/>
          <w:sz w:val="22"/>
          <w:szCs w:val="22"/>
          <w:b w:val="1"/>
          <w:bCs w:val="1"/>
          <w:color w:val="auto"/>
        </w:rPr>
        <w:t>Acceptance Period</w:t>
      </w:r>
      <w:r>
        <w:rPr>
          <w:rFonts w:ascii="Arial" w:cs="Arial" w:eastAsia="Arial" w:hAnsi="Arial"/>
          <w:sz w:val="22"/>
          <w:szCs w:val="22"/>
          <w:color w:val="auto"/>
        </w:rPr>
        <w:t>”).</w:t>
      </w:r>
    </w:p>
    <w:p>
      <w:pPr>
        <w:spacing w:after="0" w:line="187" w:lineRule="exact"/>
        <w:rPr>
          <w:rFonts w:ascii="Arial" w:cs="Arial" w:eastAsia="Arial" w:hAnsi="Arial"/>
          <w:sz w:val="22"/>
          <w:szCs w:val="22"/>
          <w:color w:val="010000"/>
        </w:rPr>
      </w:pPr>
    </w:p>
    <w:p>
      <w:pPr>
        <w:jc w:val="both"/>
        <w:ind w:firstLine="1304"/>
        <w:spacing w:after="0" w:line="294" w:lineRule="auto"/>
        <w:tabs>
          <w:tab w:leader="none" w:pos="1845" w:val="left"/>
        </w:tabs>
        <w:numPr>
          <w:ilvl w:val="0"/>
          <w:numId w:val="51"/>
        </w:numPr>
        <w:rPr>
          <w:rFonts w:ascii="Arial" w:cs="Arial" w:eastAsia="Arial" w:hAnsi="Arial"/>
          <w:sz w:val="19"/>
          <w:szCs w:val="19"/>
          <w:color w:val="010000"/>
        </w:rPr>
      </w:pPr>
      <w:r>
        <w:rPr>
          <w:rFonts w:ascii="Arial" w:cs="Arial" w:eastAsia="Arial" w:hAnsi="Arial"/>
          <w:sz w:val="19"/>
          <w:szCs w:val="19"/>
          <w:color w:val="auto"/>
        </w:rPr>
        <w:t>If the holders of Preemptive Shares have not elected to purchase all of the New Securities described in a Company’s Notice of Intention to Sell, then the Company may, at its election, during the period of ninety (90) days immediately following the expiration of the Acceptance Period therefor (or the expiration of the Acceptance Period relating to the Supplemental Notice of Intention to Sell, if the same is issued), sell and issue any of the New Securities not elected for purchase pursuant to Section 2.07(a) and Section 2.07(b) to any Person(s) at a price and upon terms and conditions no more favorable, in the aggregate, to such Person(s) than those stated in the Company’s Notice of Intention to Sell.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77" w:name="page78"/>
    <w:bookmarkEnd w:id="77"/>
    <w:p>
      <w:pPr>
        <w:spacing w:after="0" w:line="204" w:lineRule="exact"/>
        <w:rPr>
          <w:sz w:val="20"/>
          <w:szCs w:val="20"/>
          <w:color w:val="auto"/>
        </w:rPr>
      </w:pPr>
    </w:p>
    <w:p>
      <w:pPr>
        <w:jc w:val="both"/>
        <w:ind w:firstLine="1304"/>
        <w:spacing w:after="0" w:line="253" w:lineRule="auto"/>
        <w:tabs>
          <w:tab w:leader="none" w:pos="1806" w:val="left"/>
        </w:tabs>
        <w:numPr>
          <w:ilvl w:val="0"/>
          <w:numId w:val="52"/>
        </w:numPr>
        <w:rPr>
          <w:rFonts w:ascii="Arial" w:cs="Arial" w:eastAsia="Arial" w:hAnsi="Arial"/>
          <w:sz w:val="22"/>
          <w:szCs w:val="22"/>
          <w:color w:val="010000"/>
        </w:rPr>
      </w:pPr>
      <w:r>
        <w:rPr>
          <w:rFonts w:ascii="Arial" w:cs="Arial" w:eastAsia="Arial" w:hAnsi="Arial"/>
          <w:sz w:val="22"/>
          <w:szCs w:val="22"/>
          <w:color w:val="auto"/>
        </w:rPr>
        <w:t>In the event the Company has not sold the New Securities to be issued within such ninety (90) day period, the Company shall not thereafter issue or sell any such New Securities without once again offering such securities to each holder of Preemptive Shares in the manner provided in Section 2.07(a) and Section 2.07(b).</w:t>
      </w:r>
    </w:p>
    <w:p>
      <w:pPr>
        <w:spacing w:after="0" w:line="185" w:lineRule="exact"/>
        <w:rPr>
          <w:rFonts w:ascii="Arial" w:cs="Arial" w:eastAsia="Arial" w:hAnsi="Arial"/>
          <w:sz w:val="22"/>
          <w:szCs w:val="22"/>
          <w:color w:val="010000"/>
        </w:rPr>
      </w:pPr>
    </w:p>
    <w:p>
      <w:pPr>
        <w:jc w:val="both"/>
        <w:ind w:firstLine="1304"/>
        <w:spacing w:after="0" w:line="294" w:lineRule="auto"/>
        <w:tabs>
          <w:tab w:leader="none" w:pos="1822" w:val="left"/>
        </w:tabs>
        <w:numPr>
          <w:ilvl w:val="0"/>
          <w:numId w:val="52"/>
        </w:numPr>
        <w:rPr>
          <w:rFonts w:ascii="Arial" w:cs="Arial" w:eastAsia="Arial" w:hAnsi="Arial"/>
          <w:sz w:val="19"/>
          <w:szCs w:val="19"/>
          <w:color w:val="010000"/>
        </w:rPr>
      </w:pPr>
      <w:r>
        <w:rPr>
          <w:rFonts w:ascii="Arial" w:cs="Arial" w:eastAsia="Arial" w:hAnsi="Arial"/>
          <w:sz w:val="19"/>
          <w:szCs w:val="19"/>
          <w:color w:val="auto"/>
        </w:rPr>
        <w:t>If a holder of Preemptive Shares elects to purchase any of the New Securities, payment therefor shall be made by wire transfer against delivery of such New Securities at the principal office of the Company within fifteen (15) days of such election unless a later date is mutually agreed between the Company and such holder of Preemptive Shares; provided, that if SoftBank elects to purchase any of the New Securities, to the extent necessary in order to accommodate the time required to call capital to purchase the Preemptive Shares, payment therefor shall be made by wire transfer against delivery of such New Securities at the principal office of the Company within thirty five (35) days of such election by SoftBank.</w:t>
      </w:r>
    </w:p>
    <w:p>
      <w:pPr>
        <w:spacing w:after="0" w:line="149" w:lineRule="exact"/>
        <w:rPr>
          <w:rFonts w:ascii="Arial" w:cs="Arial" w:eastAsia="Arial" w:hAnsi="Arial"/>
          <w:sz w:val="19"/>
          <w:szCs w:val="19"/>
          <w:color w:val="010000"/>
        </w:rPr>
      </w:pPr>
    </w:p>
    <w:p>
      <w:pPr>
        <w:jc w:val="both"/>
        <w:ind w:firstLine="1304"/>
        <w:spacing w:after="0" w:line="288" w:lineRule="auto"/>
        <w:tabs>
          <w:tab w:leader="none" w:pos="1791" w:val="left"/>
        </w:tabs>
        <w:numPr>
          <w:ilvl w:val="0"/>
          <w:numId w:val="52"/>
        </w:numPr>
        <w:rPr>
          <w:rFonts w:ascii="Arial" w:cs="Arial" w:eastAsia="Arial" w:hAnsi="Arial"/>
          <w:sz w:val="19"/>
          <w:szCs w:val="19"/>
          <w:color w:val="010000"/>
        </w:rPr>
      </w:pPr>
      <w:r>
        <w:rPr>
          <w:rFonts w:ascii="Arial" w:cs="Arial" w:eastAsia="Arial" w:hAnsi="Arial"/>
          <w:sz w:val="19"/>
          <w:szCs w:val="19"/>
          <w:color w:val="auto"/>
        </w:rPr>
        <w:t>Notwithstanding anything to the contrary in this Agreement, (i) no holder of Preemptive Shares shall have a right to purchase New Securities pursuant to this Section 2.07, if such purchase will, in the good faith determination of the Board of Directors, violate any applicable laws (whether or not such violation may be cured by a filing of a registration statement or any other special disclosure) and (ii) in lieu of offering any New Securities to any holder of Preemptive Shares prior to the time such New Securities are offered or sold to any other Person or Persons, the Company may comply with the provisions of this Section 2.07 by first issuing New Securities to such other Person or Persons, and promptly after such issuance (or acceptance) (and, in any event, within thirty (30) days thereafter) making an offer to sell (or causing such other Person or Persons to offer to sell), to the holders of Preemptive Shares, New Securities in such a manner so as to enable such holders of Preemptive Shares to effectively exercise their respective rights pursuant to Section 2.07(a) and/or Section 2.07(b) with respect to their purchase, for cash, of such New Securities as they would have been entitled to purchase pursuant to Section 2.07(a) and/or Section 2.07(b).</w:t>
      </w:r>
    </w:p>
    <w:p>
      <w:pPr>
        <w:spacing w:after="0" w:line="159" w:lineRule="exact"/>
        <w:rPr>
          <w:rFonts w:ascii="Arial" w:cs="Arial" w:eastAsia="Arial" w:hAnsi="Arial"/>
          <w:sz w:val="19"/>
          <w:szCs w:val="19"/>
          <w:color w:val="010000"/>
        </w:rPr>
      </w:pPr>
    </w:p>
    <w:p>
      <w:pPr>
        <w:ind w:firstLine="1304"/>
        <w:spacing w:after="0" w:line="263" w:lineRule="auto"/>
        <w:tabs>
          <w:tab w:leader="none" w:pos="1926" w:val="left"/>
        </w:tabs>
        <w:numPr>
          <w:ilvl w:val="0"/>
          <w:numId w:val="52"/>
        </w:numPr>
        <w:rPr>
          <w:rFonts w:ascii="Arial" w:cs="Arial" w:eastAsia="Arial" w:hAnsi="Arial"/>
          <w:sz w:val="22"/>
          <w:szCs w:val="22"/>
          <w:color w:val="010000"/>
        </w:rPr>
      </w:pPr>
      <w:r>
        <w:rPr>
          <w:rFonts w:ascii="Arial" w:cs="Arial" w:eastAsia="Arial" w:hAnsi="Arial"/>
          <w:sz w:val="22"/>
          <w:szCs w:val="22"/>
          <w:color w:val="auto"/>
        </w:rPr>
        <w:t>Notwithstanding anything to the contrary in this Section 2.07, the preemptive rights contained in this Section 2.07 shall not apply to:</w:t>
      </w:r>
    </w:p>
    <w:p>
      <w:pPr>
        <w:spacing w:after="0" w:line="174" w:lineRule="exact"/>
        <w:rPr>
          <w:rFonts w:ascii="Arial" w:cs="Arial" w:eastAsia="Arial" w:hAnsi="Arial"/>
          <w:sz w:val="22"/>
          <w:szCs w:val="22"/>
          <w:color w:val="010000"/>
        </w:rPr>
      </w:pPr>
    </w:p>
    <w:p>
      <w:pPr>
        <w:ind w:firstLine="1952"/>
        <w:spacing w:after="0" w:line="263" w:lineRule="auto"/>
        <w:tabs>
          <w:tab w:leader="none" w:pos="2580" w:val="left"/>
        </w:tabs>
        <w:numPr>
          <w:ilvl w:val="1"/>
          <w:numId w:val="52"/>
        </w:numPr>
        <w:rPr>
          <w:rFonts w:ascii="Arial" w:cs="Arial" w:eastAsia="Arial" w:hAnsi="Arial"/>
          <w:sz w:val="22"/>
          <w:szCs w:val="22"/>
          <w:color w:val="010000"/>
        </w:rPr>
      </w:pPr>
      <w:r>
        <w:rPr>
          <w:rFonts w:ascii="Arial" w:cs="Arial" w:eastAsia="Arial" w:hAnsi="Arial"/>
          <w:sz w:val="22"/>
          <w:szCs w:val="22"/>
          <w:color w:val="auto"/>
        </w:rPr>
        <w:t>any Equity Securities issued pursuant to the funding of the GM Commitment, the SoftBank Commitment and the Subsequent SoftBank Commitment;</w:t>
      </w:r>
    </w:p>
    <w:p>
      <w:pPr>
        <w:spacing w:after="0" w:line="174" w:lineRule="exact"/>
        <w:rPr>
          <w:rFonts w:ascii="Arial" w:cs="Arial" w:eastAsia="Arial" w:hAnsi="Arial"/>
          <w:sz w:val="22"/>
          <w:szCs w:val="22"/>
          <w:color w:val="010000"/>
        </w:rPr>
      </w:pPr>
    </w:p>
    <w:p>
      <w:pPr>
        <w:ind w:left="2440" w:hanging="488"/>
        <w:spacing w:after="0"/>
        <w:tabs>
          <w:tab w:leader="none" w:pos="2440" w:val="left"/>
        </w:tabs>
        <w:numPr>
          <w:ilvl w:val="1"/>
          <w:numId w:val="52"/>
        </w:numPr>
        <w:rPr>
          <w:rFonts w:ascii="Arial" w:cs="Arial" w:eastAsia="Arial" w:hAnsi="Arial"/>
          <w:sz w:val="22"/>
          <w:szCs w:val="22"/>
          <w:color w:val="010000"/>
        </w:rPr>
      </w:pPr>
      <w:r>
        <w:rPr>
          <w:rFonts w:ascii="Arial" w:cs="Arial" w:eastAsia="Arial" w:hAnsi="Arial"/>
          <w:sz w:val="22"/>
          <w:szCs w:val="22"/>
          <w:color w:val="auto"/>
        </w:rPr>
        <w:t>any Equity Securities issued pursuant to Sections 2.10 or 2.11;</w:t>
      </w:r>
    </w:p>
    <w:p>
      <w:pPr>
        <w:spacing w:after="0" w:line="219" w:lineRule="exact"/>
        <w:rPr>
          <w:rFonts w:ascii="Arial" w:cs="Arial" w:eastAsia="Arial" w:hAnsi="Arial"/>
          <w:sz w:val="22"/>
          <w:szCs w:val="22"/>
          <w:color w:val="010000"/>
        </w:rPr>
      </w:pPr>
    </w:p>
    <w:p>
      <w:pPr>
        <w:ind w:firstLine="1952"/>
        <w:spacing w:after="0" w:line="263" w:lineRule="auto"/>
        <w:tabs>
          <w:tab w:leader="none" w:pos="2484" w:val="left"/>
        </w:tabs>
        <w:numPr>
          <w:ilvl w:val="1"/>
          <w:numId w:val="52"/>
        </w:numPr>
        <w:rPr>
          <w:rFonts w:ascii="Arial" w:cs="Arial" w:eastAsia="Arial" w:hAnsi="Arial"/>
          <w:sz w:val="22"/>
          <w:szCs w:val="22"/>
          <w:color w:val="010000"/>
        </w:rPr>
      </w:pPr>
      <w:r>
        <w:rPr>
          <w:rFonts w:ascii="Arial" w:cs="Arial" w:eastAsia="Arial" w:hAnsi="Arial"/>
          <w:sz w:val="22"/>
          <w:szCs w:val="22"/>
          <w:color w:val="auto"/>
        </w:rPr>
        <w:t>any Class B Common Shares that may be issued to Employee Members, including upon the exercise or settlement of any Equity Award;</w:t>
      </w:r>
    </w:p>
    <w:p>
      <w:pPr>
        <w:spacing w:after="0" w:line="174" w:lineRule="exact"/>
        <w:rPr>
          <w:rFonts w:ascii="Arial" w:cs="Arial" w:eastAsia="Arial" w:hAnsi="Arial"/>
          <w:sz w:val="22"/>
          <w:szCs w:val="22"/>
          <w:color w:val="010000"/>
        </w:rPr>
      </w:pPr>
    </w:p>
    <w:p>
      <w:pPr>
        <w:ind w:left="2480" w:hanging="528"/>
        <w:spacing w:after="0"/>
        <w:tabs>
          <w:tab w:leader="none" w:pos="2480" w:val="left"/>
        </w:tabs>
        <w:numPr>
          <w:ilvl w:val="1"/>
          <w:numId w:val="52"/>
        </w:numPr>
        <w:rPr>
          <w:rFonts w:ascii="Arial" w:cs="Arial" w:eastAsia="Arial" w:hAnsi="Arial"/>
          <w:sz w:val="21"/>
          <w:szCs w:val="21"/>
          <w:color w:val="010000"/>
        </w:rPr>
      </w:pPr>
      <w:r>
        <w:rPr>
          <w:rFonts w:ascii="Arial" w:cs="Arial" w:eastAsia="Arial" w:hAnsi="Arial"/>
          <w:sz w:val="21"/>
          <w:szCs w:val="21"/>
          <w:color w:val="auto"/>
        </w:rPr>
        <w:t>any Equity Securities issued in connection with an IPO (including pursuant to Section 9.10(c));</w:t>
      </w:r>
    </w:p>
    <w:p>
      <w:pPr>
        <w:spacing w:after="0" w:line="231" w:lineRule="exact"/>
        <w:rPr>
          <w:rFonts w:ascii="Arial" w:cs="Arial" w:eastAsia="Arial" w:hAnsi="Arial"/>
          <w:sz w:val="21"/>
          <w:szCs w:val="21"/>
          <w:color w:val="010000"/>
        </w:rPr>
      </w:pPr>
    </w:p>
    <w:p>
      <w:pPr>
        <w:ind w:firstLine="1952"/>
        <w:spacing w:after="0" w:line="263" w:lineRule="auto"/>
        <w:tabs>
          <w:tab w:leader="none" w:pos="2736" w:val="left"/>
        </w:tabs>
        <w:numPr>
          <w:ilvl w:val="1"/>
          <w:numId w:val="52"/>
        </w:numPr>
        <w:rPr>
          <w:rFonts w:ascii="Arial" w:cs="Arial" w:eastAsia="Arial" w:hAnsi="Arial"/>
          <w:sz w:val="22"/>
          <w:szCs w:val="22"/>
          <w:color w:val="010000"/>
        </w:rPr>
      </w:pPr>
      <w:r>
        <w:rPr>
          <w:rFonts w:ascii="Arial" w:cs="Arial" w:eastAsia="Arial" w:hAnsi="Arial"/>
          <w:sz w:val="22"/>
          <w:szCs w:val="22"/>
          <w:color w:val="auto"/>
        </w:rPr>
        <w:t>any Equity Securities issued upon any subdivision, split, recapitalization, reclassification, combination or similar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78" w:name="page79"/>
    <w:bookmarkEnd w:id="78"/>
    <w:p>
      <w:pPr>
        <w:spacing w:after="0" w:line="204" w:lineRule="exact"/>
        <w:rPr>
          <w:sz w:val="20"/>
          <w:szCs w:val="20"/>
          <w:color w:val="auto"/>
        </w:rPr>
      </w:pPr>
    </w:p>
    <w:p>
      <w:pPr>
        <w:jc w:val="both"/>
        <w:ind w:firstLine="1952"/>
        <w:spacing w:after="0" w:line="259" w:lineRule="auto"/>
        <w:tabs>
          <w:tab w:leader="none" w:pos="2634" w:val="left"/>
        </w:tabs>
        <w:numPr>
          <w:ilvl w:val="0"/>
          <w:numId w:val="53"/>
        </w:numPr>
        <w:rPr>
          <w:rFonts w:ascii="Arial" w:cs="Arial" w:eastAsia="Arial" w:hAnsi="Arial"/>
          <w:sz w:val="21"/>
          <w:szCs w:val="21"/>
          <w:color w:val="010000"/>
        </w:rPr>
      </w:pPr>
      <w:r>
        <w:rPr>
          <w:rFonts w:ascii="Arial" w:cs="Arial" w:eastAsia="Arial" w:hAnsi="Arial"/>
          <w:sz w:val="21"/>
          <w:szCs w:val="21"/>
          <w:color w:val="auto"/>
        </w:rPr>
        <w:t>any Equity Securities (including any Class H Common Shares) issued in connection with any merger, consolidation, acquisition for stock, business combination, purchase of assets or business(es) of, or any similar extraordinary transaction with a third party (each, an “</w:t>
      </w:r>
      <w:r>
        <w:rPr>
          <w:rFonts w:ascii="Arial" w:cs="Arial" w:eastAsia="Arial" w:hAnsi="Arial"/>
          <w:sz w:val="21"/>
          <w:szCs w:val="21"/>
          <w:b w:val="1"/>
          <w:bCs w:val="1"/>
          <w:color w:val="auto"/>
        </w:rPr>
        <w:t>M&amp;A Transaction</w:t>
      </w:r>
      <w:r>
        <w:rPr>
          <w:rFonts w:ascii="Arial" w:cs="Arial" w:eastAsia="Arial" w:hAnsi="Arial"/>
          <w:sz w:val="21"/>
          <w:szCs w:val="21"/>
          <w:color w:val="auto"/>
        </w:rPr>
        <w:t>”); provided that the value (measured as of the date of issuance) of such Equity Securities issued by the Company pursuant to the exemption set forth in this Section 2.07(h)(vi) does not exceed an aggregate of $250,000,000 with respect to any individual calendar year (it being understood that in the event such $250,000,000 cap is exceeded in any given calendar year, the preemptive rights contained in this Section 2.07 will apply (subject to the other limitations set forth in this Agreement) solely with respect to that portion of Equity Securities issued in excess of such cap in such calendar year); and</w:t>
      </w:r>
    </w:p>
    <w:p>
      <w:pPr>
        <w:spacing w:after="0" w:line="183" w:lineRule="exact"/>
        <w:rPr>
          <w:rFonts w:ascii="Arial" w:cs="Arial" w:eastAsia="Arial" w:hAnsi="Arial"/>
          <w:sz w:val="21"/>
          <w:szCs w:val="21"/>
          <w:color w:val="010000"/>
        </w:rPr>
      </w:pPr>
    </w:p>
    <w:p>
      <w:pPr>
        <w:ind w:left="2640" w:hanging="688"/>
        <w:spacing w:after="0"/>
        <w:tabs>
          <w:tab w:leader="none" w:pos="2640" w:val="left"/>
        </w:tabs>
        <w:numPr>
          <w:ilvl w:val="0"/>
          <w:numId w:val="53"/>
        </w:numPr>
        <w:rPr>
          <w:rFonts w:ascii="Arial" w:cs="Arial" w:eastAsia="Arial" w:hAnsi="Arial"/>
          <w:sz w:val="19"/>
          <w:szCs w:val="19"/>
          <w:color w:val="010000"/>
        </w:rPr>
      </w:pPr>
      <w:r>
        <w:rPr>
          <w:rFonts w:ascii="Arial" w:cs="Arial" w:eastAsia="Arial" w:hAnsi="Arial"/>
          <w:sz w:val="19"/>
          <w:szCs w:val="19"/>
          <w:color w:val="auto"/>
        </w:rPr>
        <w:t>Class G Preferred Shares issued or issuable pursuant to Section 1.1(b) of the Class G Purchase</w:t>
      </w:r>
    </w:p>
    <w:p>
      <w:pPr>
        <w:spacing w:after="0" w:line="5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Agreement.</w:t>
      </w:r>
    </w:p>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2.08 </w:t>
      </w:r>
      <w:r>
        <w:rPr>
          <w:rFonts w:ascii="Arial" w:cs="Arial" w:eastAsia="Arial" w:hAnsi="Arial"/>
          <w:sz w:val="22"/>
          <w:szCs w:val="22"/>
          <w:b w:val="1"/>
          <w:bCs w:val="1"/>
          <w:u w:val="single" w:color="auto"/>
          <w:color w:val="auto"/>
        </w:rPr>
        <w:t>Certificates</w:t>
      </w:r>
      <w:r>
        <w:rPr>
          <w:rFonts w:ascii="Arial" w:cs="Arial" w:eastAsia="Arial" w:hAnsi="Arial"/>
          <w:sz w:val="22"/>
          <w:szCs w:val="22"/>
          <w:color w:val="auto"/>
        </w:rPr>
        <w:t>. The Company may, but shall not be required to, issue certificates representing Shares (“</w:t>
      </w:r>
      <w:r>
        <w:rPr>
          <w:rFonts w:ascii="Arial" w:cs="Arial" w:eastAsia="Arial" w:hAnsi="Arial"/>
          <w:sz w:val="22"/>
          <w:szCs w:val="22"/>
          <w:b w:val="1"/>
          <w:bCs w:val="1"/>
          <w:color w:val="auto"/>
        </w:rPr>
        <w:t>Certificated Shares</w:t>
      </w:r>
      <w:r>
        <w:rPr>
          <w:rFonts w:ascii="Arial" w:cs="Arial" w:eastAsia="Arial" w:hAnsi="Arial"/>
          <w:sz w:val="22"/>
          <w:szCs w:val="22"/>
          <w:color w:val="auto"/>
        </w:rPr>
        <w:t>”).</w:t>
      </w:r>
    </w:p>
    <w:p>
      <w:pPr>
        <w:spacing w:after="0" w:line="16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2.09 </w:t>
      </w:r>
      <w:r>
        <w:rPr>
          <w:rFonts w:ascii="Arial" w:cs="Arial" w:eastAsia="Arial" w:hAnsi="Arial"/>
          <w:sz w:val="19"/>
          <w:szCs w:val="19"/>
          <w:b w:val="1"/>
          <w:bCs w:val="1"/>
          <w:u w:val="single" w:color="auto"/>
          <w:color w:val="auto"/>
        </w:rPr>
        <w:t>Repurchase Rights</w:t>
      </w:r>
      <w:r>
        <w:rPr>
          <w:rFonts w:ascii="Arial" w:cs="Arial" w:eastAsia="Arial" w:hAnsi="Arial"/>
          <w:sz w:val="19"/>
          <w:szCs w:val="19"/>
          <w:color w:val="auto"/>
        </w:rPr>
        <w:t>. If an Employee Member ceases to be employed by or provide services to the Company or any</w:t>
      </w:r>
      <w:r>
        <w:rPr>
          <w:rFonts w:ascii="Arial" w:cs="Arial" w:eastAsia="Arial" w:hAnsi="Arial"/>
          <w:sz w:val="19"/>
          <w:szCs w:val="19"/>
          <w:b w:val="1"/>
          <w:bCs w:val="1"/>
          <w:color w:val="auto"/>
        </w:rPr>
        <w:t xml:space="preserve"> </w:t>
      </w:r>
      <w:r>
        <w:rPr>
          <w:rFonts w:ascii="Arial" w:cs="Arial" w:eastAsia="Arial" w:hAnsi="Arial"/>
          <w:sz w:val="19"/>
          <w:szCs w:val="19"/>
          <w:color w:val="auto"/>
        </w:rPr>
        <w:t>of its Subsidiaries for any reason, then the Company shall have the right (but not the obligation) to repurchase all or any portion of the Class B Common Shares held by such Employee Member and his or her Permitted Transferees and not otherwise forfeited (pursuant to this Agreement, the relevant employee incentive plan in place at the time or the applicable Share Grant Agreement or other agreement (or agreements) with the Company) at a price per Class B Common Share specified by, on the timeline provided by, and otherwise on the terms and conditions contained within, the 2018 Incentive Plan, a Share Grant Agreement or other agreement (or agreements) between an Employee Member and the Company.</w:t>
      </w:r>
    </w:p>
    <w:p>
      <w:pPr>
        <w:spacing w:after="0" w:line="144"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19"/>
          <w:szCs w:val="19"/>
          <w:b w:val="1"/>
          <w:bCs w:val="1"/>
          <w:u w:val="single" w:color="auto"/>
          <w:color w:val="auto"/>
        </w:rPr>
        <w:t>Optional A-1 Conversion</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48" w:lineRule="auto"/>
        <w:tabs>
          <w:tab w:leader="none" w:pos="1779" w:val="left"/>
        </w:tabs>
        <w:numPr>
          <w:ilvl w:val="0"/>
          <w:numId w:val="54"/>
        </w:numPr>
        <w:rPr>
          <w:rFonts w:ascii="Arial" w:cs="Arial" w:eastAsia="Arial" w:hAnsi="Arial"/>
          <w:sz w:val="22"/>
          <w:szCs w:val="22"/>
          <w:color w:val="010000"/>
        </w:rPr>
      </w:pPr>
      <w:r>
        <w:rPr>
          <w:rFonts w:ascii="Arial" w:cs="Arial" w:eastAsia="Arial" w:hAnsi="Arial"/>
          <w:sz w:val="22"/>
          <w:szCs w:val="22"/>
          <w:color w:val="auto"/>
        </w:rPr>
        <w:t>Each Class A-1 Preferred Member shall have the right, at such Member’s option, at any time and from time to time to convert all or any portion of the Class A-1 Preferred Shares held by such Member into Class D Common Shares by providing the Company with written notice of such conversion. A conversion of Class A-1 Preferred Shares pursuant to this Section 2.10(a) shall be effective as of the close of business on the first (1st) Business Day after the Company’s receipt of the conversion notice.</w:t>
      </w:r>
    </w:p>
    <w:p>
      <w:pPr>
        <w:spacing w:after="0" w:line="191" w:lineRule="exact"/>
        <w:rPr>
          <w:rFonts w:ascii="Arial" w:cs="Arial" w:eastAsia="Arial" w:hAnsi="Arial"/>
          <w:sz w:val="22"/>
          <w:szCs w:val="22"/>
          <w:color w:val="010000"/>
        </w:rPr>
      </w:pPr>
    </w:p>
    <w:p>
      <w:pPr>
        <w:jc w:val="both"/>
        <w:ind w:firstLine="1304"/>
        <w:spacing w:after="0" w:line="271" w:lineRule="auto"/>
        <w:tabs>
          <w:tab w:leader="none" w:pos="1791" w:val="left"/>
        </w:tabs>
        <w:numPr>
          <w:ilvl w:val="0"/>
          <w:numId w:val="54"/>
        </w:numPr>
        <w:rPr>
          <w:rFonts w:ascii="Arial" w:cs="Arial" w:eastAsia="Arial" w:hAnsi="Arial"/>
          <w:sz w:val="21"/>
          <w:szCs w:val="21"/>
          <w:color w:val="010000"/>
        </w:rPr>
      </w:pPr>
      <w:r>
        <w:rPr>
          <w:rFonts w:ascii="Arial" w:cs="Arial" w:eastAsia="Arial" w:hAnsi="Arial"/>
          <w:sz w:val="21"/>
          <w:szCs w:val="21"/>
          <w:color w:val="auto"/>
        </w:rPr>
        <w:t>In connection with any conversion pursuant to Section 2.10(a), (i) each Class A-1-A Preferred Share will be converted into Class D Common Shares at the A-1-A Preferred Share Conversion Ratio and (ii) each Class A-1-B Preferred Share will be converted into Class D Common Shares at the A-1-B Preferred Share Conversion Ratio.</w:t>
      </w:r>
    </w:p>
    <w:p>
      <w:pPr>
        <w:spacing w:after="0" w:line="167" w:lineRule="exact"/>
        <w:rPr>
          <w:rFonts w:ascii="Arial" w:cs="Arial" w:eastAsia="Arial" w:hAnsi="Arial"/>
          <w:sz w:val="21"/>
          <w:szCs w:val="21"/>
          <w:color w:val="010000"/>
        </w:rPr>
      </w:pPr>
    </w:p>
    <w:p>
      <w:pPr>
        <w:jc w:val="both"/>
        <w:ind w:firstLine="1304"/>
        <w:spacing w:after="0" w:line="253" w:lineRule="auto"/>
        <w:tabs>
          <w:tab w:leader="none" w:pos="1819" w:val="left"/>
        </w:tabs>
        <w:numPr>
          <w:ilvl w:val="0"/>
          <w:numId w:val="54"/>
        </w:numPr>
        <w:rPr>
          <w:rFonts w:ascii="Arial" w:cs="Arial" w:eastAsia="Arial" w:hAnsi="Arial"/>
          <w:sz w:val="22"/>
          <w:szCs w:val="22"/>
          <w:color w:val="010000"/>
        </w:rPr>
      </w:pPr>
      <w:r>
        <w:rPr>
          <w:rFonts w:ascii="Arial" w:cs="Arial" w:eastAsia="Arial" w:hAnsi="Arial"/>
          <w:sz w:val="22"/>
          <w:szCs w:val="22"/>
          <w:color w:val="auto"/>
        </w:rPr>
        <w:t>Notwithstanding anything in this Agreement to the contrary, each Class A-1 Preferred Share that has been converted into a Class D Common Share under this Section 2.10 shall cease to have the rights, preferences and privileges provided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79" w:name="page80"/>
    <w:bookmarkEnd w:id="79"/>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Agreement for the Class A-1 Preferred Shares and shall thereafter be treated as a Class D Common Share for all purposes.</w:t>
      </w:r>
    </w:p>
    <w:p>
      <w:pPr>
        <w:spacing w:after="0" w:line="248"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b w:val="1"/>
          <w:bCs w:val="1"/>
          <w:color w:val="auto"/>
        </w:rPr>
        <w:t>2.11</w:t>
      </w:r>
      <w:r>
        <w:rPr>
          <w:sz w:val="20"/>
          <w:szCs w:val="20"/>
          <w:color w:val="auto"/>
        </w:rPr>
        <w:tab/>
      </w:r>
      <w:r>
        <w:rPr>
          <w:rFonts w:ascii="Arial" w:cs="Arial" w:eastAsia="Arial" w:hAnsi="Arial"/>
          <w:sz w:val="19"/>
          <w:szCs w:val="19"/>
          <w:b w:val="1"/>
          <w:bCs w:val="1"/>
          <w:u w:val="single" w:color="auto"/>
          <w:color w:val="auto"/>
        </w:rPr>
        <w:t>Optional A-2 Conversion</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94" w:lineRule="auto"/>
        <w:tabs>
          <w:tab w:leader="none" w:pos="1779" w:val="left"/>
        </w:tabs>
        <w:numPr>
          <w:ilvl w:val="0"/>
          <w:numId w:val="55"/>
        </w:numPr>
        <w:rPr>
          <w:rFonts w:ascii="Arial" w:cs="Arial" w:eastAsia="Arial" w:hAnsi="Arial"/>
          <w:sz w:val="19"/>
          <w:szCs w:val="19"/>
          <w:color w:val="010000"/>
        </w:rPr>
      </w:pPr>
      <w:r>
        <w:rPr>
          <w:rFonts w:ascii="Arial" w:cs="Arial" w:eastAsia="Arial" w:hAnsi="Arial"/>
          <w:sz w:val="19"/>
          <w:szCs w:val="19"/>
          <w:color w:val="auto"/>
        </w:rPr>
        <w:t>Each Class A-2 Preferred Member shall have the right, at such Member’s option, at any time and from time to time, to convert all or any portion of the Class A-2 Preferred Shares held by such Member into Class C Common Shares, at a 1:1 ratio (as adjusted to reflect appropriate and proportional adjustments to take into account any subdivision, reorganization, reclassification, recapitalization, stock split, reverse stock split, combination of shares or similar event) by providing the Company with written notice of such conversion. A conversion of Class A-2 Preferred Shares pursuant to this Section 2.11 shall be effective as of the close of business on the first (1st) Business Day after the Company’s receipt of the conversion notice.</w:t>
      </w:r>
    </w:p>
    <w:p>
      <w:pPr>
        <w:spacing w:after="0" w:line="149" w:lineRule="exact"/>
        <w:rPr>
          <w:rFonts w:ascii="Arial" w:cs="Arial" w:eastAsia="Arial" w:hAnsi="Arial"/>
          <w:sz w:val="19"/>
          <w:szCs w:val="19"/>
          <w:color w:val="010000"/>
        </w:rPr>
      </w:pPr>
    </w:p>
    <w:p>
      <w:pPr>
        <w:jc w:val="both"/>
        <w:ind w:firstLine="1304"/>
        <w:spacing w:after="0" w:line="250" w:lineRule="auto"/>
        <w:tabs>
          <w:tab w:leader="none" w:pos="1831" w:val="left"/>
        </w:tabs>
        <w:numPr>
          <w:ilvl w:val="0"/>
          <w:numId w:val="55"/>
        </w:numPr>
        <w:rPr>
          <w:rFonts w:ascii="Arial" w:cs="Arial" w:eastAsia="Arial" w:hAnsi="Arial"/>
          <w:sz w:val="22"/>
          <w:szCs w:val="22"/>
          <w:color w:val="010000"/>
        </w:rPr>
      </w:pPr>
      <w:r>
        <w:rPr>
          <w:rFonts w:ascii="Arial" w:cs="Arial" w:eastAsia="Arial" w:hAnsi="Arial"/>
          <w:sz w:val="22"/>
          <w:szCs w:val="22"/>
          <w:color w:val="auto"/>
        </w:rPr>
        <w:t>Notwithstanding anything in this Agreement to the contrary, each Class A-2 Preferred Share that has been converted into a Class C Common Share under this Section 2.11 shall cease to have the rights, preferences and privileges provided under this Agreement for the Class A-2 Preferred Shares and shall thereafter be treated as a Class C Common Share for all purposes.</w:t>
      </w:r>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DISTRIBUTIONS</w:t>
      </w:r>
    </w:p>
    <w:p>
      <w:pPr>
        <w:spacing w:after="0" w:line="19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3.01</w:t>
      </w:r>
      <w:r>
        <w:rPr>
          <w:sz w:val="20"/>
          <w:szCs w:val="20"/>
          <w:color w:val="auto"/>
        </w:rPr>
        <w:tab/>
      </w:r>
      <w:r>
        <w:rPr>
          <w:rFonts w:ascii="Arial" w:cs="Arial" w:eastAsia="Arial" w:hAnsi="Arial"/>
          <w:sz w:val="19"/>
          <w:szCs w:val="19"/>
          <w:b w:val="1"/>
          <w:bCs w:val="1"/>
          <w:u w:val="single" w:color="auto"/>
          <w:color w:val="auto"/>
        </w:rPr>
        <w:t>Distributions</w:t>
      </w:r>
      <w:r>
        <w:rPr>
          <w:rFonts w:ascii="Arial" w:cs="Arial" w:eastAsia="Arial" w:hAnsi="Arial"/>
          <w:sz w:val="19"/>
          <w:szCs w:val="19"/>
          <w:color w:val="auto"/>
        </w:rPr>
        <w:t>.</w:t>
      </w:r>
    </w:p>
    <w:p>
      <w:pPr>
        <w:spacing w:after="0" w:line="226" w:lineRule="exact"/>
        <w:rPr>
          <w:sz w:val="20"/>
          <w:szCs w:val="20"/>
          <w:color w:val="auto"/>
        </w:rPr>
      </w:pPr>
    </w:p>
    <w:p>
      <w:pPr>
        <w:ind w:firstLine="1304"/>
        <w:spacing w:after="0" w:line="263" w:lineRule="auto"/>
        <w:tabs>
          <w:tab w:leader="none" w:pos="1752" w:val="left"/>
        </w:tabs>
        <w:numPr>
          <w:ilvl w:val="0"/>
          <w:numId w:val="56"/>
        </w:numPr>
        <w:rPr>
          <w:rFonts w:ascii="Arial" w:cs="Arial" w:eastAsia="Arial" w:hAnsi="Arial"/>
          <w:sz w:val="22"/>
          <w:szCs w:val="22"/>
          <w:color w:val="010000"/>
        </w:rPr>
      </w:pPr>
      <w:r>
        <w:rPr>
          <w:rFonts w:ascii="Arial" w:cs="Arial" w:eastAsia="Arial" w:hAnsi="Arial"/>
          <w:sz w:val="22"/>
          <w:szCs w:val="22"/>
          <w:color w:val="auto"/>
        </w:rPr>
        <w:t>Except as otherwise expressly contemplated by this Agreement, all Distributions shall be made to the Persons who are the holders of Shares at the time such Distributions are made.</w:t>
      </w:r>
    </w:p>
    <w:p>
      <w:pPr>
        <w:spacing w:after="0" w:line="174" w:lineRule="exact"/>
        <w:rPr>
          <w:rFonts w:ascii="Arial" w:cs="Arial" w:eastAsia="Arial" w:hAnsi="Arial"/>
          <w:sz w:val="22"/>
          <w:szCs w:val="22"/>
          <w:color w:val="010000"/>
        </w:rPr>
      </w:pPr>
    </w:p>
    <w:p>
      <w:pPr>
        <w:ind w:firstLine="1304"/>
        <w:spacing w:after="0" w:line="343" w:lineRule="auto"/>
        <w:tabs>
          <w:tab w:leader="none" w:pos="1777" w:val="left"/>
        </w:tabs>
        <w:numPr>
          <w:ilvl w:val="0"/>
          <w:numId w:val="56"/>
        </w:numPr>
        <w:rPr>
          <w:rFonts w:ascii="Arial" w:cs="Arial" w:eastAsia="Arial" w:hAnsi="Arial"/>
          <w:sz w:val="19"/>
          <w:szCs w:val="19"/>
          <w:color w:val="010000"/>
        </w:rPr>
      </w:pPr>
      <w:r>
        <w:rPr>
          <w:rFonts w:ascii="Arial" w:cs="Arial" w:eastAsia="Arial" w:hAnsi="Arial"/>
          <w:sz w:val="19"/>
          <w:szCs w:val="19"/>
          <w:color w:val="auto"/>
        </w:rPr>
        <w:t>Subject to Section 3.02, and in accordance with the provisions of this Section 3.01, Distributions pursuant to this Article III shall be made Quarterly in arrears (on the final day of each Quarter) in the following order of priority:</w:t>
      </w:r>
    </w:p>
    <w:p>
      <w:pPr>
        <w:spacing w:after="0" w:line="104" w:lineRule="exact"/>
        <w:rPr>
          <w:rFonts w:ascii="Arial" w:cs="Arial" w:eastAsia="Arial" w:hAnsi="Arial"/>
          <w:sz w:val="19"/>
          <w:szCs w:val="19"/>
          <w:color w:val="010000"/>
        </w:rPr>
      </w:pPr>
    </w:p>
    <w:p>
      <w:pPr>
        <w:jc w:val="both"/>
        <w:ind w:firstLine="1952"/>
        <w:spacing w:after="0" w:line="289" w:lineRule="auto"/>
        <w:tabs>
          <w:tab w:leader="none" w:pos="2431" w:val="left"/>
        </w:tabs>
        <w:numPr>
          <w:ilvl w:val="1"/>
          <w:numId w:val="56"/>
        </w:numPr>
        <w:rPr>
          <w:rFonts w:ascii="Arial" w:cs="Arial" w:eastAsia="Arial" w:hAnsi="Arial"/>
          <w:sz w:val="19"/>
          <w:szCs w:val="19"/>
          <w:color w:val="010000"/>
        </w:rPr>
      </w:pPr>
      <w:r>
        <w:rPr>
          <w:rFonts w:ascii="Arial" w:cs="Arial" w:eastAsia="Arial" w:hAnsi="Arial"/>
          <w:sz w:val="19"/>
          <w:szCs w:val="19"/>
          <w:u w:val="single" w:color="auto"/>
          <w:color w:val="auto"/>
        </w:rPr>
        <w:t>First</w:t>
      </w:r>
      <w:r>
        <w:rPr>
          <w:rFonts w:ascii="Arial" w:cs="Arial" w:eastAsia="Arial" w:hAnsi="Arial"/>
          <w:sz w:val="19"/>
          <w:szCs w:val="19"/>
          <w:color w:val="auto"/>
        </w:rPr>
        <w:t>, Distributions shall be made to the Class A-1 Preferred Members in respect of their Class A-1 Preferred Shares (ratably among such Members based upon, for the relevant Quarter, the aggregate Class A-1 Preferred Return with respect to the Class A-1 Preferred Shares held by each such Member immediately prior to such Distribution) until each Class A-1 Preferred Member has received Distributions in respect of such Member’s Class A-1 Preferred Shares in an amount equal to the aggregate Class A-1 Preferred Return for such Quarter (and not, for clarity, the full Class A-1 Preferred Unpaid Return) with respect to the Class A-1 Preferred Shares held by such Class A-1 Preferred Member immediately prior to such Distribution. The Company may, at its option, with respect to all or any portion of the Distributions on the Class A-1-A Preferred Shares and Class A-1-B Preferred Shares pursuant to this Section 3.01(b)(i) for any Quarter, elect to pay such Distribution in (A) cash or (B) by the accretion (with respect to such Quarter) of the Class A-1 Preferred Return on such Shares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80" w:name="page81"/>
    <w:bookmarkEnd w:id="80"/>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such accretion in the Class A-1 Preferred Return, and resultant increase in the Class A-1 Preferred Unpaid Return for such Shares, shall constitute a Distribution hereunder).</w:t>
      </w:r>
    </w:p>
    <w:p>
      <w:pPr>
        <w:spacing w:after="0" w:line="175" w:lineRule="exact"/>
        <w:rPr>
          <w:sz w:val="20"/>
          <w:szCs w:val="20"/>
          <w:color w:val="auto"/>
        </w:rPr>
      </w:pPr>
    </w:p>
    <w:p>
      <w:pPr>
        <w:jc w:val="both"/>
        <w:ind w:firstLine="1952"/>
        <w:spacing w:after="0" w:line="287" w:lineRule="auto"/>
        <w:tabs>
          <w:tab w:leader="none" w:pos="2464" w:val="left"/>
        </w:tabs>
        <w:numPr>
          <w:ilvl w:val="1"/>
          <w:numId w:val="57"/>
        </w:numPr>
        <w:rPr>
          <w:rFonts w:ascii="Arial" w:cs="Arial" w:eastAsia="Arial" w:hAnsi="Arial"/>
          <w:sz w:val="19"/>
          <w:szCs w:val="19"/>
          <w:color w:val="010000"/>
        </w:rPr>
      </w:pPr>
      <w:r>
        <w:rPr>
          <w:rFonts w:ascii="Arial" w:cs="Arial" w:eastAsia="Arial" w:hAnsi="Arial"/>
          <w:sz w:val="19"/>
          <w:szCs w:val="19"/>
          <w:u w:val="single" w:color="auto"/>
          <w:color w:val="auto"/>
        </w:rPr>
        <w:t>Second</w:t>
      </w:r>
      <w:r>
        <w:rPr>
          <w:rFonts w:ascii="Arial" w:cs="Arial" w:eastAsia="Arial" w:hAnsi="Arial"/>
          <w:sz w:val="19"/>
          <w:szCs w:val="19"/>
          <w:color w:val="auto"/>
        </w:rPr>
        <w:t xml:space="preserve">, Distributions shall be made to the Non-A-1 Members until the cumulative amount received in cash by each of the Members pursuant to this Section 3.01(b)(ii) and Section 3.01(b)(i) with respect to all such Distributions made after June 28, 2018 to the relevant calculation date (including, for clarity, any Distributions made in such applicable Quarter pursuant to Section 3.01(b)(i)), equals the amount such Member would have received if all such Distributions had been distributed ratably on an as-converted basis among such Members based upon the number of Non-A-1 Interests held by each such Non-A-1 Member and the number of Class A-1 Preferred Shares held by each such Class A-1 Preferred Member, in each case, immediately prior to such Distribution; </w:t>
      </w:r>
      <w:r>
        <w:rPr>
          <w:rFonts w:ascii="Arial" w:cs="Arial" w:eastAsia="Arial" w:hAnsi="Arial"/>
          <w:sz w:val="19"/>
          <w:szCs w:val="19"/>
          <w:u w:val="single" w:color="auto"/>
          <w:color w:val="auto"/>
        </w:rPr>
        <w:t>provided</w:t>
      </w:r>
      <w:r>
        <w:rPr>
          <w:rFonts w:ascii="Arial" w:cs="Arial" w:eastAsia="Arial" w:hAnsi="Arial"/>
          <w:sz w:val="19"/>
          <w:szCs w:val="19"/>
          <w:color w:val="auto"/>
        </w:rPr>
        <w:t>, that, for purposes of this Section 3.01(b)(ii), (A) Class A-1 Preferred Shares shall be deemed converted to Class D Common Shares pursuant to Section 2.10(b), and (B) issued and outstanding Non-A-1 Interests shall be deemed converted to Class D Common Shares on a 1:1 basis (as adjusted, as necessary, to reflect appropriate and proportional adjustments to take into account any subdivision, reorganization, reclassification, recapitalization, stock split, reverse stock split, combination of shares or similar event). For the avoidance of doubt, the Class A-1 Preferred Shares shall not be entitled to any Distributions pursuant to this Section 3.01(b)(ii).</w:t>
      </w:r>
    </w:p>
    <w:p>
      <w:pPr>
        <w:spacing w:after="0" w:line="158" w:lineRule="exact"/>
        <w:rPr>
          <w:rFonts w:ascii="Arial" w:cs="Arial" w:eastAsia="Arial" w:hAnsi="Arial"/>
          <w:sz w:val="19"/>
          <w:szCs w:val="19"/>
          <w:color w:val="010000"/>
        </w:rPr>
      </w:pPr>
    </w:p>
    <w:p>
      <w:pPr>
        <w:jc w:val="both"/>
        <w:ind w:firstLine="1952"/>
        <w:spacing w:after="0" w:line="288" w:lineRule="auto"/>
        <w:tabs>
          <w:tab w:leader="none" w:pos="2578" w:val="left"/>
        </w:tabs>
        <w:numPr>
          <w:ilvl w:val="1"/>
          <w:numId w:val="57"/>
        </w:numPr>
        <w:rPr>
          <w:rFonts w:ascii="Arial" w:cs="Arial" w:eastAsia="Arial" w:hAnsi="Arial"/>
          <w:sz w:val="19"/>
          <w:szCs w:val="19"/>
          <w:color w:val="010000"/>
        </w:rPr>
      </w:pPr>
      <w:r>
        <w:rPr>
          <w:rFonts w:ascii="Arial" w:cs="Arial" w:eastAsia="Arial" w:hAnsi="Arial"/>
          <w:sz w:val="19"/>
          <w:szCs w:val="19"/>
          <w:u w:val="single" w:color="auto"/>
          <w:color w:val="auto"/>
        </w:rPr>
        <w:t>Third</w:t>
      </w:r>
      <w:r>
        <w:rPr>
          <w:rFonts w:ascii="Arial" w:cs="Arial" w:eastAsia="Arial" w:hAnsi="Arial"/>
          <w:sz w:val="19"/>
          <w:szCs w:val="19"/>
          <w:color w:val="auto"/>
        </w:rPr>
        <w:t xml:space="preserve">, all further Distributions shall be made to each Non-A-1 Member and Class A-1 Preferred Member ratably on an as-converted basis among such Members based upon the number of Non-A-1 Interests held by each such Non-A-1 Member and the number of Class A-1 Preferred Shares held by each such Class A-1 Preferred Member, in each case, immediately prior to such Distribution; </w:t>
      </w:r>
      <w:r>
        <w:rPr>
          <w:rFonts w:ascii="Arial" w:cs="Arial" w:eastAsia="Arial" w:hAnsi="Arial"/>
          <w:sz w:val="19"/>
          <w:szCs w:val="19"/>
          <w:u w:val="single" w:color="auto"/>
          <w:color w:val="auto"/>
        </w:rPr>
        <w:t>provided</w:t>
      </w:r>
      <w:r>
        <w:rPr>
          <w:rFonts w:ascii="Arial" w:cs="Arial" w:eastAsia="Arial" w:hAnsi="Arial"/>
          <w:sz w:val="19"/>
          <w:szCs w:val="19"/>
          <w:color w:val="auto"/>
        </w:rPr>
        <w:t>, that, for the purposes of this Section 3.01(b)(iii), the (A) Class A-1 Preferred Shares shall be deemed converted to Class D Common Shares pursuant to Section 2.10(b) without (for the purposes of calculating such conversion) any reduction in the Class A-1-A Preferred Unpaid Return or Class A-1-B Preferred Unpaid Return due to Distributions for such Quarter made pursuant to this Section 3.01(b)(iii) and (B) issued and outstanding Non-A-1 Interests shall be deemed converted to Class D Common Shares on a 1:1 basis (as adjusted, as necessary, to reflect appropriate and proportional adjustments to take into account any subdivision, reorganization, reclassification, recapitalization, stock split, reverse stock split, combination of shares or similar event).</w:t>
      </w:r>
    </w:p>
    <w:p>
      <w:pPr>
        <w:spacing w:after="0" w:line="159" w:lineRule="exact"/>
        <w:rPr>
          <w:rFonts w:ascii="Arial" w:cs="Arial" w:eastAsia="Arial" w:hAnsi="Arial"/>
          <w:sz w:val="19"/>
          <w:szCs w:val="19"/>
          <w:color w:val="010000"/>
        </w:rPr>
      </w:pPr>
    </w:p>
    <w:p>
      <w:pPr>
        <w:jc w:val="both"/>
        <w:ind w:firstLine="1304"/>
        <w:spacing w:after="0" w:line="290" w:lineRule="auto"/>
        <w:tabs>
          <w:tab w:leader="none" w:pos="1779" w:val="left"/>
        </w:tabs>
        <w:numPr>
          <w:ilvl w:val="0"/>
          <w:numId w:val="58"/>
        </w:numPr>
        <w:rPr>
          <w:rFonts w:ascii="Arial" w:cs="Arial" w:eastAsia="Arial" w:hAnsi="Arial"/>
          <w:sz w:val="19"/>
          <w:szCs w:val="19"/>
          <w:color w:val="010000"/>
        </w:rPr>
      </w:pPr>
      <w:r>
        <w:rPr>
          <w:rFonts w:ascii="Arial" w:cs="Arial" w:eastAsia="Arial" w:hAnsi="Arial"/>
          <w:sz w:val="19"/>
          <w:szCs w:val="19"/>
          <w:color w:val="auto"/>
        </w:rPr>
        <w:t>No later than five (5) Business Days prior to the end of each Quarter, the Company will send written notice to each Class A-1 Preferred Member stating whether the Distribution pursuant to Section 3.01(b)(i) for such Quarter will be paid in cash. If the Company fails to timely send such written notice then, with respect to such Quarter, the Company will be deemed to have irrevocably elected to pay the Distribution pursuant to Section 3.01(b)(i) by the accretion of the Class A-1 Preferred Return. For clarity, (i) the Company may elect, independently as to each class, to pay cash Distributions with respect to a Quarter on either, or both, of the Class A-1-A Preferred Shares and Class A-1-B Preferred Shares and (ii) so long as the full Distribution has been made on each Class A-1 Preferred Share pursuant to Section 3.01(b)(i), the Company may (but shall not be required to) make Distributions pursuant to Section 3.01(b)(ii) and Section 3.01(b)(iii).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81" w:name="page82"/>
    <w:bookmarkEnd w:id="81"/>
    <w:p>
      <w:pPr>
        <w:spacing w:after="0" w:line="204" w:lineRule="exact"/>
        <w:rPr>
          <w:sz w:val="20"/>
          <w:szCs w:val="20"/>
          <w:color w:val="auto"/>
        </w:rPr>
      </w:pPr>
    </w:p>
    <w:p>
      <w:pPr>
        <w:jc w:val="both"/>
        <w:ind w:firstLine="1304"/>
        <w:spacing w:after="0" w:line="253" w:lineRule="auto"/>
        <w:tabs>
          <w:tab w:leader="none" w:pos="1831" w:val="left"/>
        </w:tabs>
        <w:numPr>
          <w:ilvl w:val="0"/>
          <w:numId w:val="59"/>
        </w:numPr>
        <w:rPr>
          <w:rFonts w:ascii="Arial" w:cs="Arial" w:eastAsia="Arial" w:hAnsi="Arial"/>
          <w:sz w:val="22"/>
          <w:szCs w:val="22"/>
          <w:color w:val="010000"/>
        </w:rPr>
      </w:pPr>
      <w:r>
        <w:rPr>
          <w:rFonts w:ascii="Arial" w:cs="Arial" w:eastAsia="Arial" w:hAnsi="Arial"/>
          <w:sz w:val="22"/>
          <w:szCs w:val="22"/>
          <w:color w:val="auto"/>
        </w:rPr>
        <w:t>Any reference in this agreement to a Distribution to a Substituted Member shall include any Distributions previously made to the predecessor Member on account of the interest of such predecessor Member transferred to such Substituted Member.</w:t>
      </w:r>
    </w:p>
    <w:p>
      <w:pPr>
        <w:spacing w:after="0" w:line="185" w:lineRule="exact"/>
        <w:rPr>
          <w:rFonts w:ascii="Arial" w:cs="Arial" w:eastAsia="Arial" w:hAnsi="Arial"/>
          <w:sz w:val="22"/>
          <w:szCs w:val="22"/>
          <w:color w:val="010000"/>
        </w:rPr>
      </w:pPr>
    </w:p>
    <w:p>
      <w:pPr>
        <w:ind w:firstLine="1304"/>
        <w:spacing w:after="0" w:line="287" w:lineRule="auto"/>
        <w:tabs>
          <w:tab w:leader="none" w:pos="1765" w:val="left"/>
        </w:tabs>
        <w:numPr>
          <w:ilvl w:val="0"/>
          <w:numId w:val="59"/>
        </w:numPr>
        <w:rPr>
          <w:rFonts w:ascii="Arial" w:cs="Arial" w:eastAsia="Arial" w:hAnsi="Arial"/>
          <w:sz w:val="21"/>
          <w:szCs w:val="21"/>
          <w:color w:val="010000"/>
        </w:rPr>
      </w:pPr>
      <w:r>
        <w:rPr>
          <w:rFonts w:ascii="Arial" w:cs="Arial" w:eastAsia="Arial" w:hAnsi="Arial"/>
          <w:sz w:val="21"/>
          <w:szCs w:val="21"/>
          <w:color w:val="auto"/>
        </w:rPr>
        <w:t>Notwithstanding any provision to the contrary contained in this Agreement the Company shall not make any Distribution to Members if such Distribution would violate Section 18-607 of the Act or other applicable law.</w:t>
      </w:r>
    </w:p>
    <w:p>
      <w:pPr>
        <w:spacing w:after="0" w:line="14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3.02</w:t>
      </w:r>
      <w:r>
        <w:rPr>
          <w:sz w:val="20"/>
          <w:szCs w:val="20"/>
          <w:color w:val="auto"/>
        </w:rPr>
        <w:tab/>
      </w:r>
      <w:r>
        <w:rPr>
          <w:rFonts w:ascii="Arial" w:cs="Arial" w:eastAsia="Arial" w:hAnsi="Arial"/>
          <w:sz w:val="19"/>
          <w:szCs w:val="19"/>
          <w:b w:val="1"/>
          <w:bCs w:val="1"/>
          <w:u w:val="single" w:color="auto"/>
          <w:color w:val="auto"/>
        </w:rPr>
        <w:t>Distributions Upon Liquidation or a Deemed Liquidation Event</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1304"/>
        <w:spacing w:after="0" w:line="253" w:lineRule="auto"/>
        <w:tabs>
          <w:tab w:leader="none" w:pos="1752" w:val="left"/>
        </w:tabs>
        <w:numPr>
          <w:ilvl w:val="0"/>
          <w:numId w:val="60"/>
        </w:numPr>
        <w:rPr>
          <w:rFonts w:ascii="Arial" w:cs="Arial" w:eastAsia="Arial" w:hAnsi="Arial"/>
          <w:sz w:val="22"/>
          <w:szCs w:val="22"/>
          <w:color w:val="010000"/>
        </w:rPr>
      </w:pPr>
      <w:r>
        <w:rPr>
          <w:rFonts w:ascii="Arial" w:cs="Arial" w:eastAsia="Arial" w:hAnsi="Arial"/>
          <w:sz w:val="22"/>
          <w:szCs w:val="22"/>
          <w:color w:val="auto"/>
        </w:rPr>
        <w:t>Notwithstanding Section 3.01, upon a liquidation (pursuant to Article X) or a Deemed Liquidation Event, the Company shall distribute the net proceeds or assets available for distribution, whether in cash or in other property, to the Members as follows:</w:t>
      </w:r>
    </w:p>
    <w:p>
      <w:pPr>
        <w:spacing w:after="0" w:line="185" w:lineRule="exact"/>
        <w:rPr>
          <w:rFonts w:ascii="Arial" w:cs="Arial" w:eastAsia="Arial" w:hAnsi="Arial"/>
          <w:sz w:val="22"/>
          <w:szCs w:val="22"/>
          <w:color w:val="010000"/>
        </w:rPr>
      </w:pPr>
    </w:p>
    <w:p>
      <w:pPr>
        <w:jc w:val="both"/>
        <w:ind w:firstLine="1952"/>
        <w:spacing w:after="0" w:line="282" w:lineRule="auto"/>
        <w:tabs>
          <w:tab w:leader="none" w:pos="2458" w:val="left"/>
        </w:tabs>
        <w:numPr>
          <w:ilvl w:val="1"/>
          <w:numId w:val="60"/>
        </w:numPr>
        <w:rPr>
          <w:rFonts w:ascii="Arial" w:cs="Arial" w:eastAsia="Arial" w:hAnsi="Arial"/>
          <w:sz w:val="19"/>
          <w:szCs w:val="19"/>
          <w:color w:val="010000"/>
        </w:rPr>
      </w:pPr>
      <w:r>
        <w:rPr>
          <w:rFonts w:ascii="Arial" w:cs="Arial" w:eastAsia="Arial" w:hAnsi="Arial"/>
          <w:sz w:val="19"/>
          <w:szCs w:val="19"/>
          <w:u w:val="single" w:color="auto"/>
          <w:color w:val="auto"/>
        </w:rPr>
        <w:t>First</w:t>
      </w:r>
      <w:r>
        <w:rPr>
          <w:rFonts w:ascii="Arial" w:cs="Arial" w:eastAsia="Arial" w:hAnsi="Arial"/>
          <w:sz w:val="19"/>
          <w:szCs w:val="19"/>
          <w:color w:val="auto"/>
        </w:rPr>
        <w:t xml:space="preserve">, Class A-1 Preferred Members, Class F Preferred Members, and Class G Preferred Members shall receive,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(proportional to their share of the aggregate (A) Class A-1 Liquidation Preference Amount for all Class A-1 Preferred Shares, </w:t>
      </w:r>
      <w:r>
        <w:rPr>
          <w:rFonts w:ascii="Arial" w:cs="Arial" w:eastAsia="Arial" w:hAnsi="Arial"/>
          <w:sz w:val="19"/>
          <w:szCs w:val="19"/>
          <w:i w:val="1"/>
          <w:iCs w:val="1"/>
          <w:color w:val="auto"/>
        </w:rPr>
        <w:t>plus</w:t>
      </w:r>
      <w:r>
        <w:rPr>
          <w:rFonts w:ascii="Arial" w:cs="Arial" w:eastAsia="Arial" w:hAnsi="Arial"/>
          <w:sz w:val="19"/>
          <w:szCs w:val="19"/>
          <w:color w:val="auto"/>
        </w:rPr>
        <w:t xml:space="preserve"> (B) Class F Liquidation Preference Amount for all Class F Preferred Shares, </w:t>
      </w:r>
      <w:r>
        <w:rPr>
          <w:rFonts w:ascii="Arial" w:cs="Arial" w:eastAsia="Arial" w:hAnsi="Arial"/>
          <w:sz w:val="19"/>
          <w:szCs w:val="19"/>
          <w:i w:val="1"/>
          <w:iCs w:val="1"/>
          <w:color w:val="auto"/>
        </w:rPr>
        <w:t>plus</w:t>
      </w:r>
      <w:r>
        <w:rPr>
          <w:rFonts w:ascii="Arial" w:cs="Arial" w:eastAsia="Arial" w:hAnsi="Arial"/>
          <w:sz w:val="19"/>
          <w:szCs w:val="19"/>
          <w:color w:val="auto"/>
        </w:rPr>
        <w:t xml:space="preserve"> (C) Class G Liquidation Preference Amount for all Class G Preferred Shares) for each Class A-1 Preferred Share, Class F Preferred Share, and Class G Preferred Share, as applicable, the greater of (1) (x) for each Class A-1 Preferred Share held by such Class A-1 Preferred Member, the applicable Class A-1 Liquidation Preference Amount, (y) for each Class F Preferred Share held by such Class F Preferred Member, the Class F Liquidation Preference Amount, and (z) for each Class G Preferred Share held by such Class G Preferred Member, the Class G Liquidation Preference Amount, and (2) the amount distributable pursuant to Section 3.02(a)(iii) with respect to such Class A-1 Preferred Share, as if such Share had converted into a Class D Common Share (pursuant to Section 2.10), and with respect to such Class F Preferred Share and Class G Preferred Share, as if such Share had converted into a Class D Common Share on a 1:1 basis (as adjusted, as necessary, to reflect appropriate and proportional adjustments to take into account any subdivision, reorganization, reclassification, recapitalization, stock split, reverse stock split, combination of shares or similar event), in each case immediately prior to the event giving rise to a Distribution pursuant to this Section 3.02. If upon any such liquidation or Deemed Liquidation Event, the net proceeds or assets available for distribution to the Members shall be insufficient to pay the holders of Class A-1 Preferred Shares, Class F Preferred Shares, and Class G Preferred Shares the full amount to which they shall be entitled under this Section 3.02(a)(i), the holders of Class A-1 Preferred Shares, Class F Preferred Shares, and Class G Preferred Shares shall share ratably in any distribution of the assets available for distribution in proportion to the respective amounts which would otherwise be payable in respect of such shares held by them upon such distribution if all amounts payable on or with respect to such shares were paid in full pursuant to this Section 3.02(a)</w:t>
      </w:r>
    </w:p>
    <w:p>
      <w:pPr>
        <w:spacing w:after="0" w:line="13"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(i).</w:t>
      </w:r>
    </w:p>
    <w:p>
      <w:pPr>
        <w:spacing w:after="0" w:line="201" w:lineRule="exact"/>
        <w:rPr>
          <w:rFonts w:ascii="Arial" w:cs="Arial" w:eastAsia="Arial" w:hAnsi="Arial"/>
          <w:sz w:val="19"/>
          <w:szCs w:val="19"/>
          <w:color w:val="010000"/>
        </w:rPr>
      </w:pPr>
    </w:p>
    <w:p>
      <w:pPr>
        <w:jc w:val="both"/>
        <w:ind w:firstLine="1952"/>
        <w:spacing w:after="0" w:line="253" w:lineRule="auto"/>
        <w:tabs>
          <w:tab w:leader="none" w:pos="2464" w:val="left"/>
        </w:tabs>
        <w:numPr>
          <w:ilvl w:val="1"/>
          <w:numId w:val="60"/>
        </w:numPr>
        <w:rPr>
          <w:rFonts w:ascii="Arial" w:cs="Arial" w:eastAsia="Arial" w:hAnsi="Arial"/>
          <w:sz w:val="22"/>
          <w:szCs w:val="22"/>
          <w:color w:val="010000"/>
        </w:rPr>
      </w:pPr>
      <w:r>
        <w:rPr>
          <w:rFonts w:ascii="Arial" w:cs="Arial" w:eastAsia="Arial" w:hAnsi="Arial"/>
          <w:sz w:val="22"/>
          <w:szCs w:val="22"/>
          <w:u w:val="single" w:color="auto"/>
          <w:color w:val="auto"/>
        </w:rPr>
        <w:t>Second</w:t>
      </w:r>
      <w:r>
        <w:rPr>
          <w:rFonts w:ascii="Arial" w:cs="Arial" w:eastAsia="Arial" w:hAnsi="Arial"/>
          <w:sz w:val="22"/>
          <w:szCs w:val="22"/>
          <w:color w:val="auto"/>
        </w:rPr>
        <w:t>, Class A-2 Preferred Members shall receive, for each Class A-2 Preferred Share, the greater of (A) the Class A-2 Liquidation Preference Amount and (B) the amount distributable pursuant to Section 3.02(a)(iii) with respect to such Class A-2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82" w:name="page83"/>
    <w:bookmarkEnd w:id="82"/>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Preferred Share as if such Share had converted into a Class C Common Share (pursuant to Section 2.11) immediately prior to the event giving rise to a Distribution pursuant to this Section 3.02.</w:t>
      </w:r>
    </w:p>
    <w:p>
      <w:pPr>
        <w:spacing w:after="0" w:line="175" w:lineRule="exact"/>
        <w:rPr>
          <w:sz w:val="20"/>
          <w:szCs w:val="20"/>
          <w:color w:val="auto"/>
        </w:rPr>
      </w:pPr>
    </w:p>
    <w:p>
      <w:pPr>
        <w:jc w:val="both"/>
        <w:ind w:firstLine="1952"/>
        <w:spacing w:after="0" w:line="312" w:lineRule="auto"/>
        <w:tabs>
          <w:tab w:leader="none" w:pos="2646" w:val="left"/>
        </w:tabs>
        <w:numPr>
          <w:ilvl w:val="1"/>
          <w:numId w:val="61"/>
        </w:numPr>
        <w:rPr>
          <w:rFonts w:ascii="Arial" w:cs="Arial" w:eastAsia="Arial" w:hAnsi="Arial"/>
          <w:sz w:val="19"/>
          <w:szCs w:val="19"/>
          <w:color w:val="010000"/>
        </w:rPr>
      </w:pPr>
      <w:r>
        <w:rPr>
          <w:rFonts w:ascii="Arial" w:cs="Arial" w:eastAsia="Arial" w:hAnsi="Arial"/>
          <w:sz w:val="19"/>
          <w:szCs w:val="19"/>
          <w:u w:val="single" w:color="auto"/>
          <w:color w:val="auto"/>
        </w:rPr>
        <w:t>Third</w:t>
      </w:r>
      <w:r>
        <w:rPr>
          <w:rFonts w:ascii="Arial" w:cs="Arial" w:eastAsia="Arial" w:hAnsi="Arial"/>
          <w:sz w:val="19"/>
          <w:szCs w:val="19"/>
          <w:color w:val="auto"/>
        </w:rPr>
        <w:t>, to Non-A-1 Members (other than the Class A-2 Preferred Members, Class F Preferred Members, and Class G Preferred Members), ratably among such Members based upon the number of Non-A-1 Interests held by each such Non-A-1 Member (other than Class A-2 Preferred Shares, Class F Preferred Shares, and Class G Preferred Shares).</w:t>
      </w:r>
    </w:p>
    <w:p>
      <w:pPr>
        <w:spacing w:after="0" w:line="127" w:lineRule="exact"/>
        <w:rPr>
          <w:rFonts w:ascii="Arial" w:cs="Arial" w:eastAsia="Arial" w:hAnsi="Arial"/>
          <w:sz w:val="19"/>
          <w:szCs w:val="19"/>
          <w:color w:val="010000"/>
        </w:rPr>
      </w:pPr>
    </w:p>
    <w:p>
      <w:pPr>
        <w:ind w:left="1840" w:hanging="536"/>
        <w:spacing w:after="0"/>
        <w:tabs>
          <w:tab w:leader="none" w:pos="1840" w:val="left"/>
        </w:tabs>
        <w:numPr>
          <w:ilvl w:val="0"/>
          <w:numId w:val="62"/>
        </w:numPr>
        <w:rPr>
          <w:rFonts w:ascii="Arial" w:cs="Arial" w:eastAsia="Arial" w:hAnsi="Arial"/>
          <w:sz w:val="19"/>
          <w:szCs w:val="19"/>
          <w:color w:val="010000"/>
        </w:rPr>
      </w:pPr>
      <w:r>
        <w:rPr>
          <w:rFonts w:ascii="Arial" w:cs="Arial" w:eastAsia="Arial" w:hAnsi="Arial"/>
          <w:sz w:val="19"/>
          <w:szCs w:val="19"/>
          <w:color w:val="auto"/>
        </w:rPr>
        <w:t>A “</w:t>
      </w:r>
      <w:r>
        <w:rPr>
          <w:rFonts w:ascii="Arial" w:cs="Arial" w:eastAsia="Arial" w:hAnsi="Arial"/>
          <w:sz w:val="19"/>
          <w:szCs w:val="19"/>
          <w:b w:val="1"/>
          <w:bCs w:val="1"/>
          <w:color w:val="auto"/>
        </w:rPr>
        <w:t>Deemed Liquidation Event</w:t>
      </w:r>
      <w:r>
        <w:rPr>
          <w:rFonts w:ascii="Arial" w:cs="Arial" w:eastAsia="Arial" w:hAnsi="Arial"/>
          <w:sz w:val="19"/>
          <w:szCs w:val="19"/>
          <w:color w:val="auto"/>
        </w:rPr>
        <w:t>” shall occur upon either of a Sale of the Company or a Drag-Along Sale</w:t>
      </w:r>
    </w:p>
    <w:p>
      <w:pPr>
        <w:spacing w:after="0" w:line="61"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Transaction.</w:t>
      </w:r>
    </w:p>
    <w:p>
      <w:pPr>
        <w:spacing w:after="0" w:line="19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3.03 </w:t>
      </w:r>
      <w:r>
        <w:rPr>
          <w:rFonts w:ascii="Arial" w:cs="Arial" w:eastAsia="Arial" w:hAnsi="Arial"/>
          <w:sz w:val="19"/>
          <w:szCs w:val="19"/>
          <w:b w:val="1"/>
          <w:bCs w:val="1"/>
          <w:u w:val="single" w:color="auto"/>
          <w:color w:val="auto"/>
        </w:rPr>
        <w:t>Distributions In-Kind</w:t>
      </w:r>
      <w:r>
        <w:rPr>
          <w:rFonts w:ascii="Arial" w:cs="Arial" w:eastAsia="Arial" w:hAnsi="Arial"/>
          <w:sz w:val="19"/>
          <w:szCs w:val="19"/>
          <w:color w:val="auto"/>
        </w:rPr>
        <w:t>. Distributions of property other than cash, including securities (but, for the avoidance of</w:t>
      </w:r>
      <w:r>
        <w:rPr>
          <w:rFonts w:ascii="Arial" w:cs="Arial" w:eastAsia="Arial" w:hAnsi="Arial"/>
          <w:sz w:val="19"/>
          <w:szCs w:val="19"/>
          <w:b w:val="1"/>
          <w:bCs w:val="1"/>
          <w:color w:val="auto"/>
        </w:rPr>
        <w:t xml:space="preserve"> </w:t>
      </w:r>
      <w:r>
        <w:rPr>
          <w:rFonts w:ascii="Arial" w:cs="Arial" w:eastAsia="Arial" w:hAnsi="Arial"/>
          <w:sz w:val="19"/>
          <w:szCs w:val="19"/>
          <w:color w:val="auto"/>
        </w:rPr>
        <w:t>doubt, Distributions in respect of the Class A-1 Preferred Shares pursuant to Section 3.01(b)(i) shall not include stock or securities issued by the Company and may only be made in cash or accretion pursuant to Section 3.01(b)(i)), may be made under this Agreement with the approval of the Board of Directors. Distributions of property other than cash shall be valued at Fair Market Value. Except as otherwise required by the Act or this Agreement, and subject in all respects to Section 3.01 and Section 3.02, no Member shall be entitled to Distributions of property other than cash and the Board of Directors may make a determination to distribute property to one Member or group of Members and cash to the remaining Members so long as no Member is adversely affected in a manner which is disproportionate to the other Members as a result of such determination. The Company shall not make any in-kind distributions in respect of (a) the Class F Preferred Shares of property that is not an equity security or debt security of an entity classified as a corporation for U.S. federal income tax purposes without the consent of the Class F Preferred Members to whom such distribution is to be made, and (b) the Class G Preferred Shares of property that is not an equity security or debt security of an entity classified as a corporation for U.S. federal income tax purposes without the consent of the Class G Preferred Members to whom such distribution is to be made.</w:t>
      </w:r>
    </w:p>
    <w:p>
      <w:pPr>
        <w:spacing w:after="0" w:line="15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TAX MATTERS</w:t>
      </w:r>
    </w:p>
    <w:p>
      <w:pPr>
        <w:spacing w:after="0" w:line="19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4.01 </w:t>
      </w:r>
      <w:r>
        <w:rPr>
          <w:rFonts w:ascii="Arial" w:cs="Arial" w:eastAsia="Arial" w:hAnsi="Arial"/>
          <w:sz w:val="19"/>
          <w:szCs w:val="19"/>
          <w:b w:val="1"/>
          <w:bCs w:val="1"/>
          <w:u w:val="single" w:color="auto"/>
          <w:color w:val="auto"/>
        </w:rPr>
        <w:t>Corporate Status</w:t>
      </w:r>
      <w:r>
        <w:rPr>
          <w:rFonts w:ascii="Arial" w:cs="Arial" w:eastAsia="Arial" w:hAnsi="Arial"/>
          <w:sz w:val="19"/>
          <w:szCs w:val="19"/>
          <w:color w:val="auto"/>
        </w:rPr>
        <w:t>. The Members intend that the Company be treated as a corporation for U.S. federal, and, as</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state and local, income tax purposes, and neither the Company nor any of the Members shall take any reporting position inconsistent with such treatment. In furtherance of the foregoing, the Company has elected, pursuant to Treasury Regulations Section 301.7701-3(c), to be treated as an association taxable as a corporation, effective as of May 23, 2018. The Company will not make any other entity classification elections with respect to the Company without the prior written consent of all Members; provided that, if the Entity is eligible to make an entity classification election, it shall elect to be treated as an association taxable as a corporation, unless the prior written consent of all Members has been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9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4.02 </w:t>
      </w:r>
      <w:r>
        <w:rPr>
          <w:rFonts w:ascii="Arial" w:cs="Arial" w:eastAsia="Arial" w:hAnsi="Arial"/>
          <w:sz w:val="19"/>
          <w:szCs w:val="19"/>
          <w:b w:val="1"/>
          <w:bCs w:val="1"/>
          <w:u w:val="single" w:color="auto"/>
          <w:color w:val="auto"/>
        </w:rPr>
        <w:t>Withholding</w:t>
      </w:r>
      <w:r>
        <w:rPr>
          <w:rFonts w:ascii="Arial" w:cs="Arial" w:eastAsia="Arial" w:hAnsi="Arial"/>
          <w:sz w:val="19"/>
          <w:szCs w:val="19"/>
          <w:color w:val="auto"/>
        </w:rPr>
        <w:t>. The Company is authorized to withhold from any payment made to a Member any amounts required</w:t>
      </w:r>
      <w:r>
        <w:rPr>
          <w:rFonts w:ascii="Arial" w:cs="Arial" w:eastAsia="Arial" w:hAnsi="Arial"/>
          <w:sz w:val="19"/>
          <w:szCs w:val="19"/>
          <w:b w:val="1"/>
          <w:bCs w:val="1"/>
          <w:color w:val="auto"/>
        </w:rPr>
        <w:t xml:space="preserve"> </w:t>
      </w:r>
      <w:r>
        <w:rPr>
          <w:rFonts w:ascii="Arial" w:cs="Arial" w:eastAsia="Arial" w:hAnsi="Arial"/>
          <w:sz w:val="19"/>
          <w:szCs w:val="19"/>
          <w:color w:val="auto"/>
        </w:rPr>
        <w:t>to be withheld by the Company under applicable law and, if so required, remit any such amounts to the applicable governmental authority. To the extent that any amounts are so withheld, such withheld amounts shall be treated as having been paid to the Member in respect of which such withholding was made. Upon request by the Company in writing, each Member shall provide the Company with a properly completed and duly executed Internal Revenue Service (“</w:t>
      </w:r>
      <w:r>
        <w:rPr>
          <w:rFonts w:ascii="Arial" w:cs="Arial" w:eastAsia="Arial" w:hAnsi="Arial"/>
          <w:sz w:val="19"/>
          <w:szCs w:val="19"/>
          <w:b w:val="1"/>
          <w:bCs w:val="1"/>
          <w:color w:val="auto"/>
        </w:rPr>
        <w:t>IRS</w:t>
      </w:r>
      <w:r>
        <w:rPr>
          <w:rFonts w:ascii="Arial" w:cs="Arial" w:eastAsia="Arial" w:hAnsi="Arial"/>
          <w:sz w:val="19"/>
          <w:szCs w:val="19"/>
          <w:color w:val="auto"/>
        </w:rPr>
        <w:t>”) Form W-9 or applicable IRS Form W-8, or any other information, form or certificate reasonably necessary to determine whether and the extent to which any such withholding is required. If the Company, or the Board of Directors or any Affiliate of the Company, becomes liable as a result of a failure to withhold and remit taxes in respect of any Member and such failure was attributable to such Member’s failure to timely provide the Company with the appropriate information requested in writing by the Company regarding such Member’s tax status or tax payment obligations, then such Member shall indemnify and hold harmless the Company, or the Board of Directors or any Affiliate of the Company, as the case may be, in respect of any such tax that should have been withheld and remitted (including any interest or penalties assessed or imposed thereon and any expenses incurred in any examination, determination, resolution and payment of such tax) but was not so withheld and remitted as a result of such Member’s failure to timely provide the Company with such information. The provisions contained in this Section 4.02 shall survive the termination of the Company and the withdrawal of any Member.</w:t>
      </w:r>
    </w:p>
    <w:p>
      <w:pPr>
        <w:spacing w:after="0" w:line="200" w:lineRule="exact"/>
        <w:rPr>
          <w:sz w:val="20"/>
          <w:szCs w:val="20"/>
          <w:color w:val="auto"/>
        </w:rPr>
      </w:pPr>
    </w:p>
    <w:p>
      <w:pPr>
        <w:spacing w:after="0" w:line="21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4.03</w:t>
      </w:r>
      <w:r>
        <w:rPr>
          <w:sz w:val="20"/>
          <w:szCs w:val="20"/>
          <w:color w:val="auto"/>
        </w:rPr>
        <w:tab/>
      </w:r>
      <w:r>
        <w:rPr>
          <w:rFonts w:ascii="Arial" w:cs="Arial" w:eastAsia="Arial" w:hAnsi="Arial"/>
          <w:sz w:val="19"/>
          <w:szCs w:val="19"/>
          <w:b w:val="1"/>
          <w:bCs w:val="1"/>
          <w:u w:val="single" w:color="auto"/>
          <w:color w:val="auto"/>
        </w:rPr>
        <w:t>Tax Sharing</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1304"/>
        <w:spacing w:after="0" w:line="258" w:lineRule="auto"/>
        <w:tabs>
          <w:tab w:leader="none" w:pos="1752" w:val="left"/>
        </w:tabs>
        <w:numPr>
          <w:ilvl w:val="0"/>
          <w:numId w:val="63"/>
        </w:numPr>
        <w:rPr>
          <w:rFonts w:ascii="Arial" w:cs="Arial" w:eastAsia="Arial" w:hAnsi="Arial"/>
          <w:sz w:val="21"/>
          <w:szCs w:val="21"/>
          <w:color w:val="010000"/>
        </w:rPr>
      </w:pPr>
      <w:r>
        <w:rPr>
          <w:rFonts w:ascii="Arial" w:cs="Arial" w:eastAsia="Arial" w:hAnsi="Arial"/>
          <w:sz w:val="21"/>
          <w:szCs w:val="21"/>
          <w:u w:val="single" w:color="auto"/>
          <w:color w:val="auto"/>
        </w:rPr>
        <w:t>GM Consolidated Group</w:t>
      </w:r>
      <w:r>
        <w:rPr>
          <w:rFonts w:ascii="Arial" w:cs="Arial" w:eastAsia="Arial" w:hAnsi="Arial"/>
          <w:sz w:val="21"/>
          <w:szCs w:val="21"/>
          <w:color w:val="auto"/>
        </w:rPr>
        <w:t xml:space="preserve">. For the 2018 Tax Period of the GM Consolidated Group, the Company shall timely deliver to GM Parent a properly completed and duly executed IRS Form 1122 (Authorization and Consent of Subsidiary Corporation To Be Included in a Consolidated Income Tax Return) and any similar or corresponding forms required for state or local income or franchise tax purposes. The Company acknowledges and agrees that GM Parent shall act as sole agent (within the meaning of Treasury Regulations Section 1.1502-77) for the Company with respect to any Tax Period for which the Company joins one or more members of the GM Consolidated Group in filing a GM Consolidated Return,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GM Investor shall cause GM Parent to not take any action with respect to any tax matters, including any action in its role as sole agent (within the meaning of Treasury Regulation Section 1.1502-77) that has a material and disproportionate adverse impact on the Company or SoftBank, without the Company’s or SoftBank’s consent, as applicable, not to be unreasonably withheld, conditioned or delayed.</w:t>
      </w:r>
    </w:p>
    <w:p>
      <w:pPr>
        <w:spacing w:after="0" w:line="185" w:lineRule="exact"/>
        <w:rPr>
          <w:rFonts w:ascii="Arial" w:cs="Arial" w:eastAsia="Arial" w:hAnsi="Arial"/>
          <w:sz w:val="21"/>
          <w:szCs w:val="21"/>
          <w:color w:val="010000"/>
        </w:rPr>
      </w:pPr>
    </w:p>
    <w:p>
      <w:pPr>
        <w:ind w:left="1780" w:hanging="476"/>
        <w:spacing w:after="0"/>
        <w:tabs>
          <w:tab w:leader="none" w:pos="1780" w:val="left"/>
        </w:tabs>
        <w:numPr>
          <w:ilvl w:val="0"/>
          <w:numId w:val="63"/>
        </w:numPr>
        <w:rPr>
          <w:rFonts w:ascii="Arial" w:cs="Arial" w:eastAsia="Arial" w:hAnsi="Arial"/>
          <w:sz w:val="22"/>
          <w:szCs w:val="22"/>
          <w:color w:val="010000"/>
        </w:rPr>
      </w:pPr>
      <w:r>
        <w:rPr>
          <w:rFonts w:ascii="Arial" w:cs="Arial" w:eastAsia="Arial" w:hAnsi="Arial"/>
          <w:sz w:val="22"/>
          <w:szCs w:val="22"/>
          <w:u w:val="single" w:color="auto"/>
          <w:color w:val="auto"/>
        </w:rPr>
        <w:t>Payment from the GM Investor to the Company for Use of Company NOLs and Tax Credits</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jc w:val="both"/>
        <w:ind w:firstLine="1952"/>
        <w:spacing w:after="0" w:line="312" w:lineRule="auto"/>
        <w:tabs>
          <w:tab w:leader="none" w:pos="2418" w:val="left"/>
        </w:tabs>
        <w:numPr>
          <w:ilvl w:val="1"/>
          <w:numId w:val="63"/>
        </w:numPr>
        <w:rPr>
          <w:rFonts w:ascii="Arial" w:cs="Arial" w:eastAsia="Arial" w:hAnsi="Arial"/>
          <w:sz w:val="19"/>
          <w:szCs w:val="19"/>
          <w:color w:val="010000"/>
        </w:rPr>
      </w:pPr>
      <w:r>
        <w:rPr>
          <w:rFonts w:ascii="Arial" w:cs="Arial" w:eastAsia="Arial" w:hAnsi="Arial"/>
          <w:sz w:val="19"/>
          <w:szCs w:val="19"/>
          <w:color w:val="auto"/>
        </w:rPr>
        <w:t>If upon a Deconsolidation the NOL Deficit Amount exceeds zero, the GM Investor shall pay to the Company, with respect to each Tax Period of the Company, the Excess NOL Tax Increase with respect to such Tax Period. The GM Investor shall pay the Excess NOL Tax Increase with respect to each such Tax Period no later than ten (10)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40" w:right="339" w:bottom="1440" w:gutter="0" w:footer="0" w:header="0"/>
        </w:sectPr>
      </w:pPr>
    </w:p>
    <w:bookmarkStart w:id="84" w:name="page85"/>
    <w:bookmarkEnd w:id="84"/>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Days following delivery of written notice by the Company to the GM Investor of the amount of Excess NOL Tax Increase for such Tax Period.</w:t>
      </w:r>
    </w:p>
    <w:p>
      <w:pPr>
        <w:spacing w:after="0" w:line="175" w:lineRule="exact"/>
        <w:rPr>
          <w:sz w:val="20"/>
          <w:szCs w:val="20"/>
          <w:color w:val="auto"/>
        </w:rPr>
      </w:pPr>
    </w:p>
    <w:p>
      <w:pPr>
        <w:jc w:val="both"/>
        <w:ind w:firstLine="1952"/>
        <w:spacing w:after="0" w:line="286" w:lineRule="auto"/>
        <w:tabs>
          <w:tab w:leader="none" w:pos="2491" w:val="left"/>
        </w:tabs>
        <w:numPr>
          <w:ilvl w:val="1"/>
          <w:numId w:val="64"/>
        </w:numPr>
        <w:rPr>
          <w:rFonts w:ascii="Arial" w:cs="Arial" w:eastAsia="Arial" w:hAnsi="Arial"/>
          <w:sz w:val="19"/>
          <w:szCs w:val="19"/>
          <w:color w:val="010000"/>
        </w:rPr>
      </w:pPr>
      <w:r>
        <w:rPr>
          <w:rFonts w:ascii="Arial" w:cs="Arial" w:eastAsia="Arial" w:hAnsi="Arial"/>
          <w:sz w:val="19"/>
          <w:szCs w:val="19"/>
          <w:color w:val="auto"/>
        </w:rPr>
        <w:t xml:space="preserve">In addition to the payments described in Section 4.03(b)(i) above (and without duplication of such payments or any other payments required to be made by the GM Investor hereunder), the GM Investor shall make payments to the Company with respect to any R&amp;D Tax Credits or Other Tax Credits generated by the Company or any of its Subsidiaries in the same manner and using the same principles as described in Section 4.03(b)(i) and in the definitions of NOL Deficit Amount and Hypothetical Deconsolidated Company NOL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applying such principles, (A) clause (ii) of the definition of NOL Deficit Amount shall not apply and (B) in applying the Company standalone concept of the Hypothetical Deconsolidated Company NOL Amount, the Company and its Subsidiaries shall be assumed to utilize the same tax accounting methods, elections, conventions, practices, policies and principles regarding the R&amp;D Tax Credits or Other Tax Credits actually utilized by the GM Consolidated Group and the Company and its Subsidiaries shall otherwise be assumed to take into account the GM Consolidated Group’s history in its use of R&amp;D Tax Credits or Other Tax Credits;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no such payment with respect to Other Tax Credits will be required unless and until such Other Tax Credits generated by the Company and its Subsidiaries exceed, in the aggregate, taking into account any Other Tax Credits referenced in Section 4.03(e), $12,000,000 with respect to any calendar year.</w:t>
      </w:r>
    </w:p>
    <w:p>
      <w:pPr>
        <w:spacing w:after="0" w:line="165" w:lineRule="exact"/>
        <w:rPr>
          <w:rFonts w:ascii="Arial" w:cs="Arial" w:eastAsia="Arial" w:hAnsi="Arial"/>
          <w:sz w:val="19"/>
          <w:szCs w:val="19"/>
          <w:color w:val="010000"/>
        </w:rPr>
      </w:pPr>
    </w:p>
    <w:p>
      <w:pPr>
        <w:jc w:val="both"/>
        <w:ind w:firstLine="1952"/>
        <w:spacing w:after="0" w:line="260" w:lineRule="auto"/>
        <w:tabs>
          <w:tab w:leader="none" w:pos="2497" w:val="left"/>
        </w:tabs>
        <w:numPr>
          <w:ilvl w:val="1"/>
          <w:numId w:val="64"/>
        </w:numPr>
        <w:rPr>
          <w:rFonts w:ascii="Arial" w:cs="Arial" w:eastAsia="Arial" w:hAnsi="Arial"/>
          <w:sz w:val="21"/>
          <w:szCs w:val="21"/>
          <w:color w:val="010000"/>
        </w:rPr>
      </w:pPr>
      <w:r>
        <w:rPr>
          <w:rFonts w:ascii="Arial" w:cs="Arial" w:eastAsia="Arial" w:hAnsi="Arial"/>
          <w:sz w:val="21"/>
          <w:szCs w:val="21"/>
          <w:color w:val="auto"/>
        </w:rPr>
        <w:t>The GM Investor and its advisors shall calculate the NOL Deficit Amount and the deficit amount in respect of R&amp;D Tax Credits and Other Tax Credits upon a Deconsolidation and shall deliver such calculations, certified by the chief tax officer of GM Parent, to the Company and, subject to Section 4.03(f), such calculations shall be conclusive, binding and final for all purposes. The Company shall calculate the Excess NOL Tax Increase and the tax increase in respect of R&amp;D Tax Credits and Other Tax Credits in each Tax Period and shall deliver such calculations, certified by the chief tax officer of the Company, along with reasonably detailed supporting documentation, to the GM Investor and, subject to Section 4.03(f), such calculation shall be conclusive, binding and final for all purposes.</w:t>
      </w:r>
    </w:p>
    <w:p>
      <w:pPr>
        <w:spacing w:after="0" w:line="180" w:lineRule="exact"/>
        <w:rPr>
          <w:rFonts w:ascii="Arial" w:cs="Arial" w:eastAsia="Arial" w:hAnsi="Arial"/>
          <w:sz w:val="21"/>
          <w:szCs w:val="21"/>
          <w:color w:val="010000"/>
        </w:rPr>
      </w:pPr>
    </w:p>
    <w:p>
      <w:pPr>
        <w:ind w:left="1760" w:hanging="456"/>
        <w:spacing w:after="0"/>
        <w:tabs>
          <w:tab w:leader="none" w:pos="1760" w:val="left"/>
        </w:tabs>
        <w:numPr>
          <w:ilvl w:val="0"/>
          <w:numId w:val="65"/>
        </w:numPr>
        <w:rPr>
          <w:rFonts w:ascii="Arial" w:cs="Arial" w:eastAsia="Arial" w:hAnsi="Arial"/>
          <w:sz w:val="22"/>
          <w:szCs w:val="22"/>
          <w:color w:val="010000"/>
        </w:rPr>
      </w:pPr>
      <w:r>
        <w:rPr>
          <w:rFonts w:ascii="Arial" w:cs="Arial" w:eastAsia="Arial" w:hAnsi="Arial"/>
          <w:sz w:val="22"/>
          <w:szCs w:val="22"/>
          <w:u w:val="single" w:color="auto"/>
          <w:color w:val="auto"/>
        </w:rPr>
        <w:t>Payment from the Company to the GM Investor for Inclusion of Company Income</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jc w:val="both"/>
        <w:ind w:firstLine="1952"/>
        <w:spacing w:after="0" w:line="253" w:lineRule="auto"/>
        <w:tabs>
          <w:tab w:leader="none" w:pos="2634" w:val="left"/>
        </w:tabs>
        <w:numPr>
          <w:ilvl w:val="1"/>
          <w:numId w:val="65"/>
        </w:numPr>
        <w:rPr>
          <w:rFonts w:ascii="Arial" w:cs="Arial" w:eastAsia="Arial" w:hAnsi="Arial"/>
          <w:sz w:val="22"/>
          <w:szCs w:val="22"/>
          <w:color w:val="010000"/>
        </w:rPr>
      </w:pPr>
      <w:r>
        <w:rPr>
          <w:rFonts w:ascii="Arial" w:cs="Arial" w:eastAsia="Arial" w:hAnsi="Arial"/>
          <w:sz w:val="22"/>
          <w:szCs w:val="22"/>
          <w:color w:val="auto"/>
        </w:rPr>
        <w:t>Following the filing of the final GM Consolidated Return for each Tax Period prior to a Deconsolidation, the Company shall calculate the Aggregate Company Hypothetical Pre-Deconsolidation Tax Amount with respect to such Tax Period.</w:t>
      </w:r>
    </w:p>
    <w:p>
      <w:pPr>
        <w:spacing w:after="0" w:line="185" w:lineRule="exact"/>
        <w:rPr>
          <w:rFonts w:ascii="Arial" w:cs="Arial" w:eastAsia="Arial" w:hAnsi="Arial"/>
          <w:sz w:val="22"/>
          <w:szCs w:val="22"/>
          <w:color w:val="010000"/>
        </w:rPr>
      </w:pPr>
    </w:p>
    <w:p>
      <w:pPr>
        <w:jc w:val="both"/>
        <w:ind w:firstLine="1952"/>
        <w:spacing w:after="0" w:line="248" w:lineRule="auto"/>
        <w:tabs>
          <w:tab w:leader="none" w:pos="2559" w:val="left"/>
        </w:tabs>
        <w:numPr>
          <w:ilvl w:val="1"/>
          <w:numId w:val="65"/>
        </w:numPr>
        <w:rPr>
          <w:rFonts w:ascii="Arial" w:cs="Arial" w:eastAsia="Arial" w:hAnsi="Arial"/>
          <w:sz w:val="22"/>
          <w:szCs w:val="22"/>
          <w:color w:val="010000"/>
        </w:rPr>
      </w:pPr>
      <w:r>
        <w:rPr>
          <w:rFonts w:ascii="Arial" w:cs="Arial" w:eastAsia="Arial" w:hAnsi="Arial"/>
          <w:sz w:val="22"/>
          <w:szCs w:val="22"/>
          <w:color w:val="auto"/>
        </w:rPr>
        <w:t>Following the filing of the final GM Consolidated Return for each Tax Period ending after the Original Closing Date, the GM Investor shall calculate the Incremental GM Tax Amount. The GM Investor shall deliver to the Company a certification by the chief tax officer of GM Parent with respect to such amount and such calculation shall be conclusive, binding and final for all purposes. No certification shall be required in any year in which the GM Investor has determined that the Incremental GM Tax Amount is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40" w:right="339" w:bottom="1440" w:gutter="0" w:footer="0" w:header="0"/>
        </w:sectPr>
      </w:pPr>
    </w:p>
    <w:bookmarkStart w:id="85" w:name="page86"/>
    <w:bookmarkEnd w:id="85"/>
    <w:p>
      <w:pPr>
        <w:spacing w:after="0" w:line="204" w:lineRule="exact"/>
        <w:rPr>
          <w:sz w:val="20"/>
          <w:szCs w:val="20"/>
          <w:color w:val="auto"/>
        </w:rPr>
      </w:pPr>
    </w:p>
    <w:p>
      <w:pPr>
        <w:jc w:val="both"/>
        <w:ind w:firstLine="1952"/>
        <w:spacing w:after="0" w:line="248" w:lineRule="auto"/>
        <w:tabs>
          <w:tab w:leader="none" w:pos="2551" w:val="left"/>
        </w:tabs>
        <w:numPr>
          <w:ilvl w:val="2"/>
          <w:numId w:val="66"/>
        </w:numPr>
        <w:rPr>
          <w:rFonts w:ascii="Arial" w:cs="Arial" w:eastAsia="Arial" w:hAnsi="Arial"/>
          <w:sz w:val="22"/>
          <w:szCs w:val="22"/>
          <w:color w:val="010000"/>
        </w:rPr>
      </w:pPr>
      <w:r>
        <w:rPr>
          <w:rFonts w:ascii="Arial" w:cs="Arial" w:eastAsia="Arial" w:hAnsi="Arial"/>
          <w:sz w:val="22"/>
          <w:szCs w:val="22"/>
          <w:color w:val="auto"/>
        </w:rPr>
        <w:t>With respect to each Tax Period of the GM Consolidated Group ending after the Original Closing Date, the Company shall make a payment to the GM Investor equal to the excess, if any, of (A) the lesser of (1) the Aggregate Company Hypothetical Pre-Deconsolidation Tax Amount with respect to such Tax Period and (2) the Incremental GM Tax Amount with respect to such Tax Period over (B) the aggregate net payment made by the Company to the GM Investor pursuant to this Section 4.03(c)(iii) and Section 4.03(c)(iv) for prior Tax Periods.</w:t>
      </w:r>
    </w:p>
    <w:p>
      <w:pPr>
        <w:spacing w:after="0" w:line="191" w:lineRule="exact"/>
        <w:rPr>
          <w:rFonts w:ascii="Arial" w:cs="Arial" w:eastAsia="Arial" w:hAnsi="Arial"/>
          <w:sz w:val="22"/>
          <w:szCs w:val="22"/>
          <w:color w:val="010000"/>
        </w:rPr>
      </w:pPr>
    </w:p>
    <w:p>
      <w:pPr>
        <w:jc w:val="both"/>
        <w:ind w:firstLine="1952"/>
        <w:spacing w:after="0" w:line="263" w:lineRule="auto"/>
        <w:tabs>
          <w:tab w:leader="none" w:pos="2594" w:val="left"/>
        </w:tabs>
        <w:numPr>
          <w:ilvl w:val="2"/>
          <w:numId w:val="66"/>
        </w:numPr>
        <w:rPr>
          <w:rFonts w:ascii="Arial" w:cs="Arial" w:eastAsia="Arial" w:hAnsi="Arial"/>
          <w:sz w:val="21"/>
          <w:szCs w:val="21"/>
          <w:color w:val="010000"/>
        </w:rPr>
      </w:pPr>
      <w:r>
        <w:rPr>
          <w:rFonts w:ascii="Arial" w:cs="Arial" w:eastAsia="Arial" w:hAnsi="Arial"/>
          <w:sz w:val="21"/>
          <w:szCs w:val="21"/>
          <w:color w:val="auto"/>
        </w:rPr>
        <w:t>With respect to each Tax Period of the GM Consolidated Group ending after the Original Closing Date, the GM Investor shall make a payment to the Company equal to the excess, if any, of (A) the aggregate net payment made by the Company to the GM Investor pursuant to Section 4.03(c)(iii) and this Section 4.03(c)(iv) for prior Tax Periods over (B) the lesser of (1) the Aggregate Company Hypothetical Pre-Deconsolidation Tax Amount with respect to such Tax Period and (2) the Incremental GM Tax Amount with respect to such Tax Period;</w:t>
      </w:r>
    </w:p>
    <w:p>
      <w:pPr>
        <w:spacing w:after="0" w:line="175" w:lineRule="exact"/>
        <w:rPr>
          <w:rFonts w:ascii="Arial" w:cs="Arial" w:eastAsia="Arial" w:hAnsi="Arial"/>
          <w:sz w:val="21"/>
          <w:szCs w:val="21"/>
          <w:color w:val="010000"/>
        </w:rPr>
      </w:pPr>
    </w:p>
    <w:p>
      <w:pPr>
        <w:jc w:val="both"/>
        <w:ind w:firstLine="1304"/>
        <w:spacing w:after="0" w:line="253" w:lineRule="auto"/>
        <w:tabs>
          <w:tab w:leader="none" w:pos="1939" w:val="left"/>
        </w:tabs>
        <w:numPr>
          <w:ilvl w:val="1"/>
          <w:numId w:val="67"/>
        </w:numPr>
        <w:rPr>
          <w:rFonts w:ascii="Arial" w:cs="Arial" w:eastAsia="Arial" w:hAnsi="Arial"/>
          <w:sz w:val="22"/>
          <w:szCs w:val="22"/>
          <w:color w:val="010000"/>
        </w:rPr>
      </w:pPr>
      <w:r>
        <w:rPr>
          <w:rFonts w:ascii="Arial" w:cs="Arial" w:eastAsia="Arial" w:hAnsi="Arial"/>
          <w:sz w:val="22"/>
          <w:szCs w:val="22"/>
          <w:u w:val="single" w:color="auto"/>
          <w:color w:val="auto"/>
        </w:rPr>
        <w:t>Payments between GM Investor and the Company if a Section 59(e) Election is Made</w:t>
      </w:r>
      <w:r>
        <w:rPr>
          <w:rFonts w:ascii="Arial" w:cs="Arial" w:eastAsia="Arial" w:hAnsi="Arial"/>
          <w:sz w:val="22"/>
          <w:szCs w:val="22"/>
          <w:color w:val="auto"/>
        </w:rPr>
        <w:t>. If prior to a Deconsolidation, GM makes one or more elections under Section 59(e) of the Code (a “</w:t>
      </w:r>
      <w:r>
        <w:rPr>
          <w:rFonts w:ascii="Arial" w:cs="Arial" w:eastAsia="Arial" w:hAnsi="Arial"/>
          <w:sz w:val="22"/>
          <w:szCs w:val="22"/>
          <w:b w:val="1"/>
          <w:bCs w:val="1"/>
          <w:color w:val="auto"/>
        </w:rPr>
        <w:t>Section 59(e) Election</w:t>
      </w:r>
      <w:r>
        <w:rPr>
          <w:rFonts w:ascii="Arial" w:cs="Arial" w:eastAsia="Arial" w:hAnsi="Arial"/>
          <w:sz w:val="22"/>
          <w:szCs w:val="22"/>
          <w:color w:val="auto"/>
        </w:rPr>
        <w:t>”) with respect to the Company and/or its Subsidiaries, then:</w:t>
      </w:r>
    </w:p>
    <w:p>
      <w:pPr>
        <w:spacing w:after="0" w:line="185" w:lineRule="exact"/>
        <w:rPr>
          <w:rFonts w:ascii="Arial" w:cs="Arial" w:eastAsia="Arial" w:hAnsi="Arial"/>
          <w:sz w:val="22"/>
          <w:szCs w:val="22"/>
          <w:color w:val="010000"/>
        </w:rPr>
      </w:pPr>
    </w:p>
    <w:p>
      <w:pPr>
        <w:jc w:val="both"/>
        <w:ind w:firstLine="1952"/>
        <w:spacing w:after="0" w:line="291" w:lineRule="auto"/>
        <w:tabs>
          <w:tab w:leader="none" w:pos="2404" w:val="left"/>
        </w:tabs>
        <w:numPr>
          <w:ilvl w:val="2"/>
          <w:numId w:val="67"/>
        </w:numPr>
        <w:rPr>
          <w:rFonts w:ascii="Arial" w:cs="Arial" w:eastAsia="Arial" w:hAnsi="Arial"/>
          <w:sz w:val="19"/>
          <w:szCs w:val="19"/>
          <w:color w:val="010000"/>
        </w:rPr>
      </w:pPr>
      <w:r>
        <w:rPr>
          <w:rFonts w:ascii="Arial" w:cs="Arial" w:eastAsia="Arial" w:hAnsi="Arial"/>
          <w:sz w:val="19"/>
          <w:szCs w:val="19"/>
          <w:color w:val="auto"/>
        </w:rPr>
        <w:t>with respect to each Tax Period for which a Section 59(e) Election is made, and any subsequent Tax Period, any payment otherwise required to be made by the Company to the GM Investor pursuant to Section 4.03(c) shall be</w:t>
      </w:r>
    </w:p>
    <w:p>
      <w:pPr>
        <w:spacing w:after="0" w:line="1" w:lineRule="exact"/>
        <w:rPr>
          <w:rFonts w:ascii="Arial" w:cs="Arial" w:eastAsia="Arial" w:hAnsi="Arial"/>
          <w:sz w:val="19"/>
          <w:szCs w:val="19"/>
          <w:color w:val="010000"/>
        </w:rPr>
      </w:pPr>
    </w:p>
    <w:p>
      <w:pPr>
        <w:jc w:val="both"/>
        <w:ind w:firstLine="8"/>
        <w:spacing w:after="0" w:line="258" w:lineRule="auto"/>
        <w:tabs>
          <w:tab w:leader="none" w:pos="387" w:val="left"/>
        </w:tabs>
        <w:numPr>
          <w:ilvl w:val="0"/>
          <w:numId w:val="68"/>
        </w:numPr>
        <w:rPr>
          <w:rFonts w:ascii="Arial" w:cs="Arial" w:eastAsia="Arial" w:hAnsi="Arial"/>
          <w:sz w:val="21"/>
          <w:szCs w:val="21"/>
          <w:color w:val="auto"/>
        </w:rPr>
      </w:pPr>
      <w:r>
        <w:rPr>
          <w:rFonts w:ascii="Arial" w:cs="Arial" w:eastAsia="Arial" w:hAnsi="Arial"/>
          <w:sz w:val="21"/>
          <w:szCs w:val="21"/>
          <w:color w:val="auto"/>
        </w:rPr>
        <w:t>reduced (but not below zero) by the Section 59(e) Detriment Amount with respect to such Tax Period and (B) shall be increased by the Section 59(e) Benefit Amount with respect to such Tax Period; provided, any adjustment pursuant to this Section 4.03(d)(i)(B) shall be deferred and shall only be made when and to the extent that, immediately prior to giving effect to such adjustment, the aggregate adjustments under Section 4.03(d)(i)(A) and Section 4.03(d)(ii)(A) exceed the aggregate adjustments under this Section 4.03(d)(i)(B) and Section 4.03(d)(ii)(B); and</w:t>
      </w:r>
    </w:p>
    <w:p>
      <w:pPr>
        <w:spacing w:after="0" w:line="182" w:lineRule="exact"/>
        <w:rPr>
          <w:rFonts w:ascii="Arial" w:cs="Arial" w:eastAsia="Arial" w:hAnsi="Arial"/>
          <w:sz w:val="21"/>
          <w:szCs w:val="21"/>
          <w:color w:val="auto"/>
        </w:rPr>
      </w:pPr>
    </w:p>
    <w:p>
      <w:pPr>
        <w:jc w:val="both"/>
        <w:ind w:firstLine="1952"/>
        <w:spacing w:after="0" w:line="291" w:lineRule="auto"/>
        <w:tabs>
          <w:tab w:leader="none" w:pos="2451" w:val="left"/>
        </w:tabs>
        <w:numPr>
          <w:ilvl w:val="2"/>
          <w:numId w:val="68"/>
        </w:numPr>
        <w:rPr>
          <w:rFonts w:ascii="Arial" w:cs="Arial" w:eastAsia="Arial" w:hAnsi="Arial"/>
          <w:sz w:val="19"/>
          <w:szCs w:val="19"/>
          <w:color w:val="010000"/>
        </w:rPr>
      </w:pPr>
      <w:r>
        <w:rPr>
          <w:rFonts w:ascii="Arial" w:cs="Arial" w:eastAsia="Arial" w:hAnsi="Arial"/>
          <w:sz w:val="19"/>
          <w:szCs w:val="19"/>
          <w:color w:val="auto"/>
        </w:rPr>
        <w:t>with respect to each Tax Period for which a Section 59(e) Election is made, and any subsequent Tax Period, any payment otherwise required to be made by the GM Investor to the Company pursuant to Section 4.03(b) shall be</w:t>
      </w:r>
    </w:p>
    <w:p>
      <w:pPr>
        <w:spacing w:after="0" w:line="1" w:lineRule="exact"/>
        <w:rPr>
          <w:rFonts w:ascii="Arial" w:cs="Arial" w:eastAsia="Arial" w:hAnsi="Arial"/>
          <w:sz w:val="19"/>
          <w:szCs w:val="19"/>
          <w:color w:val="010000"/>
        </w:rPr>
      </w:pPr>
    </w:p>
    <w:p>
      <w:pPr>
        <w:jc w:val="both"/>
        <w:ind w:firstLine="8"/>
        <w:spacing w:after="0" w:line="244" w:lineRule="auto"/>
        <w:tabs>
          <w:tab w:leader="none" w:pos="369" w:val="left"/>
        </w:tabs>
        <w:numPr>
          <w:ilvl w:val="0"/>
          <w:numId w:val="69"/>
        </w:numPr>
        <w:rPr>
          <w:rFonts w:ascii="Arial" w:cs="Arial" w:eastAsia="Arial" w:hAnsi="Arial"/>
          <w:sz w:val="22"/>
          <w:szCs w:val="22"/>
          <w:color w:val="auto"/>
        </w:rPr>
      </w:pPr>
      <w:r>
        <w:rPr>
          <w:rFonts w:ascii="Arial" w:cs="Arial" w:eastAsia="Arial" w:hAnsi="Arial"/>
          <w:sz w:val="22"/>
          <w:szCs w:val="22"/>
          <w:color w:val="auto"/>
        </w:rPr>
        <w:t>increased by the Section 59(e) Detriment Amount with respect to such Tax Period and shall be (B) reduced (but not below zero) by the Section 59(e) Benefit Amount with respect to such Tax Period; provided, any adjustment pursuant to this Section 4.03(d)(ii)(B) shall be deferred and shall only be made when and to the extent that, immediately prior to giving effect to such adjustment, the aggregate adjustments under Section 4.03(d)(i)(A) and Section 4.03(d)(ii)(A) exceed the aggregate adjustments under Section 4.03(d)(i)(B) and this Section 4.03(d)(ii)(B).</w:t>
      </w:r>
    </w:p>
    <w:p>
      <w:pPr>
        <w:spacing w:after="0" w:line="19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For the avoidance of doubt, for purposes of Sections 4.03(d)(i) and (ii) above, a required payment of $0 under Section 4.03(b) or Section 4.03(c) for any Tax Period constitutes a “payment otherwise required to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40" w:right="339" w:bottom="1440" w:gutter="0" w:footer="0" w:header="0"/>
        </w:sectPr>
      </w:pPr>
    </w:p>
    <w:bookmarkStart w:id="86" w:name="page87"/>
    <w:bookmarkEnd w:id="86"/>
    <w:p>
      <w:pPr>
        <w:spacing w:after="0" w:line="204" w:lineRule="exact"/>
        <w:rPr>
          <w:sz w:val="20"/>
          <w:szCs w:val="20"/>
          <w:color w:val="auto"/>
        </w:rPr>
      </w:pPr>
    </w:p>
    <w:p>
      <w:pPr>
        <w:jc w:val="both"/>
        <w:ind w:firstLine="1304"/>
        <w:spacing w:after="0" w:line="246" w:lineRule="auto"/>
        <w:tabs>
          <w:tab w:leader="none" w:pos="1887" w:val="left"/>
        </w:tabs>
        <w:numPr>
          <w:ilvl w:val="0"/>
          <w:numId w:val="70"/>
        </w:numPr>
        <w:rPr>
          <w:rFonts w:ascii="Arial" w:cs="Arial" w:eastAsia="Arial" w:hAnsi="Arial"/>
          <w:sz w:val="22"/>
          <w:szCs w:val="22"/>
          <w:color w:val="010000"/>
        </w:rPr>
      </w:pPr>
      <w:r>
        <w:rPr>
          <w:rFonts w:ascii="Arial" w:cs="Arial" w:eastAsia="Arial" w:hAnsi="Arial"/>
          <w:sz w:val="22"/>
          <w:szCs w:val="22"/>
          <w:u w:val="single" w:color="auto"/>
          <w:color w:val="auto"/>
        </w:rPr>
        <w:t>State and Local Income and Franchise Taxes</w:t>
      </w:r>
      <w:r>
        <w:rPr>
          <w:rFonts w:ascii="Arial" w:cs="Arial" w:eastAsia="Arial" w:hAnsi="Arial"/>
          <w:sz w:val="22"/>
          <w:szCs w:val="22"/>
          <w:color w:val="auto"/>
        </w:rPr>
        <w:t>. With respect to state and local income and franchise tax benefits and detriments in any jurisdictions that have consolidated, combined or unitary tax regimes, the GM Investor and the Company shall have similar payment obligations to each other, under the same principles, as the payment obligations for U.S. federal income tax benefits and detriments described in paragraphs (b), (c) and (d) of this Section 4.03; provided, that no such payment with respect to Other Tax Credits will be required unless and until such Other Tax Credits generated by the Company and its Subsidiaries exceed, in the aggregate, taking into account any Other Tax Credits referenced in Section 4.03(b)(ii), $12,000,000 with respect to any calendar year.</w:t>
      </w:r>
    </w:p>
    <w:p>
      <w:pPr>
        <w:spacing w:after="0" w:line="196" w:lineRule="exact"/>
        <w:rPr>
          <w:rFonts w:ascii="Arial" w:cs="Arial" w:eastAsia="Arial" w:hAnsi="Arial"/>
          <w:sz w:val="22"/>
          <w:szCs w:val="22"/>
          <w:color w:val="010000"/>
        </w:rPr>
      </w:pPr>
    </w:p>
    <w:p>
      <w:pPr>
        <w:jc w:val="both"/>
        <w:ind w:firstLine="1304"/>
        <w:spacing w:after="0" w:line="259" w:lineRule="auto"/>
        <w:tabs>
          <w:tab w:leader="none" w:pos="1741" w:val="left"/>
        </w:tabs>
        <w:numPr>
          <w:ilvl w:val="0"/>
          <w:numId w:val="70"/>
        </w:numPr>
        <w:rPr>
          <w:rFonts w:ascii="Arial" w:cs="Arial" w:eastAsia="Arial" w:hAnsi="Arial"/>
          <w:sz w:val="21"/>
          <w:szCs w:val="21"/>
          <w:color w:val="010000"/>
        </w:rPr>
      </w:pPr>
      <w:r>
        <w:rPr>
          <w:rFonts w:ascii="Arial" w:cs="Arial" w:eastAsia="Arial" w:hAnsi="Arial"/>
          <w:sz w:val="21"/>
          <w:szCs w:val="21"/>
          <w:u w:val="single" w:color="auto"/>
          <w:color w:val="auto"/>
        </w:rPr>
        <w:t>Dispute Resolution</w:t>
      </w:r>
      <w:r>
        <w:rPr>
          <w:rFonts w:ascii="Arial" w:cs="Arial" w:eastAsia="Arial" w:hAnsi="Arial"/>
          <w:sz w:val="21"/>
          <w:szCs w:val="21"/>
          <w:color w:val="auto"/>
        </w:rPr>
        <w:t>. In the event of any dispute between the GM Investor and the Company as to any amount payable under this Section 4.03, the GM Investor and the Company shall attempt in good faith to resolve such dispute. If the GM Investor and the Company are unable to resolve such dispute within thirty (30) days, they shall jointly retain a mutually agreed upon nationally recognized independent accounting firm (the “</w:t>
      </w:r>
      <w:r>
        <w:rPr>
          <w:rFonts w:ascii="Arial" w:cs="Arial" w:eastAsia="Arial" w:hAnsi="Arial"/>
          <w:sz w:val="21"/>
          <w:szCs w:val="21"/>
          <w:b w:val="1"/>
          <w:bCs w:val="1"/>
          <w:color w:val="auto"/>
        </w:rPr>
        <w:t>Accounting Firm</w:t>
      </w:r>
      <w:r>
        <w:rPr>
          <w:rFonts w:ascii="Arial" w:cs="Arial" w:eastAsia="Arial" w:hAnsi="Arial"/>
          <w:sz w:val="21"/>
          <w:szCs w:val="21"/>
          <w:color w:val="auto"/>
        </w:rPr>
        <w:t>”) to resolve the dispute. The GM Investor and the Company may make written submissions to the Accounting Firm, and the Accounting Firm’s resolution shall be based solely upon the actual terms of this Agreement, the written submissions of the GM Investor and the Company, and the application of federal income tax law (or, in the case of any payment obligation Section 4.03(e), applicable state or local income tax law). Each of the GM Investor and the Company shall be bound by the determination of the Accounting Firm and shall bear one-half of the fees and expenses of the Accounting Firm.</w:t>
      </w:r>
    </w:p>
    <w:p>
      <w:pPr>
        <w:spacing w:after="0" w:line="179" w:lineRule="exact"/>
        <w:rPr>
          <w:rFonts w:ascii="Arial" w:cs="Arial" w:eastAsia="Arial" w:hAnsi="Arial"/>
          <w:sz w:val="21"/>
          <w:szCs w:val="21"/>
          <w:color w:val="010000"/>
        </w:rPr>
      </w:pPr>
    </w:p>
    <w:p>
      <w:pPr>
        <w:jc w:val="both"/>
        <w:ind w:firstLine="1304"/>
        <w:spacing w:after="0" w:line="246" w:lineRule="auto"/>
        <w:tabs>
          <w:tab w:leader="none" w:pos="1899" w:val="left"/>
        </w:tabs>
        <w:numPr>
          <w:ilvl w:val="0"/>
          <w:numId w:val="70"/>
        </w:numPr>
        <w:rPr>
          <w:rFonts w:ascii="Arial" w:cs="Arial" w:eastAsia="Arial" w:hAnsi="Arial"/>
          <w:sz w:val="22"/>
          <w:szCs w:val="22"/>
          <w:color w:val="010000"/>
        </w:rPr>
      </w:pPr>
      <w:r>
        <w:rPr>
          <w:rFonts w:ascii="Arial" w:cs="Arial" w:eastAsia="Arial" w:hAnsi="Arial"/>
          <w:sz w:val="22"/>
          <w:szCs w:val="22"/>
          <w:u w:val="single" w:color="auto"/>
          <w:color w:val="auto"/>
        </w:rPr>
        <w:t>Indemnification for Taxes</w:t>
      </w:r>
      <w:r>
        <w:rPr>
          <w:rFonts w:ascii="Arial" w:cs="Arial" w:eastAsia="Arial" w:hAnsi="Arial"/>
          <w:sz w:val="22"/>
          <w:szCs w:val="22"/>
          <w:color w:val="auto"/>
        </w:rPr>
        <w:t>. Other than payments required under this Agreement, the GM Investor shall indemnify and hold harmless the Company and any of its Subsidiaries from any Taxes (as such term is defined in the Purchase Agreement) imposed on the Company or any of its Subsidiaries pursuant to Treasury Regulations Section 1.1502-6 (or any analogous or similar provision of U.S. state or local, or non-U.S. law) as a result of being a member of (i) the GM Consolidated Group or (ii) any other affiliated, consolidated, combined or unitary group of which (A) the GM Investor, (B) the GM Parent, (C) any Affiliate or direct or indirect Subsidiary of the GM Parent (other than the Company or any of its Subsidiaries) or (D) any member of the GM Consolidated Group (other than the Company or any of its Subsidiaries) was a member prior to a Deconsolidation.</w:t>
      </w:r>
    </w:p>
    <w:p>
      <w:pPr>
        <w:spacing w:after="0" w:line="193" w:lineRule="exact"/>
        <w:rPr>
          <w:rFonts w:ascii="Arial" w:cs="Arial" w:eastAsia="Arial" w:hAnsi="Arial"/>
          <w:sz w:val="22"/>
          <w:szCs w:val="22"/>
          <w:color w:val="010000"/>
        </w:rPr>
      </w:pPr>
    </w:p>
    <w:p>
      <w:pPr>
        <w:jc w:val="both"/>
        <w:ind w:firstLine="1304"/>
        <w:spacing w:after="0" w:line="302" w:lineRule="auto"/>
        <w:tabs>
          <w:tab w:leader="none" w:pos="1818" w:val="left"/>
        </w:tabs>
        <w:numPr>
          <w:ilvl w:val="0"/>
          <w:numId w:val="70"/>
        </w:numPr>
        <w:rPr>
          <w:rFonts w:ascii="Arial" w:cs="Arial" w:eastAsia="Arial" w:hAnsi="Arial"/>
          <w:sz w:val="19"/>
          <w:szCs w:val="19"/>
          <w:color w:val="010000"/>
        </w:rPr>
      </w:pPr>
      <w:r>
        <w:rPr>
          <w:rFonts w:ascii="Arial" w:cs="Arial" w:eastAsia="Arial" w:hAnsi="Arial"/>
          <w:sz w:val="19"/>
          <w:szCs w:val="19"/>
          <w:u w:val="single" w:color="auto"/>
          <w:color w:val="auto"/>
        </w:rPr>
        <w:t>Net Payments</w:t>
      </w:r>
      <w:r>
        <w:rPr>
          <w:rFonts w:ascii="Arial" w:cs="Arial" w:eastAsia="Arial" w:hAnsi="Arial"/>
          <w:sz w:val="19"/>
          <w:szCs w:val="19"/>
          <w:color w:val="auto"/>
        </w:rPr>
        <w:t>. Without limiting any other provision in this Section 4.03, if as of any date each of the GM Investor and the Company is obligated to make a payment to the other under this Section 4.03, then the amount of such payments shall be netted, the offsetting amounts shall be treated as having been paid by the applicable payors for all purposes of this Section 4.03, and the party having the net payment obligation shall make such pay such net amount to the other party.</w:t>
      </w:r>
    </w:p>
    <w:p>
      <w:pPr>
        <w:spacing w:after="0" w:line="142" w:lineRule="exact"/>
        <w:rPr>
          <w:rFonts w:ascii="Arial" w:cs="Arial" w:eastAsia="Arial" w:hAnsi="Arial"/>
          <w:sz w:val="19"/>
          <w:szCs w:val="19"/>
          <w:color w:val="010000"/>
        </w:rPr>
      </w:pPr>
    </w:p>
    <w:p>
      <w:pPr>
        <w:jc w:val="both"/>
        <w:ind w:firstLine="1304"/>
        <w:spacing w:after="0" w:line="250" w:lineRule="auto"/>
        <w:tabs>
          <w:tab w:leader="none" w:pos="2013" w:val="left"/>
        </w:tabs>
        <w:numPr>
          <w:ilvl w:val="0"/>
          <w:numId w:val="70"/>
        </w:numPr>
        <w:rPr>
          <w:rFonts w:ascii="Arial" w:cs="Arial" w:eastAsia="Arial" w:hAnsi="Arial"/>
          <w:sz w:val="22"/>
          <w:szCs w:val="22"/>
          <w:color w:val="010000"/>
        </w:rPr>
      </w:pPr>
      <w:r>
        <w:rPr>
          <w:rFonts w:ascii="Arial" w:cs="Arial" w:eastAsia="Arial" w:hAnsi="Arial"/>
          <w:sz w:val="22"/>
          <w:szCs w:val="22"/>
          <w:u w:val="single" w:color="auto"/>
          <w:color w:val="auto"/>
        </w:rPr>
        <w:t>Intended Tax Treatment</w:t>
      </w:r>
      <w:r>
        <w:rPr>
          <w:rFonts w:ascii="Arial" w:cs="Arial" w:eastAsia="Arial" w:hAnsi="Arial"/>
          <w:sz w:val="22"/>
          <w:szCs w:val="22"/>
          <w:color w:val="auto"/>
        </w:rPr>
        <w:t>. Any payments made by the GM Investor to the Company following a Deconsolidation pursuant to this Section 4.03 shall be treated as a Capital Contribution for all applicable tax purposes, unless otherwise required by applicable law. Any payments made by the Company to the GM Investor following a Deconsolidation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40" w:right="339" w:bottom="1440" w:gutter="0" w:footer="0" w:header="0"/>
        </w:sectPr>
      </w:pPr>
    </w:p>
    <w:bookmarkStart w:id="87" w:name="page88"/>
    <w:bookmarkEnd w:id="87"/>
    <w:p>
      <w:pPr>
        <w:spacing w:after="0" w:line="204"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this Section 4.03 shall be treated as distribution under Section 301 of the Code for all applicable tax purposes, unless otherwise required by applicable law.</w:t>
      </w:r>
    </w:p>
    <w:p>
      <w:pPr>
        <w:spacing w:after="0" w:line="175" w:lineRule="exact"/>
        <w:rPr>
          <w:sz w:val="20"/>
          <w:szCs w:val="20"/>
          <w:color w:val="auto"/>
        </w:rPr>
      </w:pPr>
    </w:p>
    <w:p>
      <w:pPr>
        <w:jc w:val="both"/>
        <w:ind w:firstLine="1304"/>
        <w:spacing w:after="0" w:line="247" w:lineRule="auto"/>
        <w:tabs>
          <w:tab w:leader="none" w:pos="1824" w:val="left"/>
        </w:tabs>
        <w:numPr>
          <w:ilvl w:val="0"/>
          <w:numId w:val="71"/>
        </w:numPr>
        <w:rPr>
          <w:rFonts w:ascii="Arial" w:cs="Arial" w:eastAsia="Arial" w:hAnsi="Arial"/>
          <w:sz w:val="22"/>
          <w:szCs w:val="22"/>
          <w:color w:val="010000"/>
        </w:rPr>
      </w:pPr>
      <w:r>
        <w:rPr>
          <w:rFonts w:ascii="Arial" w:cs="Arial" w:eastAsia="Arial" w:hAnsi="Arial"/>
          <w:sz w:val="22"/>
          <w:szCs w:val="22"/>
          <w:u w:val="single" w:color="auto"/>
          <w:color w:val="auto"/>
        </w:rPr>
        <w:t>Examples</w:t>
      </w:r>
      <w:r>
        <w:rPr>
          <w:rFonts w:ascii="Arial" w:cs="Arial" w:eastAsia="Arial" w:hAnsi="Arial"/>
          <w:sz w:val="22"/>
          <w:szCs w:val="22"/>
          <w:color w:val="auto"/>
        </w:rPr>
        <w:t xml:space="preserve">. Any ambiguity in the provisions of this Section 4.03 shall be resolved (where possible) by reference to the examples delivered by the GM Investor and acknowledged by SoftBank and the Company pursuant to that certain letter provided to SoftBank UK prior to the execution of the SoftBank Purchase Agreement (and subsequently acknowledged and agreed to by SoftBank) and acknowledged by Honda pursuant to that certain letter provided to Honda prior to the execution of the Honda Purchase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the event of a conflict with such letter, this Section 4.03 shall control.</w:t>
      </w:r>
    </w:p>
    <w:p>
      <w:pPr>
        <w:spacing w:after="0" w:line="192" w:lineRule="exact"/>
        <w:rPr>
          <w:rFonts w:ascii="Arial" w:cs="Arial" w:eastAsia="Arial" w:hAnsi="Arial"/>
          <w:sz w:val="22"/>
          <w:szCs w:val="22"/>
          <w:color w:val="010000"/>
        </w:rPr>
      </w:pPr>
    </w:p>
    <w:p>
      <w:pPr>
        <w:ind w:left="1780" w:hanging="476"/>
        <w:spacing w:after="0"/>
        <w:tabs>
          <w:tab w:leader="none" w:pos="1780" w:val="left"/>
        </w:tabs>
        <w:numPr>
          <w:ilvl w:val="0"/>
          <w:numId w:val="71"/>
        </w:numPr>
        <w:rPr>
          <w:rFonts w:ascii="Arial" w:cs="Arial" w:eastAsia="Arial" w:hAnsi="Arial"/>
          <w:sz w:val="22"/>
          <w:szCs w:val="22"/>
          <w:color w:val="010000"/>
        </w:rPr>
      </w:pPr>
      <w:r>
        <w:rPr>
          <w:rFonts w:ascii="Arial" w:cs="Arial" w:eastAsia="Arial" w:hAnsi="Arial"/>
          <w:sz w:val="22"/>
          <w:szCs w:val="22"/>
          <w:u w:val="single" w:color="auto"/>
          <w:color w:val="auto"/>
        </w:rPr>
        <w:t>Consistent Reporting Covenant</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jc w:val="both"/>
        <w:ind w:firstLine="1952"/>
        <w:spacing w:after="0" w:line="292" w:lineRule="auto"/>
        <w:tabs>
          <w:tab w:leader="none" w:pos="2539" w:val="left"/>
        </w:tabs>
        <w:numPr>
          <w:ilvl w:val="1"/>
          <w:numId w:val="71"/>
        </w:numPr>
        <w:rPr>
          <w:rFonts w:ascii="Arial" w:cs="Arial" w:eastAsia="Arial" w:hAnsi="Arial"/>
          <w:sz w:val="19"/>
          <w:szCs w:val="19"/>
          <w:color w:val="010000"/>
        </w:rPr>
      </w:pPr>
      <w:r>
        <w:rPr>
          <w:rFonts w:ascii="Arial" w:cs="Arial" w:eastAsia="Arial" w:hAnsi="Arial"/>
          <w:sz w:val="19"/>
          <w:szCs w:val="19"/>
          <w:color w:val="auto"/>
        </w:rPr>
        <w:t>Notwithstanding anything to the contrary contained herein, the Class A-1 Preferred Shares are intended to be treated as common stock for all purposes of the Code (and not as preferred stock within the meaning of Treasury Regulations Section 1.305-5). Absent a relevant change in law or administrative, regulatory or judicial authority or guidance, unless otherwise required pursuant to a “determination” within the meaning of Section 1313 of the Code, neither the Company nor any of the Members shall report any Distribution with respect to the Class A-1 Preferred Shares that is paid by accretion of the Class A-1 Preferred Return on such Shares (in accordance with Section 3.01(c) hereof) as a taxable distribution pursuant to Section 305(b)(2) of the Code or take any position inconsistent with the intended tax treatment described in this Section 4.03(k).</w:t>
      </w:r>
    </w:p>
    <w:p>
      <w:pPr>
        <w:spacing w:after="0" w:line="150" w:lineRule="exact"/>
        <w:rPr>
          <w:rFonts w:ascii="Arial" w:cs="Arial" w:eastAsia="Arial" w:hAnsi="Arial"/>
          <w:sz w:val="19"/>
          <w:szCs w:val="19"/>
          <w:color w:val="010000"/>
        </w:rPr>
      </w:pPr>
    </w:p>
    <w:p>
      <w:pPr>
        <w:ind w:right="20" w:firstLine="1952"/>
        <w:spacing w:after="0" w:line="343" w:lineRule="auto"/>
        <w:tabs>
          <w:tab w:leader="none" w:pos="2437" w:val="left"/>
        </w:tabs>
        <w:numPr>
          <w:ilvl w:val="1"/>
          <w:numId w:val="71"/>
        </w:numPr>
        <w:rPr>
          <w:rFonts w:ascii="Arial" w:cs="Arial" w:eastAsia="Arial" w:hAnsi="Arial"/>
          <w:sz w:val="19"/>
          <w:szCs w:val="19"/>
          <w:color w:val="010000"/>
        </w:rPr>
      </w:pPr>
      <w:r>
        <w:rPr>
          <w:rFonts w:ascii="Arial" w:cs="Arial" w:eastAsia="Arial" w:hAnsi="Arial"/>
          <w:sz w:val="19"/>
          <w:szCs w:val="19"/>
          <w:color w:val="auto"/>
        </w:rPr>
        <w:t>Notwithstanding anything to the contrary contained herein, the Class A-2 Preferred Shares, the Class F Preferred Shares, and Class G Preferred Shares are intended to be treated as common stock for all purposes of the Code.</w:t>
      </w:r>
    </w:p>
    <w:p>
      <w:pPr>
        <w:spacing w:after="0" w:line="104" w:lineRule="exact"/>
        <w:rPr>
          <w:rFonts w:ascii="Arial" w:cs="Arial" w:eastAsia="Arial" w:hAnsi="Arial"/>
          <w:sz w:val="19"/>
          <w:szCs w:val="19"/>
          <w:color w:val="010000"/>
        </w:rPr>
      </w:pPr>
    </w:p>
    <w:p>
      <w:pPr>
        <w:jc w:val="both"/>
        <w:ind w:firstLine="1304"/>
        <w:spacing w:after="0" w:line="250" w:lineRule="auto"/>
        <w:tabs>
          <w:tab w:leader="none" w:pos="1783" w:val="left"/>
        </w:tabs>
        <w:numPr>
          <w:ilvl w:val="0"/>
          <w:numId w:val="71"/>
        </w:numPr>
        <w:rPr>
          <w:rFonts w:ascii="Arial" w:cs="Arial" w:eastAsia="Arial" w:hAnsi="Arial"/>
          <w:sz w:val="22"/>
          <w:szCs w:val="22"/>
          <w:color w:val="010000"/>
        </w:rPr>
      </w:pPr>
      <w:r>
        <w:rPr>
          <w:rFonts w:ascii="Arial" w:cs="Arial" w:eastAsia="Arial" w:hAnsi="Arial"/>
          <w:sz w:val="22"/>
          <w:szCs w:val="22"/>
          <w:u w:val="single" w:color="auto"/>
          <w:color w:val="auto"/>
        </w:rPr>
        <w:t>Audit Adjustments</w:t>
      </w:r>
      <w:r>
        <w:rPr>
          <w:rFonts w:ascii="Arial" w:cs="Arial" w:eastAsia="Arial" w:hAnsi="Arial"/>
          <w:sz w:val="22"/>
          <w:szCs w:val="22"/>
          <w:color w:val="auto"/>
        </w:rPr>
        <w:t>. Notwithstanding anything to the contrary herein, in the event there is an adjustment to any GM Consolidated Return or any Company tax return for any Tax Period as a result of an audit, the computations described in this Section 4.03 will be adjusted to reflect the results of such audit and any amounts payable hereunder shall be increased or decreased to reflect the revised computations.</w:t>
      </w:r>
    </w:p>
    <w:p>
      <w:pPr>
        <w:spacing w:after="0" w:line="187" w:lineRule="exact"/>
        <w:rPr>
          <w:rFonts w:ascii="Arial" w:cs="Arial" w:eastAsia="Arial" w:hAnsi="Arial"/>
          <w:sz w:val="22"/>
          <w:szCs w:val="22"/>
          <w:color w:val="010000"/>
        </w:rPr>
      </w:pPr>
    </w:p>
    <w:p>
      <w:pPr>
        <w:jc w:val="both"/>
        <w:ind w:firstLine="1304"/>
        <w:spacing w:after="0" w:line="253" w:lineRule="auto"/>
        <w:tabs>
          <w:tab w:leader="none" w:pos="1824" w:val="left"/>
        </w:tabs>
        <w:numPr>
          <w:ilvl w:val="0"/>
          <w:numId w:val="71"/>
        </w:numPr>
        <w:rPr>
          <w:rFonts w:ascii="Arial" w:cs="Arial" w:eastAsia="Arial" w:hAnsi="Arial"/>
          <w:sz w:val="22"/>
          <w:szCs w:val="22"/>
          <w:color w:val="010000"/>
        </w:rPr>
      </w:pPr>
      <w:r>
        <w:rPr>
          <w:rFonts w:ascii="Arial" w:cs="Arial" w:eastAsia="Arial" w:hAnsi="Arial"/>
          <w:sz w:val="22"/>
          <w:szCs w:val="22"/>
          <w:u w:val="single" w:color="auto"/>
          <w:color w:val="auto"/>
        </w:rPr>
        <w:t>Tax Materials</w:t>
      </w:r>
      <w:r>
        <w:rPr>
          <w:rFonts w:ascii="Arial" w:cs="Arial" w:eastAsia="Arial" w:hAnsi="Arial"/>
          <w:sz w:val="22"/>
          <w:szCs w:val="22"/>
          <w:color w:val="auto"/>
        </w:rPr>
        <w:t>. For the avoidance of doubt, neither the Company nor any other Member shall be permitted to review any of the GM Investor’s tax returns, workpapers or other tax information (“</w:t>
      </w:r>
      <w:r>
        <w:rPr>
          <w:rFonts w:ascii="Arial" w:cs="Arial" w:eastAsia="Arial" w:hAnsi="Arial"/>
          <w:sz w:val="22"/>
          <w:szCs w:val="22"/>
          <w:b w:val="1"/>
          <w:bCs w:val="1"/>
          <w:color w:val="auto"/>
        </w:rPr>
        <w:t>Tax Materials</w:t>
      </w:r>
      <w:r>
        <w:rPr>
          <w:rFonts w:ascii="Arial" w:cs="Arial" w:eastAsia="Arial" w:hAnsi="Arial"/>
          <w:sz w:val="22"/>
          <w:szCs w:val="22"/>
          <w:color w:val="auto"/>
        </w:rPr>
        <w:t>”), or any Tax Materials of or related to the GM Consolidated Group.</w:t>
      </w:r>
    </w:p>
    <w:p>
      <w:pPr>
        <w:spacing w:after="0" w:line="185" w:lineRule="exact"/>
        <w:rPr>
          <w:rFonts w:ascii="Arial" w:cs="Arial" w:eastAsia="Arial" w:hAnsi="Arial"/>
          <w:sz w:val="22"/>
          <w:szCs w:val="22"/>
          <w:color w:val="010000"/>
        </w:rPr>
      </w:pPr>
    </w:p>
    <w:p>
      <w:pPr>
        <w:ind w:left="1780" w:hanging="476"/>
        <w:spacing w:after="0"/>
        <w:tabs>
          <w:tab w:leader="none" w:pos="1780" w:val="left"/>
        </w:tabs>
        <w:numPr>
          <w:ilvl w:val="0"/>
          <w:numId w:val="71"/>
        </w:numPr>
        <w:rPr>
          <w:rFonts w:ascii="Arial" w:cs="Arial" w:eastAsia="Arial" w:hAnsi="Arial"/>
          <w:sz w:val="22"/>
          <w:szCs w:val="22"/>
          <w:color w:val="010000"/>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Section 4.03, the following terms shall be defined as follows:</w:t>
      </w:r>
    </w:p>
    <w:p>
      <w:pPr>
        <w:spacing w:after="0" w:line="213" w:lineRule="exact"/>
        <w:rPr>
          <w:rFonts w:ascii="Arial" w:cs="Arial" w:eastAsia="Arial" w:hAnsi="Arial"/>
          <w:sz w:val="22"/>
          <w:szCs w:val="22"/>
          <w:color w:val="010000"/>
        </w:rPr>
      </w:pPr>
    </w:p>
    <w:p>
      <w:pPr>
        <w:jc w:val="both"/>
        <w:ind w:firstLine="1952"/>
        <w:spacing w:after="0" w:line="256" w:lineRule="auto"/>
        <w:tabs>
          <w:tab w:leader="none" w:pos="2431" w:val="left"/>
        </w:tabs>
        <w:numPr>
          <w:ilvl w:val="1"/>
          <w:numId w:val="71"/>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Aggregate Company Hypothetical Pre-Deconsolidation Tax Amount</w:t>
      </w:r>
      <w:r>
        <w:rPr>
          <w:rFonts w:ascii="Arial" w:cs="Arial" w:eastAsia="Arial" w:hAnsi="Arial"/>
          <w:sz w:val="22"/>
          <w:szCs w:val="22"/>
          <w:color w:val="auto"/>
        </w:rPr>
        <w:t>” means, with respect to a Tax Period, the sum of the Company Hypothetical Pre-Deconsolidation Tax Amount for such Tax Period and all prior Tax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98" w:lineRule="exact"/>
        <w:rPr>
          <w:sz w:val="20"/>
          <w:szCs w:val="20"/>
          <w:color w:val="auto"/>
        </w:rPr>
      </w:pPr>
    </w:p>
    <w:p>
      <w:pPr>
        <w:jc w:val="both"/>
        <w:ind w:firstLine="1952"/>
        <w:spacing w:after="0" w:line="249" w:lineRule="auto"/>
        <w:tabs>
          <w:tab w:leader="none" w:pos="2478" w:val="left"/>
        </w:tabs>
        <w:numPr>
          <w:ilvl w:val="0"/>
          <w:numId w:val="72"/>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Company Hypothetical Pre-Deconsolidation Tax Amount</w:t>
      </w:r>
      <w:r>
        <w:rPr>
          <w:rFonts w:ascii="Arial" w:cs="Arial" w:eastAsia="Arial" w:hAnsi="Arial"/>
          <w:sz w:val="22"/>
          <w:szCs w:val="22"/>
          <w:color w:val="auto"/>
        </w:rPr>
        <w:t>” means, with respect to a Tax Period prior to a Deconsolidation, the amount of U.S. federal income tax that would have been owed by the Company and its Subsidiaries if the Company and its Subsidiaries had not been members of the GM Consolidated Group and instead were a separate U.S. consolidated group (but had utilized the same tax accounting methods, elections, conventions, practices, policies and principles actually utilized by the GM Consolidated Group).</w:t>
      </w:r>
    </w:p>
    <w:p>
      <w:pPr>
        <w:spacing w:after="0" w:line="186" w:lineRule="exact"/>
        <w:rPr>
          <w:rFonts w:ascii="Arial" w:cs="Arial" w:eastAsia="Arial" w:hAnsi="Arial"/>
          <w:sz w:val="22"/>
          <w:szCs w:val="22"/>
          <w:color w:val="010000"/>
        </w:rPr>
      </w:pPr>
    </w:p>
    <w:p>
      <w:pPr>
        <w:ind w:left="2560" w:hanging="608"/>
        <w:spacing w:after="0"/>
        <w:tabs>
          <w:tab w:leader="none" w:pos="2560" w:val="left"/>
        </w:tabs>
        <w:numPr>
          <w:ilvl w:val="0"/>
          <w:numId w:val="72"/>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Deconsolidation</w:t>
      </w:r>
      <w:r>
        <w:rPr>
          <w:rFonts w:ascii="Arial" w:cs="Arial" w:eastAsia="Arial" w:hAnsi="Arial"/>
          <w:sz w:val="19"/>
          <w:szCs w:val="19"/>
          <w:color w:val="auto"/>
        </w:rPr>
        <w:t>” means any event pursuant to which the Company ceases to be included in the</w:t>
      </w:r>
    </w:p>
    <w:p>
      <w:pPr>
        <w:spacing w:after="0" w:line="61"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GM Consolidated Group.</w:t>
      </w:r>
    </w:p>
    <w:p>
      <w:pPr>
        <w:spacing w:after="0" w:line="195" w:lineRule="exact"/>
        <w:rPr>
          <w:rFonts w:ascii="Arial" w:cs="Arial" w:eastAsia="Arial" w:hAnsi="Arial"/>
          <w:sz w:val="19"/>
          <w:szCs w:val="19"/>
          <w:color w:val="010000"/>
        </w:rPr>
      </w:pPr>
    </w:p>
    <w:p>
      <w:pPr>
        <w:jc w:val="both"/>
        <w:ind w:firstLine="1952"/>
        <w:spacing w:after="0" w:line="264" w:lineRule="auto"/>
        <w:tabs>
          <w:tab w:leader="none" w:pos="2620" w:val="left"/>
        </w:tabs>
        <w:numPr>
          <w:ilvl w:val="0"/>
          <w:numId w:val="72"/>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color w:val="auto"/>
        </w:rPr>
        <w:t>Excess NOL Tax Increase</w:t>
      </w:r>
      <w:r>
        <w:rPr>
          <w:rFonts w:ascii="Arial" w:cs="Arial" w:eastAsia="Arial" w:hAnsi="Arial"/>
          <w:sz w:val="21"/>
          <w:szCs w:val="21"/>
          <w:color w:val="auto"/>
        </w:rPr>
        <w:t>” means, with respect to each Tax Period of the Company after a Deconsolidation, an amount equal to the excess, if any, of (A) the actual U.S. federal income tax payable by the Company and its Subsidiaries in respect of such Tax Period over (B) the U.S. federal income tax that would have been payable by the Company and its Subsidiaries in respect of such Tax Period if upon a Deconsolidation the Company had an amount of net operating losses, as defined in Section 172(c) of the Code, equal to the NOL Deficit Amount.</w:t>
      </w:r>
    </w:p>
    <w:p>
      <w:pPr>
        <w:spacing w:after="0" w:line="170" w:lineRule="exact"/>
        <w:rPr>
          <w:rFonts w:ascii="Arial" w:cs="Arial" w:eastAsia="Arial" w:hAnsi="Arial"/>
          <w:sz w:val="21"/>
          <w:szCs w:val="21"/>
          <w:color w:val="010000"/>
        </w:rPr>
      </w:pPr>
    </w:p>
    <w:p>
      <w:pPr>
        <w:ind w:firstLine="1952"/>
        <w:spacing w:after="0" w:line="269" w:lineRule="auto"/>
        <w:tabs>
          <w:tab w:leader="none" w:pos="2479" w:val="left"/>
        </w:tabs>
        <w:numPr>
          <w:ilvl w:val="0"/>
          <w:numId w:val="72"/>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GM Consolidated Group</w:t>
      </w:r>
      <w:r>
        <w:rPr>
          <w:rFonts w:ascii="Arial" w:cs="Arial" w:eastAsia="Arial" w:hAnsi="Arial"/>
          <w:sz w:val="22"/>
          <w:szCs w:val="22"/>
          <w:color w:val="auto"/>
        </w:rPr>
        <w:t>” means the consolidated group of corporations of which GM Parent is the “common parent” within the meaning of Treasury Regulations Section 1.1502-1(h).</w:t>
      </w:r>
    </w:p>
    <w:p>
      <w:pPr>
        <w:spacing w:after="0" w:line="161" w:lineRule="exact"/>
        <w:rPr>
          <w:rFonts w:ascii="Arial" w:cs="Arial" w:eastAsia="Arial" w:hAnsi="Arial"/>
          <w:sz w:val="22"/>
          <w:szCs w:val="22"/>
          <w:color w:val="010000"/>
        </w:rPr>
      </w:pPr>
    </w:p>
    <w:p>
      <w:pPr>
        <w:ind w:firstLine="1952"/>
        <w:spacing w:after="0" w:line="269" w:lineRule="auto"/>
        <w:tabs>
          <w:tab w:leader="none" w:pos="2526" w:val="left"/>
        </w:tabs>
        <w:numPr>
          <w:ilvl w:val="0"/>
          <w:numId w:val="72"/>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GM Consolidated Return</w:t>
      </w:r>
      <w:r>
        <w:rPr>
          <w:rFonts w:ascii="Arial" w:cs="Arial" w:eastAsia="Arial" w:hAnsi="Arial"/>
          <w:sz w:val="22"/>
          <w:szCs w:val="22"/>
          <w:color w:val="auto"/>
        </w:rPr>
        <w:t>” means the consolidated U.S. federal income tax return of GM Parent filed pursuant to Section 1501 of the Code.</w:t>
      </w:r>
    </w:p>
    <w:p>
      <w:pPr>
        <w:spacing w:after="0" w:line="161" w:lineRule="exact"/>
        <w:rPr>
          <w:rFonts w:ascii="Arial" w:cs="Arial" w:eastAsia="Arial" w:hAnsi="Arial"/>
          <w:sz w:val="22"/>
          <w:szCs w:val="22"/>
          <w:color w:val="010000"/>
        </w:rPr>
      </w:pPr>
    </w:p>
    <w:p>
      <w:pPr>
        <w:jc w:val="both"/>
        <w:ind w:firstLine="1952"/>
        <w:spacing w:after="0" w:line="293" w:lineRule="auto"/>
        <w:tabs>
          <w:tab w:leader="none" w:pos="2559" w:val="left"/>
        </w:tabs>
        <w:numPr>
          <w:ilvl w:val="0"/>
          <w:numId w:val="72"/>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Hypothetical Deconsolidated Company NOL Amount</w:t>
      </w:r>
      <w:r>
        <w:rPr>
          <w:rFonts w:ascii="Arial" w:cs="Arial" w:eastAsia="Arial" w:hAnsi="Arial"/>
          <w:sz w:val="19"/>
          <w:szCs w:val="19"/>
          <w:color w:val="auto"/>
        </w:rPr>
        <w:t>” shall mean the amount of net operating losses, as defined in Section 172(c) of the Code, that the Company and its Subsidiaries would have had upon a Deconsolidation had the Company and its Subsidiaries never been members of the GM Consolidated Group (but had utilized the same tax accounting methods, elections, conventions, practices, policies and principles actually utilized by the GM Consolidated Group and had closed its Tax Period as of the date of a Deconsolidation), provided that Hypothetical Deconsolidated Company NOL Amount shall be reduced by the amount of any such net operating losses that were previously included in the computation of Incremental GM Tax Amount and resulted in a reduction in the Incremental GM Tax Amount.</w:t>
      </w:r>
    </w:p>
    <w:p>
      <w:pPr>
        <w:spacing w:after="0" w:line="144" w:lineRule="exact"/>
        <w:rPr>
          <w:rFonts w:ascii="Arial" w:cs="Arial" w:eastAsia="Arial" w:hAnsi="Arial"/>
          <w:sz w:val="19"/>
          <w:szCs w:val="19"/>
          <w:color w:val="010000"/>
        </w:rPr>
      </w:pPr>
    </w:p>
    <w:p>
      <w:pPr>
        <w:jc w:val="both"/>
        <w:ind w:firstLine="1952"/>
        <w:spacing w:after="0" w:line="291" w:lineRule="auto"/>
        <w:tabs>
          <w:tab w:leader="none" w:pos="2605" w:val="left"/>
        </w:tabs>
        <w:numPr>
          <w:ilvl w:val="0"/>
          <w:numId w:val="72"/>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Incremental GM Tax Amount</w:t>
      </w:r>
      <w:r>
        <w:rPr>
          <w:rFonts w:ascii="Arial" w:cs="Arial" w:eastAsia="Arial" w:hAnsi="Arial"/>
          <w:sz w:val="19"/>
          <w:szCs w:val="19"/>
          <w:color w:val="auto"/>
        </w:rPr>
        <w:t xml:space="preserve">” means with respect to a Tax Period, the excess, if any, of (A) the total U.S. federal income tax actually owed by the GM Consolidated Group for such Tax Period and all prior Tax Periods ending after the Original Closing Date, over (B) the total U.S. federal income tax that would have been owed by the GM Consolidated Group for such Tax Period and all prior Tax Periods ending after the Original Closing Date had the Company and its Subsidiaries never been members of the GM Consolidated Group, determined on a with and without basis and ignoring any state apportionment differences resulting from the inclusion of the Company and its Subsidiaries in the GM Consolidated Group; </w:t>
      </w:r>
      <w:r>
        <w:rPr>
          <w:rFonts w:ascii="Arial" w:cs="Arial" w:eastAsia="Arial" w:hAnsi="Arial"/>
          <w:sz w:val="19"/>
          <w:szCs w:val="19"/>
          <w:u w:val="single" w:color="auto"/>
          <w:color w:val="auto"/>
        </w:rPr>
        <w:t>provided</w:t>
      </w:r>
      <w:r>
        <w:rPr>
          <w:rFonts w:ascii="Arial" w:cs="Arial" w:eastAsia="Arial" w:hAnsi="Arial"/>
          <w:sz w:val="19"/>
          <w:szCs w:val="19"/>
          <w:color w:val="auto"/>
        </w:rPr>
        <w:t>, the amount in clause (A) shall be determined assuming any net operating losses for which the Company has been compensated for pursuant to Section 4.03(b) were not available to the GM Consolidated Group (determined by assuming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40" w:right="339" w:bottom="1440" w:gutter="0" w:footer="0" w:header="0"/>
        </w:sectPr>
      </w:pPr>
    </w:p>
    <w:bookmarkStart w:id="89" w:name="page90"/>
    <w:bookmarkEnd w:id="89"/>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such net operating losses are the last losses that would have otherwise been taken into account in clause (A)).</w:t>
      </w:r>
    </w:p>
    <w:p>
      <w:pPr>
        <w:spacing w:after="0" w:line="214" w:lineRule="exact"/>
        <w:rPr>
          <w:sz w:val="20"/>
          <w:szCs w:val="20"/>
          <w:color w:val="auto"/>
        </w:rPr>
      </w:pPr>
    </w:p>
    <w:p>
      <w:pPr>
        <w:ind w:right="20" w:firstLine="1952"/>
        <w:spacing w:after="0" w:line="269" w:lineRule="auto"/>
        <w:tabs>
          <w:tab w:leader="none" w:pos="2526" w:val="left"/>
        </w:tabs>
        <w:numPr>
          <w:ilvl w:val="0"/>
          <w:numId w:val="73"/>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NOL Deficit Amount</w:t>
      </w:r>
      <w:r>
        <w:rPr>
          <w:rFonts w:ascii="Arial" w:cs="Arial" w:eastAsia="Arial" w:hAnsi="Arial"/>
          <w:sz w:val="22"/>
          <w:szCs w:val="22"/>
          <w:color w:val="auto"/>
        </w:rPr>
        <w:t>” shall mean an amount equal to the excess, if any, of (A) the Hypothetical Deconsolidated Company NOL Amount over (B) $1,300,000,000.</w:t>
      </w:r>
    </w:p>
    <w:p>
      <w:pPr>
        <w:spacing w:after="0" w:line="161" w:lineRule="exact"/>
        <w:rPr>
          <w:rFonts w:ascii="Arial" w:cs="Arial" w:eastAsia="Arial" w:hAnsi="Arial"/>
          <w:sz w:val="22"/>
          <w:szCs w:val="22"/>
          <w:color w:val="010000"/>
        </w:rPr>
      </w:pPr>
    </w:p>
    <w:p>
      <w:pPr>
        <w:ind w:firstLine="1952"/>
        <w:spacing w:after="0" w:line="269" w:lineRule="auto"/>
        <w:tabs>
          <w:tab w:leader="none" w:pos="2425" w:val="left"/>
        </w:tabs>
        <w:numPr>
          <w:ilvl w:val="0"/>
          <w:numId w:val="73"/>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Other Tax Credits</w:t>
      </w:r>
      <w:r>
        <w:rPr>
          <w:rFonts w:ascii="Arial" w:cs="Arial" w:eastAsia="Arial" w:hAnsi="Arial"/>
          <w:sz w:val="22"/>
          <w:szCs w:val="22"/>
          <w:color w:val="auto"/>
        </w:rPr>
        <w:t>” shall mean any U.S. federal, state or local income or franchise tax credits other than R&amp;D Tax Credits as defined herein.</w:t>
      </w:r>
    </w:p>
    <w:p>
      <w:pPr>
        <w:spacing w:after="0" w:line="161" w:lineRule="exact"/>
        <w:rPr>
          <w:rFonts w:ascii="Arial" w:cs="Arial" w:eastAsia="Arial" w:hAnsi="Arial"/>
          <w:sz w:val="22"/>
          <w:szCs w:val="22"/>
          <w:color w:val="010000"/>
        </w:rPr>
      </w:pPr>
    </w:p>
    <w:p>
      <w:pPr>
        <w:jc w:val="both"/>
        <w:ind w:firstLine="1952"/>
        <w:spacing w:after="0" w:line="256" w:lineRule="auto"/>
        <w:tabs>
          <w:tab w:leader="none" w:pos="2553" w:val="left"/>
        </w:tabs>
        <w:numPr>
          <w:ilvl w:val="0"/>
          <w:numId w:val="73"/>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R&amp;D Tax Credits</w:t>
      </w:r>
      <w:r>
        <w:rPr>
          <w:rFonts w:ascii="Arial" w:cs="Arial" w:eastAsia="Arial" w:hAnsi="Arial"/>
          <w:sz w:val="22"/>
          <w:szCs w:val="22"/>
          <w:color w:val="auto"/>
        </w:rPr>
        <w:t>” shall mean any U.S. federal income tax credits for research activities under Section 41 of the Code, and, for the purpose of applying Section 4.03(e), any state or local income or franchise tax credits that are directly analogous to tax credits for research activities under Section 41 of the Code.</w:t>
      </w:r>
    </w:p>
    <w:p>
      <w:pPr>
        <w:spacing w:after="0" w:line="176" w:lineRule="exact"/>
        <w:rPr>
          <w:rFonts w:ascii="Arial" w:cs="Arial" w:eastAsia="Arial" w:hAnsi="Arial"/>
          <w:sz w:val="22"/>
          <w:szCs w:val="22"/>
          <w:color w:val="010000"/>
        </w:rPr>
      </w:pPr>
    </w:p>
    <w:p>
      <w:pPr>
        <w:jc w:val="both"/>
        <w:ind w:firstLine="1952"/>
        <w:spacing w:after="0" w:line="247" w:lineRule="auto"/>
        <w:tabs>
          <w:tab w:leader="none" w:pos="2640" w:val="left"/>
        </w:tabs>
        <w:numPr>
          <w:ilvl w:val="0"/>
          <w:numId w:val="73"/>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Section 59(e) Benefit Amount</w:t>
      </w:r>
      <w:r>
        <w:rPr>
          <w:rFonts w:ascii="Arial" w:cs="Arial" w:eastAsia="Arial" w:hAnsi="Arial"/>
          <w:sz w:val="22"/>
          <w:szCs w:val="22"/>
          <w:color w:val="auto"/>
        </w:rPr>
        <w:t>” with respect to a Tax Period means the amount by which the payment (A) required by the Company to GM under Section 4.03(c) for such Tax Period would have been more or (B) by GM to the Company under Section 4.03(b) would have been less, in each case, had no Section 59(e) Election been made; provided, for purposes of determining such difference under (A) or (B) with respect to any Section 59(e) Benefit Amount that corresponds to a prior correlative Section 59(e) Detriment Amount (using the earliest Section 59(e) Detriment first), such Section 59(e) Benefit Amount shall be determined assuming that the U.S. federal income tax rates applicable at the time of such Section 59(e) Detriment were still in effect.</w:t>
      </w:r>
    </w:p>
    <w:p>
      <w:pPr>
        <w:spacing w:after="0" w:line="189" w:lineRule="exact"/>
        <w:rPr>
          <w:rFonts w:ascii="Arial" w:cs="Arial" w:eastAsia="Arial" w:hAnsi="Arial"/>
          <w:sz w:val="22"/>
          <w:szCs w:val="22"/>
          <w:color w:val="010000"/>
        </w:rPr>
      </w:pPr>
    </w:p>
    <w:p>
      <w:pPr>
        <w:jc w:val="both"/>
        <w:ind w:firstLine="1952"/>
        <w:spacing w:after="0" w:line="315" w:lineRule="auto"/>
        <w:tabs>
          <w:tab w:leader="none" w:pos="2619" w:val="left"/>
        </w:tabs>
        <w:numPr>
          <w:ilvl w:val="0"/>
          <w:numId w:val="73"/>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Section 59(e) Detriment Amount</w:t>
      </w:r>
      <w:r>
        <w:rPr>
          <w:rFonts w:ascii="Arial" w:cs="Arial" w:eastAsia="Arial" w:hAnsi="Arial"/>
          <w:sz w:val="19"/>
          <w:szCs w:val="19"/>
          <w:color w:val="auto"/>
        </w:rPr>
        <w:t>” with respect to a Tax Period means the amount by which the payment (A) required by the Company to GM under Section 4.03(c) for such Tax Period would have been less or (B) by GM to the Company under Section 4.03(b) would have been more, in each case, had no Section 59(e) Election been made.</w:t>
      </w:r>
    </w:p>
    <w:p>
      <w:pPr>
        <w:spacing w:after="0" w:line="125" w:lineRule="exact"/>
        <w:rPr>
          <w:rFonts w:ascii="Arial" w:cs="Arial" w:eastAsia="Arial" w:hAnsi="Arial"/>
          <w:sz w:val="19"/>
          <w:szCs w:val="19"/>
          <w:color w:val="010000"/>
        </w:rPr>
      </w:pPr>
    </w:p>
    <w:p>
      <w:pPr>
        <w:ind w:left="2580" w:hanging="628"/>
        <w:spacing w:after="0"/>
        <w:tabs>
          <w:tab w:leader="none" w:pos="2580" w:val="left"/>
        </w:tabs>
        <w:numPr>
          <w:ilvl w:val="0"/>
          <w:numId w:val="73"/>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Tax Period</w:t>
      </w:r>
      <w:r>
        <w:rPr>
          <w:rFonts w:ascii="Arial" w:cs="Arial" w:eastAsia="Arial" w:hAnsi="Arial"/>
          <w:sz w:val="22"/>
          <w:szCs w:val="22"/>
          <w:color w:val="auto"/>
        </w:rPr>
        <w:t>” means a taxable year as defined in Section 441(b) of the Code.</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auto"/>
        </w:rPr>
        <w:t xml:space="preserve">4.04 </w:t>
      </w:r>
      <w:r>
        <w:rPr>
          <w:rFonts w:ascii="Arial" w:cs="Arial" w:eastAsia="Arial" w:hAnsi="Arial"/>
          <w:sz w:val="19"/>
          <w:szCs w:val="19"/>
          <w:b w:val="1"/>
          <w:bCs w:val="1"/>
          <w:u w:val="single" w:color="auto"/>
          <w:color w:val="auto"/>
        </w:rPr>
        <w:t>Transfer Taxes</w:t>
      </w:r>
      <w:r>
        <w:rPr>
          <w:rFonts w:ascii="Arial" w:cs="Arial" w:eastAsia="Arial" w:hAnsi="Arial"/>
          <w:sz w:val="19"/>
          <w:szCs w:val="19"/>
          <w:color w:val="auto"/>
        </w:rPr>
        <w:t>. Any Transfer Taxes (as defined in the SoftBank Purchase Agreement) incurred in connection with</w:t>
      </w:r>
      <w:r>
        <w:rPr>
          <w:rFonts w:ascii="Arial" w:cs="Arial" w:eastAsia="Arial" w:hAnsi="Arial"/>
          <w:sz w:val="19"/>
          <w:szCs w:val="19"/>
          <w:b w:val="1"/>
          <w:bCs w:val="1"/>
          <w:color w:val="auto"/>
        </w:rPr>
        <w:t xml:space="preserve"> </w:t>
      </w:r>
      <w:r>
        <w:rPr>
          <w:rFonts w:ascii="Arial" w:cs="Arial" w:eastAsia="Arial" w:hAnsi="Arial"/>
          <w:sz w:val="19"/>
          <w:szCs w:val="19"/>
          <w:color w:val="auto"/>
        </w:rPr>
        <w:t>any issuance of any Equity Securities to SoftBank, SoftBank UK or any of their Affiliates or Permitted Transferees pursuant to this Agreement or the SoftBank Purchase Agreement or in relation to the issuance of any Class F Preferred Shares or Class G Preferred Shares shall, in each case, be paid by SoftBank when due. Any Transfer Taxes (as defined in the Honda Purchase Agreement) incurred in connection with any issuance of any Equity Securities to Honda or any of its Affiliates or Permitted Transferees pursuant to this Agreement or the Honda Purchase Agreement or in relation to the issuance of any Class F Preferred Shares or Class G Preferred Shares shall be paid by Honda when due. Any Transfer Taxes (as defined in the Class F Purchase Agreement) incurred in connection with any issuance of Class F Preferred Shares to a Class F Preferred Member or any of their Affiliates or Permitted Transferees pursuant to this Agreement, the Class F Purchase Agreement, or any subscription agreement shall be paid by such Class F Preferred Members when due. Any Transfer Taxes (as defined in the Class G Purchase Agreement) incurred in connection with any issuance of Class 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40" w:right="339" w:bottom="1440" w:gutter="0" w:footer="0" w:header="0"/>
        </w:sectPr>
      </w:pPr>
    </w:p>
    <w:bookmarkStart w:id="90" w:name="page91"/>
    <w:bookmarkEnd w:id="90"/>
    <w:p>
      <w:pPr>
        <w:spacing w:after="0" w:line="20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Preferred Shares to a Class G Preferred Member or any of their Affiliates or Permitted Transferees pursuant to this Agreement, the Class G Purchase Agreement, or any subscription agreement shall be paid by such Class G Preferred Members when due. The Company shall file all necessary tax returns and other documentation with respect to all Transfer Taxes and, if required by applicable law, the GM Investor, SoftBank, Honda, the Class F New Members, and the Class G New Members (as applicable) will, and will cause their Affiliates, to join in the execution of any such tax returns and other documentation.</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provisions contained in this Article IV, and any payments required to be made pursuant hereto, shall survive the termination of the Company and the withdrawal of any Member.</w:t>
      </w:r>
    </w:p>
    <w:p>
      <w:pPr>
        <w:spacing w:after="0" w:line="16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V</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22"/>
          <w:szCs w:val="22"/>
          <w:b w:val="1"/>
          <w:bCs w:val="1"/>
          <w:u w:val="single" w:color="auto"/>
          <w:color w:val="auto"/>
        </w:rPr>
        <w:t>MEMBERS</w:t>
      </w:r>
    </w:p>
    <w:p>
      <w:pPr>
        <w:spacing w:after="0" w:line="19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5.01</w:t>
      </w:r>
      <w:r>
        <w:rPr>
          <w:sz w:val="20"/>
          <w:szCs w:val="20"/>
          <w:color w:val="auto"/>
        </w:rPr>
        <w:tab/>
      </w:r>
      <w:r>
        <w:rPr>
          <w:rFonts w:ascii="Arial" w:cs="Arial" w:eastAsia="Arial" w:hAnsi="Arial"/>
          <w:sz w:val="19"/>
          <w:szCs w:val="19"/>
          <w:b w:val="1"/>
          <w:bCs w:val="1"/>
          <w:u w:val="single" w:color="auto"/>
          <w:color w:val="auto"/>
        </w:rPr>
        <w:t>Voting Rights of Members</w:t>
      </w:r>
      <w:r>
        <w:rPr>
          <w:rFonts w:ascii="Arial" w:cs="Arial" w:eastAsia="Arial" w:hAnsi="Arial"/>
          <w:sz w:val="19"/>
          <w:szCs w:val="19"/>
          <w:color w:val="auto"/>
        </w:rPr>
        <w:t>. Subject to Section 2.02 and Section 9.10:</w:t>
      </w:r>
    </w:p>
    <w:p>
      <w:pPr>
        <w:spacing w:after="0" w:line="226" w:lineRule="exact"/>
        <w:rPr>
          <w:sz w:val="20"/>
          <w:szCs w:val="20"/>
          <w:color w:val="auto"/>
        </w:rPr>
      </w:pPr>
    </w:p>
    <w:p>
      <w:pPr>
        <w:ind w:firstLine="1304"/>
        <w:spacing w:after="0" w:line="263" w:lineRule="auto"/>
        <w:tabs>
          <w:tab w:leader="none" w:pos="1765" w:val="left"/>
        </w:tabs>
        <w:numPr>
          <w:ilvl w:val="0"/>
          <w:numId w:val="74"/>
        </w:numPr>
        <w:rPr>
          <w:rFonts w:ascii="Arial" w:cs="Arial" w:eastAsia="Arial" w:hAnsi="Arial"/>
          <w:sz w:val="22"/>
          <w:szCs w:val="22"/>
          <w:color w:val="010000"/>
        </w:rPr>
      </w:pPr>
      <w:r>
        <w:rPr>
          <w:rFonts w:ascii="Arial" w:cs="Arial" w:eastAsia="Arial" w:hAnsi="Arial"/>
          <w:sz w:val="22"/>
          <w:szCs w:val="22"/>
          <w:color w:val="auto"/>
        </w:rPr>
        <w:t>Each Class A-1 Preferred Member shall be entitled to ten (10) votes for each Class A-1 Preferred Share held by such Member on any matter which is submitted to the Members for a vote or consent.</w:t>
      </w:r>
    </w:p>
    <w:p>
      <w:pPr>
        <w:spacing w:after="0" w:line="174" w:lineRule="exact"/>
        <w:rPr>
          <w:rFonts w:ascii="Arial" w:cs="Arial" w:eastAsia="Arial" w:hAnsi="Arial"/>
          <w:sz w:val="22"/>
          <w:szCs w:val="22"/>
          <w:color w:val="010000"/>
        </w:rPr>
      </w:pPr>
    </w:p>
    <w:p>
      <w:pPr>
        <w:ind w:firstLine="1304"/>
        <w:spacing w:after="0" w:line="263" w:lineRule="auto"/>
        <w:tabs>
          <w:tab w:leader="none" w:pos="1777" w:val="left"/>
        </w:tabs>
        <w:numPr>
          <w:ilvl w:val="0"/>
          <w:numId w:val="74"/>
        </w:numPr>
        <w:rPr>
          <w:rFonts w:ascii="Arial" w:cs="Arial" w:eastAsia="Arial" w:hAnsi="Arial"/>
          <w:sz w:val="22"/>
          <w:szCs w:val="22"/>
          <w:color w:val="010000"/>
        </w:rPr>
      </w:pPr>
      <w:r>
        <w:rPr>
          <w:rFonts w:ascii="Arial" w:cs="Arial" w:eastAsia="Arial" w:hAnsi="Arial"/>
          <w:sz w:val="22"/>
          <w:szCs w:val="22"/>
          <w:color w:val="auto"/>
        </w:rPr>
        <w:t>Each Class A-2 Preferred Member shall be entitled to ten (10) votes for each Class A-2 Preferred Share held by such Member on any matter which is submitted to the Members for a vote or consent.</w:t>
      </w:r>
    </w:p>
    <w:p>
      <w:pPr>
        <w:spacing w:after="0" w:line="174" w:lineRule="exact"/>
        <w:rPr>
          <w:rFonts w:ascii="Arial" w:cs="Arial" w:eastAsia="Arial" w:hAnsi="Arial"/>
          <w:sz w:val="22"/>
          <w:szCs w:val="22"/>
          <w:color w:val="010000"/>
        </w:rPr>
      </w:pPr>
    </w:p>
    <w:p>
      <w:pPr>
        <w:ind w:firstLine="1304"/>
        <w:spacing w:after="0" w:line="263" w:lineRule="auto"/>
        <w:tabs>
          <w:tab w:leader="none" w:pos="1887" w:val="left"/>
        </w:tabs>
        <w:numPr>
          <w:ilvl w:val="0"/>
          <w:numId w:val="74"/>
        </w:numPr>
        <w:rPr>
          <w:rFonts w:ascii="Arial" w:cs="Arial" w:eastAsia="Arial" w:hAnsi="Arial"/>
          <w:sz w:val="22"/>
          <w:szCs w:val="22"/>
          <w:color w:val="010000"/>
        </w:rPr>
      </w:pPr>
      <w:r>
        <w:rPr>
          <w:rFonts w:ascii="Arial" w:cs="Arial" w:eastAsia="Arial" w:hAnsi="Arial"/>
          <w:sz w:val="22"/>
          <w:szCs w:val="22"/>
          <w:color w:val="auto"/>
        </w:rPr>
        <w:t>Each Class B Member shall be entitled to one (1) vote for each Class B Common Share held by such Member on any matter which is submitted to the Members for a vote or consent.</w:t>
      </w:r>
    </w:p>
    <w:p>
      <w:pPr>
        <w:spacing w:after="0" w:line="174" w:lineRule="exact"/>
        <w:rPr>
          <w:rFonts w:ascii="Arial" w:cs="Arial" w:eastAsia="Arial" w:hAnsi="Arial"/>
          <w:sz w:val="22"/>
          <w:szCs w:val="22"/>
          <w:color w:val="010000"/>
        </w:rPr>
      </w:pPr>
    </w:p>
    <w:p>
      <w:pPr>
        <w:ind w:right="20" w:firstLine="1304"/>
        <w:spacing w:after="0" w:line="263" w:lineRule="auto"/>
        <w:tabs>
          <w:tab w:leader="none" w:pos="1858" w:val="left"/>
        </w:tabs>
        <w:numPr>
          <w:ilvl w:val="0"/>
          <w:numId w:val="74"/>
        </w:numPr>
        <w:rPr>
          <w:rFonts w:ascii="Arial" w:cs="Arial" w:eastAsia="Arial" w:hAnsi="Arial"/>
          <w:sz w:val="22"/>
          <w:szCs w:val="22"/>
          <w:color w:val="010000"/>
        </w:rPr>
      </w:pPr>
      <w:r>
        <w:rPr>
          <w:rFonts w:ascii="Arial" w:cs="Arial" w:eastAsia="Arial" w:hAnsi="Arial"/>
          <w:sz w:val="22"/>
          <w:szCs w:val="22"/>
          <w:color w:val="auto"/>
        </w:rPr>
        <w:t>Each Class C Member shall be entitled to ten (10) votes for each Class C Common Share held by such Member on any matter which is submitted to the Members for a vote or consent.</w:t>
      </w:r>
    </w:p>
    <w:p>
      <w:pPr>
        <w:spacing w:after="0" w:line="174" w:lineRule="exact"/>
        <w:rPr>
          <w:rFonts w:ascii="Arial" w:cs="Arial" w:eastAsia="Arial" w:hAnsi="Arial"/>
          <w:sz w:val="22"/>
          <w:szCs w:val="22"/>
          <w:color w:val="010000"/>
        </w:rPr>
      </w:pPr>
    </w:p>
    <w:p>
      <w:pPr>
        <w:ind w:firstLine="1304"/>
        <w:spacing w:after="0" w:line="263" w:lineRule="auto"/>
        <w:tabs>
          <w:tab w:leader="none" w:pos="1873" w:val="left"/>
        </w:tabs>
        <w:numPr>
          <w:ilvl w:val="0"/>
          <w:numId w:val="74"/>
        </w:numPr>
        <w:rPr>
          <w:rFonts w:ascii="Arial" w:cs="Arial" w:eastAsia="Arial" w:hAnsi="Arial"/>
          <w:sz w:val="22"/>
          <w:szCs w:val="22"/>
          <w:color w:val="010000"/>
        </w:rPr>
      </w:pPr>
      <w:r>
        <w:rPr>
          <w:rFonts w:ascii="Arial" w:cs="Arial" w:eastAsia="Arial" w:hAnsi="Arial"/>
          <w:sz w:val="22"/>
          <w:szCs w:val="22"/>
          <w:color w:val="auto"/>
        </w:rPr>
        <w:t>Each Class D Member shall be entitled to one (1) vote for each Class D Common Share held by such Member on any matter which is submitted to the Members for a vote or consent.</w:t>
      </w:r>
    </w:p>
    <w:p>
      <w:pPr>
        <w:spacing w:after="0" w:line="174" w:lineRule="exact"/>
        <w:rPr>
          <w:rFonts w:ascii="Arial" w:cs="Arial" w:eastAsia="Arial" w:hAnsi="Arial"/>
          <w:sz w:val="22"/>
          <w:szCs w:val="22"/>
          <w:color w:val="010000"/>
        </w:rPr>
      </w:pPr>
    </w:p>
    <w:p>
      <w:pPr>
        <w:ind w:right="20" w:firstLine="1304"/>
        <w:spacing w:after="0" w:line="263" w:lineRule="auto"/>
        <w:tabs>
          <w:tab w:leader="none" w:pos="1728" w:val="left"/>
        </w:tabs>
        <w:numPr>
          <w:ilvl w:val="0"/>
          <w:numId w:val="74"/>
        </w:numPr>
        <w:rPr>
          <w:rFonts w:ascii="Arial" w:cs="Arial" w:eastAsia="Arial" w:hAnsi="Arial"/>
          <w:sz w:val="22"/>
          <w:szCs w:val="22"/>
          <w:color w:val="010000"/>
        </w:rPr>
      </w:pPr>
      <w:r>
        <w:rPr>
          <w:rFonts w:ascii="Arial" w:cs="Arial" w:eastAsia="Arial" w:hAnsi="Arial"/>
          <w:sz w:val="22"/>
          <w:szCs w:val="22"/>
          <w:color w:val="auto"/>
        </w:rPr>
        <w:t>Each Class E Member shall be entitled to one (1) vote for each Class E Common Share held by such Member on any matter which is submitted to the Members for a vote or consent.</w:t>
      </w:r>
    </w:p>
    <w:p>
      <w:pPr>
        <w:spacing w:after="0" w:line="174" w:lineRule="exact"/>
        <w:rPr>
          <w:rFonts w:ascii="Arial" w:cs="Arial" w:eastAsia="Arial" w:hAnsi="Arial"/>
          <w:sz w:val="22"/>
          <w:szCs w:val="22"/>
          <w:color w:val="010000"/>
        </w:rPr>
      </w:pPr>
    </w:p>
    <w:p>
      <w:pPr>
        <w:ind w:firstLine="1304"/>
        <w:spacing w:after="0" w:line="263" w:lineRule="auto"/>
        <w:tabs>
          <w:tab w:leader="none" w:pos="1831" w:val="left"/>
        </w:tabs>
        <w:numPr>
          <w:ilvl w:val="0"/>
          <w:numId w:val="74"/>
        </w:numPr>
        <w:rPr>
          <w:rFonts w:ascii="Arial" w:cs="Arial" w:eastAsia="Arial" w:hAnsi="Arial"/>
          <w:sz w:val="22"/>
          <w:szCs w:val="22"/>
          <w:color w:val="010000"/>
        </w:rPr>
      </w:pPr>
      <w:r>
        <w:rPr>
          <w:rFonts w:ascii="Arial" w:cs="Arial" w:eastAsia="Arial" w:hAnsi="Arial"/>
          <w:sz w:val="22"/>
          <w:szCs w:val="22"/>
          <w:color w:val="auto"/>
        </w:rPr>
        <w:t>Each Class F Preferred Member shall be entitled to one (1) vote for each Class F Preferred Share held by such Member on any matter which is submitted to the Members for a vote or consent.</w:t>
      </w:r>
    </w:p>
    <w:p>
      <w:pPr>
        <w:spacing w:after="0" w:line="174" w:lineRule="exact"/>
        <w:rPr>
          <w:rFonts w:ascii="Arial" w:cs="Arial" w:eastAsia="Arial" w:hAnsi="Arial"/>
          <w:sz w:val="22"/>
          <w:szCs w:val="22"/>
          <w:color w:val="010000"/>
        </w:rPr>
      </w:pPr>
    </w:p>
    <w:p>
      <w:pPr>
        <w:ind w:firstLine="1304"/>
        <w:spacing w:after="0" w:line="263" w:lineRule="auto"/>
        <w:tabs>
          <w:tab w:leader="none" w:pos="1818" w:val="left"/>
        </w:tabs>
        <w:numPr>
          <w:ilvl w:val="0"/>
          <w:numId w:val="74"/>
        </w:numPr>
        <w:rPr>
          <w:rFonts w:ascii="Arial" w:cs="Arial" w:eastAsia="Arial" w:hAnsi="Arial"/>
          <w:sz w:val="22"/>
          <w:szCs w:val="22"/>
          <w:color w:val="010000"/>
        </w:rPr>
      </w:pPr>
      <w:r>
        <w:rPr>
          <w:rFonts w:ascii="Arial" w:cs="Arial" w:eastAsia="Arial" w:hAnsi="Arial"/>
          <w:sz w:val="22"/>
          <w:szCs w:val="22"/>
          <w:color w:val="auto"/>
        </w:rPr>
        <w:t>Each Class G Preferred Member shall be entitled to one (1) vote for each Class G Preferred Share held by such Member on any matter which is submitted to the Members for a vote or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40" w:right="339" w:bottom="1440" w:gutter="0" w:footer="0" w:header="0"/>
        </w:sectPr>
      </w:pPr>
    </w:p>
    <w:bookmarkStart w:id="91" w:name="page92"/>
    <w:bookmarkEnd w:id="91"/>
    <w:p>
      <w:pPr>
        <w:spacing w:after="0" w:line="204" w:lineRule="exact"/>
        <w:rPr>
          <w:sz w:val="20"/>
          <w:szCs w:val="20"/>
          <w:color w:val="auto"/>
        </w:rPr>
      </w:pPr>
    </w:p>
    <w:p>
      <w:pPr>
        <w:ind w:firstLine="1304"/>
        <w:spacing w:after="0" w:line="263" w:lineRule="auto"/>
        <w:tabs>
          <w:tab w:leader="none" w:pos="1716" w:val="left"/>
        </w:tabs>
        <w:numPr>
          <w:ilvl w:val="0"/>
          <w:numId w:val="75"/>
        </w:numPr>
        <w:rPr>
          <w:rFonts w:ascii="Arial" w:cs="Arial" w:eastAsia="Arial" w:hAnsi="Arial"/>
          <w:sz w:val="22"/>
          <w:szCs w:val="22"/>
          <w:color w:val="010000"/>
        </w:rPr>
      </w:pPr>
      <w:r>
        <w:rPr>
          <w:rFonts w:ascii="Arial" w:cs="Arial" w:eastAsia="Arial" w:hAnsi="Arial"/>
          <w:sz w:val="22"/>
          <w:szCs w:val="22"/>
          <w:color w:val="auto"/>
        </w:rPr>
        <w:t>Each Class H Member shall be entitled to one (1) vote for each Class H Common Share held by such Member on any matter which is submitted to the Members for a vote or consent.</w:t>
      </w:r>
    </w:p>
    <w:p>
      <w:pPr>
        <w:spacing w:after="0" w:line="174" w:lineRule="exact"/>
        <w:rPr>
          <w:rFonts w:ascii="Arial" w:cs="Arial" w:eastAsia="Arial" w:hAnsi="Arial"/>
          <w:sz w:val="22"/>
          <w:szCs w:val="22"/>
          <w:color w:val="010000"/>
        </w:rPr>
      </w:pPr>
    </w:p>
    <w:p>
      <w:pPr>
        <w:ind w:firstLine="1304"/>
        <w:spacing w:after="0" w:line="287" w:lineRule="auto"/>
        <w:tabs>
          <w:tab w:leader="none" w:pos="1756" w:val="left"/>
        </w:tabs>
        <w:numPr>
          <w:ilvl w:val="0"/>
          <w:numId w:val="75"/>
        </w:numPr>
        <w:rPr>
          <w:rFonts w:ascii="Arial" w:cs="Arial" w:eastAsia="Arial" w:hAnsi="Arial"/>
          <w:sz w:val="21"/>
          <w:szCs w:val="21"/>
          <w:color w:val="010000"/>
        </w:rPr>
      </w:pPr>
      <w:r>
        <w:rPr>
          <w:rFonts w:ascii="Arial" w:cs="Arial" w:eastAsia="Arial" w:hAnsi="Arial"/>
          <w:sz w:val="21"/>
          <w:szCs w:val="21"/>
          <w:color w:val="auto"/>
        </w:rPr>
        <w:t>Each other class or series of Shares shall be entitled to such votes as the Board of Directors shall determine with respect to such class or series on any matter which is submitted to the Members for a vote or consent.</w:t>
      </w:r>
    </w:p>
    <w:p>
      <w:pPr>
        <w:spacing w:after="0" w:line="151"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For the avoidance of doubt, the provisions and rights with respect to voting set forth in this Section 5.01 and Section 6.03 are intended to provide GM with “control” of the Company as defined in Section 368(c) of the Code and the Treasury Regulations thereunder, and shall be interpreted consistent therewith. Neither the Company nor any of the Members shall take any reporting position inconsistent with the intended tax treatment described in this Section 5.01.</w:t>
      </w:r>
    </w:p>
    <w:p>
      <w:pPr>
        <w:spacing w:after="0" w:line="16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5.02 </w:t>
      </w:r>
      <w:r>
        <w:rPr>
          <w:rFonts w:ascii="Arial" w:cs="Arial" w:eastAsia="Arial" w:hAnsi="Arial"/>
          <w:sz w:val="19"/>
          <w:szCs w:val="19"/>
          <w:b w:val="1"/>
          <w:bCs w:val="1"/>
          <w:u w:val="single" w:color="auto"/>
          <w:color w:val="auto"/>
        </w:rPr>
        <w:t>Quorum; Voting</w:t>
      </w:r>
      <w:r>
        <w:rPr>
          <w:rFonts w:ascii="Arial" w:cs="Arial" w:eastAsia="Arial" w:hAnsi="Arial"/>
          <w:sz w:val="19"/>
          <w:szCs w:val="19"/>
          <w:color w:val="auto"/>
        </w:rPr>
        <w:t>. A quorum shall be present with respect to a meeting of the Members if a Majority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Members are represented in person or by proxy at such meeting. Once a quorum is present at a meeting of the Members, the subsequent withdrawal from the meeting of any Member (other than the GM Investor, whose withdrawal from the meeting shall cause a quorum to no longer be present) prior to the meeting’s adjournment or the refusal of any Member to vote on any matter that is open to vote by the Members at the meeting shall not affect the presence of a quorum at the meeting. Each of the Members hereby consents and agrees that one or more Members may participate in a meeting of the Members by means of conference telephone or similar communications equipment by which all Persons participating in the meeting can hear each other at the same time, and such participation shall constitute presence in person at the meeting. If a quorum is present, except as otherwise expressly provided herein, the affirmative vote of the Members representing a Majority of the Members represented at the meeting and entitled to vote on the subject matter shall be the act of the Members.</w:t>
      </w:r>
    </w:p>
    <w:p>
      <w:pPr>
        <w:spacing w:after="0" w:line="1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5.03 </w:t>
      </w:r>
      <w:r>
        <w:rPr>
          <w:rFonts w:ascii="Arial" w:cs="Arial" w:eastAsia="Arial" w:hAnsi="Arial"/>
          <w:sz w:val="21"/>
          <w:szCs w:val="21"/>
          <w:b w:val="1"/>
          <w:bCs w:val="1"/>
          <w:u w:val="single" w:color="auto"/>
          <w:color w:val="auto"/>
        </w:rPr>
        <w:t>Written Consent</w:t>
      </w:r>
      <w:r>
        <w:rPr>
          <w:rFonts w:ascii="Arial" w:cs="Arial" w:eastAsia="Arial" w:hAnsi="Arial"/>
          <w:sz w:val="21"/>
          <w:szCs w:val="21"/>
          <w:color w:val="auto"/>
        </w:rPr>
        <w:t>. Any action required or permitted to be taken at a meeting of the Members may be taken without</w:t>
      </w:r>
      <w:r>
        <w:rPr>
          <w:rFonts w:ascii="Arial" w:cs="Arial" w:eastAsia="Arial" w:hAnsi="Arial"/>
          <w:sz w:val="21"/>
          <w:szCs w:val="21"/>
          <w:b w:val="1"/>
          <w:bCs w:val="1"/>
          <w:color w:val="auto"/>
        </w:rPr>
        <w:t xml:space="preserve"> </w:t>
      </w:r>
      <w:r>
        <w:rPr>
          <w:rFonts w:ascii="Arial" w:cs="Arial" w:eastAsia="Arial" w:hAnsi="Arial"/>
          <w:sz w:val="21"/>
          <w:szCs w:val="21"/>
          <w:color w:val="auto"/>
        </w:rPr>
        <w:t>a meeting if the action is evidenced by a written consent describing the action taken signed by a Majority of the Members. Action taken under this Section 5.03 is effective when a Majority of the Members have signed the consent, unless the consent specifies a different effective date. Promptly following the effectiveness of any action taken by written consent by a Majority of the Members, the Company shall provide written notice of such action to any Member who was otherwise entitled to vote on such matter or action and whose consent was not solicited in connection therewith.</w:t>
      </w:r>
    </w:p>
    <w:p>
      <w:pPr>
        <w:spacing w:after="0" w:line="17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5.04</w:t>
      </w:r>
      <w:r>
        <w:rPr>
          <w:sz w:val="20"/>
          <w:szCs w:val="20"/>
          <w:color w:val="auto"/>
        </w:rPr>
        <w:tab/>
      </w:r>
      <w:r>
        <w:rPr>
          <w:rFonts w:ascii="Arial" w:cs="Arial" w:eastAsia="Arial" w:hAnsi="Arial"/>
          <w:sz w:val="19"/>
          <w:szCs w:val="19"/>
          <w:b w:val="1"/>
          <w:bCs w:val="1"/>
          <w:u w:val="single" w:color="auto"/>
          <w:color w:val="auto"/>
        </w:rPr>
        <w:t>Meetings</w:t>
      </w:r>
      <w:r>
        <w:rPr>
          <w:rFonts w:ascii="Arial" w:cs="Arial" w:eastAsia="Arial" w:hAnsi="Arial"/>
          <w:sz w:val="19"/>
          <w:szCs w:val="19"/>
          <w:color w:val="auto"/>
        </w:rPr>
        <w:t>. Meetings of the Members may be called by (a) the Board of Directors or (b) a Majority of the Members.</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5.05 </w:t>
      </w:r>
      <w:r>
        <w:rPr>
          <w:rFonts w:ascii="Arial" w:cs="Arial" w:eastAsia="Arial" w:hAnsi="Arial"/>
          <w:sz w:val="22"/>
          <w:szCs w:val="22"/>
          <w:b w:val="1"/>
          <w:bCs w:val="1"/>
          <w:u w:val="single" w:color="auto"/>
          <w:color w:val="auto"/>
        </w:rPr>
        <w:t>Place of Meeting</w:t>
      </w:r>
      <w:r>
        <w:rPr>
          <w:rFonts w:ascii="Arial" w:cs="Arial" w:eastAsia="Arial" w:hAnsi="Arial"/>
          <w:sz w:val="22"/>
          <w:szCs w:val="22"/>
          <w:color w:val="auto"/>
        </w:rPr>
        <w:t>. The Board of Directors may designate the place of meeting for any annual meeting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Person(s) calling a special meeting pursuant to Section 5.04 may designate the place for such special meeting. If no designation is made, the place of meeting shall be the principal office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9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5.06 </w:t>
      </w:r>
      <w:r>
        <w:rPr>
          <w:rFonts w:ascii="Arial" w:cs="Arial" w:eastAsia="Arial" w:hAnsi="Arial"/>
          <w:sz w:val="21"/>
          <w:szCs w:val="21"/>
          <w:b w:val="1"/>
          <w:bCs w:val="1"/>
          <w:u w:val="single" w:color="auto"/>
          <w:color w:val="auto"/>
        </w:rPr>
        <w:t>Notice of Meeting</w:t>
      </w:r>
      <w:r>
        <w:rPr>
          <w:rFonts w:ascii="Arial" w:cs="Arial" w:eastAsia="Arial" w:hAnsi="Arial"/>
          <w:sz w:val="21"/>
          <w:szCs w:val="21"/>
          <w:color w:val="auto"/>
        </w:rPr>
        <w:t>. Written notice stating the place, day and hour of the meeting and, in case of a special meeting,</w:t>
      </w:r>
      <w:r>
        <w:rPr>
          <w:rFonts w:ascii="Arial" w:cs="Arial" w:eastAsia="Arial" w:hAnsi="Arial"/>
          <w:sz w:val="21"/>
          <w:szCs w:val="21"/>
          <w:b w:val="1"/>
          <w:bCs w:val="1"/>
          <w:color w:val="auto"/>
        </w:rPr>
        <w:t xml:space="preserve"> </w:t>
      </w:r>
      <w:r>
        <w:rPr>
          <w:rFonts w:ascii="Arial" w:cs="Arial" w:eastAsia="Arial" w:hAnsi="Arial"/>
          <w:sz w:val="21"/>
          <w:szCs w:val="21"/>
          <w:color w:val="auto"/>
        </w:rPr>
        <w:t>the purpose or purposes for which the meeting is called, shall be provided to each Member not less than three (3) Business Days prior to the date of the applicable meeting and otherwise in accordance with Section 12.06. Any Member may waive notice of any meeting. The attendance of a Member at a meeting shall constitute a waiver of notice of such meeting except where a Member attends a meeting for the express purpose of objecting to the transaction of any business because the meeting is not lawfully called or convened. Neither the business to be transacted at nor the purpose of any regular meeting of Members need be specified in the notice or waiver of notice of such meeting.</w:t>
      </w:r>
    </w:p>
    <w:p>
      <w:pPr>
        <w:spacing w:after="0" w:line="17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5.07 </w:t>
      </w:r>
      <w:r>
        <w:rPr>
          <w:rFonts w:ascii="Arial" w:cs="Arial" w:eastAsia="Arial" w:hAnsi="Arial"/>
          <w:sz w:val="19"/>
          <w:szCs w:val="19"/>
          <w:b w:val="1"/>
          <w:bCs w:val="1"/>
          <w:u w:val="single" w:color="auto"/>
          <w:color w:val="auto"/>
        </w:rPr>
        <w:t>Withdrawal; Partition</w:t>
      </w:r>
      <w:r>
        <w:rPr>
          <w:rFonts w:ascii="Arial" w:cs="Arial" w:eastAsia="Arial" w:hAnsi="Arial"/>
          <w:sz w:val="19"/>
          <w:szCs w:val="19"/>
          <w:color w:val="auto"/>
        </w:rPr>
        <w:t>. No Member shall have the right to resign or withdraw as a member of the Company. No</w:t>
      </w:r>
      <w:r>
        <w:rPr>
          <w:rFonts w:ascii="Arial" w:cs="Arial" w:eastAsia="Arial" w:hAnsi="Arial"/>
          <w:sz w:val="19"/>
          <w:szCs w:val="19"/>
          <w:b w:val="1"/>
          <w:bCs w:val="1"/>
          <w:color w:val="auto"/>
        </w:rPr>
        <w:t xml:space="preserve"> </w:t>
      </w:r>
      <w:r>
        <w:rPr>
          <w:rFonts w:ascii="Arial" w:cs="Arial" w:eastAsia="Arial" w:hAnsi="Arial"/>
          <w:sz w:val="19"/>
          <w:szCs w:val="19"/>
          <w:color w:val="auto"/>
        </w:rPr>
        <w:t>Member shall have the right to seek or obtain partition by court decree or operation of law of any Company property, or the right to own or use particular or individual assets of the Company, except as may be expressly set forth in the Commercial Agreements, the Honda Commercial Agreements or any other written agreement between such Member and the Company.</w:t>
      </w:r>
    </w:p>
    <w:p>
      <w:pPr>
        <w:spacing w:after="0" w:line="13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5.08</w:t>
      </w:r>
      <w:r>
        <w:rPr>
          <w:sz w:val="20"/>
          <w:szCs w:val="20"/>
          <w:color w:val="auto"/>
        </w:rPr>
        <w:tab/>
      </w:r>
      <w:r>
        <w:rPr>
          <w:rFonts w:ascii="Arial" w:cs="Arial" w:eastAsia="Arial" w:hAnsi="Arial"/>
          <w:sz w:val="19"/>
          <w:szCs w:val="19"/>
          <w:b w:val="1"/>
          <w:bCs w:val="1"/>
          <w:u w:val="single" w:color="auto"/>
          <w:color w:val="auto"/>
        </w:rPr>
        <w:t>Business Opportunities; Performance of Duties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86" w:lineRule="auto"/>
        <w:tabs>
          <w:tab w:leader="none" w:pos="1833" w:val="left"/>
        </w:tabs>
        <w:numPr>
          <w:ilvl w:val="0"/>
          <w:numId w:val="76"/>
        </w:numPr>
        <w:rPr>
          <w:rFonts w:ascii="Arial" w:cs="Arial" w:eastAsia="Arial" w:hAnsi="Arial"/>
          <w:sz w:val="19"/>
          <w:szCs w:val="19"/>
          <w:color w:val="010000"/>
        </w:rPr>
      </w:pPr>
      <w:r>
        <w:rPr>
          <w:rFonts w:ascii="Arial" w:cs="Arial" w:eastAsia="Arial" w:hAnsi="Arial"/>
          <w:sz w:val="19"/>
          <w:szCs w:val="19"/>
          <w:color w:val="auto"/>
        </w:rPr>
        <w:t>Subject to Article XI, any agreement entered into with any Employee Member and any restriction on any Class E Member in any written agreement entered into by the Company with a Class E Member, each Member and its Affiliates and its and their respective officers, directors, equityholders, partners, members, managers, agents, employees and investment advisers (and other funds and accounts advised or sub-advised by such investment advisers) (the “</w:t>
      </w:r>
      <w:r>
        <w:rPr>
          <w:rFonts w:ascii="Arial" w:cs="Arial" w:eastAsia="Arial" w:hAnsi="Arial"/>
          <w:sz w:val="19"/>
          <w:szCs w:val="19"/>
          <w:b w:val="1"/>
          <w:bCs w:val="1"/>
          <w:color w:val="auto"/>
        </w:rPr>
        <w:t>Member Group Persons</w:t>
      </w:r>
      <w:r>
        <w:rPr>
          <w:rFonts w:ascii="Arial" w:cs="Arial" w:eastAsia="Arial" w:hAnsi="Arial"/>
          <w:sz w:val="19"/>
          <w:szCs w:val="19"/>
          <w:color w:val="auto"/>
        </w:rPr>
        <w:t>”) (i) is permitted to have, and may presently or in the future have, investments or other business relationships with entities engaged in other, complementary or competing lines of business other than through the Company and its Subsidiaries (an “</w:t>
      </w:r>
      <w:r>
        <w:rPr>
          <w:rFonts w:ascii="Arial" w:cs="Arial" w:eastAsia="Arial" w:hAnsi="Arial"/>
          <w:sz w:val="19"/>
          <w:szCs w:val="19"/>
          <w:b w:val="1"/>
          <w:bCs w:val="1"/>
          <w:color w:val="auto"/>
        </w:rPr>
        <w:t>Other</w:t>
      </w:r>
      <w:r>
        <w:rPr>
          <w:rFonts w:ascii="Arial" w:cs="Arial" w:eastAsia="Arial" w:hAnsi="Arial"/>
          <w:sz w:val="19"/>
          <w:szCs w:val="19"/>
          <w:color w:val="auto"/>
        </w:rPr>
        <w:t xml:space="preserve"> </w:t>
      </w:r>
      <w:r>
        <w:rPr>
          <w:rFonts w:ascii="Arial" w:cs="Arial" w:eastAsia="Arial" w:hAnsi="Arial"/>
          <w:sz w:val="19"/>
          <w:szCs w:val="19"/>
          <w:b w:val="1"/>
          <w:bCs w:val="1"/>
          <w:color w:val="auto"/>
        </w:rPr>
        <w:t>Business</w:t>
      </w:r>
      <w:r>
        <w:rPr>
          <w:rFonts w:ascii="Arial" w:cs="Arial" w:eastAsia="Arial" w:hAnsi="Arial"/>
          <w:sz w:val="19"/>
          <w:szCs w:val="19"/>
          <w:color w:val="auto"/>
        </w:rPr>
        <w:t>”), (ii) may have or may develop a strategic relationship with businesses that are and may be competitive or</w:t>
      </w:r>
      <w:r>
        <w:rPr>
          <w:rFonts w:ascii="Arial" w:cs="Arial" w:eastAsia="Arial" w:hAnsi="Arial"/>
          <w:sz w:val="19"/>
          <w:szCs w:val="19"/>
          <w:b w:val="1"/>
          <w:bCs w:val="1"/>
          <w:color w:val="auto"/>
        </w:rPr>
        <w:t xml:space="preserve"> </w:t>
      </w:r>
      <w:r>
        <w:rPr>
          <w:rFonts w:ascii="Arial" w:cs="Arial" w:eastAsia="Arial" w:hAnsi="Arial"/>
          <w:sz w:val="19"/>
          <w:szCs w:val="19"/>
          <w:color w:val="auto"/>
        </w:rPr>
        <w:t>complementary with the Company and its Subsidiaries, (iii) is not prohibited by virtue of their investment in the Company or any of its Subsidiaries or, if applicable, their service on the Board of Directors or the board of directors (or similar governing body) of any of the Company’s Subsidiaries from pursuing and engaging in any such activities and (iv) is not obligated to inform the Company or any of its Subsidiaries of any such opportunity, relationship or investment. Subject to Article XI and any agreement entered into with any Employee Member, the involvement of any Member Group Person in any Other Business will not constitute a conflict of interest by such Persons with respect to the Company or its Members or any of its Subsidiaries.</w:t>
      </w:r>
    </w:p>
    <w:p>
      <w:pPr>
        <w:spacing w:after="0" w:line="165" w:lineRule="exact"/>
        <w:rPr>
          <w:rFonts w:ascii="Arial" w:cs="Arial" w:eastAsia="Arial" w:hAnsi="Arial"/>
          <w:sz w:val="19"/>
          <w:szCs w:val="19"/>
          <w:color w:val="010000"/>
        </w:rPr>
      </w:pPr>
    </w:p>
    <w:p>
      <w:pPr>
        <w:jc w:val="both"/>
        <w:ind w:firstLine="1304"/>
        <w:spacing w:after="0" w:line="253" w:lineRule="auto"/>
        <w:tabs>
          <w:tab w:leader="none" w:pos="1791" w:val="left"/>
        </w:tabs>
        <w:numPr>
          <w:ilvl w:val="0"/>
          <w:numId w:val="76"/>
        </w:numPr>
        <w:rPr>
          <w:rFonts w:ascii="Arial" w:cs="Arial" w:eastAsia="Arial" w:hAnsi="Arial"/>
          <w:sz w:val="22"/>
          <w:szCs w:val="22"/>
          <w:color w:val="010000"/>
        </w:rPr>
      </w:pPr>
      <w:r>
        <w:rPr>
          <w:rFonts w:ascii="Arial" w:cs="Arial" w:eastAsia="Arial" w:hAnsi="Arial"/>
          <w:sz w:val="22"/>
          <w:szCs w:val="22"/>
          <w:color w:val="auto"/>
        </w:rPr>
        <w:t xml:space="preserve">Without prejudice to Section 5.08(a), each Director shall, in his or her capacity as a Director, and not in any other capacity, have the same fiduciary duties to the Company and the Members as a director of a Delaware corporation; </w:t>
      </w:r>
      <w:r>
        <w:rPr>
          <w:rFonts w:ascii="Arial" w:cs="Arial" w:eastAsia="Arial" w:hAnsi="Arial"/>
          <w:sz w:val="22"/>
          <w:szCs w:val="22"/>
          <w:u w:val="single" w:color="auto"/>
          <w:color w:val="auto"/>
        </w:rPr>
        <w:t>provided</w:t>
      </w:r>
      <w:r>
        <w:rPr>
          <w:rFonts w:ascii="Arial" w:cs="Arial" w:eastAsia="Arial" w:hAnsi="Arial"/>
          <w:sz w:val="22"/>
          <w:szCs w:val="22"/>
          <w:color w:val="auto"/>
        </w:rPr>
        <w:t>, that, notwithstanding the foregoing:</w:t>
      </w:r>
    </w:p>
    <w:p>
      <w:pPr>
        <w:spacing w:after="0" w:line="185" w:lineRule="exact"/>
        <w:rPr>
          <w:rFonts w:ascii="Arial" w:cs="Arial" w:eastAsia="Arial" w:hAnsi="Arial"/>
          <w:sz w:val="22"/>
          <w:szCs w:val="22"/>
          <w:color w:val="010000"/>
        </w:rPr>
      </w:pPr>
    </w:p>
    <w:p>
      <w:pPr>
        <w:jc w:val="both"/>
        <w:ind w:firstLine="1952"/>
        <w:spacing w:after="0" w:line="253" w:lineRule="auto"/>
        <w:tabs>
          <w:tab w:leader="none" w:pos="2404" w:val="left"/>
        </w:tabs>
        <w:numPr>
          <w:ilvl w:val="1"/>
          <w:numId w:val="76"/>
        </w:numPr>
        <w:rPr>
          <w:rFonts w:ascii="Arial" w:cs="Arial" w:eastAsia="Arial" w:hAnsi="Arial"/>
          <w:sz w:val="22"/>
          <w:szCs w:val="22"/>
          <w:color w:val="010000"/>
        </w:rPr>
      </w:pPr>
      <w:r>
        <w:rPr>
          <w:rFonts w:ascii="Arial" w:cs="Arial" w:eastAsia="Arial" w:hAnsi="Arial"/>
          <w:sz w:val="22"/>
          <w:szCs w:val="22"/>
          <w:color w:val="auto"/>
        </w:rPr>
        <w:t>the Directors shall not have, or be deemed to have, any duties or implied duties (including fiduciary duties) to the Company or its Subsidiaries, any Member or any other Person (and each Director may act in and consider the best interests of the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40" w:right="339" w:bottom="1440" w:gutter="0" w:footer="0" w:header="0"/>
        </w:sectPr>
      </w:pPr>
    </w:p>
    <w:bookmarkStart w:id="93" w:name="page94"/>
    <w:bookmarkEnd w:id="93"/>
    <w:p>
      <w:pPr>
        <w:spacing w:after="0" w:line="20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who designated such Director and shall not be required to act in or consider the best interests of the Company and its Subsidiaries or the other Members) and any duties or implied duties (including fiduciary duties) of a Director to any other Member or the Company or its Subsidiaries that would otherwise apply at law or in equity are hereby disclaimed and eliminated to the fullest extent permitted under the Act and any other applicable law, and each Member hereby disclaims and waives all rights to, and releases each other Member and each Director from, any such duties, in each case with respect to or in connection with any of the following circumstances:</w:t>
      </w:r>
    </w:p>
    <w:p>
      <w:pPr>
        <w:spacing w:after="0" w:line="193" w:lineRule="exact"/>
        <w:rPr>
          <w:sz w:val="20"/>
          <w:szCs w:val="20"/>
          <w:color w:val="auto"/>
        </w:rPr>
      </w:pPr>
    </w:p>
    <w:p>
      <w:pPr>
        <w:jc w:val="both"/>
        <w:ind w:right="20" w:firstLine="2600"/>
        <w:spacing w:after="0" w:line="253" w:lineRule="auto"/>
        <w:tabs>
          <w:tab w:leader="none" w:pos="3216" w:val="left"/>
        </w:tabs>
        <w:numPr>
          <w:ilvl w:val="1"/>
          <w:numId w:val="77"/>
        </w:numPr>
        <w:rPr>
          <w:rFonts w:ascii="Arial" w:cs="Arial" w:eastAsia="Arial" w:hAnsi="Arial"/>
          <w:sz w:val="22"/>
          <w:szCs w:val="22"/>
          <w:color w:val="010000"/>
        </w:rPr>
      </w:pPr>
      <w:r>
        <w:rPr>
          <w:rFonts w:ascii="Arial" w:cs="Arial" w:eastAsia="Arial" w:hAnsi="Arial"/>
          <w:sz w:val="22"/>
          <w:szCs w:val="22"/>
          <w:color w:val="auto"/>
        </w:rPr>
        <w:t>any transaction or arrangement, or any proposed transaction or arrangement, between the Company or its Subsidiaries, on the one hand, and SoftBank or any SoftBank Party, on the other hand, including the decision to engage, or not to engage in, such transaction or arrangement; and</w:t>
      </w:r>
    </w:p>
    <w:p>
      <w:pPr>
        <w:spacing w:after="0" w:line="185" w:lineRule="exact"/>
        <w:rPr>
          <w:rFonts w:ascii="Arial" w:cs="Arial" w:eastAsia="Arial" w:hAnsi="Arial"/>
          <w:sz w:val="22"/>
          <w:szCs w:val="22"/>
          <w:color w:val="010000"/>
        </w:rPr>
      </w:pPr>
    </w:p>
    <w:p>
      <w:pPr>
        <w:jc w:val="both"/>
        <w:ind w:firstLine="2600"/>
        <w:spacing w:after="0" w:line="250" w:lineRule="auto"/>
        <w:tabs>
          <w:tab w:leader="none" w:pos="3136" w:val="left"/>
        </w:tabs>
        <w:numPr>
          <w:ilvl w:val="1"/>
          <w:numId w:val="77"/>
        </w:numPr>
        <w:rPr>
          <w:rFonts w:ascii="Arial" w:cs="Arial" w:eastAsia="Arial" w:hAnsi="Arial"/>
          <w:sz w:val="22"/>
          <w:szCs w:val="22"/>
          <w:color w:val="010000"/>
        </w:rPr>
      </w:pPr>
      <w:r>
        <w:rPr>
          <w:rFonts w:ascii="Arial" w:cs="Arial" w:eastAsia="Arial" w:hAnsi="Arial"/>
          <w:sz w:val="22"/>
          <w:szCs w:val="22"/>
          <w:color w:val="auto"/>
        </w:rPr>
        <w:t>any decision to engage or not to engage in any transaction or arrangement, or any proposed transaction or arrangement contemplated by the Transaction Documents or the Commercial Agreements (as may be amended from time to time in accordance with the provisions thereof), or which is otherwise on terms consistent with the Commercial Agreements; and</w:t>
      </w:r>
    </w:p>
    <w:p>
      <w:pPr>
        <w:spacing w:after="0" w:line="187" w:lineRule="exact"/>
        <w:rPr>
          <w:rFonts w:ascii="Arial" w:cs="Arial" w:eastAsia="Arial" w:hAnsi="Arial"/>
          <w:sz w:val="22"/>
          <w:szCs w:val="22"/>
          <w:color w:val="010000"/>
        </w:rPr>
      </w:pPr>
    </w:p>
    <w:p>
      <w:pPr>
        <w:ind w:left="3220" w:hanging="620"/>
        <w:spacing w:after="0"/>
        <w:tabs>
          <w:tab w:leader="none" w:pos="3220" w:val="left"/>
        </w:tabs>
        <w:numPr>
          <w:ilvl w:val="1"/>
          <w:numId w:val="77"/>
        </w:numPr>
        <w:rPr>
          <w:rFonts w:ascii="Arial" w:cs="Arial" w:eastAsia="Arial" w:hAnsi="Arial"/>
          <w:sz w:val="21"/>
          <w:szCs w:val="21"/>
          <w:color w:val="010000"/>
        </w:rPr>
      </w:pPr>
      <w:r>
        <w:rPr>
          <w:rFonts w:ascii="Arial" w:cs="Arial" w:eastAsia="Arial" w:hAnsi="Arial"/>
          <w:sz w:val="21"/>
          <w:szCs w:val="21"/>
          <w:color w:val="auto"/>
        </w:rPr>
        <w:t>the issuance of Equity Securities to the GM Investor or any of its Affiliates pursuant to</w:t>
      </w:r>
    </w:p>
    <w:p>
      <w:pPr>
        <w:spacing w:after="0" w:line="32"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color w:val="auto"/>
        </w:rPr>
        <w:t>Section 2.06;</w:t>
      </w:r>
    </w:p>
    <w:p>
      <w:pPr>
        <w:spacing w:after="0" w:line="201" w:lineRule="exact"/>
        <w:rPr>
          <w:rFonts w:ascii="Arial" w:cs="Arial" w:eastAsia="Arial" w:hAnsi="Arial"/>
          <w:sz w:val="21"/>
          <w:szCs w:val="21"/>
          <w:color w:val="010000"/>
        </w:rPr>
      </w:pPr>
    </w:p>
    <w:p>
      <w:pPr>
        <w:jc w:val="both"/>
        <w:ind w:firstLine="1952"/>
        <w:spacing w:after="0" w:line="261" w:lineRule="auto"/>
        <w:tabs>
          <w:tab w:leader="none" w:pos="2667" w:val="left"/>
        </w:tabs>
        <w:numPr>
          <w:ilvl w:val="0"/>
          <w:numId w:val="78"/>
        </w:numPr>
        <w:rPr>
          <w:rFonts w:ascii="Arial" w:cs="Arial" w:eastAsia="Arial" w:hAnsi="Arial"/>
          <w:sz w:val="21"/>
          <w:szCs w:val="21"/>
          <w:color w:val="010000"/>
        </w:rPr>
      </w:pPr>
      <w:r>
        <w:rPr>
          <w:rFonts w:ascii="Arial" w:cs="Arial" w:eastAsia="Arial" w:hAnsi="Arial"/>
          <w:sz w:val="21"/>
          <w:szCs w:val="21"/>
          <w:color w:val="auto"/>
        </w:rPr>
        <w:t>without limiting the requirements of Section 6.13(b), in connection with any transaction or arrangement, or any proposed transaction or arrangement, between the Company or any of its Subsidiaries, on the one hand, and GM or any of its Affiliates, on the other hand, (A) there will be no requirement for any non-Independent Director to approve such a transaction or for any independent or non-Board of Director review process, and (B) such transaction or arrangement and decision of the Board of Directors in connection therewith shall not be subject to any heightened standard of review or approval (including any review under an “entire fairness” standard); and</w:t>
      </w:r>
    </w:p>
    <w:p>
      <w:pPr>
        <w:spacing w:after="0" w:line="179" w:lineRule="exact"/>
        <w:rPr>
          <w:rFonts w:ascii="Arial" w:cs="Arial" w:eastAsia="Arial" w:hAnsi="Arial"/>
          <w:sz w:val="21"/>
          <w:szCs w:val="21"/>
          <w:color w:val="010000"/>
        </w:rPr>
      </w:pPr>
    </w:p>
    <w:p>
      <w:pPr>
        <w:jc w:val="both"/>
        <w:ind w:firstLine="1952"/>
        <w:spacing w:after="0" w:line="288" w:lineRule="auto"/>
        <w:tabs>
          <w:tab w:leader="none" w:pos="2497" w:val="left"/>
        </w:tabs>
        <w:numPr>
          <w:ilvl w:val="0"/>
          <w:numId w:val="78"/>
        </w:numPr>
        <w:rPr>
          <w:rFonts w:ascii="Arial" w:cs="Arial" w:eastAsia="Arial" w:hAnsi="Arial"/>
          <w:sz w:val="19"/>
          <w:szCs w:val="19"/>
          <w:color w:val="010000"/>
        </w:rPr>
      </w:pPr>
      <w:r>
        <w:rPr>
          <w:rFonts w:ascii="Arial" w:cs="Arial" w:eastAsia="Arial" w:hAnsi="Arial"/>
          <w:sz w:val="19"/>
          <w:szCs w:val="19"/>
          <w:color w:val="auto"/>
        </w:rPr>
        <w:t>the Security Director shall discharge his or her duties in a manner that he or she reasonably believes in good faith to be, in descending order: first, in the national security interest of the United States of America; and second, where not inconsistent with the national security interest of the United States of America, in the best interests of the Company. The Security Director shall not have, or be deemed to have, any duties or implied duties (other than as set forth in the preceding sentence and the NSA) to the Company or its Subsidiaries. Subject to the foregoing, in no event shall the Security Director have, or be deemed to have, any duties or implied duties (including fiduciary duties) to any Member or Person and the Security Director shall not be required to act in or consider the best interests of any Member or Person and any duties or implied duties (including fiduciary duties) of the Security Director to any Member or Person that would otherwise apply at law or in equity are hereby disclaimed and eliminated to the fullest extent permitted under the Act and any other applicable law, and each Member hereby disclaims and waives all rights to, and releases the Security Director from, any such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40" w:right="339" w:bottom="1440" w:gutter="0" w:footer="0" w:header="0"/>
        </w:sectPr>
      </w:pPr>
    </w:p>
    <w:bookmarkStart w:id="94" w:name="page95"/>
    <w:bookmarkEnd w:id="94"/>
    <w:p>
      <w:pPr>
        <w:spacing w:after="0" w:line="204" w:lineRule="exact"/>
        <w:rPr>
          <w:sz w:val="20"/>
          <w:szCs w:val="20"/>
          <w:color w:val="auto"/>
        </w:rPr>
      </w:pPr>
    </w:p>
    <w:p>
      <w:pPr>
        <w:jc w:val="both"/>
        <w:ind w:firstLine="1304"/>
        <w:spacing w:after="0" w:line="288" w:lineRule="auto"/>
        <w:tabs>
          <w:tab w:leader="none" w:pos="1900" w:val="left"/>
        </w:tabs>
        <w:numPr>
          <w:ilvl w:val="0"/>
          <w:numId w:val="79"/>
        </w:numPr>
        <w:rPr>
          <w:rFonts w:ascii="Arial" w:cs="Arial" w:eastAsia="Arial" w:hAnsi="Arial"/>
          <w:sz w:val="19"/>
          <w:szCs w:val="19"/>
          <w:color w:val="010000"/>
        </w:rPr>
      </w:pPr>
      <w:r>
        <w:rPr>
          <w:rFonts w:ascii="Arial" w:cs="Arial" w:eastAsia="Arial" w:hAnsi="Arial"/>
          <w:sz w:val="19"/>
          <w:szCs w:val="19"/>
          <w:color w:val="auto"/>
        </w:rPr>
        <w:t>To the maximum extent permitted by law, no Member Group Person (other than any Director in their capacity as the same to the extent expressly provided in this Agreement) shall owe any fiduciary or similar duties or obligations to the Company or its Subsidiaries, the Members or any Person, and any such duties (fiduciary or otherwise) of such Member Group Person are intended to be modified and limited to those expressly set forth in this Agreement, and no implied covenants, functions, responsibilities, duties, obligations or liabilities shall be read into this Agreement or exist against any such Member Group Person. For purposes of clarification and the avoidance of doubt and notwithstanding the foregoing, nothing contained in this Section 5.08 or elsewhere in this Agreement shall, nor shall it be deemed to, eliminate (i) the obligation of the Members to act in compliance with the express terms of any written agreement between such Member, on the one hand, and the Company and/or any other Member, on the other hand, including this Agreement, any Transaction Document, any Commercial Agreement or any Honda Commercial Agreement, or (ii) the implied contractual covenant of good faith and fair dealing of the Members.</w:t>
      </w:r>
    </w:p>
    <w:p>
      <w:pPr>
        <w:spacing w:after="0" w:line="159" w:lineRule="exact"/>
        <w:rPr>
          <w:rFonts w:ascii="Arial" w:cs="Arial" w:eastAsia="Arial" w:hAnsi="Arial"/>
          <w:sz w:val="19"/>
          <w:szCs w:val="19"/>
          <w:color w:val="010000"/>
        </w:rPr>
      </w:pPr>
    </w:p>
    <w:p>
      <w:pPr>
        <w:jc w:val="both"/>
        <w:ind w:firstLine="1304"/>
        <w:spacing w:after="0" w:line="257" w:lineRule="auto"/>
        <w:tabs>
          <w:tab w:leader="none" w:pos="1804" w:val="left"/>
        </w:tabs>
        <w:numPr>
          <w:ilvl w:val="0"/>
          <w:numId w:val="79"/>
        </w:numPr>
        <w:rPr>
          <w:rFonts w:ascii="Arial" w:cs="Arial" w:eastAsia="Arial" w:hAnsi="Arial"/>
          <w:sz w:val="21"/>
          <w:szCs w:val="21"/>
          <w:color w:val="010000"/>
        </w:rPr>
      </w:pPr>
      <w:r>
        <w:rPr>
          <w:rFonts w:ascii="Arial" w:cs="Arial" w:eastAsia="Arial" w:hAnsi="Arial"/>
          <w:sz w:val="21"/>
          <w:szCs w:val="21"/>
          <w:color w:val="auto"/>
        </w:rPr>
        <w:t>In performing its, his or her duties, each of the Members, Directors and Officers shall be entitled to rely in good faith on the provisions of this Agreement and on information, opinions, reports or statements (including financial statements and information, opinions, reports or statements as to the value or amount of the assets, liabilities, profits or losses of the Company and its Subsidiaries), of the following other Persons or groups: (i) (A) in relation to such Member, one or more officers or employees of such Member or by the Company or any of its Subsidiaries, or (B) in relation to an Officer or Director, one or more Officers or employees of the Company or its Subsidiaries, (ii) (A) in relation to such Member, any attorney, independent accountant, investment adviser or other Person employed or engaged by such Member or by the Company or any of its Subsidiaries, or (B) in relation to an Officer or Director, any attorney, independent accountant or other Person employed or engaged by the Company or any of its Subsidiaries, or (iii) any other Person who has been selected with reasonable care by or on behalf of such Member (in relation to a Member only) or by or on behalf of the Company or any of its Subsidiaries, in each case, as to matters which such relying Person reasonably believes to be within such other Person’s professional or expert competence. The preceding sentence shall in no way limit any Person’s right to rely on information to the extent provided in Section 18-406 of the Act.</w:t>
      </w:r>
    </w:p>
    <w:p>
      <w:pPr>
        <w:spacing w:after="0" w:line="18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5.09 </w:t>
      </w:r>
      <w:r>
        <w:rPr>
          <w:rFonts w:ascii="Arial" w:cs="Arial" w:eastAsia="Arial" w:hAnsi="Arial"/>
          <w:sz w:val="22"/>
          <w:szCs w:val="22"/>
          <w:b w:val="1"/>
          <w:bCs w:val="1"/>
          <w:u w:val="single" w:color="auto"/>
          <w:color w:val="auto"/>
        </w:rPr>
        <w:t>Limitation of Liability</w:t>
      </w:r>
      <w:r>
        <w:rPr>
          <w:rFonts w:ascii="Arial" w:cs="Arial" w:eastAsia="Arial" w:hAnsi="Arial"/>
          <w:sz w:val="22"/>
          <w:szCs w:val="22"/>
          <w:color w:val="auto"/>
        </w:rPr>
        <w:t>. Except as otherwise required by applicable law or as expressly set forth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no Member shall have any personal liability whatsoever in such Member’s capacity as a Member, whether to the Company, to any of the other Members, to the creditors of the Company or to any other Person for the debts, obligations and liabilities of the Company, whether arising in contract, tort or otherwise (including those arising as a Member or an equityholder, an owner or a shareholder of another Person). Each Member shall be liable only to make such Member’s Capital Contribution to the Company, if applicable, and the other payments provided for expressly herein, in each case, in accordance with the applicable terms of this Agreement and any Transaction Document (and, in the case of Honda, the Honda Purchase Agreement) to which it is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9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5.10 </w:t>
      </w:r>
      <w:r>
        <w:rPr>
          <w:rFonts w:ascii="Arial" w:cs="Arial" w:eastAsia="Arial" w:hAnsi="Arial"/>
          <w:sz w:val="22"/>
          <w:szCs w:val="22"/>
          <w:b w:val="1"/>
          <w:bCs w:val="1"/>
          <w:u w:val="single" w:color="auto"/>
          <w:color w:val="auto"/>
        </w:rPr>
        <w:t>Authority</w:t>
      </w:r>
      <w:r>
        <w:rPr>
          <w:rFonts w:ascii="Arial" w:cs="Arial" w:eastAsia="Arial" w:hAnsi="Arial"/>
          <w:sz w:val="22"/>
          <w:szCs w:val="22"/>
          <w:color w:val="auto"/>
        </w:rPr>
        <w:t>. Except as otherwise expressly set forth in this Agreement, no Member, in its capacity as a Member,</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power to act for or on behalf of, or to bind the Company.</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5.11 </w:t>
      </w:r>
      <w:r>
        <w:rPr>
          <w:rFonts w:ascii="Arial" w:cs="Arial" w:eastAsia="Arial" w:hAnsi="Arial"/>
          <w:sz w:val="22"/>
          <w:szCs w:val="22"/>
          <w:b w:val="1"/>
          <w:bCs w:val="1"/>
          <w:u w:val="single" w:color="auto"/>
          <w:color w:val="auto"/>
        </w:rPr>
        <w:t>Sale of the Company; IPO</w:t>
      </w:r>
      <w:r>
        <w:rPr>
          <w:rFonts w:ascii="Arial" w:cs="Arial" w:eastAsia="Arial" w:hAnsi="Arial"/>
          <w:sz w:val="22"/>
          <w:szCs w:val="22"/>
          <w:color w:val="auto"/>
        </w:rPr>
        <w:t>. Notwithstanding anything to the contrary in this Agreement, the prior written consent</w:t>
      </w:r>
      <w:r>
        <w:rPr>
          <w:rFonts w:ascii="Arial" w:cs="Arial" w:eastAsia="Arial" w:hAnsi="Arial"/>
          <w:sz w:val="22"/>
          <w:szCs w:val="22"/>
          <w:b w:val="1"/>
          <w:bCs w:val="1"/>
          <w:color w:val="auto"/>
        </w:rPr>
        <w:t xml:space="preserve"> </w:t>
      </w:r>
      <w:r>
        <w:rPr>
          <w:rFonts w:ascii="Arial" w:cs="Arial" w:eastAsia="Arial" w:hAnsi="Arial"/>
          <w:sz w:val="22"/>
          <w:szCs w:val="22"/>
          <w:color w:val="auto"/>
        </w:rPr>
        <w:t>of the GM Investor (acting in its sole discretion and in its capacity as a Member) will be required prior to entering into or consummating any Sale of the Company or any IPO.</w:t>
      </w:r>
    </w:p>
    <w:p>
      <w:pPr>
        <w:spacing w:after="0" w:line="17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5.12</w:t>
      </w:r>
      <w:r>
        <w:rPr>
          <w:sz w:val="20"/>
          <w:szCs w:val="20"/>
          <w:color w:val="auto"/>
        </w:rPr>
        <w:tab/>
      </w:r>
      <w:r>
        <w:rPr>
          <w:rFonts w:ascii="Arial" w:cs="Arial" w:eastAsia="Arial" w:hAnsi="Arial"/>
          <w:sz w:val="19"/>
          <w:szCs w:val="19"/>
          <w:b w:val="1"/>
          <w:bCs w:val="1"/>
          <w:u w:val="single" w:color="auto"/>
          <w:color w:val="auto"/>
        </w:rPr>
        <w:t>Honda Minority Consent Right</w:t>
      </w:r>
      <w:r>
        <w:rPr>
          <w:rFonts w:ascii="Arial" w:cs="Arial" w:eastAsia="Arial" w:hAnsi="Arial"/>
          <w:sz w:val="19"/>
          <w:szCs w:val="19"/>
          <w:color w:val="auto"/>
        </w:rPr>
        <w:t>.</w:t>
      </w:r>
    </w:p>
    <w:p>
      <w:pPr>
        <w:spacing w:after="0" w:line="22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Without Honda’s prior written consent, for so long as Honda owns the Honda Floor Amount, the Company shall not make any alteration or amendment or waiver to this Agreement that would have a material and disproportionate adverse effect on the terms of the Class E Common Shares; </w:t>
      </w:r>
      <w:r>
        <w:rPr>
          <w:rFonts w:ascii="Arial" w:cs="Arial" w:eastAsia="Arial" w:hAnsi="Arial"/>
          <w:sz w:val="21"/>
          <w:szCs w:val="21"/>
          <w:u w:val="single" w:color="auto"/>
          <w:color w:val="auto"/>
        </w:rPr>
        <w:t>provided</w:t>
      </w:r>
      <w:r>
        <w:rPr>
          <w:rFonts w:ascii="Arial" w:cs="Arial" w:eastAsia="Arial" w:hAnsi="Arial"/>
          <w:sz w:val="21"/>
          <w:szCs w:val="21"/>
          <w:color w:val="auto"/>
        </w:rPr>
        <w:t>, that this Section 5.12 will not apply to any of the following: (i) the addition of Members to the Company or the issuance of Shares or other Equity Securities of the Company (whether of a new or an existing class), in each case, in accordance with the terms of this Agreement, and any amendment(s) to this Agreement in connection with implementing such issuance or addition of such Member(s) (including the updating of the Members Schedule in connection therewith) or the granting of any rights to one or more Members in connection with such issuance in accordance with the terms of this Agreement, (ii) any amendment(s) to this Agreement in connection with the preparation for or consummation of an IPO that do not have a material and disproportionate effect on the terms of the Class E Common Shares (except as contemplated by Section 9.10) or (iii) to correct any typographical or similar ministerial errors. In determining whether an amendment has a material and disproportionate adverse effect on the terms of the Class E Common Shares, only the terms related thereto shall be considered, and any other relationship(s) the Class E Members may have with the Company, any of its Subsidiaries or the other Members shall not be considered and no characteristic of the Class E Members other than the terms of the Class E Common Shares shall be considered.</w:t>
      </w:r>
    </w:p>
    <w:p>
      <w:pPr>
        <w:spacing w:after="0" w:line="18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 xml:space="preserve">5.13 </w:t>
      </w:r>
      <w:r>
        <w:rPr>
          <w:rFonts w:ascii="Arial" w:cs="Arial" w:eastAsia="Arial" w:hAnsi="Arial"/>
          <w:sz w:val="21"/>
          <w:szCs w:val="21"/>
          <w:b w:val="1"/>
          <w:bCs w:val="1"/>
          <w:u w:val="single" w:color="auto"/>
          <w:color w:val="auto"/>
        </w:rPr>
        <w:t>Class F Minority Consent Right</w:t>
      </w:r>
      <w:r>
        <w:rPr>
          <w:rFonts w:ascii="Arial" w:cs="Arial" w:eastAsia="Arial" w:hAnsi="Arial"/>
          <w:sz w:val="21"/>
          <w:szCs w:val="21"/>
          <w:color w:val="auto"/>
        </w:rPr>
        <w:t>. Without the prior written consent of a Majority of the Class F Preferred,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Company shall not make any alteration or amendment or waiver to this Agreement that would (a) have a material and disproportionate adverse effect on the terms of the Class F Preferred Shares, (b) alter the definitions of Class F Liquidation Preference Amount or Class F Preferred Capital Value, (c) alter the definitions of Deemed Liquidation Event, Sale of the Company or Drag-Along Sale Transaction in a manner that would adversely affect in any material respect the rights of the Class F Preferred Shares, or (d) result in the net proceeds or assets available for distribution upon a liquidation or Deemed Liquidation Event not being applied in accordance with Section 3.02 (as may be amended from time to time, pursuant to the terms and conditions hereof); </w:t>
      </w:r>
      <w:r>
        <w:rPr>
          <w:rFonts w:ascii="Arial" w:cs="Arial" w:eastAsia="Arial" w:hAnsi="Arial"/>
          <w:sz w:val="21"/>
          <w:szCs w:val="21"/>
          <w:u w:val="single" w:color="auto"/>
          <w:color w:val="auto"/>
        </w:rPr>
        <w:t>provided</w:t>
      </w:r>
      <w:r>
        <w:rPr>
          <w:rFonts w:ascii="Arial" w:cs="Arial" w:eastAsia="Arial" w:hAnsi="Arial"/>
          <w:sz w:val="21"/>
          <w:szCs w:val="21"/>
          <w:color w:val="auto"/>
        </w:rPr>
        <w:t>, that this Section 5.13 will not apply to any of the following: (i) the addition of Members to the Company or the issuance of Shares or other Equity Securities of the Company (whether of a new or an existing class), in each case, in accordance with the terms of this Agreement, and any amendment(s) to this Agreement in connection with implementing such issuance or addition of such Member(s) (including the updating of the Members Schedule in connection therewith) or the granting of any rights to one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40" w:right="339" w:bottom="1440" w:gutter="0" w:footer="0" w:header="0"/>
        </w:sectPr>
      </w:pPr>
    </w:p>
    <w:bookmarkStart w:id="96" w:name="page97"/>
    <w:bookmarkEnd w:id="96"/>
    <w:p>
      <w:pPr>
        <w:spacing w:after="0" w:line="204"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Members in connection with such issuance in accordance with the terms of this Agreement, (ii) any amendment(s) to this Agreement in connection with the preparation for or consummation of an IPO that do not have a material and disproportionate effect on the terms of the Class F Preferred Shares (except as contemplated by Section 9.10) or (iii) to correct any typographical or similar ministerial errors. In determining whether an amendment has a material and disproportionate adverse effect on the terms of the Class F Preferred Shares, only the terms related thereto shall be considered, and any other relationship(s) the Class F Preferred Members may have with the Company, any of its Subsidiaries or the other Members shall not be considered and no characteristic of the Class F Preferred Members other than the terms of the Class F Preferred Shares shall be considered.</w:t>
      </w:r>
    </w:p>
    <w:p>
      <w:pPr>
        <w:spacing w:after="0" w:line="14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auto"/>
        </w:rPr>
        <w:t xml:space="preserve">5.14 </w:t>
      </w:r>
      <w:r>
        <w:rPr>
          <w:rFonts w:ascii="Arial" w:cs="Arial" w:eastAsia="Arial" w:hAnsi="Arial"/>
          <w:sz w:val="19"/>
          <w:szCs w:val="19"/>
          <w:b w:val="1"/>
          <w:bCs w:val="1"/>
          <w:u w:val="single" w:color="auto"/>
          <w:color w:val="auto"/>
        </w:rPr>
        <w:t>Class G Minority Consent Right</w:t>
      </w:r>
      <w:r>
        <w:rPr>
          <w:rFonts w:ascii="Arial" w:cs="Arial" w:eastAsia="Arial" w:hAnsi="Arial"/>
          <w:sz w:val="19"/>
          <w:szCs w:val="19"/>
          <w:color w:val="auto"/>
        </w:rPr>
        <w:t>. Without the prior written consent of a majority of the Class G Preferred Shares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then held by Class G New Members, the Company shall not make any alteration or amendment or waiver to this Agreement that would (a) have a material and disproportionate adverse effect on the terms of the Class G Preferred Shares, (b) alter the definitions of Class G Liquidation Preference Amount or Class G Preferred Capital Value, (c) alter the definitions of Deemed Liquidation Event, Sale of the Company or Drag-Along Sale Transaction in a manner that would adversely affect in any material respect the rights of the Class G Preferred Shares, (d) result in the net proceeds or assets available for distribution upon a liquidation or Deemed Liquidation Event not being applied in accordance with Section 3.02 (as may be amended from time to time, pursuant to the terms and conditions hereof), or (e) amend this Section 5.14; </w:t>
      </w:r>
      <w:r>
        <w:rPr>
          <w:rFonts w:ascii="Arial" w:cs="Arial" w:eastAsia="Arial" w:hAnsi="Arial"/>
          <w:sz w:val="19"/>
          <w:szCs w:val="19"/>
          <w:u w:val="single" w:color="auto"/>
          <w:color w:val="auto"/>
        </w:rPr>
        <w:t>provided</w:t>
      </w:r>
      <w:r>
        <w:rPr>
          <w:rFonts w:ascii="Arial" w:cs="Arial" w:eastAsia="Arial" w:hAnsi="Arial"/>
          <w:sz w:val="19"/>
          <w:szCs w:val="19"/>
          <w:color w:val="auto"/>
        </w:rPr>
        <w:t>, that this Section 5.14 will not apply to any of the following: (i) the addition of Members to the Company or the issuance of Shares or other Equity Securities of the Company (whether of a new or an existing class), in each case, in accordance with the terms of this Agreement, and any amendment(s) to this Agreement in connection with implementing such issuance or addition of such Member(s) (including the updating of the Members Schedule in connection therewith) or the granting of any rights to one or more Members in connection with such issuance in accordance with the terms of this Agreement, (ii) any amendment(s) to this Agreement in connection with the preparation for or consummation of an IPO that do not have a material and disproportionate effect on the terms of the Class G Preferred Shares (except as contemplated by Section 9.10) or (iii) to correct any typographical or similar ministerial errors. In determining whether an amendment has a material and disproportionate adverse effect on the terms of the Class G Preferred Shares, only the terms related thereto shall be considered, and any other relationship(s) the Class G Preferred Members may have with the Company, any of its Subsidiaries or the other Members shall not be considered and no characteristic of the Class G Preferred Members other than the terms of the Class G Preferred Shares shall be considered.</w:t>
      </w:r>
    </w:p>
    <w:p>
      <w:pPr>
        <w:spacing w:after="0" w:line="200" w:lineRule="exact"/>
        <w:rPr>
          <w:sz w:val="20"/>
          <w:szCs w:val="20"/>
          <w:color w:val="auto"/>
        </w:rPr>
      </w:pPr>
    </w:p>
    <w:p>
      <w:pPr>
        <w:spacing w:after="0" w:line="21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MANAGEMENT</w:t>
      </w:r>
    </w:p>
    <w:p>
      <w:pPr>
        <w:spacing w:after="0" w:line="19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6.01</w:t>
      </w:r>
      <w:r>
        <w:rPr>
          <w:sz w:val="20"/>
          <w:szCs w:val="20"/>
          <w:color w:val="auto"/>
        </w:rPr>
        <w:tab/>
      </w:r>
      <w:r>
        <w:rPr>
          <w:rFonts w:ascii="Arial" w:cs="Arial" w:eastAsia="Arial" w:hAnsi="Arial"/>
          <w:sz w:val="19"/>
          <w:szCs w:val="19"/>
          <w:b w:val="1"/>
          <w:bCs w:val="1"/>
          <w:u w:val="single" w:color="auto"/>
          <w:color w:val="auto"/>
        </w:rPr>
        <w:t>Management</w:t>
      </w:r>
      <w:r>
        <w:rPr>
          <w:rFonts w:ascii="Arial" w:cs="Arial" w:eastAsia="Arial" w:hAnsi="Arial"/>
          <w:sz w:val="19"/>
          <w:szCs w:val="19"/>
          <w:color w:val="auto"/>
        </w:rPr>
        <w:t>.</w:t>
      </w:r>
    </w:p>
    <w:p>
      <w:pPr>
        <w:spacing w:after="0" w:line="226" w:lineRule="exact"/>
        <w:rPr>
          <w:sz w:val="20"/>
          <w:szCs w:val="20"/>
          <w:color w:val="auto"/>
        </w:rPr>
      </w:pPr>
    </w:p>
    <w:p>
      <w:pPr>
        <w:ind w:firstLine="1304"/>
        <w:spacing w:after="0" w:line="263" w:lineRule="auto"/>
        <w:tabs>
          <w:tab w:leader="none" w:pos="1860" w:val="left"/>
        </w:tabs>
        <w:numPr>
          <w:ilvl w:val="0"/>
          <w:numId w:val="80"/>
        </w:numPr>
        <w:rPr>
          <w:rFonts w:ascii="Arial" w:cs="Arial" w:eastAsia="Arial" w:hAnsi="Arial"/>
          <w:sz w:val="22"/>
          <w:szCs w:val="22"/>
          <w:color w:val="010000"/>
        </w:rPr>
      </w:pPr>
      <w:r>
        <w:rPr>
          <w:rFonts w:ascii="Arial" w:cs="Arial" w:eastAsia="Arial" w:hAnsi="Arial"/>
          <w:sz w:val="22"/>
          <w:szCs w:val="22"/>
          <w:color w:val="auto"/>
        </w:rPr>
        <w:t>Without prejudice to Section 5.12, to the fullest extent permitted by law, the business and affairs of the Company shall be managed by a board of directors (the “</w:t>
      </w:r>
      <w:r>
        <w:rPr>
          <w:rFonts w:ascii="Arial" w:cs="Arial" w:eastAsia="Arial" w:hAnsi="Arial"/>
          <w:sz w:val="22"/>
          <w:szCs w:val="22"/>
          <w:b w:val="1"/>
          <w:bCs w:val="1"/>
          <w:color w:val="auto"/>
        </w:rPr>
        <w:t>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98"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Directors</w:t>
      </w:r>
      <w:r>
        <w:rPr>
          <w:rFonts w:ascii="Arial" w:cs="Arial" w:eastAsia="Arial" w:hAnsi="Arial"/>
          <w:sz w:val="19"/>
          <w:szCs w:val="19"/>
          <w:color w:val="auto"/>
        </w:rPr>
        <w:t>”), which shall direct, manage and control the business of the Company. Except as otherwise expressly set forth herein</w:t>
      </w:r>
      <w:r>
        <w:rPr>
          <w:rFonts w:ascii="Arial" w:cs="Arial" w:eastAsia="Arial" w:hAnsi="Arial"/>
          <w:sz w:val="19"/>
          <w:szCs w:val="19"/>
          <w:b w:val="1"/>
          <w:bCs w:val="1"/>
          <w:color w:val="auto"/>
        </w:rPr>
        <w:t xml:space="preserve"> </w:t>
      </w:r>
      <w:r>
        <w:rPr>
          <w:rFonts w:ascii="Arial" w:cs="Arial" w:eastAsia="Arial" w:hAnsi="Arial"/>
          <w:sz w:val="19"/>
          <w:szCs w:val="19"/>
          <w:color w:val="auto"/>
        </w:rPr>
        <w:t>(or if required by a non-waivable provision of the Act), no Member shall have the right to manage the Company or to reject, override, overturn, veto or otherwise approve or pass judgement upon any action taken by the Board of Directors or an authorized Officer of the Company. Except as otherwise expressly set forth herein, the Board of Directors shall have full and complete authority, power and discretion to manage and control the business, affairs and properties of the Company and make any and all decisions and to take any and all actions which the Board of Directors deems necessary or desirable for that purpose.</w:t>
      </w:r>
    </w:p>
    <w:p>
      <w:pPr>
        <w:spacing w:after="0" w:line="150" w:lineRule="exact"/>
        <w:rPr>
          <w:sz w:val="20"/>
          <w:szCs w:val="20"/>
          <w:color w:val="auto"/>
        </w:rPr>
      </w:pPr>
    </w:p>
    <w:p>
      <w:pPr>
        <w:ind w:firstLine="1304"/>
        <w:spacing w:after="0" w:line="263" w:lineRule="auto"/>
        <w:tabs>
          <w:tab w:leader="none" w:pos="1791" w:val="left"/>
        </w:tabs>
        <w:numPr>
          <w:ilvl w:val="0"/>
          <w:numId w:val="81"/>
        </w:numPr>
        <w:rPr>
          <w:rFonts w:ascii="Arial" w:cs="Arial" w:eastAsia="Arial" w:hAnsi="Arial"/>
          <w:sz w:val="22"/>
          <w:szCs w:val="22"/>
          <w:color w:val="010000"/>
        </w:rPr>
      </w:pPr>
      <w:r>
        <w:rPr>
          <w:rFonts w:ascii="Arial" w:cs="Arial" w:eastAsia="Arial" w:hAnsi="Arial"/>
          <w:sz w:val="22"/>
          <w:szCs w:val="22"/>
          <w:color w:val="auto"/>
        </w:rPr>
        <w:t>Each Director shall constitute a “manager” within the meaning of the Act. However, no individual Director, in his or her capacity as such, shall have the authority to bind the Company.</w:t>
      </w:r>
    </w:p>
    <w:p>
      <w:pPr>
        <w:spacing w:after="0" w:line="169"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6.02 </w:t>
      </w:r>
      <w:r>
        <w:rPr>
          <w:rFonts w:ascii="Arial" w:cs="Arial" w:eastAsia="Arial" w:hAnsi="Arial"/>
          <w:sz w:val="19"/>
          <w:szCs w:val="19"/>
          <w:b w:val="1"/>
          <w:bCs w:val="1"/>
          <w:u w:val="single" w:color="auto"/>
          <w:color w:val="auto"/>
        </w:rPr>
        <w:t>Number of Directors</w:t>
      </w:r>
      <w:r>
        <w:rPr>
          <w:rFonts w:ascii="Arial" w:cs="Arial" w:eastAsia="Arial" w:hAnsi="Arial"/>
          <w:sz w:val="19"/>
          <w:szCs w:val="19"/>
          <w:color w:val="auto"/>
        </w:rPr>
        <w:t>. At the date of this Agreement, the Board of Directors shall consist of nine (9)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Board of Directors may, from time to time following the date of this Agreement, determine the size of the Board of Directors;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notify the CFIUS Monitoring Agency concerning any such change to the size of the Board of Directors and the size of the Board of Directors shall not be decreased to less than six (6) Directors.</w:t>
      </w:r>
    </w:p>
    <w:p>
      <w:pPr>
        <w:spacing w:after="0" w:line="13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6.03</w:t>
      </w:r>
      <w:r>
        <w:rPr>
          <w:sz w:val="20"/>
          <w:szCs w:val="20"/>
          <w:color w:val="auto"/>
        </w:rPr>
        <w:tab/>
      </w:r>
      <w:r>
        <w:rPr>
          <w:rFonts w:ascii="Arial" w:cs="Arial" w:eastAsia="Arial" w:hAnsi="Arial"/>
          <w:sz w:val="19"/>
          <w:szCs w:val="19"/>
          <w:b w:val="1"/>
          <w:bCs w:val="1"/>
          <w:u w:val="single" w:color="auto"/>
          <w:color w:val="auto"/>
        </w:rPr>
        <w:t>Board Designation Rights and Composition; Proxies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1304"/>
        <w:spacing w:after="0" w:line="285" w:lineRule="auto"/>
        <w:tabs>
          <w:tab w:leader="none" w:pos="1873" w:val="left"/>
        </w:tabs>
        <w:numPr>
          <w:ilvl w:val="0"/>
          <w:numId w:val="82"/>
        </w:numPr>
        <w:rPr>
          <w:rFonts w:ascii="Arial" w:cs="Arial" w:eastAsia="Arial" w:hAnsi="Arial"/>
          <w:sz w:val="19"/>
          <w:szCs w:val="19"/>
          <w:color w:val="010000"/>
        </w:rPr>
      </w:pPr>
      <w:r>
        <w:rPr>
          <w:rFonts w:ascii="Arial" w:cs="Arial" w:eastAsia="Arial" w:hAnsi="Arial"/>
          <w:sz w:val="19"/>
          <w:szCs w:val="19"/>
          <w:color w:val="auto"/>
        </w:rPr>
        <w:t>(i) The Class A-2 Preferred Members shall, by vote of a Majority of the Class A-2 Preferred, have the exclusive right to designate, appoint, remove and replace all Directors (including any Director vacancies created by virtue of an increase in the size of the Board of Directors pursuant to Section 6.02) other than the Security Director, the SoftBank Director (if applicable), and the Common Director (the “</w:t>
      </w:r>
      <w:r>
        <w:rPr>
          <w:rFonts w:ascii="Arial" w:cs="Arial" w:eastAsia="Arial" w:hAnsi="Arial"/>
          <w:sz w:val="19"/>
          <w:szCs w:val="19"/>
          <w:b w:val="1"/>
          <w:bCs w:val="1"/>
          <w:color w:val="auto"/>
        </w:rPr>
        <w:t>A-2 Preferred Directors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there are no Class A-2 Preferred Shares outstanding, the A-2 Preferred Directors will be appointed by a Majority of the Class C Common, (ii) the Members holding Common Shares, Class F Preferred Shares, and Class G Preferred Shares shall, by vote of a Majority of the Common Shares, have the exclusive right to designate, appoint, remove and replace one (1) Director (the “</w:t>
      </w:r>
      <w:r>
        <w:rPr>
          <w:rFonts w:ascii="Arial" w:cs="Arial" w:eastAsia="Arial" w:hAnsi="Arial"/>
          <w:sz w:val="19"/>
          <w:szCs w:val="19"/>
          <w:b w:val="1"/>
          <w:bCs w:val="1"/>
          <w:color w:val="auto"/>
        </w:rPr>
        <w:t>Common Director</w:t>
      </w:r>
      <w:r>
        <w:rPr>
          <w:rFonts w:ascii="Arial" w:cs="Arial" w:eastAsia="Arial" w:hAnsi="Arial"/>
          <w:sz w:val="19"/>
          <w:szCs w:val="19"/>
          <w:color w:val="auto"/>
        </w:rPr>
        <w:t>”), (iii) the Security Director shall be designated, appointed, removed, and replaced in accordance with the terms set forth in the NSA and in Section 6.03(e) and (iv) following the receipt of SoftBank CFIUS Approval and subject to Section 6.05 and the requirements set forth in the NSA, SoftBank shall have the exclusive right (exercisable by written notification to the Company and the GM Investor), for so long as SoftBank owns the SoftBank Floor Amount, to designate, appoint, remove and replace one (1) Director (the “</w:t>
      </w:r>
      <w:r>
        <w:rPr>
          <w:rFonts w:ascii="Arial" w:cs="Arial" w:eastAsia="Arial" w:hAnsi="Arial"/>
          <w:sz w:val="19"/>
          <w:szCs w:val="19"/>
          <w:b w:val="1"/>
          <w:bCs w:val="1"/>
          <w:color w:val="auto"/>
        </w:rPr>
        <w:t>SoftBank Director</w:t>
      </w:r>
      <w:r>
        <w:rPr>
          <w:rFonts w:ascii="Arial" w:cs="Arial" w:eastAsia="Arial" w:hAnsi="Arial"/>
          <w:sz w:val="19"/>
          <w:szCs w:val="19"/>
          <w:color w:val="auto"/>
        </w:rPr>
        <w:t>”). The initial A-2 Preferred Directors are such five (5) natural Persons as were notified in writing to the Company and SoftBank by GM and the initial Common Director is such one (1) natural Person as was notified in writing to the Company and SoftBank by GM. Subject to Section 6.03(e), if at any time any Director ceases to serve on the Board of Directors (whether due to resignation, removal or otherwise), the Member(s) entitled to designate and appoint such Director pursuant to this Section 6.03 shall designate and appoint a replacement for such Director by written notice to the Board of Directors (it being further understood and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40" w:right="339" w:bottom="1440" w:gutter="0" w:footer="0" w:header="0"/>
        </w:sectPr>
      </w:pPr>
    </w:p>
    <w:bookmarkStart w:id="98" w:name="page99"/>
    <w:bookmarkEnd w:id="98"/>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that the failure by any party to designate and appoint a representative to fill a vacant Director position pursuant to this Section 6.03(a) shall not give rights to, or otherwise entitle, the Board of Directors or any other Member (other than the Member(s) entitled to designate and appoint such Director pursuant to this Section 6.03(a), including the penultimate sentence hereof) to fill such vacant position without the prior written consent of the Member(s) originally entitled to designate and appoint such Director pursuant to this Section 6.03(a)). Except as otherwise expressly stated herein, only the Member(s) entitled to designate and appoint a specific Director may remove such Director, at any time and from time to time, with or without cause (subject to applicable law), in such Member(s) sole discretion, and such Member(s) shall give written notice of such removal to the Board of Directors. Notwithstanding the foregoing, upon such time as SoftBank owns less than the SoftBank Floor Amount, the SoftBank Director shall be immediately and automatically removed, and the right of SoftBank to designate, appoint, remove and replace a Director shall be null and void and, for clarity, Class A-2 Preferred Members shall, by vote of a Majority of the Class A-2 Preferred (or a Majority of the Class C Common, if no Class A-2 Preferred Shares are outstanding), have the exclusive right to fill such vacant Director position (and, thereafter, designate, appoint, remove and replace such Director). Except as otherwise expressly stated herein, this Section 6.03 is the exclusive means by which Directors may be removed or replaced.</w:t>
      </w:r>
    </w:p>
    <w:p>
      <w:pPr>
        <w:spacing w:after="0" w:line="166" w:lineRule="exact"/>
        <w:rPr>
          <w:sz w:val="20"/>
          <w:szCs w:val="20"/>
          <w:color w:val="auto"/>
        </w:rPr>
      </w:pPr>
    </w:p>
    <w:p>
      <w:pPr>
        <w:jc w:val="both"/>
        <w:ind w:firstLine="1304"/>
        <w:spacing w:after="0" w:line="247" w:lineRule="auto"/>
        <w:tabs>
          <w:tab w:leader="none" w:pos="1804" w:val="left"/>
        </w:tabs>
        <w:numPr>
          <w:ilvl w:val="0"/>
          <w:numId w:val="83"/>
        </w:numPr>
        <w:rPr>
          <w:rFonts w:ascii="Arial" w:cs="Arial" w:eastAsia="Arial" w:hAnsi="Arial"/>
          <w:sz w:val="22"/>
          <w:szCs w:val="22"/>
          <w:color w:val="010000"/>
        </w:rPr>
      </w:pPr>
      <w:r>
        <w:rPr>
          <w:rFonts w:ascii="Arial" w:cs="Arial" w:eastAsia="Arial" w:hAnsi="Arial"/>
          <w:sz w:val="22"/>
          <w:szCs w:val="22"/>
          <w:color w:val="auto"/>
        </w:rPr>
        <w:t>The GM Investor may elect any one (1) of the Directors to be the Chairman of the Board of Directors (the “</w:t>
      </w:r>
      <w:r>
        <w:rPr>
          <w:rFonts w:ascii="Arial" w:cs="Arial" w:eastAsia="Arial" w:hAnsi="Arial"/>
          <w:sz w:val="22"/>
          <w:szCs w:val="22"/>
          <w:b w:val="1"/>
          <w:bCs w:val="1"/>
          <w:color w:val="auto"/>
        </w:rPr>
        <w:t>Chairman</w:t>
      </w:r>
      <w:r>
        <w:rPr>
          <w:rFonts w:ascii="Arial" w:cs="Arial" w:eastAsia="Arial" w:hAnsi="Arial"/>
          <w:sz w:val="22"/>
          <w:szCs w:val="22"/>
          <w:color w:val="auto"/>
        </w:rPr>
        <w:t>”). The Chairman, if any, may be removed from his or her position as Chairman at any time by the GM Investor. The Chairman, in his or her capacity as the Chairman, shall not have any of the rights or powers of an Officer. The Chairman shall preside at all meetings of the Board of Directors and at all meetings of the Members at which he or she shall be present. The Chairman may be the chief executive officer, or have another officer position, at GM (or any of its Affiliates) or the Company (or any of its Subsidiaries).</w:t>
      </w:r>
    </w:p>
    <w:p>
      <w:pPr>
        <w:spacing w:after="0" w:line="192" w:lineRule="exact"/>
        <w:rPr>
          <w:rFonts w:ascii="Arial" w:cs="Arial" w:eastAsia="Arial" w:hAnsi="Arial"/>
          <w:sz w:val="22"/>
          <w:szCs w:val="22"/>
          <w:color w:val="010000"/>
        </w:rPr>
      </w:pPr>
    </w:p>
    <w:p>
      <w:pPr>
        <w:jc w:val="both"/>
        <w:ind w:firstLine="1304"/>
        <w:spacing w:after="0" w:line="292" w:lineRule="auto"/>
        <w:tabs>
          <w:tab w:leader="none" w:pos="1752" w:val="left"/>
        </w:tabs>
        <w:numPr>
          <w:ilvl w:val="0"/>
          <w:numId w:val="83"/>
        </w:numPr>
        <w:rPr>
          <w:rFonts w:ascii="Arial" w:cs="Arial" w:eastAsia="Arial" w:hAnsi="Arial"/>
          <w:sz w:val="19"/>
          <w:szCs w:val="19"/>
          <w:color w:val="010000"/>
        </w:rPr>
      </w:pPr>
      <w:r>
        <w:rPr>
          <w:rFonts w:ascii="Arial" w:cs="Arial" w:eastAsia="Arial" w:hAnsi="Arial"/>
          <w:sz w:val="19"/>
          <w:szCs w:val="19"/>
          <w:color w:val="auto"/>
        </w:rPr>
        <w:t>To the extent permitted by law, each Member shall vote all voting securities of the Company over which such Member has voting control, and shall take all other necessary or desirable actions within such Member’s control (whether in such Member’s capacity as a Member, Director, member of a board committee or Officer of the Company or otherwise, and including attendance at meetings in person or by proxy for purposes of obtaining a quorum and execution of written consents in lieu of meetings), and the Company shall take all necessary and desirable actions within its control (including calling special Board of Directors or member meetings), so that the provisions of this Section 6.03 are promptly complied with and that the composition of the Board of Directors is consistent with the terms and conditions of this Section 6.03.</w:t>
      </w:r>
    </w:p>
    <w:p>
      <w:pPr>
        <w:spacing w:after="0" w:line="150" w:lineRule="exact"/>
        <w:rPr>
          <w:rFonts w:ascii="Arial" w:cs="Arial" w:eastAsia="Arial" w:hAnsi="Arial"/>
          <w:sz w:val="19"/>
          <w:szCs w:val="19"/>
          <w:color w:val="010000"/>
        </w:rPr>
      </w:pPr>
    </w:p>
    <w:p>
      <w:pPr>
        <w:jc w:val="both"/>
        <w:ind w:firstLine="1304"/>
        <w:spacing w:after="0" w:line="302" w:lineRule="auto"/>
        <w:tabs>
          <w:tab w:leader="none" w:pos="1804" w:val="left"/>
        </w:tabs>
        <w:numPr>
          <w:ilvl w:val="0"/>
          <w:numId w:val="83"/>
        </w:numPr>
        <w:rPr>
          <w:rFonts w:ascii="Arial" w:cs="Arial" w:eastAsia="Arial" w:hAnsi="Arial"/>
          <w:sz w:val="19"/>
          <w:szCs w:val="19"/>
          <w:color w:val="010000"/>
        </w:rPr>
      </w:pPr>
      <w:r>
        <w:rPr>
          <w:rFonts w:ascii="Arial" w:cs="Arial" w:eastAsia="Arial" w:hAnsi="Arial"/>
          <w:sz w:val="19"/>
          <w:szCs w:val="19"/>
          <w:color w:val="auto"/>
        </w:rPr>
        <w:t xml:space="preserve">Any A-2 Preferred Director or Common Director may authorize any other Director to act for such Director by proxy on any matter brought before the Board of Directors for a vote, which proxy may be granted orally or in writing by the applicable Director. Any such proxy shall be revocable at the pleasure of the Director granting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right to revocation shall not invalidate or otherwise affect actions taken under such proxy prior to such revocation.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204"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(e)</w:t>
      </w:r>
    </w:p>
    <w:p>
      <w:pPr>
        <w:spacing w:after="0" w:line="220" w:lineRule="exact"/>
        <w:rPr>
          <w:sz w:val="20"/>
          <w:szCs w:val="20"/>
          <w:color w:val="auto"/>
        </w:rPr>
      </w:pPr>
    </w:p>
    <w:p>
      <w:pPr>
        <w:jc w:val="both"/>
        <w:ind w:firstLine="1952"/>
        <w:spacing w:after="0" w:line="258" w:lineRule="auto"/>
        <w:tabs>
          <w:tab w:leader="none" w:pos="2495" w:val="left"/>
        </w:tabs>
        <w:numPr>
          <w:ilvl w:val="0"/>
          <w:numId w:val="84"/>
        </w:numPr>
        <w:rPr>
          <w:rFonts w:ascii="Arial" w:cs="Arial" w:eastAsia="Arial" w:hAnsi="Arial"/>
          <w:sz w:val="21"/>
          <w:szCs w:val="21"/>
          <w:color w:val="auto"/>
        </w:rPr>
      </w:pPr>
      <w:r>
        <w:rPr>
          <w:rFonts w:ascii="Arial" w:cs="Arial" w:eastAsia="Arial" w:hAnsi="Arial"/>
          <w:sz w:val="21"/>
          <w:szCs w:val="21"/>
          <w:color w:val="auto"/>
        </w:rPr>
        <w:t>In accordance with the NSA, solely with respect to any vacancy for the Security Director position, the Board of Directors shall nominate a candidate for the Security Director position and the Company shall seek the consent of both SoftBank and GM concerning such candidate. Any candidate so nominated by the Board of Directors shall satisfy the requirements set forth in the NSA, unless exempted or otherwise approved by the CFIUS Monitoring Agency. Subject to the prior consent of both SoftBank and GM concerning such candidate, the Company shall notify the CFIUS Monitoring Agency concerning such candidate in accordance with the NSA, and shall seek any exemptions or other approvals to the extent such candidate fails to meet all of the requirements set forth in the NSA. Without prejudice to any other rights set forth in the NSA, subject to the approval by the CFIUS Monitoring Agency or the deemed approval by the CFIUS Monitoring Agency for failing to object within the deadline set forth in the NSA, concerning such candidate, and only after following the nomination process set forth above, the GM Investor shall be entitled to designate and appoint such candidate as the Security Director by written notice to the Board of Directors.</w:t>
      </w:r>
    </w:p>
    <w:p>
      <w:pPr>
        <w:spacing w:after="0" w:line="181" w:lineRule="exact"/>
        <w:rPr>
          <w:rFonts w:ascii="Arial" w:cs="Arial" w:eastAsia="Arial" w:hAnsi="Arial"/>
          <w:sz w:val="21"/>
          <w:szCs w:val="21"/>
          <w:color w:val="auto"/>
        </w:rPr>
      </w:pPr>
    </w:p>
    <w:p>
      <w:pPr>
        <w:jc w:val="both"/>
        <w:ind w:firstLine="1952"/>
        <w:spacing w:after="0" w:line="248" w:lineRule="auto"/>
        <w:tabs>
          <w:tab w:leader="none" w:pos="2478" w:val="left"/>
        </w:tabs>
        <w:numPr>
          <w:ilvl w:val="0"/>
          <w:numId w:val="84"/>
        </w:numPr>
        <w:rPr>
          <w:rFonts w:ascii="Arial" w:cs="Arial" w:eastAsia="Arial" w:hAnsi="Arial"/>
          <w:sz w:val="22"/>
          <w:szCs w:val="22"/>
          <w:color w:val="auto"/>
        </w:rPr>
      </w:pPr>
      <w:r>
        <w:rPr>
          <w:rFonts w:ascii="Arial" w:cs="Arial" w:eastAsia="Arial" w:hAnsi="Arial"/>
          <w:sz w:val="22"/>
          <w:szCs w:val="22"/>
          <w:color w:val="auto"/>
        </w:rPr>
        <w:t>In accordance with the NSA, solely with respect to the removal of the Security Director, the Majority of the Members or the Board of Directors (including the Directors employed by Cruise) shall each be entitled to remove the Security Director, at any time and from time to time, with or without cause (subject to applicable law), in their respective sole discretion, and, in the case of the Majority of the Members, the GM Investor shall give written notice of such removal to the Board of Directors.</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6.04 </w:t>
      </w:r>
      <w:r>
        <w:rPr>
          <w:rFonts w:ascii="Arial" w:cs="Arial" w:eastAsia="Arial" w:hAnsi="Arial"/>
          <w:sz w:val="21"/>
          <w:szCs w:val="21"/>
          <w:b w:val="1"/>
          <w:bCs w:val="1"/>
          <w:u w:val="single" w:color="auto"/>
          <w:color w:val="auto"/>
        </w:rPr>
        <w:t>Board Observers</w:t>
      </w:r>
      <w:r>
        <w:rPr>
          <w:rFonts w:ascii="Arial" w:cs="Arial" w:eastAsia="Arial" w:hAnsi="Arial"/>
          <w:sz w:val="21"/>
          <w:szCs w:val="21"/>
          <w:color w:val="auto"/>
        </w:rPr>
        <w:t>. Following the receipt of SoftBank CFIUS Approval and subject to Section 6.05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requirements set forth in the NSA, SoftBank shall have the exclusive right, for so long as SoftBank owns the SoftBank Floor Amount, to designate one natural person to attend all meetings of the Board of Directors in a non-voting observer capacity (the “</w:t>
      </w:r>
      <w:r>
        <w:rPr>
          <w:rFonts w:ascii="Arial" w:cs="Arial" w:eastAsia="Arial" w:hAnsi="Arial"/>
          <w:sz w:val="21"/>
          <w:szCs w:val="21"/>
          <w:b w:val="1"/>
          <w:bCs w:val="1"/>
          <w:color w:val="auto"/>
        </w:rPr>
        <w:t>SoftBank Board Observer</w:t>
      </w:r>
      <w:r>
        <w:rPr>
          <w:rFonts w:ascii="Arial" w:cs="Arial" w:eastAsia="Arial" w:hAnsi="Arial"/>
          <w:sz w:val="21"/>
          <w:szCs w:val="21"/>
          <w:color w:val="auto"/>
        </w:rPr>
        <w:t>”). Following the receipt of Honda CFIUS Approval and subject to Section 6.05, Honda shall have the exclusive right, for so long as Honda owns the Honda Floor Amount, to designate one natural person to attend all meetings of the Board of Directors in a non-voting observer capacity (the “</w:t>
      </w:r>
      <w:r>
        <w:rPr>
          <w:rFonts w:ascii="Arial" w:cs="Arial" w:eastAsia="Arial" w:hAnsi="Arial"/>
          <w:sz w:val="21"/>
          <w:szCs w:val="21"/>
          <w:b w:val="1"/>
          <w:bCs w:val="1"/>
          <w:color w:val="auto"/>
        </w:rPr>
        <w:t>Honda Board Observer</w:t>
      </w:r>
      <w:r>
        <w:rPr>
          <w:rFonts w:ascii="Arial" w:cs="Arial" w:eastAsia="Arial" w:hAnsi="Arial"/>
          <w:sz w:val="21"/>
          <w:szCs w:val="21"/>
          <w:color w:val="auto"/>
        </w:rPr>
        <w:t>”). Microsoft shall have the exclusive right, for so long as Microsoft owns the Microsoft Floor Amount, to designate one natural person, who must be a full-time employee of Microsoft, to attend all meetings of the Board of Directors in a non-voting observer capacity (the “</w:t>
      </w:r>
      <w:r>
        <w:rPr>
          <w:rFonts w:ascii="Arial" w:cs="Arial" w:eastAsia="Arial" w:hAnsi="Arial"/>
          <w:sz w:val="21"/>
          <w:szCs w:val="21"/>
          <w:b w:val="1"/>
          <w:bCs w:val="1"/>
          <w:color w:val="auto"/>
        </w:rPr>
        <w:t>Microsoft Board</w:t>
      </w:r>
      <w:r>
        <w:rPr>
          <w:rFonts w:ascii="Arial" w:cs="Arial" w:eastAsia="Arial" w:hAnsi="Arial"/>
          <w:sz w:val="21"/>
          <w:szCs w:val="21"/>
          <w:color w:val="auto"/>
        </w:rPr>
        <w:t xml:space="preserve"> </w:t>
      </w:r>
      <w:r>
        <w:rPr>
          <w:rFonts w:ascii="Arial" w:cs="Arial" w:eastAsia="Arial" w:hAnsi="Arial"/>
          <w:sz w:val="21"/>
          <w:szCs w:val="21"/>
          <w:b w:val="1"/>
          <w:bCs w:val="1"/>
          <w:color w:val="auto"/>
        </w:rPr>
        <w:t>Observer</w:t>
      </w:r>
      <w:r>
        <w:rPr>
          <w:rFonts w:ascii="Arial" w:cs="Arial" w:eastAsia="Arial" w:hAnsi="Arial"/>
          <w:sz w:val="21"/>
          <w:szCs w:val="21"/>
          <w:color w:val="auto"/>
        </w:rPr>
        <w:t>”, and together with the SoftBank Board Observer and Honda Board Observer, the “</w:t>
      </w:r>
      <w:r>
        <w:rPr>
          <w:rFonts w:ascii="Arial" w:cs="Arial" w:eastAsia="Arial" w:hAnsi="Arial"/>
          <w:sz w:val="21"/>
          <w:szCs w:val="21"/>
          <w:b w:val="1"/>
          <w:bCs w:val="1"/>
          <w:color w:val="auto"/>
        </w:rPr>
        <w:t>Board Observers</w:t>
      </w:r>
      <w:r>
        <w:rPr>
          <w:rFonts w:ascii="Arial" w:cs="Arial" w:eastAsia="Arial" w:hAnsi="Arial"/>
          <w:sz w:val="21"/>
          <w:szCs w:val="21"/>
          <w:color w:val="auto"/>
        </w:rPr>
        <w:t>”). The following</w:t>
      </w:r>
      <w:r>
        <w:rPr>
          <w:rFonts w:ascii="Arial" w:cs="Arial" w:eastAsia="Arial" w:hAnsi="Arial"/>
          <w:sz w:val="21"/>
          <w:szCs w:val="21"/>
          <w:b w:val="1"/>
          <w:bCs w:val="1"/>
          <w:color w:val="auto"/>
        </w:rPr>
        <w:t xml:space="preserve"> </w:t>
      </w:r>
      <w:r>
        <w:rPr>
          <w:rFonts w:ascii="Arial" w:cs="Arial" w:eastAsia="Arial" w:hAnsi="Arial"/>
          <w:sz w:val="21"/>
          <w:szCs w:val="21"/>
          <w:color w:val="auto"/>
        </w:rPr>
        <w:t>terms and conditions will apply to the Board Observers:</w:t>
      </w:r>
    </w:p>
    <w:p>
      <w:pPr>
        <w:spacing w:after="0" w:line="181" w:lineRule="exact"/>
        <w:rPr>
          <w:sz w:val="20"/>
          <w:szCs w:val="20"/>
          <w:color w:val="auto"/>
        </w:rPr>
      </w:pPr>
    </w:p>
    <w:p>
      <w:pPr>
        <w:jc w:val="both"/>
        <w:ind w:firstLine="1304"/>
        <w:spacing w:after="0" w:line="247" w:lineRule="auto"/>
        <w:tabs>
          <w:tab w:leader="none" w:pos="1900" w:val="left"/>
        </w:tabs>
        <w:numPr>
          <w:ilvl w:val="0"/>
          <w:numId w:val="85"/>
        </w:numPr>
        <w:rPr>
          <w:rFonts w:ascii="Arial" w:cs="Arial" w:eastAsia="Arial" w:hAnsi="Arial"/>
          <w:sz w:val="22"/>
          <w:szCs w:val="22"/>
          <w:color w:val="010000"/>
        </w:rPr>
      </w:pPr>
      <w:r>
        <w:rPr>
          <w:rFonts w:ascii="Arial" w:cs="Arial" w:eastAsia="Arial" w:hAnsi="Arial"/>
          <w:sz w:val="22"/>
          <w:szCs w:val="22"/>
          <w:color w:val="auto"/>
        </w:rPr>
        <w:t>The Company shall deliver to (i) the SoftBank Board Observer copies of all reports, notices, minutes, consents, actions taken or proposed to be taken without a meeting and other materials in each case (and to the extent) that the Company provides the same to the SoftBank Director, each such delivery to be made concurrently with the delivery of such materials to the SoftBank Director, (ii) the Honda Board Observer copies of all reports, notices, minutes, consents, actions taken or proposed to be taken without a meeting and other materials in each case (and to the extent) that the Company provides the same to the Board of Directors,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04" w:lineRule="exact"/>
        <w:rPr>
          <w:sz w:val="20"/>
          <w:szCs w:val="20"/>
          <w:color w:val="auto"/>
        </w:rPr>
      </w:pPr>
    </w:p>
    <w:p>
      <w:pPr>
        <w:jc w:val="both"/>
        <w:ind w:left="-8" w:firstLine="8"/>
        <w:spacing w:after="0" w:line="248" w:lineRule="auto"/>
        <w:tabs>
          <w:tab w:leader="none" w:pos="374"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the Microsoft Board Observer copies of all reports, notices, minutes, consents, actions taken or proposed to be taken without a meeting and other materials in each case (and to the extent) that the Company provides the same to the Board of Directors, subject to the restrictions set forth in Section 6.14, each such delivery to be made concurrently with the delivery of such materials to the Board of Directors; </w:t>
      </w:r>
      <w:r>
        <w:rPr>
          <w:rFonts w:ascii="Arial" w:cs="Arial" w:eastAsia="Arial" w:hAnsi="Arial"/>
          <w:sz w:val="22"/>
          <w:szCs w:val="22"/>
          <w:u w:val="single" w:color="auto"/>
          <w:color w:val="auto"/>
        </w:rPr>
        <w:t>provided</w:t>
      </w:r>
      <w:r>
        <w:rPr>
          <w:rFonts w:ascii="Arial" w:cs="Arial" w:eastAsia="Arial" w:hAnsi="Arial"/>
          <w:sz w:val="22"/>
          <w:szCs w:val="22"/>
          <w:color w:val="auto"/>
        </w:rPr>
        <w:t>, that failure to deliver any such notice or materials to any Board Observer shall not impair the validity of any action taken by the Board of Directors;</w:t>
      </w:r>
    </w:p>
    <w:p>
      <w:pPr>
        <w:spacing w:after="0" w:line="191" w:lineRule="exact"/>
        <w:rPr>
          <w:rFonts w:ascii="Arial" w:cs="Arial" w:eastAsia="Arial" w:hAnsi="Arial"/>
          <w:sz w:val="22"/>
          <w:szCs w:val="22"/>
          <w:color w:val="auto"/>
        </w:rPr>
      </w:pPr>
    </w:p>
    <w:p>
      <w:pPr>
        <w:jc w:val="both"/>
        <w:ind w:left="-8" w:firstLine="1304"/>
        <w:spacing w:after="0" w:line="289" w:lineRule="auto"/>
        <w:tabs>
          <w:tab w:leader="none" w:pos="1891" w:val="left"/>
        </w:tabs>
        <w:numPr>
          <w:ilvl w:val="1"/>
          <w:numId w:val="86"/>
        </w:numPr>
        <w:rPr>
          <w:rFonts w:ascii="Arial" w:cs="Arial" w:eastAsia="Arial" w:hAnsi="Arial"/>
          <w:sz w:val="19"/>
          <w:szCs w:val="19"/>
          <w:color w:val="010000"/>
        </w:rPr>
      </w:pPr>
      <w:r>
        <w:rPr>
          <w:rFonts w:ascii="Arial" w:cs="Arial" w:eastAsia="Arial" w:hAnsi="Arial"/>
          <w:sz w:val="19"/>
          <w:szCs w:val="19"/>
          <w:color w:val="auto"/>
        </w:rPr>
        <w:t xml:space="preserve">the Board Observers shall be entitled to attend all meetings of the Board of Directors in person or by telephone, and the Company shall ensure that appropriate arrangements are made such that the Board Observers will be able to hear everyone during any meeting of the Board of Directors at which the Board Observers participate by telephone; </w:t>
      </w:r>
      <w:r>
        <w:rPr>
          <w:rFonts w:ascii="Arial" w:cs="Arial" w:eastAsia="Arial" w:hAnsi="Arial"/>
          <w:sz w:val="19"/>
          <w:szCs w:val="19"/>
          <w:u w:val="single" w:color="auto"/>
          <w:color w:val="auto"/>
        </w:rPr>
        <w:t>provided</w:t>
      </w:r>
      <w:r>
        <w:rPr>
          <w:rFonts w:ascii="Arial" w:cs="Arial" w:eastAsia="Arial" w:hAnsi="Arial"/>
          <w:sz w:val="19"/>
          <w:szCs w:val="19"/>
          <w:color w:val="auto"/>
        </w:rPr>
        <w:t>, that (i) the SoftBank Board Observer may be excluded from access to any portion of any meeting to the same extent as the SoftBank Director (or, in the event the SoftBank Director is not appointed, as if the SoftBank Director were so appointed) would be so excluded (or recused) pursuant to the terms hereof, (ii) the Honda Board Observer may be excluded from access to any portion of any meeting to the extent that matters with respect to which Honda Competitively Sensitive Information is shared, presented or discussed, and (iii) the Microsoft Board Observer may be excluded from access to any portion of any meeting to the extent that matters with respect to which Microsoft Competitively Sensitive Information is shared, presented or discussed;</w:t>
      </w:r>
    </w:p>
    <w:p>
      <w:pPr>
        <w:spacing w:after="0" w:line="156" w:lineRule="exact"/>
        <w:rPr>
          <w:rFonts w:ascii="Arial" w:cs="Arial" w:eastAsia="Arial" w:hAnsi="Arial"/>
          <w:sz w:val="19"/>
          <w:szCs w:val="19"/>
          <w:color w:val="010000"/>
        </w:rPr>
      </w:pPr>
    </w:p>
    <w:p>
      <w:pPr>
        <w:jc w:val="both"/>
        <w:ind w:left="-8" w:firstLine="1304"/>
        <w:spacing w:after="0" w:line="312" w:lineRule="auto"/>
        <w:tabs>
          <w:tab w:leader="none" w:pos="1757" w:val="left"/>
        </w:tabs>
        <w:numPr>
          <w:ilvl w:val="1"/>
          <w:numId w:val="86"/>
        </w:numPr>
        <w:rPr>
          <w:rFonts w:ascii="Arial" w:cs="Arial" w:eastAsia="Arial" w:hAnsi="Arial"/>
          <w:sz w:val="19"/>
          <w:szCs w:val="19"/>
          <w:color w:val="010000"/>
        </w:rPr>
      </w:pPr>
      <w:r>
        <w:rPr>
          <w:rFonts w:ascii="Arial" w:cs="Arial" w:eastAsia="Arial" w:hAnsi="Arial"/>
          <w:sz w:val="19"/>
          <w:szCs w:val="19"/>
          <w:color w:val="auto"/>
        </w:rPr>
        <w:t>the Board Observers shall be observers only, shall not be actual members of the Board of Directors and shall not have any of the rights, duties or obligations of a Director (including that the Board Observers shall not have the right to vote on any matter that may come before the Board of Directors). The Board Observers shall not count towards any quorum;</w:t>
      </w:r>
    </w:p>
    <w:p>
      <w:pPr>
        <w:spacing w:after="0" w:line="133" w:lineRule="exact"/>
        <w:rPr>
          <w:rFonts w:ascii="Arial" w:cs="Arial" w:eastAsia="Arial" w:hAnsi="Arial"/>
          <w:sz w:val="19"/>
          <w:szCs w:val="19"/>
          <w:color w:val="010000"/>
        </w:rPr>
      </w:pPr>
    </w:p>
    <w:p>
      <w:pPr>
        <w:ind w:left="-8" w:right="20" w:firstLine="1304"/>
        <w:spacing w:after="0" w:line="263" w:lineRule="auto"/>
        <w:tabs>
          <w:tab w:leader="none" w:pos="1823" w:val="left"/>
        </w:tabs>
        <w:numPr>
          <w:ilvl w:val="1"/>
          <w:numId w:val="86"/>
        </w:numPr>
        <w:rPr>
          <w:rFonts w:ascii="Arial" w:cs="Arial" w:eastAsia="Arial" w:hAnsi="Arial"/>
          <w:sz w:val="22"/>
          <w:szCs w:val="22"/>
          <w:color w:val="010000"/>
        </w:rPr>
      </w:pPr>
      <w:r>
        <w:rPr>
          <w:rFonts w:ascii="Arial" w:cs="Arial" w:eastAsia="Arial" w:hAnsi="Arial"/>
          <w:sz w:val="22"/>
          <w:szCs w:val="22"/>
          <w:color w:val="auto"/>
        </w:rPr>
        <w:t>subject to Section 6.04(g), SoftBank has the right to remove and replace or substitute the SoftBank Board Observer from time to time by providing written notice to the Company;</w:t>
      </w:r>
    </w:p>
    <w:p>
      <w:pPr>
        <w:spacing w:after="0" w:line="174" w:lineRule="exact"/>
        <w:rPr>
          <w:rFonts w:ascii="Arial" w:cs="Arial" w:eastAsia="Arial" w:hAnsi="Arial"/>
          <w:sz w:val="22"/>
          <w:szCs w:val="22"/>
          <w:color w:val="010000"/>
        </w:rPr>
      </w:pPr>
    </w:p>
    <w:p>
      <w:pPr>
        <w:ind w:left="-8" w:firstLine="1304"/>
        <w:spacing w:after="0" w:line="263" w:lineRule="auto"/>
        <w:tabs>
          <w:tab w:leader="none" w:pos="1906" w:val="left"/>
        </w:tabs>
        <w:numPr>
          <w:ilvl w:val="1"/>
          <w:numId w:val="86"/>
        </w:numPr>
        <w:rPr>
          <w:rFonts w:ascii="Arial" w:cs="Arial" w:eastAsia="Arial" w:hAnsi="Arial"/>
          <w:sz w:val="22"/>
          <w:szCs w:val="22"/>
          <w:color w:val="010000"/>
        </w:rPr>
      </w:pPr>
      <w:r>
        <w:rPr>
          <w:rFonts w:ascii="Arial" w:cs="Arial" w:eastAsia="Arial" w:hAnsi="Arial"/>
          <w:sz w:val="22"/>
          <w:szCs w:val="22"/>
          <w:color w:val="auto"/>
        </w:rPr>
        <w:t>subject to Section 6.04(h), Honda has the right to remove and replace or substitute the Honda Board Observer from time to time by providing written notice to the Company;</w:t>
      </w:r>
    </w:p>
    <w:p>
      <w:pPr>
        <w:spacing w:after="0" w:line="174" w:lineRule="exact"/>
        <w:rPr>
          <w:rFonts w:ascii="Arial" w:cs="Arial" w:eastAsia="Arial" w:hAnsi="Arial"/>
          <w:sz w:val="22"/>
          <w:szCs w:val="22"/>
          <w:color w:val="010000"/>
        </w:rPr>
      </w:pPr>
    </w:p>
    <w:p>
      <w:pPr>
        <w:ind w:left="-8" w:right="20" w:firstLine="1304"/>
        <w:spacing w:after="0" w:line="263" w:lineRule="auto"/>
        <w:tabs>
          <w:tab w:leader="none" w:pos="1787" w:val="left"/>
        </w:tabs>
        <w:numPr>
          <w:ilvl w:val="1"/>
          <w:numId w:val="86"/>
        </w:numPr>
        <w:rPr>
          <w:rFonts w:ascii="Arial" w:cs="Arial" w:eastAsia="Arial" w:hAnsi="Arial"/>
          <w:sz w:val="22"/>
          <w:szCs w:val="22"/>
          <w:color w:val="010000"/>
        </w:rPr>
      </w:pPr>
      <w:r>
        <w:rPr>
          <w:rFonts w:ascii="Arial" w:cs="Arial" w:eastAsia="Arial" w:hAnsi="Arial"/>
          <w:sz w:val="22"/>
          <w:szCs w:val="22"/>
          <w:color w:val="auto"/>
        </w:rPr>
        <w:t>subject to Section 6.04(i), Microsoft has the right to remove and replace or substitute the Microsoft Board Observer from time to time by providing written notice to the Company;</w:t>
      </w:r>
    </w:p>
    <w:p>
      <w:pPr>
        <w:spacing w:after="0" w:line="174" w:lineRule="exact"/>
        <w:rPr>
          <w:rFonts w:ascii="Arial" w:cs="Arial" w:eastAsia="Arial" w:hAnsi="Arial"/>
          <w:sz w:val="22"/>
          <w:szCs w:val="22"/>
          <w:color w:val="010000"/>
        </w:rPr>
      </w:pPr>
    </w:p>
    <w:p>
      <w:pPr>
        <w:jc w:val="both"/>
        <w:ind w:left="-8" w:firstLine="1304"/>
        <w:spacing w:after="0" w:line="271" w:lineRule="auto"/>
        <w:tabs>
          <w:tab w:leader="none" w:pos="1769" w:val="left"/>
        </w:tabs>
        <w:numPr>
          <w:ilvl w:val="1"/>
          <w:numId w:val="86"/>
        </w:numPr>
        <w:rPr>
          <w:rFonts w:ascii="Arial" w:cs="Arial" w:eastAsia="Arial" w:hAnsi="Arial"/>
          <w:sz w:val="21"/>
          <w:szCs w:val="21"/>
          <w:color w:val="010000"/>
        </w:rPr>
      </w:pPr>
      <w:r>
        <w:rPr>
          <w:rFonts w:ascii="Arial" w:cs="Arial" w:eastAsia="Arial" w:hAnsi="Arial"/>
          <w:sz w:val="21"/>
          <w:szCs w:val="21"/>
          <w:color w:val="auto"/>
        </w:rPr>
        <w:t>upon such time as SoftBank owns less than the SoftBank Floor Amount, the SoftBank Board Observer shall be automatically removed and shall cease to have any of the rights contemplated by this Section 6.04, and the right of SoftBank to designate, appoint, remove and replace the SoftBank Board Observer shall be null and void;</w:t>
      </w:r>
    </w:p>
    <w:p>
      <w:pPr>
        <w:spacing w:after="0" w:line="167" w:lineRule="exact"/>
        <w:rPr>
          <w:rFonts w:ascii="Arial" w:cs="Arial" w:eastAsia="Arial" w:hAnsi="Arial"/>
          <w:sz w:val="21"/>
          <w:szCs w:val="21"/>
          <w:color w:val="010000"/>
        </w:rPr>
      </w:pPr>
    </w:p>
    <w:p>
      <w:pPr>
        <w:jc w:val="both"/>
        <w:ind w:left="-8" w:firstLine="1304"/>
        <w:spacing w:after="0" w:line="253" w:lineRule="auto"/>
        <w:tabs>
          <w:tab w:leader="none" w:pos="1864" w:val="left"/>
        </w:tabs>
        <w:numPr>
          <w:ilvl w:val="1"/>
          <w:numId w:val="86"/>
        </w:numPr>
        <w:rPr>
          <w:rFonts w:ascii="Arial" w:cs="Arial" w:eastAsia="Arial" w:hAnsi="Arial"/>
          <w:sz w:val="22"/>
          <w:szCs w:val="22"/>
          <w:color w:val="010000"/>
        </w:rPr>
      </w:pPr>
      <w:r>
        <w:rPr>
          <w:rFonts w:ascii="Arial" w:cs="Arial" w:eastAsia="Arial" w:hAnsi="Arial"/>
          <w:sz w:val="22"/>
          <w:szCs w:val="22"/>
          <w:color w:val="auto"/>
        </w:rPr>
        <w:t>upon such time as Honda owns less than the Honda Floor Amount, the Honda Board Observer shall be automatically removed and shall cease to have any of the rights contemplated by this Section 6.04, and the right of Honda to designate, appoint, remove and replace the Honda Board Observer shall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32"/>
          </w:cols>
          <w:pgMar w:left="328" w:top="1440" w:right="339" w:bottom="1440" w:gutter="0" w:footer="0" w:header="0"/>
        </w:sectPr>
      </w:pPr>
    </w:p>
    <w:bookmarkStart w:id="101" w:name="page102"/>
    <w:bookmarkEnd w:id="101"/>
    <w:p>
      <w:pPr>
        <w:spacing w:after="0" w:line="204" w:lineRule="exact"/>
        <w:rPr>
          <w:sz w:val="20"/>
          <w:szCs w:val="20"/>
          <w:color w:val="auto"/>
        </w:rPr>
      </w:pPr>
    </w:p>
    <w:p>
      <w:pPr>
        <w:jc w:val="both"/>
        <w:ind w:firstLine="1304"/>
        <w:spacing w:after="0" w:line="271" w:lineRule="auto"/>
        <w:tabs>
          <w:tab w:leader="none" w:pos="1729" w:val="left"/>
        </w:tabs>
        <w:numPr>
          <w:ilvl w:val="0"/>
          <w:numId w:val="87"/>
        </w:numPr>
        <w:rPr>
          <w:rFonts w:ascii="Arial" w:cs="Arial" w:eastAsia="Arial" w:hAnsi="Arial"/>
          <w:sz w:val="21"/>
          <w:szCs w:val="21"/>
          <w:color w:val="010000"/>
        </w:rPr>
      </w:pPr>
      <w:r>
        <w:rPr>
          <w:rFonts w:ascii="Arial" w:cs="Arial" w:eastAsia="Arial" w:hAnsi="Arial"/>
          <w:sz w:val="21"/>
          <w:szCs w:val="21"/>
          <w:color w:val="auto"/>
        </w:rPr>
        <w:t>upon such time as Microsoft owns less than the Microsoft Floor Amount, the Microsoft Board Observer shall be automatically removed and shall cease to have any of the rights contemplated by this Section 6.04, and the right of Microsoft to designate, appoint, remove and replace the Microsoft Board Observer shall be null and void; and</w:t>
      </w:r>
    </w:p>
    <w:p>
      <w:pPr>
        <w:spacing w:after="0" w:line="167" w:lineRule="exact"/>
        <w:rPr>
          <w:rFonts w:ascii="Arial" w:cs="Arial" w:eastAsia="Arial" w:hAnsi="Arial"/>
          <w:sz w:val="21"/>
          <w:szCs w:val="21"/>
          <w:color w:val="010000"/>
        </w:rPr>
      </w:pPr>
    </w:p>
    <w:p>
      <w:pPr>
        <w:ind w:firstLine="1304"/>
        <w:spacing w:after="0" w:line="263" w:lineRule="auto"/>
        <w:tabs>
          <w:tab w:leader="none" w:pos="1716" w:val="left"/>
        </w:tabs>
        <w:numPr>
          <w:ilvl w:val="0"/>
          <w:numId w:val="87"/>
        </w:numPr>
        <w:rPr>
          <w:rFonts w:ascii="Arial" w:cs="Arial" w:eastAsia="Arial" w:hAnsi="Arial"/>
          <w:sz w:val="22"/>
          <w:szCs w:val="22"/>
          <w:color w:val="010000"/>
        </w:rPr>
      </w:pPr>
      <w:r>
        <w:rPr>
          <w:rFonts w:ascii="Arial" w:cs="Arial" w:eastAsia="Arial" w:hAnsi="Arial"/>
          <w:sz w:val="22"/>
          <w:szCs w:val="22"/>
          <w:color w:val="auto"/>
        </w:rPr>
        <w:t>prior to appointment, the Board Observers will each enter into a confidentiality agreement with the Company, on terms mutually acceptable to the Board of Directors and the Board Observers.</w:t>
      </w:r>
    </w:p>
    <w:p>
      <w:pPr>
        <w:spacing w:after="0" w:line="16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6.05</w:t>
      </w:r>
      <w:r>
        <w:rPr>
          <w:sz w:val="20"/>
          <w:szCs w:val="20"/>
          <w:color w:val="auto"/>
        </w:rPr>
        <w:tab/>
      </w:r>
      <w:r>
        <w:rPr>
          <w:rFonts w:ascii="Arial" w:cs="Arial" w:eastAsia="Arial" w:hAnsi="Arial"/>
          <w:sz w:val="19"/>
          <w:szCs w:val="19"/>
          <w:b w:val="1"/>
          <w:bCs w:val="1"/>
          <w:u w:val="single" w:color="auto"/>
          <w:color w:val="auto"/>
        </w:rPr>
        <w:t>Director Appointee Screening</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60" w:lineRule="auto"/>
        <w:tabs>
          <w:tab w:leader="none" w:pos="1860" w:val="left"/>
        </w:tabs>
        <w:numPr>
          <w:ilvl w:val="0"/>
          <w:numId w:val="88"/>
        </w:numPr>
        <w:rPr>
          <w:rFonts w:ascii="Arial" w:cs="Arial" w:eastAsia="Arial" w:hAnsi="Arial"/>
          <w:sz w:val="21"/>
          <w:szCs w:val="21"/>
          <w:color w:val="010000"/>
        </w:rPr>
      </w:pPr>
      <w:r>
        <w:rPr>
          <w:rFonts w:ascii="Arial" w:cs="Arial" w:eastAsia="Arial" w:hAnsi="Arial"/>
          <w:sz w:val="21"/>
          <w:szCs w:val="21"/>
          <w:color w:val="auto"/>
        </w:rPr>
        <w:t>Unless otherwise agreed in writing by SoftBank and the GM Investor, each Person selected pursuant to Section 6.03(a) or Section 6.04 from time to time to serve as the Softbank Director or Softbank Board Observer, as the case may be, (i) must be a U.S. citizen, (ii) must not be (A) an employee, director (or board observer), manager, officer or consultant of any Restricted Person or (B) a Person who has direct or indirect control, influence or management oversight of Persons who are employees, directors (or board observer), managers, officers or consultants of a Restricted Person and (iii) must not be a member of any investment committee (or similar body) of any Person whose other members include one or more Persons that are described in the immediately preceding clause (ii).</w:t>
      </w:r>
    </w:p>
    <w:p>
      <w:pPr>
        <w:spacing w:after="0" w:line="180" w:lineRule="exact"/>
        <w:rPr>
          <w:rFonts w:ascii="Arial" w:cs="Arial" w:eastAsia="Arial" w:hAnsi="Arial"/>
          <w:sz w:val="21"/>
          <w:szCs w:val="21"/>
          <w:color w:val="010000"/>
        </w:rPr>
      </w:pPr>
    </w:p>
    <w:p>
      <w:pPr>
        <w:jc w:val="both"/>
        <w:ind w:firstLine="1304"/>
        <w:spacing w:after="0" w:line="248" w:lineRule="auto"/>
        <w:tabs>
          <w:tab w:leader="none" w:pos="1777" w:val="left"/>
        </w:tabs>
        <w:numPr>
          <w:ilvl w:val="0"/>
          <w:numId w:val="88"/>
        </w:numPr>
        <w:rPr>
          <w:rFonts w:ascii="Arial" w:cs="Arial" w:eastAsia="Arial" w:hAnsi="Arial"/>
          <w:sz w:val="22"/>
          <w:szCs w:val="22"/>
          <w:color w:val="010000"/>
        </w:rPr>
      </w:pPr>
      <w:r>
        <w:rPr>
          <w:rFonts w:ascii="Arial" w:cs="Arial" w:eastAsia="Arial" w:hAnsi="Arial"/>
          <w:sz w:val="22"/>
          <w:szCs w:val="22"/>
          <w:color w:val="auto"/>
        </w:rPr>
        <w:t>Unless otherwise agreed in writing by Honda and the GM Investor, each Person selected pursuant to Section 6.04 from time to time to serve as the Honda Board Observer (i) must be a U.S. or Japanese citizen and (ii) must not be (A) an employee of or a consultant of Honda R&amp;D Co., Ltd. (“</w:t>
      </w:r>
      <w:r>
        <w:rPr>
          <w:rFonts w:ascii="Arial" w:cs="Arial" w:eastAsia="Arial" w:hAnsi="Arial"/>
          <w:sz w:val="22"/>
          <w:szCs w:val="22"/>
          <w:b w:val="1"/>
          <w:bCs w:val="1"/>
          <w:color w:val="auto"/>
        </w:rPr>
        <w:t>Honda R&amp;D Co</w:t>
      </w:r>
      <w:r>
        <w:rPr>
          <w:rFonts w:ascii="Arial" w:cs="Arial" w:eastAsia="Arial" w:hAnsi="Arial"/>
          <w:sz w:val="22"/>
          <w:szCs w:val="22"/>
          <w:color w:val="auto"/>
        </w:rPr>
        <w:t>”) or any successor thereof or (B) have direct or indirect control, influence or management oversight of employees, directors, managers, officers or consultants of Honda R&amp;D Co or any successor thereof.</w:t>
      </w:r>
    </w:p>
    <w:p>
      <w:pPr>
        <w:spacing w:after="0" w:line="191" w:lineRule="exact"/>
        <w:rPr>
          <w:rFonts w:ascii="Arial" w:cs="Arial" w:eastAsia="Arial" w:hAnsi="Arial"/>
          <w:sz w:val="22"/>
          <w:szCs w:val="22"/>
          <w:color w:val="010000"/>
        </w:rPr>
      </w:pPr>
    </w:p>
    <w:p>
      <w:pPr>
        <w:jc w:val="both"/>
        <w:ind w:firstLine="1304"/>
        <w:spacing w:after="0" w:line="248" w:lineRule="auto"/>
        <w:tabs>
          <w:tab w:leader="none" w:pos="1860" w:val="left"/>
        </w:tabs>
        <w:numPr>
          <w:ilvl w:val="0"/>
          <w:numId w:val="88"/>
        </w:numPr>
        <w:rPr>
          <w:rFonts w:ascii="Arial" w:cs="Arial" w:eastAsia="Arial" w:hAnsi="Arial"/>
          <w:sz w:val="22"/>
          <w:szCs w:val="22"/>
          <w:color w:val="010000"/>
        </w:rPr>
      </w:pPr>
      <w:r>
        <w:rPr>
          <w:rFonts w:ascii="Arial" w:cs="Arial" w:eastAsia="Arial" w:hAnsi="Arial"/>
          <w:sz w:val="22"/>
          <w:szCs w:val="22"/>
          <w:color w:val="auto"/>
        </w:rPr>
        <w:t>Unless otherwise agreed in writing by Microsoft and the GM Investor, each Person selected pursuant to Section 6.04 from time to time to serve as the Microsoft Board Observer (i) must be a U.S. citizen and (ii) must not be (A) an employee, director (or board observer), manager, officer or consultant of any Restricted Person, or (B) a Person who has direct or indirect control, influence or management oversight of employees, directors, managers, officers or consultants of any Restricted Person or any successor thereof.</w:t>
      </w:r>
    </w:p>
    <w:p>
      <w:pPr>
        <w:spacing w:after="0" w:line="191" w:lineRule="exact"/>
        <w:rPr>
          <w:rFonts w:ascii="Arial" w:cs="Arial" w:eastAsia="Arial" w:hAnsi="Arial"/>
          <w:sz w:val="22"/>
          <w:szCs w:val="22"/>
          <w:color w:val="010000"/>
        </w:rPr>
      </w:pPr>
    </w:p>
    <w:p>
      <w:pPr>
        <w:jc w:val="both"/>
        <w:ind w:firstLine="1304"/>
        <w:spacing w:after="0" w:line="253" w:lineRule="auto"/>
        <w:tabs>
          <w:tab w:leader="none" w:pos="1777" w:val="left"/>
        </w:tabs>
        <w:numPr>
          <w:ilvl w:val="0"/>
          <w:numId w:val="88"/>
        </w:numPr>
        <w:rPr>
          <w:rFonts w:ascii="Arial" w:cs="Arial" w:eastAsia="Arial" w:hAnsi="Arial"/>
          <w:sz w:val="22"/>
          <w:szCs w:val="22"/>
          <w:color w:val="010000"/>
        </w:rPr>
      </w:pPr>
      <w:r>
        <w:rPr>
          <w:rFonts w:ascii="Arial" w:cs="Arial" w:eastAsia="Arial" w:hAnsi="Arial"/>
          <w:sz w:val="22"/>
          <w:szCs w:val="22"/>
          <w:color w:val="auto"/>
        </w:rPr>
        <w:t>The Softbank Director or any Board Observer (i) must not (A) be a “bad actor” as defined in Rule 506(d)(1) of the Securities Act or (B) have been convicted of a felony (excluding driving under the influence) or any crime involving moral turpitude.</w:t>
      </w:r>
    </w:p>
    <w:p>
      <w:pPr>
        <w:spacing w:after="0" w:line="185" w:lineRule="exact"/>
        <w:rPr>
          <w:rFonts w:ascii="Arial" w:cs="Arial" w:eastAsia="Arial" w:hAnsi="Arial"/>
          <w:sz w:val="22"/>
          <w:szCs w:val="22"/>
          <w:color w:val="010000"/>
        </w:rPr>
      </w:pPr>
    </w:p>
    <w:p>
      <w:pPr>
        <w:jc w:val="both"/>
        <w:ind w:firstLine="1304"/>
        <w:spacing w:after="0" w:line="247" w:lineRule="auto"/>
        <w:tabs>
          <w:tab w:leader="none" w:pos="1752" w:val="left"/>
        </w:tabs>
        <w:numPr>
          <w:ilvl w:val="0"/>
          <w:numId w:val="88"/>
        </w:numPr>
        <w:rPr>
          <w:rFonts w:ascii="Arial" w:cs="Arial" w:eastAsia="Arial" w:hAnsi="Arial"/>
          <w:sz w:val="22"/>
          <w:szCs w:val="22"/>
          <w:color w:val="010000"/>
        </w:rPr>
      </w:pPr>
      <w:r>
        <w:rPr>
          <w:rFonts w:ascii="Arial" w:cs="Arial" w:eastAsia="Arial" w:hAnsi="Arial"/>
          <w:sz w:val="22"/>
          <w:szCs w:val="22"/>
          <w:color w:val="auto"/>
        </w:rPr>
        <w:t>Any nominee for the position of SoftBank Director or any of the Board Observers shall also be subject to the prior written approval of the Majority of the Class A-2 Preferred, and absent such approval such Person shall not be nominated or appointed as a Director or Board Observer, as applicable. If, at any time following the appointment of the SoftBank Director or any Board Observer, the Majority of the Class A-2 Preferred believes that such SoftBank Director or Board Observer no longer satisfies the applicable criteria described in this Section 6.05, the Majority of the Class A-2 Preferred may deliver written notice thereof to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Board of Directors and (ii) the Majority of the Class A-1 Preferred in the case of the SoftBank Director or SoftBank Board Observer, Honda, in the case of the Honda Board Observer, or Microsoft, in the case of the Microsoft Board Observer. If, following reasonable consultation with SoftBank, Honda, or Microsoft, as applicable, the Board of Directors determines that such criteria are not met, such SoftBank Director or Board Observer (as applicable) will be deemed automatically removed, without recourse, as a Director or Board Observer (as applicable) and SoftBank, Honda, or Microsoft, as applicable, shall have the right to fill the resulting vacancy as contemplated by Section 6.03 and Section 6.04 but subject to this Section 6.05. If no Class A-2 Preferred Shares are outstanding, references in this Section 6.05 to a Majority of the Class A-2 Preferred will be deemed to be to a Majority of the Class C Common.</w:t>
      </w:r>
    </w:p>
    <w:p>
      <w:pPr>
        <w:spacing w:after="0" w:line="177" w:lineRule="exact"/>
        <w:rPr>
          <w:sz w:val="20"/>
          <w:szCs w:val="20"/>
          <w:color w:val="auto"/>
        </w:rPr>
      </w:pPr>
    </w:p>
    <w:p>
      <w:pPr>
        <w:jc w:val="both"/>
        <w:ind w:right="20" w:firstLine="648"/>
        <w:spacing w:after="0" w:line="349" w:lineRule="auto"/>
        <w:rPr>
          <w:sz w:val="20"/>
          <w:szCs w:val="20"/>
          <w:color w:val="auto"/>
        </w:rPr>
      </w:pPr>
      <w:r>
        <w:rPr>
          <w:rFonts w:ascii="Arial" w:cs="Arial" w:eastAsia="Arial" w:hAnsi="Arial"/>
          <w:sz w:val="19"/>
          <w:szCs w:val="19"/>
          <w:b w:val="1"/>
          <w:bCs w:val="1"/>
          <w:color w:val="auto"/>
        </w:rPr>
        <w:t xml:space="preserve">6.06 </w:t>
      </w:r>
      <w:r>
        <w:rPr>
          <w:rFonts w:ascii="Arial" w:cs="Arial" w:eastAsia="Arial" w:hAnsi="Arial"/>
          <w:sz w:val="19"/>
          <w:szCs w:val="19"/>
          <w:b w:val="1"/>
          <w:bCs w:val="1"/>
          <w:u w:val="single" w:color="auto"/>
          <w:color w:val="auto"/>
        </w:rPr>
        <w:t>Tenure of Directors</w:t>
      </w:r>
      <w:r>
        <w:rPr>
          <w:rFonts w:ascii="Arial" w:cs="Arial" w:eastAsia="Arial" w:hAnsi="Arial"/>
          <w:sz w:val="19"/>
          <w:szCs w:val="19"/>
          <w:color w:val="auto"/>
        </w:rPr>
        <w:t>. Each Director shall hold office until the earliest of such Person’s death, resignation, removal</w:t>
      </w:r>
      <w:r>
        <w:rPr>
          <w:rFonts w:ascii="Arial" w:cs="Arial" w:eastAsia="Arial" w:hAnsi="Arial"/>
          <w:sz w:val="19"/>
          <w:szCs w:val="19"/>
          <w:b w:val="1"/>
          <w:bCs w:val="1"/>
          <w:color w:val="auto"/>
        </w:rPr>
        <w:t xml:space="preserve"> </w:t>
      </w:r>
      <w:r>
        <w:rPr>
          <w:rFonts w:ascii="Arial" w:cs="Arial" w:eastAsia="Arial" w:hAnsi="Arial"/>
          <w:sz w:val="19"/>
          <w:szCs w:val="19"/>
          <w:color w:val="auto"/>
        </w:rPr>
        <w:t>or replacement (or, in the case of the SoftBank Director, such time as SoftBank owns less than the SoftBank Floor Amount).</w:t>
      </w:r>
    </w:p>
    <w:p>
      <w:pPr>
        <w:spacing w:after="0" w:line="9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6.07 </w:t>
      </w:r>
      <w:r>
        <w:rPr>
          <w:rFonts w:ascii="Arial" w:cs="Arial" w:eastAsia="Arial" w:hAnsi="Arial"/>
          <w:sz w:val="19"/>
          <w:szCs w:val="19"/>
          <w:b w:val="1"/>
          <w:bCs w:val="1"/>
          <w:u w:val="single" w:color="auto"/>
          <w:color w:val="auto"/>
        </w:rPr>
        <w:t>Committees</w:t>
      </w:r>
      <w:r>
        <w:rPr>
          <w:rFonts w:ascii="Arial" w:cs="Arial" w:eastAsia="Arial" w:hAnsi="Arial"/>
          <w:sz w:val="19"/>
          <w:szCs w:val="19"/>
          <w:color w:val="auto"/>
        </w:rPr>
        <w:t>. The Board of Directors may establish one or more committees, each committee to consist of one or</w:t>
      </w:r>
      <w:r>
        <w:rPr>
          <w:rFonts w:ascii="Arial" w:cs="Arial" w:eastAsia="Arial" w:hAnsi="Arial"/>
          <w:sz w:val="19"/>
          <w:szCs w:val="19"/>
          <w:b w:val="1"/>
          <w:bCs w:val="1"/>
          <w:color w:val="auto"/>
        </w:rPr>
        <w:t xml:space="preserve"> </w:t>
      </w:r>
      <w:r>
        <w:rPr>
          <w:rFonts w:ascii="Arial" w:cs="Arial" w:eastAsia="Arial" w:hAnsi="Arial"/>
          <w:sz w:val="19"/>
          <w:szCs w:val="19"/>
          <w:color w:val="auto"/>
        </w:rPr>
        <w:t>more of the Directors. Each Director serving on any such committee shall have one (1) vote. Any such committee, to the extent provided in the resolution of the Board of Directors, shall have and may exercise all the power and authority of the Board of Directors. The vote of a Majority of a Committee is required for any action or decision of a committee requiring the consent or approval of such committee, unless determined by the Board of Directors or the applicable committee (by vote of a Majority of a Committee). The procedures governing the meetings and actions of any committee shall be the same as those governing the Board of Directors pursuant to this Article VI (including quorum, voting, notice and other similar requirements), unless otherwise determined by the Board of Directors or the applicable committee (by a vote of a Majority of a Committee).</w:t>
      </w:r>
    </w:p>
    <w:p>
      <w:pPr>
        <w:spacing w:after="0" w:line="14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6.08 </w:t>
      </w:r>
      <w:r>
        <w:rPr>
          <w:rFonts w:ascii="Arial" w:cs="Arial" w:eastAsia="Arial" w:hAnsi="Arial"/>
          <w:sz w:val="22"/>
          <w:szCs w:val="22"/>
          <w:b w:val="1"/>
          <w:bCs w:val="1"/>
          <w:u w:val="single" w:color="auto"/>
          <w:color w:val="auto"/>
        </w:rPr>
        <w:t>Director Compensation</w:t>
      </w:r>
      <w:r>
        <w:rPr>
          <w:rFonts w:ascii="Arial" w:cs="Arial" w:eastAsia="Arial" w:hAnsi="Arial"/>
          <w:sz w:val="22"/>
          <w:szCs w:val="22"/>
          <w:color w:val="auto"/>
        </w:rPr>
        <w:t>. Except for any compensation approved by the Board of Directors for the Security</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 no Director shall be entitled to compensation for acting as a Director. However, the Company shall reimburse each Director for all reasonable out-of-pocket expenses which such Director shall incur in connection with the performance of such Person’s duties as a Director. Notwithstanding the foregoing, nothing contained in this Agreement shall be construed to preclude any Director from serving the Company or any of its Subsidiaries in any other capacity and receiving compensation for such service.</w:t>
      </w:r>
    </w:p>
    <w:p>
      <w:pPr>
        <w:spacing w:after="0" w:line="18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6.09 </w:t>
      </w:r>
      <w:r>
        <w:rPr>
          <w:rFonts w:ascii="Arial" w:cs="Arial" w:eastAsia="Arial" w:hAnsi="Arial"/>
          <w:sz w:val="22"/>
          <w:szCs w:val="22"/>
          <w:b w:val="1"/>
          <w:bCs w:val="1"/>
          <w:u w:val="single" w:color="auto"/>
          <w:color w:val="auto"/>
        </w:rPr>
        <w:t>Director Resignation</w:t>
      </w:r>
      <w:r>
        <w:rPr>
          <w:rFonts w:ascii="Arial" w:cs="Arial" w:eastAsia="Arial" w:hAnsi="Arial"/>
          <w:sz w:val="22"/>
          <w:szCs w:val="22"/>
          <w:color w:val="auto"/>
        </w:rPr>
        <w:t>. Any Director may resign at any time by giving written notice to the Board of Directors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secretary of the Company. The resignation of any Director shall take effect upon receipt of notice thereof or at such later time as shall be specified in such notice and, unless otherwise specified therein, the acceptance of such resignation shall not be necessary to make it effective. In the event of an actual or planned resignation by the Security Director, the CFIUS Monitoring Agency shall be notified in accordance with the NSA.</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6.10 </w:t>
      </w:r>
      <w:r>
        <w:rPr>
          <w:rFonts w:ascii="Arial" w:cs="Arial" w:eastAsia="Arial" w:hAnsi="Arial"/>
          <w:sz w:val="22"/>
          <w:szCs w:val="22"/>
          <w:b w:val="1"/>
          <w:bCs w:val="1"/>
          <w:u w:val="single" w:color="auto"/>
          <w:color w:val="auto"/>
        </w:rPr>
        <w:t>Vacancies</w:t>
      </w:r>
      <w:r>
        <w:rPr>
          <w:rFonts w:ascii="Arial" w:cs="Arial" w:eastAsia="Arial" w:hAnsi="Arial"/>
          <w:sz w:val="22"/>
          <w:szCs w:val="22"/>
          <w:color w:val="auto"/>
        </w:rPr>
        <w:t>. When any Director shall resign or otherwise cease to serve as Director, such vacancy shall be filled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Section 6.03. Unless otherwise provided by the Member(s) entitled to designate such replacement Director, the replacement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shall take effect when such resignation or cessation shall become effective. No vacancy on the Board of Directors shall prevent the operation and functioning of the Board of Directors subject to the terms and conditions hereof.</w:t>
      </w:r>
    </w:p>
    <w:p>
      <w:pPr>
        <w:spacing w:after="0" w:line="16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auto"/>
        </w:rPr>
        <w:t xml:space="preserve">6.11 </w:t>
      </w:r>
      <w:r>
        <w:rPr>
          <w:rFonts w:ascii="Arial" w:cs="Arial" w:eastAsia="Arial" w:hAnsi="Arial"/>
          <w:sz w:val="19"/>
          <w:szCs w:val="19"/>
          <w:b w:val="1"/>
          <w:bCs w:val="1"/>
          <w:u w:val="single" w:color="auto"/>
          <w:color w:val="auto"/>
        </w:rPr>
        <w:t>Meetings</w:t>
      </w:r>
      <w:r>
        <w:rPr>
          <w:rFonts w:ascii="Arial" w:cs="Arial" w:eastAsia="Arial" w:hAnsi="Arial"/>
          <w:sz w:val="19"/>
          <w:szCs w:val="19"/>
          <w:color w:val="auto"/>
        </w:rPr>
        <w:t>. The Board of Directors shall meet at such times and at such places (either within or outside of the State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Delaware) as determined in accordance with this Section 6.11. Minutes of any formal meeting of the Board of Directors shall be kept and placed in the Company’s records. Notwithstanding anything to the contrary in this Agreement, any action which may be taken at a meeting of the Board of Directors may be taken without a meeting if written consent(s) setting forth the action so taken shall be signed by a Majority of the Board, such written consent(s) to be provided as promptly as reasonably practicable by the Company to the SoftBank Board Observer (only in the event that the SoftBank Director is not serving on the Board of Directors), the Honda Board Observer, and the Microsoft Board Observer. Meetings of the Board of Directors shall be held on the call of the Chairman, the Board of Directors or at the request of either the Majority of the Class A-2 Preferred or a Majority of the Class C Common upon at least three (3) Business Days written notice to the Directors and the SoftBank Board Observer (only in the event that the SoftBank Director is not serving on the Board of Directors), the Honda Board Observer, and the Microsoft Board Observer (or upon such shorter notice as may be approved by all of the Directors) and such notice shall include the place, day and hour of such meeting, it being acknowledged and agreed that whether such meeting is to be held by telephone communications or video conference shall be determined by the Chairman;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the Board of Directors shall meet (whether in person or by any other means contemplated by Section 6.12) no less frequently than four (4) times per Fiscal Year (or less frequently as may be approved by all of the Directors). Meetings of the Directors or any committee designated by the Directors may be held without notice at any time that all Directors are present in person (each such meeting, an “</w:t>
      </w:r>
      <w:r>
        <w:rPr>
          <w:rFonts w:ascii="Arial" w:cs="Arial" w:eastAsia="Arial" w:hAnsi="Arial"/>
          <w:sz w:val="19"/>
          <w:szCs w:val="19"/>
          <w:b w:val="1"/>
          <w:bCs w:val="1"/>
          <w:color w:val="auto"/>
        </w:rPr>
        <w:t>Emergency</w:t>
      </w:r>
      <w:r>
        <w:rPr>
          <w:rFonts w:ascii="Arial" w:cs="Arial" w:eastAsia="Arial" w:hAnsi="Arial"/>
          <w:sz w:val="19"/>
          <w:szCs w:val="19"/>
          <w:color w:val="auto"/>
        </w:rPr>
        <w:t xml:space="preserve"> </w:t>
      </w:r>
      <w:r>
        <w:rPr>
          <w:rFonts w:ascii="Arial" w:cs="Arial" w:eastAsia="Arial" w:hAnsi="Arial"/>
          <w:sz w:val="19"/>
          <w:szCs w:val="19"/>
          <w:b w:val="1"/>
          <w:bCs w:val="1"/>
          <w:color w:val="auto"/>
        </w:rPr>
        <w:t>Meeting</w:t>
      </w:r>
      <w:r>
        <w:rPr>
          <w:rFonts w:ascii="Arial" w:cs="Arial" w:eastAsia="Arial" w:hAnsi="Arial"/>
          <w:sz w:val="19"/>
          <w:szCs w:val="19"/>
          <w:color w:val="auto"/>
        </w:rPr>
        <w:t>”), and the presence of any Director at a meeting constitutes waiver of notice of such meeting except as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by law. Any resolutions passed at an Emergency Meeting shall be provided as promptly as reasonably practicable by the Company to the SoftBank Board Observer (only in the event that the SoftBank Director is not serving on the Board of Directors), the Honda Board Observer, and the Microsoft Board Observer.</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6.12 </w:t>
      </w:r>
      <w:r>
        <w:rPr>
          <w:rFonts w:ascii="Arial" w:cs="Arial" w:eastAsia="Arial" w:hAnsi="Arial"/>
          <w:sz w:val="19"/>
          <w:szCs w:val="19"/>
          <w:b w:val="1"/>
          <w:bCs w:val="1"/>
          <w:u w:val="single" w:color="auto"/>
          <w:color w:val="auto"/>
        </w:rPr>
        <w:t>Meetings by Telephone</w:t>
      </w:r>
      <w:r>
        <w:rPr>
          <w:rFonts w:ascii="Arial" w:cs="Arial" w:eastAsia="Arial" w:hAnsi="Arial"/>
          <w:sz w:val="19"/>
          <w:szCs w:val="19"/>
          <w:color w:val="auto"/>
        </w:rPr>
        <w:t>. Directors may participate in a meeting of the Board of Directors or a committee thereof</w:t>
      </w:r>
      <w:r>
        <w:rPr>
          <w:rFonts w:ascii="Arial" w:cs="Arial" w:eastAsia="Arial" w:hAnsi="Arial"/>
          <w:sz w:val="19"/>
          <w:szCs w:val="19"/>
          <w:b w:val="1"/>
          <w:bCs w:val="1"/>
          <w:color w:val="auto"/>
        </w:rPr>
        <w:t xml:space="preserve"> </w:t>
      </w:r>
      <w:r>
        <w:rPr>
          <w:rFonts w:ascii="Arial" w:cs="Arial" w:eastAsia="Arial" w:hAnsi="Arial"/>
          <w:sz w:val="19"/>
          <w:szCs w:val="19"/>
          <w:color w:val="auto"/>
        </w:rPr>
        <w:t>by means of conference telephone, videoconference or similar communications equipment by which all Persons participating in the meeting can hear each other at the same time. Such participation shall constitute presence in person at the meeting.</w:t>
      </w:r>
    </w:p>
    <w:p>
      <w:pPr>
        <w:spacing w:after="0" w:line="12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6.13 </w:t>
      </w:r>
      <w:r>
        <w:rPr>
          <w:rFonts w:ascii="Arial" w:cs="Arial" w:eastAsia="Arial" w:hAnsi="Arial"/>
          <w:sz w:val="19"/>
          <w:szCs w:val="19"/>
          <w:b w:val="1"/>
          <w:bCs w:val="1"/>
          <w:u w:val="single" w:color="auto"/>
          <w:color w:val="auto"/>
        </w:rPr>
        <w:t>Quorum; Actions of Board of Directors; SoftBank Minority Consent Rights</w:t>
      </w:r>
      <w:r>
        <w:rPr>
          <w:rFonts w:ascii="Arial" w:cs="Arial" w:eastAsia="Arial" w:hAnsi="Arial"/>
          <w:sz w:val="19"/>
          <w:szCs w:val="19"/>
          <w:color w:val="auto"/>
        </w:rPr>
        <w:t>. A quorum at all meetings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shall consist of members of the Board of Directors constituting a Majority of the Board (present in person or by proxy), but a smaller number may adjourn any such meeting from time to time without further notice until a quorum is secured. The quorum for the holding of a meeting of a committee of the Board of Directors shall be a Majority of a Committee of such committee. Except as otherwise set forth in Section 6.16, each Director shall have one (1) vote on all matters submitted to the Board of Directors (whether the consideration of such matter is taken at a meeting, by written consent or otherwise). The vote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(or written consent signed by) a Majority of the Board shall be required for any action, decision or approval by the Board of Directors; </w:t>
      </w:r>
      <w:r>
        <w:rPr>
          <w:rFonts w:ascii="Arial" w:cs="Arial" w:eastAsia="Arial" w:hAnsi="Arial"/>
          <w:sz w:val="22"/>
          <w:szCs w:val="22"/>
          <w:u w:val="single" w:color="auto"/>
          <w:color w:val="auto"/>
        </w:rPr>
        <w:t>provided</w:t>
      </w:r>
      <w:r>
        <w:rPr>
          <w:rFonts w:ascii="Arial" w:cs="Arial" w:eastAsia="Arial" w:hAnsi="Arial"/>
          <w:sz w:val="22"/>
          <w:szCs w:val="22"/>
          <w:color w:val="auto"/>
        </w:rPr>
        <w:t>, that for so long as SoftBank owns the SoftBank Floor Amount, the Company shall not, and shall not permit any Subsidiary of the Company to, take any of the following actions without the approval of a Majority of the Board which majority shall include the vote in favor of the SoftBank Director, or by written consent signed by the Majority of the Board which shall also include the signature of the SoftBank Director:</w:t>
      </w:r>
    </w:p>
    <w:p>
      <w:pPr>
        <w:spacing w:after="0" w:line="192" w:lineRule="exact"/>
        <w:rPr>
          <w:sz w:val="20"/>
          <w:szCs w:val="20"/>
          <w:color w:val="auto"/>
        </w:rPr>
      </w:pPr>
    </w:p>
    <w:p>
      <w:pPr>
        <w:jc w:val="both"/>
        <w:ind w:firstLine="1304"/>
        <w:spacing w:after="0" w:line="286" w:lineRule="auto"/>
        <w:tabs>
          <w:tab w:leader="none" w:pos="1873" w:val="left"/>
        </w:tabs>
        <w:numPr>
          <w:ilvl w:val="0"/>
          <w:numId w:val="89"/>
        </w:numPr>
        <w:rPr>
          <w:rFonts w:ascii="Arial" w:cs="Arial" w:eastAsia="Arial" w:hAnsi="Arial"/>
          <w:sz w:val="19"/>
          <w:szCs w:val="19"/>
          <w:color w:val="010000"/>
        </w:rPr>
      </w:pPr>
      <w:r>
        <w:rPr>
          <w:rFonts w:ascii="Arial" w:cs="Arial" w:eastAsia="Arial" w:hAnsi="Arial"/>
          <w:sz w:val="19"/>
          <w:szCs w:val="19"/>
          <w:color w:val="auto"/>
        </w:rPr>
        <w:t xml:space="preserve">make any alteration or amendment or waiver to this Agreement or the organizational documents of any Subsidiary of the Company in a manner that is adverse to rights of the Class A-1 Preferred Shares; </w:t>
      </w:r>
      <w:r>
        <w:rPr>
          <w:rFonts w:ascii="Arial" w:cs="Arial" w:eastAsia="Arial" w:hAnsi="Arial"/>
          <w:sz w:val="19"/>
          <w:szCs w:val="19"/>
          <w:u w:val="single" w:color="auto"/>
          <w:color w:val="auto"/>
        </w:rPr>
        <w:t>provided</w:t>
      </w:r>
      <w:r>
        <w:rPr>
          <w:rFonts w:ascii="Arial" w:cs="Arial" w:eastAsia="Arial" w:hAnsi="Arial"/>
          <w:sz w:val="19"/>
          <w:szCs w:val="19"/>
          <w:color w:val="auto"/>
        </w:rPr>
        <w:t>, that this Section 6.13(a) will not apply to any of the following: (i) the addition of Members to the Company or the issuance of Shares or other Equity Securities of the Company (whether of a new or an existing class), in each case, in accordance with the terms of this Agreement, and any amendment(s) to this Agreement in connection with implementing such issuance or addition of such Member(s) (including the updating of the Members Schedule in connection therewith) or the granting of any rights to one or more Members in connection with such issuance in accordance with the terms of this Agreement, (ii) any amendment(s) to this Agreement in connection with the preparation for or consummation of an IPO that do not adversely affect the Class A-1 Preferred Shares in a manner which is disproportionate to the other Shares (except as contemplated by Section 9.10) or (iii) to correct any typographical or similar ministerial errors. In determining whether an amendment adversely affects the rights of the Class A-1 Preferred Shares, only the rights related thereto shall be considered, and any other relationship(s) the Class A-1 Preferred Members may have with the Company, any of its Subsidiaries or the other Members shall not be considered and no characteristic of the Class A-1 Preferred Members other than the rights relating to the Class A-1 Preferred Shares shall be considered;</w:t>
      </w:r>
    </w:p>
    <w:p>
      <w:pPr>
        <w:spacing w:after="0" w:line="165" w:lineRule="exact"/>
        <w:rPr>
          <w:rFonts w:ascii="Arial" w:cs="Arial" w:eastAsia="Arial" w:hAnsi="Arial"/>
          <w:sz w:val="19"/>
          <w:szCs w:val="19"/>
          <w:color w:val="010000"/>
        </w:rPr>
      </w:pPr>
    </w:p>
    <w:p>
      <w:pPr>
        <w:jc w:val="both"/>
        <w:ind w:firstLine="1304"/>
        <w:spacing w:after="0" w:line="287" w:lineRule="auto"/>
        <w:tabs>
          <w:tab w:leader="none" w:pos="1993" w:val="left"/>
        </w:tabs>
        <w:numPr>
          <w:ilvl w:val="0"/>
          <w:numId w:val="89"/>
        </w:numPr>
        <w:rPr>
          <w:rFonts w:ascii="Arial" w:cs="Arial" w:eastAsia="Arial" w:hAnsi="Arial"/>
          <w:sz w:val="19"/>
          <w:szCs w:val="19"/>
          <w:color w:val="010000"/>
        </w:rPr>
      </w:pPr>
      <w:r>
        <w:rPr>
          <w:rFonts w:ascii="Arial" w:cs="Arial" w:eastAsia="Arial" w:hAnsi="Arial"/>
          <w:sz w:val="19"/>
          <w:szCs w:val="19"/>
          <w:color w:val="auto"/>
        </w:rPr>
        <w:t xml:space="preserve">without prejudice to Sections 5.08(b)(i)(B), 5.08(b)(i)(C) and 5.08(b)(ii), enter into any transaction, arrangement or agreement between the Company or any of its Subsidiaries, on the one hand, and GM or any of its Affiliates on the other hand, except in each case for any such transaction, arrangement or agreement, (i) on terms, as determined by the Board of Directors acting in good faith, that are no less favorable, in all material respects, than those the Company would agree to with any Person who is not GM or any of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that for any such transaction, arrangement or agreement, the Board of Directors may (but shall not be obligated to) obtain (A) an opinion of an independent auditor or independent outside counsel that the requirements of subsection (i) have been satisfied or (B) approval of a majority of the Independent Directors (to the extent any are appointed), and such opinion or approval shall be conclusive evidence that the requirements of subsection (i) have been satisfied and shall be binding on the Members (it being understood that failure to obtain such opinion or approval shall not, in and of itself, be evidence that the requirements of subsection (i) have not been satisfied); (ii) contemplated by the Transaction Documents or the Commercial Agreements (as may be amended from time to time in accordance with the provisions thereof), or which is otherwise on terms consistent with the Commercial Agreements; or (iii) providing for the issuance of Equity Securities pursuant to Section 2.06;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04" w:lineRule="exact"/>
        <w:rPr>
          <w:sz w:val="20"/>
          <w:szCs w:val="20"/>
          <w:color w:val="auto"/>
        </w:rPr>
      </w:pPr>
    </w:p>
    <w:p>
      <w:pPr>
        <w:jc w:val="both"/>
        <w:ind w:firstLine="1304"/>
        <w:spacing w:after="0" w:line="290" w:lineRule="auto"/>
        <w:tabs>
          <w:tab w:leader="none" w:pos="1765" w:val="left"/>
        </w:tabs>
        <w:numPr>
          <w:ilvl w:val="0"/>
          <w:numId w:val="90"/>
        </w:numPr>
        <w:rPr>
          <w:rFonts w:ascii="Arial" w:cs="Arial" w:eastAsia="Arial" w:hAnsi="Arial"/>
          <w:sz w:val="19"/>
          <w:szCs w:val="19"/>
          <w:color w:val="010000"/>
        </w:rPr>
      </w:pPr>
      <w:r>
        <w:rPr>
          <w:rFonts w:ascii="Arial" w:cs="Arial" w:eastAsia="Arial" w:hAnsi="Arial"/>
          <w:sz w:val="19"/>
          <w:szCs w:val="19"/>
          <w:color w:val="auto"/>
        </w:rPr>
        <w:t xml:space="preserve">issue any Equity Securities that have rights, preferences or privileges with respect to Distributions, (i) senior to the rights of the Class A-1 Preferred Shares in Sections 3.01(b)(i) or 3.02(a)(i) or (ii) at any time prior to the first (1st) anniversary of Commercial Deployment,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rights of the Class A-1 Preferred Shares in Sections 3.01(b)(i) or 3.02(a)(i) (the “</w:t>
      </w:r>
      <w:r>
        <w:rPr>
          <w:rFonts w:ascii="Arial" w:cs="Arial" w:eastAsia="Arial" w:hAnsi="Arial"/>
          <w:sz w:val="19"/>
          <w:szCs w:val="19"/>
          <w:b w:val="1"/>
          <w:bCs w:val="1"/>
          <w:color w:val="auto"/>
        </w:rPr>
        <w:t>Par Securities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this subsection (ii) will not apply to (A) the Class F Preferred Shares issued to the Class F Preferred Members pursuant to the Class F Purchase Agreement and the Class G Preferred Shares issued to the Class G Preferred Members pursuant to the Class G Purchase Agreement and (B) the first $1,000,000,000 of new Par Securities issued in addition to the Class F Preferred Shares and Class G Preferred Shares (with such amount being calculated based on the consideration paid by the recipient(s) of such Par Securities); or</w:t>
      </w:r>
    </w:p>
    <w:p>
      <w:pPr>
        <w:spacing w:after="0" w:line="155" w:lineRule="exact"/>
        <w:rPr>
          <w:rFonts w:ascii="Arial" w:cs="Arial" w:eastAsia="Arial" w:hAnsi="Arial"/>
          <w:sz w:val="19"/>
          <w:szCs w:val="19"/>
          <w:color w:val="010000"/>
        </w:rPr>
      </w:pPr>
    </w:p>
    <w:p>
      <w:pPr>
        <w:jc w:val="both"/>
        <w:ind w:firstLine="1304"/>
        <w:spacing w:after="0" w:line="263" w:lineRule="auto"/>
        <w:tabs>
          <w:tab w:leader="none" w:pos="1791" w:val="left"/>
        </w:tabs>
        <w:numPr>
          <w:ilvl w:val="0"/>
          <w:numId w:val="90"/>
        </w:numPr>
        <w:rPr>
          <w:rFonts w:ascii="Arial" w:cs="Arial" w:eastAsia="Arial" w:hAnsi="Arial"/>
          <w:sz w:val="21"/>
          <w:szCs w:val="21"/>
          <w:color w:val="010000"/>
        </w:rPr>
      </w:pPr>
      <w:r>
        <w:rPr>
          <w:rFonts w:ascii="Arial" w:cs="Arial" w:eastAsia="Arial" w:hAnsi="Arial"/>
          <w:sz w:val="21"/>
          <w:szCs w:val="21"/>
          <w:color w:val="auto"/>
        </w:rPr>
        <w:t>consummate an IPO, prior to June 28, 2021, pursuant to which Class A-1 Preferred Members would receive IPO Shares that, at the time of the IPO, had (i) with respect to Class A-1-A Preferred Shares a per share market value less than the Class A-1-A Liquidation Preference Amount or (ii) with respect to Class A-1-B Preferred Shares a per share market value less than the Class A-1-B Liquidation Preference Amount (such aggregate shortfall for each Class A-1 Preferred Member, the “</w:t>
      </w:r>
      <w:r>
        <w:rPr>
          <w:rFonts w:ascii="Arial" w:cs="Arial" w:eastAsia="Arial" w:hAnsi="Arial"/>
          <w:sz w:val="21"/>
          <w:szCs w:val="21"/>
          <w:b w:val="1"/>
          <w:bCs w:val="1"/>
          <w:color w:val="auto"/>
        </w:rPr>
        <w:t>IPO</w:t>
      </w:r>
      <w:r>
        <w:rPr>
          <w:rFonts w:ascii="Arial" w:cs="Arial" w:eastAsia="Arial" w:hAnsi="Arial"/>
          <w:sz w:val="21"/>
          <w:szCs w:val="21"/>
          <w:color w:val="auto"/>
        </w:rPr>
        <w:t xml:space="preserve"> </w:t>
      </w:r>
      <w:r>
        <w:rPr>
          <w:rFonts w:ascii="Arial" w:cs="Arial" w:eastAsia="Arial" w:hAnsi="Arial"/>
          <w:sz w:val="21"/>
          <w:szCs w:val="21"/>
          <w:b w:val="1"/>
          <w:bCs w:val="1"/>
          <w:color w:val="auto"/>
        </w:rPr>
        <w:t>Shortfall</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that this Section 6.13(d) will not apply if:</w:t>
      </w:r>
    </w:p>
    <w:p>
      <w:pPr>
        <w:spacing w:after="0" w:line="175" w:lineRule="exact"/>
        <w:rPr>
          <w:rFonts w:ascii="Arial" w:cs="Arial" w:eastAsia="Arial" w:hAnsi="Arial"/>
          <w:sz w:val="21"/>
          <w:szCs w:val="21"/>
          <w:color w:val="010000"/>
        </w:rPr>
      </w:pPr>
    </w:p>
    <w:p>
      <w:pPr>
        <w:jc w:val="both"/>
        <w:ind w:firstLine="1952"/>
        <w:spacing w:after="0" w:line="302" w:lineRule="auto"/>
        <w:tabs>
          <w:tab w:leader="none" w:pos="2418" w:val="left"/>
        </w:tabs>
        <w:numPr>
          <w:ilvl w:val="1"/>
          <w:numId w:val="90"/>
        </w:numPr>
        <w:rPr>
          <w:rFonts w:ascii="Arial" w:cs="Arial" w:eastAsia="Arial" w:hAnsi="Arial"/>
          <w:sz w:val="19"/>
          <w:szCs w:val="19"/>
          <w:color w:val="010000"/>
        </w:rPr>
      </w:pPr>
      <w:r>
        <w:rPr>
          <w:rFonts w:ascii="Arial" w:cs="Arial" w:eastAsia="Arial" w:hAnsi="Arial"/>
          <w:sz w:val="19"/>
          <w:szCs w:val="19"/>
          <w:color w:val="auto"/>
        </w:rPr>
        <w:t>the Board of Directors, at or prior to the consummation of such an IPO (other than an IPO with no primary issuance or that constitutes a spin-off), causes the Company to make an irrevocable written commitment to each Class A-1 Preferred Member pursuant to which the Company will provide to such Class A-1 Preferred Member additional IPO Shares and/or cash equal to the aggregate IPO Shortfall that would be suffered by such Class A-1 Preferred Member; or</w:t>
      </w:r>
    </w:p>
    <w:p>
      <w:pPr>
        <w:spacing w:after="0" w:line="142" w:lineRule="exact"/>
        <w:rPr>
          <w:rFonts w:ascii="Arial" w:cs="Arial" w:eastAsia="Arial" w:hAnsi="Arial"/>
          <w:sz w:val="19"/>
          <w:szCs w:val="19"/>
          <w:color w:val="010000"/>
        </w:rPr>
      </w:pPr>
    </w:p>
    <w:p>
      <w:pPr>
        <w:jc w:val="both"/>
        <w:ind w:firstLine="1952"/>
        <w:spacing w:after="0" w:line="248" w:lineRule="auto"/>
        <w:tabs>
          <w:tab w:leader="none" w:pos="2478" w:val="left"/>
        </w:tabs>
        <w:numPr>
          <w:ilvl w:val="1"/>
          <w:numId w:val="90"/>
        </w:numPr>
        <w:rPr>
          <w:rFonts w:ascii="Arial" w:cs="Arial" w:eastAsia="Arial" w:hAnsi="Arial"/>
          <w:sz w:val="22"/>
          <w:szCs w:val="22"/>
          <w:color w:val="010000"/>
        </w:rPr>
      </w:pPr>
      <w:r>
        <w:rPr>
          <w:rFonts w:ascii="Arial" w:cs="Arial" w:eastAsia="Arial" w:hAnsi="Arial"/>
          <w:sz w:val="22"/>
          <w:szCs w:val="22"/>
          <w:color w:val="auto"/>
        </w:rPr>
        <w:t>in the case of such an IPO with no primary issuance or that constitutes a spin-off, at or prior to the consummation of such IPO the IPO’d entity enters into a binding agreement providing that, if based on the thirty (30)-day variable weighted average share price of the IPO’d entity immediately following such IPO there exists an IPO Shortfall, such entity will issue to the former Class A-1 Preferred Members additional IPO Shares and/or cash equal to the aggregate IPO Shortfall.</w:t>
      </w:r>
    </w:p>
    <w:p>
      <w:pPr>
        <w:spacing w:after="0" w:line="19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Notwithstanding anything to the contrary in this Agreement, if at any time the SoftBank Director has not been appointed to the Board of Directors or there is otherwise a vacancy with respect to the SoftBank Director and, in each case, SoftBank continues to own the SoftBank Floor Amount, none of the foregoing actions in this Section 6.13 shall be taken without the approval of the Majority of the Class A-1 Preferred. For clarity, if the rights in this Section 6.13(a) through (d) are amended or cease to apply pursuant to Sections 2.02(c)(ii) or 2.02(d), such rights will also be amended or cease to apply (as applicable) with respect to the Majority of the Class A-1 Preferred (to the extent rights were granted pursuant to the prior sentence).</w:t>
      </w:r>
    </w:p>
    <w:p>
      <w:pPr>
        <w:spacing w:after="0" w:line="14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6.14</w:t>
      </w:r>
      <w:r>
        <w:rPr>
          <w:sz w:val="20"/>
          <w:szCs w:val="20"/>
          <w:color w:val="auto"/>
        </w:rPr>
        <w:tab/>
      </w:r>
      <w:r>
        <w:rPr>
          <w:rFonts w:ascii="Arial" w:cs="Arial" w:eastAsia="Arial" w:hAnsi="Arial"/>
          <w:sz w:val="19"/>
          <w:szCs w:val="19"/>
          <w:b w:val="1"/>
          <w:bCs w:val="1"/>
          <w:u w:val="single" w:color="auto"/>
          <w:color w:val="auto"/>
        </w:rPr>
        <w:t>Competitively Sensitive Information</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04" w:lineRule="exact"/>
        <w:rPr>
          <w:sz w:val="20"/>
          <w:szCs w:val="20"/>
          <w:color w:val="auto"/>
        </w:rPr>
      </w:pPr>
    </w:p>
    <w:p>
      <w:pPr>
        <w:jc w:val="both"/>
        <w:ind w:firstLine="1304"/>
        <w:spacing w:after="0" w:line="287" w:lineRule="auto"/>
        <w:tabs>
          <w:tab w:leader="none" w:pos="1819" w:val="left"/>
        </w:tabs>
        <w:numPr>
          <w:ilvl w:val="0"/>
          <w:numId w:val="91"/>
        </w:numPr>
        <w:rPr>
          <w:rFonts w:ascii="Arial" w:cs="Arial" w:eastAsia="Arial" w:hAnsi="Arial"/>
          <w:sz w:val="19"/>
          <w:szCs w:val="19"/>
          <w:color w:val="010000"/>
        </w:rPr>
      </w:pPr>
      <w:r>
        <w:rPr>
          <w:rFonts w:ascii="Arial" w:cs="Arial" w:eastAsia="Arial" w:hAnsi="Arial"/>
          <w:sz w:val="19"/>
          <w:szCs w:val="19"/>
          <w:color w:val="auto"/>
        </w:rPr>
        <w:t xml:space="preserve">Notwithstanding anything to the contrary in this Agreement (and subject further, and without prejudice, to Section 8.03), in the event that any written or oral materials that contain SoftBank Competitively Sensitive Information will be shared with or presented to the Board of Directors, the Company shall withhold any such materials such that the SoftBank Competitively Sensitive Information is only shared or discussed with, or presented for review only to, the A-2 Preferred Directors and the Common Director (and decisions relating thereto), and each other Director (and the SoftBank Board Observer) shall recuse himself or herself from the portion(s) of the meeting at which any such matters are shared, presented or discussed;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 will (a) only redact that portion of any written materials which constitutes SoftBank Competitively Sensitive Information, provide the redacted document to the recused Directors and permit the recused Directors to participate in such portion of any meeting or discussion that relates solely to the unredacted sections of such materials, and (b) inform each Director that SoftBank Competitively Sensitive Information will be shared with or presented to the Board of Directors at least one (1) Business Day in advance of such materials being shared or presented.</w:t>
      </w:r>
    </w:p>
    <w:p>
      <w:pPr>
        <w:spacing w:after="0" w:line="163" w:lineRule="exact"/>
        <w:rPr>
          <w:rFonts w:ascii="Arial" w:cs="Arial" w:eastAsia="Arial" w:hAnsi="Arial"/>
          <w:sz w:val="19"/>
          <w:szCs w:val="19"/>
          <w:color w:val="010000"/>
        </w:rPr>
      </w:pPr>
    </w:p>
    <w:p>
      <w:pPr>
        <w:jc w:val="both"/>
        <w:ind w:firstLine="1304"/>
        <w:spacing w:after="0" w:line="287" w:lineRule="auto"/>
        <w:tabs>
          <w:tab w:leader="none" w:pos="1872" w:val="left"/>
        </w:tabs>
        <w:numPr>
          <w:ilvl w:val="0"/>
          <w:numId w:val="91"/>
        </w:numPr>
        <w:rPr>
          <w:rFonts w:ascii="Arial" w:cs="Arial" w:eastAsia="Arial" w:hAnsi="Arial"/>
          <w:sz w:val="19"/>
          <w:szCs w:val="19"/>
          <w:color w:val="010000"/>
        </w:rPr>
      </w:pPr>
      <w:r>
        <w:rPr>
          <w:rFonts w:ascii="Arial" w:cs="Arial" w:eastAsia="Arial" w:hAnsi="Arial"/>
          <w:sz w:val="19"/>
          <w:szCs w:val="19"/>
          <w:color w:val="auto"/>
        </w:rPr>
        <w:t xml:space="preserve">Notwithstanding anything to the contrary in this Agreement (and subject further, and without prejudice, to Section 8.03), in the event that any written or oral materials that contain Honda Competitively Sensitive Information will be shared with or presented to the Board of Directors, the Company shall withhold any such materials such that the Honda Competitively Sensitive Information is only shared or discussed with, or presented for review only to, the Directors (and decisions relating thereto), and the Honda Board Observer shall recuse himself or herself from the portion(s) of the meeting at which any such matters are shared, presented or discussed;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 will (a) only redact that portion of any written materials which constitutes Honda Competitively Sensitive Information, provide the redacted document to the recused Honda Board Observer and permit the recused Honda Board Observer to participate in such portion of any meeting or discussion that relates solely to the unredacted sections of such materials, and (b) inform each Director and the Honda Board Observer that Honda Competitively Sensitive Information will be shared with or presented to the Board of Directors at least one (1) Business Day in advance of such materials being shared or presented. Nothing in this Section 6.14(b) shall be deemed to override any of the limitations on sharing information as provided by Sections 6.14(a)or 6.14(c).</w:t>
      </w:r>
    </w:p>
    <w:p>
      <w:pPr>
        <w:spacing w:after="0" w:line="158" w:lineRule="exact"/>
        <w:rPr>
          <w:rFonts w:ascii="Arial" w:cs="Arial" w:eastAsia="Arial" w:hAnsi="Arial"/>
          <w:sz w:val="19"/>
          <w:szCs w:val="19"/>
          <w:color w:val="010000"/>
        </w:rPr>
      </w:pPr>
    </w:p>
    <w:p>
      <w:pPr>
        <w:jc w:val="both"/>
        <w:ind w:firstLine="1304"/>
        <w:spacing w:after="0" w:line="289" w:lineRule="auto"/>
        <w:tabs>
          <w:tab w:leader="none" w:pos="1819" w:val="left"/>
        </w:tabs>
        <w:numPr>
          <w:ilvl w:val="0"/>
          <w:numId w:val="91"/>
        </w:numPr>
        <w:rPr>
          <w:rFonts w:ascii="Arial" w:cs="Arial" w:eastAsia="Arial" w:hAnsi="Arial"/>
          <w:sz w:val="19"/>
          <w:szCs w:val="19"/>
          <w:color w:val="010000"/>
        </w:rPr>
      </w:pPr>
      <w:r>
        <w:rPr>
          <w:rFonts w:ascii="Arial" w:cs="Arial" w:eastAsia="Arial" w:hAnsi="Arial"/>
          <w:sz w:val="19"/>
          <w:szCs w:val="19"/>
          <w:color w:val="auto"/>
        </w:rPr>
        <w:t xml:space="preserve">Notwithstanding anything to the contrary in this Agreement (and subject further, and without prejudice, to Section 8.03), in the event that any written or oral materials that contain Microsoft Competitively Sensitive Information will be shared with or presented to the Board of Directors, the Company shall withhold any such materials such that the Microsoft Competitively Sensitive Information is only shared or discussed with, or presented for review only to, the Directors (and decisions relating thereto), and the Microsoft Board Observer shall recuse himself or herself from the portion(s) of the meeting at which any such matters are shared, presented or discussed;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 will (a) only redact that portion of any written materials which constitutes Microsoft Competitively Sensitive Information, provide the redacted document to the recused Microsoft Board Observer and permit the recused Microsoft Board Observer to participate in such portion of any meeting or discussion that relates solely to the unredacted sections of such materials, and (b) inform each Director and the Microsoft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Observer that Microsoft Competitively Sensitive Information will be shared with or presented to the Board of Directors at least one (1) Business Day in advance of such materials being shared or presented. Nothing in this Section 6.14(c) shall be deemed to override any of the limitations on sharing information as provided by Sections 6.14(a) or 6.14(b).</w:t>
      </w:r>
    </w:p>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6.15 </w:t>
      </w:r>
      <w:r>
        <w:rPr>
          <w:rFonts w:ascii="Arial" w:cs="Arial" w:eastAsia="Arial" w:hAnsi="Arial"/>
          <w:sz w:val="22"/>
          <w:szCs w:val="22"/>
          <w:b w:val="1"/>
          <w:bCs w:val="1"/>
          <w:u w:val="single" w:color="auto"/>
          <w:color w:val="auto"/>
        </w:rPr>
        <w:t>Officers</w:t>
      </w:r>
      <w:r>
        <w:rPr>
          <w:rFonts w:ascii="Arial" w:cs="Arial" w:eastAsia="Arial" w:hAnsi="Arial"/>
          <w:sz w:val="22"/>
          <w:szCs w:val="22"/>
          <w:color w:val="auto"/>
        </w:rPr>
        <w:t>. The Board of Directors may from time to time appoint individuals as officers of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Officers</w:t>
      </w:r>
      <w:r>
        <w:rPr>
          <w:rFonts w:ascii="Arial" w:cs="Arial" w:eastAsia="Arial" w:hAnsi="Arial"/>
          <w:sz w:val="22"/>
          <w:szCs w:val="22"/>
          <w:color w:val="auto"/>
        </w:rPr>
        <w:t>”). The Officers of the Company shall have such titles, duties, authority and compensation (if any) as shall be fixed by the Board of Directors from time to time. Any Officer may be removed, with or without cause, at any time by the Board of Directors.</w:t>
      </w:r>
    </w:p>
    <w:p>
      <w:pPr>
        <w:spacing w:after="0" w:line="1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6.16 </w:t>
      </w:r>
      <w:r>
        <w:rPr>
          <w:rFonts w:ascii="Arial" w:cs="Arial" w:eastAsia="Arial" w:hAnsi="Arial"/>
          <w:sz w:val="19"/>
          <w:szCs w:val="19"/>
          <w:b w:val="1"/>
          <w:bCs w:val="1"/>
          <w:u w:val="single" w:color="auto"/>
          <w:color w:val="auto"/>
        </w:rPr>
        <w:t>Enhanced Voting Rights</w:t>
      </w:r>
      <w:r>
        <w:rPr>
          <w:rFonts w:ascii="Arial" w:cs="Arial" w:eastAsia="Arial" w:hAnsi="Arial"/>
          <w:sz w:val="19"/>
          <w:szCs w:val="19"/>
          <w:color w:val="auto"/>
        </w:rPr>
        <w:t>. The Class A-2 Preferred Members, by vote of a Majority of the Class A-2 Preferred (or,</w:t>
      </w:r>
      <w:r>
        <w:rPr>
          <w:rFonts w:ascii="Arial" w:cs="Arial" w:eastAsia="Arial" w:hAnsi="Arial"/>
          <w:sz w:val="19"/>
          <w:szCs w:val="19"/>
          <w:b w:val="1"/>
          <w:bCs w:val="1"/>
          <w:color w:val="auto"/>
        </w:rPr>
        <w:t xml:space="preserve"> </w:t>
      </w:r>
      <w:r>
        <w:rPr>
          <w:rFonts w:ascii="Arial" w:cs="Arial" w:eastAsia="Arial" w:hAnsi="Arial"/>
          <w:sz w:val="19"/>
          <w:szCs w:val="19"/>
          <w:color w:val="auto"/>
        </w:rPr>
        <w:t>if there are no Class A-2 Preferred Shares outstanding, the Class C Members, by vote of a Majority of the Class C Common), shall have the right to, upon written notice to the Company, designate up to two (2) of the A-2 Preferred Directors to have enhanced voting rights as Directors. Any A-2 Preferred Director so designated shall have two (2) votes on all matters submitted to the Board of Directors (whether the consideration of such matter is taken at a meeting, by written consent or otherwise). The Class A-2 Preferred Members, by vote of a Majority of the Class A-2 Preferred (or, if there are no Class A-2 Preferred Shares outstanding, the Class C Members, by vote of a Majority of the Class C Common), may, at any time upon written notice to the Company, designate an alternate A-2 Preferred Director to have the enhanced voting rights under this Section 6.16.</w:t>
      </w:r>
    </w:p>
    <w:p>
      <w:pPr>
        <w:spacing w:after="0" w:line="14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EXCULPATION AND INDEMNIFICATION</w:t>
      </w:r>
    </w:p>
    <w:p>
      <w:pPr>
        <w:spacing w:after="0" w:line="19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 xml:space="preserve">7.01 </w:t>
      </w:r>
      <w:r>
        <w:rPr>
          <w:rFonts w:ascii="Arial" w:cs="Arial" w:eastAsia="Arial" w:hAnsi="Arial"/>
          <w:sz w:val="21"/>
          <w:szCs w:val="21"/>
          <w:b w:val="1"/>
          <w:bCs w:val="1"/>
          <w:u w:val="single" w:color="auto"/>
          <w:color w:val="auto"/>
        </w:rPr>
        <w:t>Exculpation</w:t>
      </w:r>
      <w:r>
        <w:rPr>
          <w:rFonts w:ascii="Arial" w:cs="Arial" w:eastAsia="Arial" w:hAnsi="Arial"/>
          <w:sz w:val="21"/>
          <w:szCs w:val="21"/>
          <w:color w:val="auto"/>
        </w:rPr>
        <w:t>. No Officer shall be liable to any other Officer, the Company or any Member for any loss suffered by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Company or any Member; </w:t>
      </w:r>
      <w:r>
        <w:rPr>
          <w:rFonts w:ascii="Arial" w:cs="Arial" w:eastAsia="Arial" w:hAnsi="Arial"/>
          <w:sz w:val="21"/>
          <w:szCs w:val="21"/>
          <w:u w:val="single" w:color="auto"/>
          <w:color w:val="auto"/>
        </w:rPr>
        <w:t>provided</w:t>
      </w:r>
      <w:r>
        <w:rPr>
          <w:rFonts w:ascii="Arial" w:cs="Arial" w:eastAsia="Arial" w:hAnsi="Arial"/>
          <w:sz w:val="21"/>
          <w:szCs w:val="21"/>
          <w:color w:val="auto"/>
        </w:rPr>
        <w:t>, that subject to the other limitations contained in this Agreement, this sentence shall not apply with respect to losses caused by such Person’s fraud, gross negligence, intentional misconduct or intentional breach of this Agreement or breach of any duty owed to the Company or to any other Member. Without limiting the foregoing, the Officers shall not be liable for any acts or omissions that do not constitute fraud, gross negligence, intentional misconduct or intentional breach of this Agreement or breach of any duty owed to the Company or to any other Member. No Director shall be liable to any other Director, the Company or any Member for any loss suffered by the Company or any Member to the maximum extent permitted pursuant to the DGCL (as the same exists or may hereafter be amended (but in the case of any amendment, only to the extent such amendment permits the Company to provide broader exculpation than the Company was permitted to provide prior to such amendment)) with respect to directors of corporations (assuming such corporation had in its certificate of incorporation a provision eliminating the liabilities of directors and officers to the maximum extent permitted by Section 102(b)(7) of the DGCL).</w:t>
      </w:r>
    </w:p>
    <w:p>
      <w:pPr>
        <w:spacing w:after="0" w:line="17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7.02</w:t>
      </w:r>
      <w:r>
        <w:rPr>
          <w:sz w:val="20"/>
          <w:szCs w:val="20"/>
          <w:color w:val="auto"/>
        </w:rPr>
        <w:tab/>
      </w:r>
      <w:r>
        <w:rPr>
          <w:rFonts w:ascii="Arial" w:cs="Arial" w:eastAsia="Arial" w:hAnsi="Arial"/>
          <w:sz w:val="19"/>
          <w:szCs w:val="19"/>
          <w:b w:val="1"/>
          <w:bCs w:val="1"/>
          <w:u w:val="single" w:color="auto"/>
          <w:color w:val="auto"/>
        </w:rPr>
        <w:t>Indemnification</w:t>
      </w:r>
      <w:r>
        <w:rPr>
          <w:rFonts w:ascii="Arial" w:cs="Arial" w:eastAsia="Arial" w:hAnsi="Arial"/>
          <w:sz w:val="19"/>
          <w:szCs w:val="19"/>
          <w:color w:val="auto"/>
        </w:rPr>
        <w:t>.</w:t>
      </w:r>
    </w:p>
    <w:p>
      <w:pPr>
        <w:spacing w:after="0" w:line="226" w:lineRule="exact"/>
        <w:rPr>
          <w:sz w:val="20"/>
          <w:szCs w:val="20"/>
          <w:color w:val="auto"/>
        </w:rPr>
      </w:pPr>
    </w:p>
    <w:p>
      <w:pPr>
        <w:ind w:firstLine="1304"/>
        <w:spacing w:after="0" w:line="263" w:lineRule="auto"/>
        <w:tabs>
          <w:tab w:leader="none" w:pos="1779" w:val="left"/>
        </w:tabs>
        <w:numPr>
          <w:ilvl w:val="0"/>
          <w:numId w:val="92"/>
        </w:numPr>
        <w:rPr>
          <w:rFonts w:ascii="Arial" w:cs="Arial" w:eastAsia="Arial" w:hAnsi="Arial"/>
          <w:sz w:val="22"/>
          <w:szCs w:val="22"/>
          <w:color w:val="010000"/>
        </w:rPr>
      </w:pPr>
      <w:r>
        <w:rPr>
          <w:rFonts w:ascii="Arial" w:cs="Arial" w:eastAsia="Arial" w:hAnsi="Arial"/>
          <w:sz w:val="22"/>
          <w:szCs w:val="22"/>
          <w:color w:val="auto"/>
        </w:rPr>
        <w:t>Subject to the limitations and conditions as provided in this Article VII, each Covered Person who was or is made a party or is threatened to be made a party to or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04"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involved in any threatened, pending or completed action, suit or proceeding, claim, dispute, litigation, complaint, charge, claim, grievance, hearing, audit, arbitration, or mediation, whether civil, criminal, administrative or arbitrative, at law or at equity, or any appeal therefrom, or any inquiry, or investigation that could lead to any of the foregoing (each of the foregoing, a “</w:t>
      </w:r>
      <w:r>
        <w:rPr>
          <w:rFonts w:ascii="Arial" w:cs="Arial" w:eastAsia="Arial" w:hAnsi="Arial"/>
          <w:sz w:val="19"/>
          <w:szCs w:val="19"/>
          <w:b w:val="1"/>
          <w:bCs w:val="1"/>
          <w:color w:val="auto"/>
        </w:rPr>
        <w:t>Proceeding</w:t>
      </w:r>
      <w:r>
        <w:rPr>
          <w:rFonts w:ascii="Arial" w:cs="Arial" w:eastAsia="Arial" w:hAnsi="Arial"/>
          <w:sz w:val="19"/>
          <w:szCs w:val="19"/>
          <w:color w:val="auto"/>
        </w:rPr>
        <w:t xml:space="preserve">”), by reason of the fact that he, she or it, or a Person of whom he or she is the legal representative, is or was a Member (in the case of a Member for all purposes of this Section 7.02, solely by reason of such Member’s status as a Member and not with respect to any actions taken, or the failure to take an action, by such Person as a Member) or other Covered Person, shall be indemnified by the Company to the fullest extent permitted by the Act or, in the case of Directors, to the fullest extent permitted by the DGCL for a director of a Delaware corporation (assuming such corporation had in its certificate of incorporation a provision eliminating the liabilities of directors and officers to the maximum extent permitted by Section 102(b)(7) of the DGCL), as (in the case of each of the DGCL and the Act) the same exists or may hereafter be amended (but, in the case of any such amendment, only to the extent that such amendment permits the Company to provide broader indemnification rights than said law permitted the Company to provide prior to such amendment) against judgments, penalties (including excise and similar taxes and punitive damages), fines, settlements and reasonable expenses (including attorneys’ fees) or any other amounts incurred by such Person in connection with such Proceeding, and indemnification under this Article VII shall continue as to a Covered Person who has ceased to serve in the capacity which initially entitled such Person to indemnity hereunder; </w:t>
      </w:r>
      <w:r>
        <w:rPr>
          <w:rFonts w:ascii="Arial" w:cs="Arial" w:eastAsia="Arial" w:hAnsi="Arial"/>
          <w:sz w:val="19"/>
          <w:szCs w:val="19"/>
          <w:u w:val="single" w:color="auto"/>
          <w:color w:val="auto"/>
        </w:rPr>
        <w:t>provided</w:t>
      </w:r>
      <w:r>
        <w:rPr>
          <w:rFonts w:ascii="Arial" w:cs="Arial" w:eastAsia="Arial" w:hAnsi="Arial"/>
          <w:sz w:val="19"/>
          <w:szCs w:val="19"/>
          <w:color w:val="auto"/>
        </w:rPr>
        <w:t>, that except to the extent a Person is entitled to or receives exculpation pursuant to Section 7.01 or as expressly provided for in any Applicable Agreement (as defined below), no Covered Person shall be indemnified for any judgments, penalties (including excise and similar taxes and punitive damages), fines, settlements or reasonable expenses (including attorneys’ fees) actually incurred by such Covered Person that are attributable to: (i) Proceedings initiated by such Covered Person or Proceedings by such Covered Person against the Company, (ii) economic losses or tax obligations incurred by a Covered Person as a result of owning Shares or (iii) Proceedings initiated by the Company or any of its Subsidiaries against any such Covered Person, including Proceedings to enforce any rights against such Covered Person under any Applicable Agreement. For purposes of the foregoing, "</w:t>
      </w:r>
      <w:r>
        <w:rPr>
          <w:rFonts w:ascii="Arial" w:cs="Arial" w:eastAsia="Arial" w:hAnsi="Arial"/>
          <w:sz w:val="19"/>
          <w:szCs w:val="19"/>
          <w:b w:val="1"/>
          <w:bCs w:val="1"/>
          <w:color w:val="auto"/>
        </w:rPr>
        <w:t>Applicable Agreement</w:t>
      </w:r>
      <w:r>
        <w:rPr>
          <w:rFonts w:ascii="Arial" w:cs="Arial" w:eastAsia="Arial" w:hAnsi="Arial"/>
          <w:sz w:val="19"/>
          <w:szCs w:val="19"/>
          <w:color w:val="auto"/>
        </w:rPr>
        <w:t>" means (i) in relation to any Covered Person, other than the GM Investor and its Affiliates, any employment, consulting, services, indemnification, commercial or other written agreement between any such Covered Person and/or its Affiliates, on the one hand, and the Company and/or its Affiliates, on the other hand, including this Agreement, any Transaction Document, any Commercial Agreement or any Honda Commercial Agreements or any purchase agreement relating to the sale and issuance of Shares, and (ii) in relation to the GM Investor or its Affiliates, the Transaction Documents and the Microsoft Commercial Agreement to which the GM Investor or its Affiliates are a party.</w:t>
      </w:r>
    </w:p>
    <w:p>
      <w:pPr>
        <w:spacing w:after="0" w:line="200" w:lineRule="exact"/>
        <w:rPr>
          <w:sz w:val="20"/>
          <w:szCs w:val="20"/>
          <w:color w:val="auto"/>
        </w:rPr>
      </w:pPr>
    </w:p>
    <w:p>
      <w:pPr>
        <w:spacing w:after="0" w:line="217" w:lineRule="exact"/>
        <w:rPr>
          <w:sz w:val="20"/>
          <w:szCs w:val="20"/>
          <w:color w:val="auto"/>
        </w:rPr>
      </w:pPr>
    </w:p>
    <w:p>
      <w:pPr>
        <w:jc w:val="both"/>
        <w:ind w:firstLine="1304"/>
        <w:spacing w:after="0" w:line="248" w:lineRule="auto"/>
        <w:tabs>
          <w:tab w:leader="none" w:pos="1966" w:val="left"/>
        </w:tabs>
        <w:numPr>
          <w:ilvl w:val="0"/>
          <w:numId w:val="93"/>
        </w:numPr>
        <w:rPr>
          <w:rFonts w:ascii="Arial" w:cs="Arial" w:eastAsia="Arial" w:hAnsi="Arial"/>
          <w:sz w:val="22"/>
          <w:szCs w:val="22"/>
          <w:color w:val="010000"/>
        </w:rPr>
      </w:pPr>
      <w:r>
        <w:rPr>
          <w:rFonts w:ascii="Arial" w:cs="Arial" w:eastAsia="Arial" w:hAnsi="Arial"/>
          <w:sz w:val="22"/>
          <w:szCs w:val="22"/>
          <w:color w:val="auto"/>
        </w:rPr>
        <w:t>Expenses (including attorneys’ fees) incurred by a Covered Person in defending any civil, criminal, administrative or investigative action, suit or proceeding with respect to a Designated Matter shall be paid by the Company in advance of the final disposition of such action, suit or proceeding upon receipt of an undertaking by or on behalf of such Covered Person to repay such amount to the extent it shall ultimately be determined that such Covered Person is not entitled to indemnity under this Section 7.02.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04" w:lineRule="exact"/>
        <w:rPr>
          <w:sz w:val="20"/>
          <w:szCs w:val="20"/>
          <w:color w:val="auto"/>
        </w:rPr>
      </w:pPr>
    </w:p>
    <w:p>
      <w:pPr>
        <w:jc w:val="both"/>
        <w:ind w:firstLine="1304"/>
        <w:spacing w:after="0" w:line="312" w:lineRule="auto"/>
        <w:tabs>
          <w:tab w:leader="none" w:pos="1752" w:val="left"/>
        </w:tabs>
        <w:numPr>
          <w:ilvl w:val="0"/>
          <w:numId w:val="94"/>
        </w:numPr>
        <w:rPr>
          <w:rFonts w:ascii="Arial" w:cs="Arial" w:eastAsia="Arial" w:hAnsi="Arial"/>
          <w:sz w:val="19"/>
          <w:szCs w:val="19"/>
          <w:color w:val="010000"/>
        </w:rPr>
      </w:pPr>
      <w:r>
        <w:rPr>
          <w:rFonts w:ascii="Arial" w:cs="Arial" w:eastAsia="Arial" w:hAnsi="Arial"/>
          <w:sz w:val="19"/>
          <w:szCs w:val="19"/>
          <w:color w:val="auto"/>
        </w:rPr>
        <w:t>Recourse by a Covered Person for indemnity under this Section 7.02 shall be only against the Company as an entity and no Member shall by reason of being a Member be liable for the Company’s obligations under this Section 7.02 or otherwise be required to make additional Capital Contributions to help satisfy such indemnity obligations of the Company.</w:t>
      </w:r>
    </w:p>
    <w:p>
      <w:pPr>
        <w:spacing w:after="0" w:line="133" w:lineRule="exact"/>
        <w:rPr>
          <w:rFonts w:ascii="Arial" w:cs="Arial" w:eastAsia="Arial" w:hAnsi="Arial"/>
          <w:sz w:val="19"/>
          <w:szCs w:val="19"/>
          <w:color w:val="010000"/>
        </w:rPr>
      </w:pPr>
    </w:p>
    <w:p>
      <w:pPr>
        <w:jc w:val="both"/>
        <w:ind w:firstLine="1304"/>
        <w:spacing w:after="0" w:line="248" w:lineRule="auto"/>
        <w:tabs>
          <w:tab w:leader="none" w:pos="1899" w:val="left"/>
        </w:tabs>
        <w:numPr>
          <w:ilvl w:val="0"/>
          <w:numId w:val="94"/>
        </w:numPr>
        <w:rPr>
          <w:rFonts w:ascii="Arial" w:cs="Arial" w:eastAsia="Arial" w:hAnsi="Arial"/>
          <w:sz w:val="22"/>
          <w:szCs w:val="22"/>
          <w:color w:val="010000"/>
        </w:rPr>
      </w:pPr>
      <w:r>
        <w:rPr>
          <w:rFonts w:ascii="Arial" w:cs="Arial" w:eastAsia="Arial" w:hAnsi="Arial"/>
          <w:sz w:val="22"/>
          <w:szCs w:val="22"/>
          <w:color w:val="auto"/>
        </w:rPr>
        <w:t>The Company may enter into a separate agreement to indemnify any Covered Person as to any matter (whether or not a Designated Matter) to the extent such agreement is approved by the Board of Directors. Any such separate agreement shall be in addition to (and not in limitation of) the rights set forth in this Section 7.02 or elsewhere in this Agreement and shall not, unless expressly set forth in such separate agreement, be subject to any limitations or conditions set forth in this Section 7.02 or elsewhere in this Agreement.</w:t>
      </w:r>
    </w:p>
    <w:p>
      <w:pPr>
        <w:spacing w:after="0" w:line="191" w:lineRule="exact"/>
        <w:rPr>
          <w:rFonts w:ascii="Arial" w:cs="Arial" w:eastAsia="Arial" w:hAnsi="Arial"/>
          <w:sz w:val="22"/>
          <w:szCs w:val="22"/>
          <w:color w:val="010000"/>
        </w:rPr>
      </w:pPr>
    </w:p>
    <w:p>
      <w:pPr>
        <w:jc w:val="both"/>
        <w:ind w:firstLine="1304"/>
        <w:spacing w:after="0" w:line="261" w:lineRule="auto"/>
        <w:tabs>
          <w:tab w:leader="none" w:pos="1792" w:val="left"/>
        </w:tabs>
        <w:numPr>
          <w:ilvl w:val="0"/>
          <w:numId w:val="94"/>
        </w:numPr>
        <w:rPr>
          <w:rFonts w:ascii="Arial" w:cs="Arial" w:eastAsia="Arial" w:hAnsi="Arial"/>
          <w:sz w:val="21"/>
          <w:szCs w:val="21"/>
          <w:color w:val="010000"/>
        </w:rPr>
      </w:pPr>
      <w:r>
        <w:rPr>
          <w:rFonts w:ascii="Arial" w:cs="Arial" w:eastAsia="Arial" w:hAnsi="Arial"/>
          <w:sz w:val="21"/>
          <w:szCs w:val="21"/>
          <w:color w:val="auto"/>
        </w:rPr>
        <w:t>The indemnification and advancement of expenses provided by, or granted pursuant to, the other provisions of this Section 7.02 shall not be deemed to be exclusive of any other rights to which those seeking indemnification or advancement of expenses may be entitled under any agreement, both as to action in his, her or its official capacity and as to action in another capacity while holding such position or related to the Company, and shall continue as to any Person who has ceased to be a Covered Person (or successor or assignee of a Covered Person) and shall inure to the benefit of the heirs, representatives, successors and assigns of such Covered Person.</w:t>
      </w:r>
    </w:p>
    <w:p>
      <w:pPr>
        <w:spacing w:after="0" w:line="179" w:lineRule="exact"/>
        <w:rPr>
          <w:rFonts w:ascii="Arial" w:cs="Arial" w:eastAsia="Arial" w:hAnsi="Arial"/>
          <w:sz w:val="21"/>
          <w:szCs w:val="21"/>
          <w:color w:val="010000"/>
        </w:rPr>
      </w:pPr>
    </w:p>
    <w:p>
      <w:pPr>
        <w:ind w:firstLine="1304"/>
        <w:spacing w:after="0" w:line="343" w:lineRule="auto"/>
        <w:tabs>
          <w:tab w:leader="none" w:pos="1795" w:val="left"/>
        </w:tabs>
        <w:numPr>
          <w:ilvl w:val="0"/>
          <w:numId w:val="94"/>
        </w:numPr>
        <w:rPr>
          <w:rFonts w:ascii="Arial" w:cs="Arial" w:eastAsia="Arial" w:hAnsi="Arial"/>
          <w:sz w:val="19"/>
          <w:szCs w:val="19"/>
          <w:color w:val="010000"/>
        </w:rPr>
      </w:pPr>
      <w:r>
        <w:rPr>
          <w:rFonts w:ascii="Arial" w:cs="Arial" w:eastAsia="Arial" w:hAnsi="Arial"/>
          <w:sz w:val="19"/>
          <w:szCs w:val="19"/>
          <w:color w:val="auto"/>
        </w:rPr>
        <w:t>The Company may purchase and maintain insurance for the benefit of any Covered Person with respect to any Designated Matter, whether or not the Company must or could indemnify such Covered Person under this Section 7.02.</w:t>
      </w:r>
    </w:p>
    <w:p>
      <w:pPr>
        <w:spacing w:after="0" w:line="104" w:lineRule="exact"/>
        <w:rPr>
          <w:rFonts w:ascii="Arial" w:cs="Arial" w:eastAsia="Arial" w:hAnsi="Arial"/>
          <w:sz w:val="19"/>
          <w:szCs w:val="19"/>
          <w:color w:val="010000"/>
        </w:rPr>
      </w:pPr>
    </w:p>
    <w:p>
      <w:pPr>
        <w:jc w:val="both"/>
        <w:ind w:firstLine="1304"/>
        <w:spacing w:after="0" w:line="248" w:lineRule="auto"/>
        <w:tabs>
          <w:tab w:leader="none" w:pos="1791" w:val="left"/>
        </w:tabs>
        <w:numPr>
          <w:ilvl w:val="0"/>
          <w:numId w:val="94"/>
        </w:numPr>
        <w:rPr>
          <w:rFonts w:ascii="Arial" w:cs="Arial" w:eastAsia="Arial" w:hAnsi="Arial"/>
          <w:sz w:val="22"/>
          <w:szCs w:val="22"/>
          <w:color w:val="010000"/>
        </w:rPr>
      </w:pPr>
      <w:r>
        <w:rPr>
          <w:rFonts w:ascii="Arial" w:cs="Arial" w:eastAsia="Arial" w:hAnsi="Arial"/>
          <w:sz w:val="22"/>
          <w:szCs w:val="22"/>
          <w:color w:val="auto"/>
        </w:rPr>
        <w:t>This Article VII shall inure to the benefit of the Covered Persons and their heirs, representatives, successors and assigns, and it is the express intention of the parties hereto that the provisions of this Article VII for the indemnification and exculpation of the Covered Persons may be relied upon by such Covered Persons and may be enforced by such Covered Person against the Company pursuant to this Agreement or to a separate indemnification agreement, as if such Covered Persons were parties hereto.</w:t>
      </w:r>
    </w:p>
    <w:p>
      <w:pPr>
        <w:spacing w:after="0" w:line="18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7.03</w:t>
      </w:r>
      <w:r>
        <w:rPr>
          <w:sz w:val="20"/>
          <w:szCs w:val="20"/>
          <w:color w:val="auto"/>
        </w:rPr>
        <w:tab/>
      </w:r>
      <w:r>
        <w:rPr>
          <w:rFonts w:ascii="Arial" w:cs="Arial" w:eastAsia="Arial" w:hAnsi="Arial"/>
          <w:sz w:val="19"/>
          <w:szCs w:val="19"/>
          <w:b w:val="1"/>
          <w:bCs w:val="1"/>
          <w:u w:val="single" w:color="auto"/>
          <w:color w:val="auto"/>
        </w:rPr>
        <w:t>No Personal Liability</w:t>
      </w:r>
      <w:r>
        <w:rPr>
          <w:rFonts w:ascii="Arial" w:cs="Arial" w:eastAsia="Arial" w:hAnsi="Arial"/>
          <w:sz w:val="19"/>
          <w:szCs w:val="19"/>
          <w:color w:val="auto"/>
        </w:rPr>
        <w:t>.</w:t>
      </w:r>
    </w:p>
    <w:p>
      <w:pPr>
        <w:spacing w:after="0" w:line="22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No individual who is a Director or an Officer, or any combination of the foregoing, shall be personally liable under any judgment of a court, or in any other manner, for any debt, obligation or liability of the Company, whether that liability or obligation arises in contract, tort or otherwise solely by reason of being a Director or an Officer or any combination of the foregoing.</w:t>
      </w:r>
    </w:p>
    <w:p>
      <w:pPr>
        <w:spacing w:after="0" w:line="12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BOOKS AND RECORDS; INFORMATION; RELATED MATTERS; COMPLIANCE</w:t>
      </w:r>
    </w:p>
    <w:p>
      <w:pPr>
        <w:spacing w:after="0" w:line="196"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8.01 </w:t>
      </w:r>
      <w:r>
        <w:rPr>
          <w:rFonts w:ascii="Arial" w:cs="Arial" w:eastAsia="Arial" w:hAnsi="Arial"/>
          <w:sz w:val="19"/>
          <w:szCs w:val="19"/>
          <w:b w:val="1"/>
          <w:bCs w:val="1"/>
          <w:u w:val="single" w:color="auto"/>
          <w:color w:val="auto"/>
        </w:rPr>
        <w:t>Generally</w:t>
      </w:r>
      <w:r>
        <w:rPr>
          <w:rFonts w:ascii="Arial" w:cs="Arial" w:eastAsia="Arial" w:hAnsi="Arial"/>
          <w:sz w:val="19"/>
          <w:szCs w:val="19"/>
          <w:color w:val="auto"/>
        </w:rPr>
        <w:t>. The Company shall (and shall cause it Subsidiaries to) maintain books and records of account in which</w:t>
      </w:r>
      <w:r>
        <w:rPr>
          <w:rFonts w:ascii="Arial" w:cs="Arial" w:eastAsia="Arial" w:hAnsi="Arial"/>
          <w:sz w:val="19"/>
          <w:szCs w:val="19"/>
          <w:b w:val="1"/>
          <w:bCs w:val="1"/>
          <w:color w:val="auto"/>
        </w:rPr>
        <w:t xml:space="preserve"> </w:t>
      </w:r>
      <w:r>
        <w:rPr>
          <w:rFonts w:ascii="Arial" w:cs="Arial" w:eastAsia="Arial" w:hAnsi="Arial"/>
          <w:sz w:val="19"/>
          <w:szCs w:val="19"/>
          <w:color w:val="auto"/>
        </w:rPr>
        <w:t>full and correct entries shall be made of all of their business transactions pursuant to a system of accounting established and administered in accordance with GAAP. The Company shall (and shall cause its Subsidiaries to) implement financial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04"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reasonably designed to provide adequate assurance that payments will be made by or on behalf of the Company and its Subsidiaries only in accordance with the instructions of the Board of Directors or, as applicable, management to whom the Board of Directors has delegated such authority.</w:t>
      </w:r>
    </w:p>
    <w:p>
      <w:pPr>
        <w:spacing w:after="0" w:line="17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8.02</w:t>
      </w:r>
      <w:r>
        <w:rPr>
          <w:sz w:val="20"/>
          <w:szCs w:val="20"/>
          <w:color w:val="auto"/>
        </w:rPr>
        <w:tab/>
      </w:r>
      <w:r>
        <w:rPr>
          <w:rFonts w:ascii="Arial" w:cs="Arial" w:eastAsia="Arial" w:hAnsi="Arial"/>
          <w:sz w:val="19"/>
          <w:szCs w:val="19"/>
          <w:b w:val="1"/>
          <w:bCs w:val="1"/>
          <w:u w:val="single" w:color="auto"/>
          <w:color w:val="auto"/>
        </w:rPr>
        <w:t>Delivery of Financial Information</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47" w:lineRule="auto"/>
        <w:tabs>
          <w:tab w:leader="none" w:pos="1806" w:val="left"/>
        </w:tabs>
        <w:numPr>
          <w:ilvl w:val="0"/>
          <w:numId w:val="95"/>
        </w:numPr>
        <w:rPr>
          <w:rFonts w:ascii="Arial" w:cs="Arial" w:eastAsia="Arial" w:hAnsi="Arial"/>
          <w:sz w:val="22"/>
          <w:szCs w:val="22"/>
          <w:color w:val="010000"/>
        </w:rPr>
      </w:pPr>
      <w:r>
        <w:rPr>
          <w:rFonts w:ascii="Arial" w:cs="Arial" w:eastAsia="Arial" w:hAnsi="Arial"/>
          <w:sz w:val="22"/>
          <w:szCs w:val="22"/>
          <w:color w:val="auto"/>
        </w:rPr>
        <w:t>The Company shall deliver to (i) (A) SoftBank, for so long as SoftBank owns the SoftBank Floor Amount and (B) Honda, for so long as Honda owns the Honda Floor Amount, (C) to each Class F New Member, for so long as such Class F New Member owns its applicable General Floor Amount, (D) Microsoft, for so long as Microsoft owns the Microsoft Floor Amount, and (E) to each Class G New Member (other than Microsoft), for so long as such Class G New Member owns its applicable General Floor Amount, and, in each case of clauses (A),(B), (C), (D), and (E) subject to Section 8.03, and (ii) the GM Investor:</w:t>
      </w:r>
    </w:p>
    <w:p>
      <w:pPr>
        <w:spacing w:after="0" w:line="192" w:lineRule="exact"/>
        <w:rPr>
          <w:rFonts w:ascii="Arial" w:cs="Arial" w:eastAsia="Arial" w:hAnsi="Arial"/>
          <w:sz w:val="22"/>
          <w:szCs w:val="22"/>
          <w:color w:val="010000"/>
        </w:rPr>
      </w:pPr>
    </w:p>
    <w:p>
      <w:pPr>
        <w:jc w:val="both"/>
        <w:ind w:firstLine="1952"/>
        <w:spacing w:after="0" w:line="297" w:lineRule="auto"/>
        <w:tabs>
          <w:tab w:leader="none" w:pos="2391" w:val="left"/>
        </w:tabs>
        <w:numPr>
          <w:ilvl w:val="1"/>
          <w:numId w:val="95"/>
        </w:numPr>
        <w:rPr>
          <w:rFonts w:ascii="Arial" w:cs="Arial" w:eastAsia="Arial" w:hAnsi="Arial"/>
          <w:sz w:val="19"/>
          <w:szCs w:val="19"/>
          <w:color w:val="010000"/>
        </w:rPr>
      </w:pPr>
      <w:r>
        <w:rPr>
          <w:rFonts w:ascii="Arial" w:cs="Arial" w:eastAsia="Arial" w:hAnsi="Arial"/>
          <w:sz w:val="19"/>
          <w:szCs w:val="19"/>
          <w:color w:val="auto"/>
        </w:rPr>
        <w:t>as soon as practicable, but in any event within one hundred twenty (120) days (or, with respect to the Fiscal Year ending December 31, 2018, one hundred fifty (150) days), following the end of each Fiscal Year beginning with the Fiscal Year ending December 31, 2018, audited annual financial statements (including balance sheet, income statement, statement of cash flow and statement of members’ equity) and accompanying notes of the Company and its Subsidiaries (on a consolidated basis), prepared in accordance with GAAP (except as may be indicated in the notes thereto);</w:t>
      </w:r>
    </w:p>
    <w:p>
      <w:pPr>
        <w:spacing w:after="0" w:line="146" w:lineRule="exact"/>
        <w:rPr>
          <w:rFonts w:ascii="Arial" w:cs="Arial" w:eastAsia="Arial" w:hAnsi="Arial"/>
          <w:sz w:val="19"/>
          <w:szCs w:val="19"/>
          <w:color w:val="010000"/>
        </w:rPr>
      </w:pPr>
    </w:p>
    <w:p>
      <w:pPr>
        <w:jc w:val="both"/>
        <w:ind w:firstLine="1952"/>
        <w:spacing w:after="0" w:line="246" w:lineRule="auto"/>
        <w:tabs>
          <w:tab w:leader="none" w:pos="2451" w:val="left"/>
        </w:tabs>
        <w:numPr>
          <w:ilvl w:val="1"/>
          <w:numId w:val="95"/>
        </w:numPr>
        <w:rPr>
          <w:rFonts w:ascii="Arial" w:cs="Arial" w:eastAsia="Arial" w:hAnsi="Arial"/>
          <w:sz w:val="22"/>
          <w:szCs w:val="22"/>
          <w:color w:val="010000"/>
        </w:rPr>
      </w:pPr>
      <w:r>
        <w:rPr>
          <w:rFonts w:ascii="Arial" w:cs="Arial" w:eastAsia="Arial" w:hAnsi="Arial"/>
          <w:sz w:val="22"/>
          <w:szCs w:val="22"/>
          <w:color w:val="auto"/>
        </w:rPr>
        <w:t xml:space="preserve">as soon as practicable, but in any event within forty-five (45) days, following the end of each of the first three fiscal quarters of each Fiscal Year of the Company beginning with the fiscal quarter ending September 30, 2018, unaudited financial statements (including balance sheet, income statement, statement of cash flow and statement of members’ equity) of the Company and its Subsidiaries (on a consolidated basis), prepared in accordance with GAAP (except as may be indicated in the notes thereto and subject to the absence of footnote disclosures, normal year-end adjustments and such other departures from GAAP as the Board of Directors may authorize); </w:t>
      </w:r>
      <w:r>
        <w:rPr>
          <w:rFonts w:ascii="Arial" w:cs="Arial" w:eastAsia="Arial" w:hAnsi="Arial"/>
          <w:sz w:val="22"/>
          <w:szCs w:val="22"/>
          <w:u w:val="single" w:color="auto"/>
          <w:color w:val="auto"/>
        </w:rPr>
        <w:t>provided</w:t>
      </w:r>
      <w:r>
        <w:rPr>
          <w:rFonts w:ascii="Arial" w:cs="Arial" w:eastAsia="Arial" w:hAnsi="Arial"/>
          <w:sz w:val="22"/>
          <w:szCs w:val="22"/>
          <w:color w:val="auto"/>
        </w:rPr>
        <w:t>, that quarterly information provided before delivery of the first annual audited financial statements is subject to revision as part of the implementation of standalone financial reporting capabilities;</w:t>
      </w:r>
    </w:p>
    <w:p>
      <w:pPr>
        <w:spacing w:after="0" w:line="193" w:lineRule="exact"/>
        <w:rPr>
          <w:rFonts w:ascii="Arial" w:cs="Arial" w:eastAsia="Arial" w:hAnsi="Arial"/>
          <w:sz w:val="22"/>
          <w:szCs w:val="22"/>
          <w:color w:val="010000"/>
        </w:rPr>
      </w:pPr>
    </w:p>
    <w:p>
      <w:pPr>
        <w:jc w:val="both"/>
        <w:ind w:firstLine="1952"/>
        <w:spacing w:after="0" w:line="259" w:lineRule="auto"/>
        <w:tabs>
          <w:tab w:leader="none" w:pos="2484" w:val="left"/>
        </w:tabs>
        <w:numPr>
          <w:ilvl w:val="1"/>
          <w:numId w:val="95"/>
        </w:numPr>
        <w:rPr>
          <w:rFonts w:ascii="Arial" w:cs="Arial" w:eastAsia="Arial" w:hAnsi="Arial"/>
          <w:sz w:val="21"/>
          <w:szCs w:val="21"/>
          <w:color w:val="010000"/>
        </w:rPr>
      </w:pPr>
      <w:r>
        <w:rPr>
          <w:rFonts w:ascii="Arial" w:cs="Arial" w:eastAsia="Arial" w:hAnsi="Arial"/>
          <w:sz w:val="21"/>
          <w:szCs w:val="21"/>
          <w:color w:val="auto"/>
        </w:rPr>
        <w:t xml:space="preserve">as soon as practicable, but in any event within thirty (30) days after the end of each month, unaudited trial balances of the Company and its Subsidiaries (on a consolidated basis); </w:t>
      </w:r>
      <w:r>
        <w:rPr>
          <w:rFonts w:ascii="Arial" w:cs="Arial" w:eastAsia="Arial" w:hAnsi="Arial"/>
          <w:sz w:val="21"/>
          <w:szCs w:val="21"/>
          <w:u w:val="single" w:color="auto"/>
          <w:color w:val="auto"/>
        </w:rPr>
        <w:t>provided</w:t>
      </w:r>
      <w:r>
        <w:rPr>
          <w:rFonts w:ascii="Arial" w:cs="Arial" w:eastAsia="Arial" w:hAnsi="Arial"/>
          <w:sz w:val="21"/>
          <w:szCs w:val="21"/>
          <w:color w:val="auto"/>
        </w:rPr>
        <w:t>, that such management accounts will only be required to be delivered to the extent they are otherwise prepared by management of the Company in the ordinary course of business (and in such case shall only be required to be in such form as so otherwise prepared) and, for the avoidance of doubt, any monthly financial information may not include all adjustments necessary to reflect the Company and its Subsidiaries (on a consolidated basis) on a standalone basis in accordance with GAAP and any monthly information provided before the delivery of the first annual audited financial statements is subject to revision as part of the implementation of standalone financial reporting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04" w:lineRule="exact"/>
        <w:rPr>
          <w:sz w:val="20"/>
          <w:szCs w:val="20"/>
          <w:color w:val="auto"/>
        </w:rPr>
      </w:pPr>
    </w:p>
    <w:p>
      <w:pPr>
        <w:ind w:right="20" w:firstLine="1952"/>
        <w:spacing w:after="0" w:line="263" w:lineRule="auto"/>
        <w:tabs>
          <w:tab w:leader="none" w:pos="2499" w:val="left"/>
        </w:tabs>
        <w:numPr>
          <w:ilvl w:val="0"/>
          <w:numId w:val="96"/>
        </w:numPr>
        <w:rPr>
          <w:rFonts w:ascii="Arial" w:cs="Arial" w:eastAsia="Arial" w:hAnsi="Arial"/>
          <w:sz w:val="22"/>
          <w:szCs w:val="22"/>
          <w:color w:val="010000"/>
        </w:rPr>
      </w:pPr>
      <w:r>
        <w:rPr>
          <w:rFonts w:ascii="Arial" w:cs="Arial" w:eastAsia="Arial" w:hAnsi="Arial"/>
          <w:sz w:val="22"/>
          <w:szCs w:val="22"/>
          <w:color w:val="auto"/>
        </w:rPr>
        <w:t>as soon as practicable, but in any event within thirty (30) days after the end of each fiscal quarter of each Fiscal Year of the Company, the Members Schedule; and</w:t>
      </w:r>
    </w:p>
    <w:p>
      <w:pPr>
        <w:spacing w:after="0" w:line="174" w:lineRule="exact"/>
        <w:rPr>
          <w:rFonts w:ascii="Arial" w:cs="Arial" w:eastAsia="Arial" w:hAnsi="Arial"/>
          <w:sz w:val="22"/>
          <w:szCs w:val="22"/>
          <w:color w:val="010000"/>
        </w:rPr>
      </w:pPr>
    </w:p>
    <w:p>
      <w:pPr>
        <w:jc w:val="both"/>
        <w:ind w:firstLine="1952"/>
        <w:spacing w:after="0" w:line="302" w:lineRule="auto"/>
        <w:tabs>
          <w:tab w:leader="none" w:pos="2493" w:val="left"/>
        </w:tabs>
        <w:numPr>
          <w:ilvl w:val="0"/>
          <w:numId w:val="96"/>
        </w:numPr>
        <w:rPr>
          <w:rFonts w:ascii="Arial" w:cs="Arial" w:eastAsia="Arial" w:hAnsi="Arial"/>
          <w:sz w:val="19"/>
          <w:szCs w:val="19"/>
          <w:color w:val="010000"/>
        </w:rPr>
      </w:pPr>
      <w:r>
        <w:rPr>
          <w:rFonts w:ascii="Arial" w:cs="Arial" w:eastAsia="Arial" w:hAnsi="Arial"/>
          <w:sz w:val="19"/>
          <w:szCs w:val="19"/>
          <w:color w:val="auto"/>
        </w:rPr>
        <w:t>as soon as reasonably practicable following the end of each Fiscal Year beginning with the Fiscal Year ending December 31, 2018, a budget and business plan for the Company for the then current Fiscal Year. Such budget and business plan will be the same as was shared with the Board of Directors and will include a level of detail reasonably customary for entities of a size and nature similar to the Company. For clarity, this Section 8.02(a)(v) will be subject to Section 8.06.</w:t>
      </w:r>
    </w:p>
    <w:p>
      <w:pPr>
        <w:spacing w:after="0" w:line="13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8.03 </w:t>
      </w:r>
      <w:r>
        <w:rPr>
          <w:rFonts w:ascii="Arial" w:cs="Arial" w:eastAsia="Arial" w:hAnsi="Arial"/>
          <w:sz w:val="21"/>
          <w:szCs w:val="21"/>
          <w:b w:val="1"/>
          <w:bCs w:val="1"/>
          <w:u w:val="single" w:color="auto"/>
          <w:color w:val="auto"/>
        </w:rPr>
        <w:t>Technical Information</w:t>
      </w:r>
      <w:r>
        <w:rPr>
          <w:rFonts w:ascii="Arial" w:cs="Arial" w:eastAsia="Arial" w:hAnsi="Arial"/>
          <w:sz w:val="21"/>
          <w:szCs w:val="21"/>
          <w:color w:val="auto"/>
        </w:rPr>
        <w:t>. Except to the extent required pursuant to the Honda Commercial Agreements, but</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anything else to the contrary in this Agreement, the Company will not provide (and nothing in this Article VIII or otherwise in this Agreement will require the Company or any of its Directors or employees to provide) any Technical Information to any Class A-1 Preferred Member, Class D Member, Class E Member, Class H Member, Class F Preferred Members, Class G Preferred Members, the SoftBank Director, the Softbank Board Observer, or the Honda Board Observer. Notwithstanding the foregoing sentence, the Company may provide Technical Information to Microsoft and/or the Microsoft Board Observer, in connection with commercial agreement(s) with Microsoft and/or its Affiliates or otherwise deemed necessary or appropriate by the Company, in its sole discretion.</w:t>
      </w:r>
    </w:p>
    <w:p>
      <w:pPr>
        <w:spacing w:after="0" w:line="17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8.04</w:t>
      </w:r>
      <w:r>
        <w:rPr>
          <w:sz w:val="20"/>
          <w:szCs w:val="20"/>
          <w:color w:val="auto"/>
        </w:rPr>
        <w:tab/>
      </w:r>
      <w:r>
        <w:rPr>
          <w:rFonts w:ascii="Arial" w:cs="Arial" w:eastAsia="Arial" w:hAnsi="Arial"/>
          <w:sz w:val="19"/>
          <w:szCs w:val="19"/>
          <w:b w:val="1"/>
          <w:bCs w:val="1"/>
          <w:u w:val="single" w:color="auto"/>
          <w:color w:val="auto"/>
        </w:rPr>
        <w:t>Applicable ABAC/AML/Trade Laws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53" w:lineRule="auto"/>
        <w:tabs>
          <w:tab w:leader="none" w:pos="1819" w:val="left"/>
        </w:tabs>
        <w:numPr>
          <w:ilvl w:val="0"/>
          <w:numId w:val="97"/>
        </w:numPr>
        <w:rPr>
          <w:rFonts w:ascii="Arial" w:cs="Arial" w:eastAsia="Arial" w:hAnsi="Arial"/>
          <w:sz w:val="22"/>
          <w:szCs w:val="22"/>
          <w:color w:val="010000"/>
        </w:rPr>
      </w:pPr>
      <w:r>
        <w:rPr>
          <w:rFonts w:ascii="Arial" w:cs="Arial" w:eastAsia="Arial" w:hAnsi="Arial"/>
          <w:sz w:val="22"/>
          <w:szCs w:val="22"/>
          <w:color w:val="auto"/>
        </w:rPr>
        <w:t>The Company covenants and agrees that the Company, any Subsidiaries it establishes and any Associated Person of either the Company or any of its Subsidiaries shall comply with all Applicable ABAC Laws, Applicable AML Laws and Applicable Trade Laws.</w:t>
      </w:r>
    </w:p>
    <w:p>
      <w:pPr>
        <w:spacing w:after="0" w:line="185" w:lineRule="exact"/>
        <w:rPr>
          <w:rFonts w:ascii="Arial" w:cs="Arial" w:eastAsia="Arial" w:hAnsi="Arial"/>
          <w:sz w:val="22"/>
          <w:szCs w:val="22"/>
          <w:color w:val="010000"/>
        </w:rPr>
      </w:pPr>
    </w:p>
    <w:p>
      <w:pPr>
        <w:jc w:val="both"/>
        <w:ind w:firstLine="1304"/>
        <w:spacing w:after="0" w:line="250" w:lineRule="auto"/>
        <w:tabs>
          <w:tab w:leader="none" w:pos="1831" w:val="left"/>
        </w:tabs>
        <w:numPr>
          <w:ilvl w:val="0"/>
          <w:numId w:val="97"/>
        </w:numPr>
        <w:rPr>
          <w:rFonts w:ascii="Arial" w:cs="Arial" w:eastAsia="Arial" w:hAnsi="Arial"/>
          <w:sz w:val="22"/>
          <w:szCs w:val="22"/>
          <w:color w:val="010000"/>
        </w:rPr>
      </w:pPr>
      <w:r>
        <w:rPr>
          <w:rFonts w:ascii="Arial" w:cs="Arial" w:eastAsia="Arial" w:hAnsi="Arial"/>
          <w:sz w:val="22"/>
          <w:szCs w:val="22"/>
          <w:color w:val="auto"/>
        </w:rPr>
        <w:t>The Company covenants and agrees that the Company, any Subsidiaries it establishes and any Associated Person of either the Company or any of its Subsidiaries shall not use any funds received from GM, SoftBank, Honda, any Class F New Member, or any Class G New Member in violation of Applicable Trade Laws, including, directly or indirectly, for the benefit of any Blocked Person.</w:t>
      </w:r>
    </w:p>
    <w:p>
      <w:pPr>
        <w:spacing w:after="0" w:line="187" w:lineRule="exact"/>
        <w:rPr>
          <w:rFonts w:ascii="Arial" w:cs="Arial" w:eastAsia="Arial" w:hAnsi="Arial"/>
          <w:sz w:val="22"/>
          <w:szCs w:val="22"/>
          <w:color w:val="010000"/>
        </w:rPr>
      </w:pPr>
    </w:p>
    <w:p>
      <w:pPr>
        <w:jc w:val="both"/>
        <w:ind w:firstLine="1304"/>
        <w:spacing w:after="0" w:line="294" w:lineRule="auto"/>
        <w:tabs>
          <w:tab w:leader="none" w:pos="1914"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If it has not already done so, the Company shall adopt and implement within forty-five (45) days of executing this Agreement policies and procedures designed to prevent the Company and its Affiliates as well as any Associated Person of either the Company or any of its Affiliates from engaging in any activity, practice or conduct that would violate any of the Applicable ABAC Laws, Applicable AML Laws or Applicable Trade Laws. Such policy and procedures shall be consistent with the guidance that has been provided by government authorities in the United Kingdom and United States of America having authority to administer and prosecute violations of such laws and regulations.</w:t>
      </w:r>
    </w:p>
    <w:p>
      <w:pPr>
        <w:spacing w:after="0" w:line="149" w:lineRule="exact"/>
        <w:rPr>
          <w:rFonts w:ascii="Arial" w:cs="Arial" w:eastAsia="Arial" w:hAnsi="Arial"/>
          <w:sz w:val="19"/>
          <w:szCs w:val="19"/>
          <w:color w:val="010000"/>
        </w:rPr>
      </w:pPr>
    </w:p>
    <w:p>
      <w:pPr>
        <w:jc w:val="both"/>
        <w:ind w:firstLine="1304"/>
        <w:spacing w:after="0" w:line="253" w:lineRule="auto"/>
        <w:tabs>
          <w:tab w:leader="none" w:pos="1791" w:val="left"/>
        </w:tabs>
        <w:numPr>
          <w:ilvl w:val="0"/>
          <w:numId w:val="97"/>
        </w:numPr>
        <w:rPr>
          <w:rFonts w:ascii="Arial" w:cs="Arial" w:eastAsia="Arial" w:hAnsi="Arial"/>
          <w:sz w:val="22"/>
          <w:szCs w:val="22"/>
          <w:color w:val="010000"/>
        </w:rPr>
      </w:pPr>
      <w:r>
        <w:rPr>
          <w:rFonts w:ascii="Arial" w:cs="Arial" w:eastAsia="Arial" w:hAnsi="Arial"/>
          <w:sz w:val="22"/>
          <w:szCs w:val="22"/>
          <w:color w:val="auto"/>
        </w:rPr>
        <w:t>The Company shall confirm in writing to SoftBank upon written request (which such request shall be made no more frequently than once each fiscal year) that it and any Subsidiaries it establishes have complied with the undertakings in this Section 8.04.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04" w:lineRule="exact"/>
        <w:rPr>
          <w:sz w:val="20"/>
          <w:szCs w:val="20"/>
          <w:color w:val="auto"/>
        </w:rPr>
      </w:pPr>
    </w:p>
    <w:p>
      <w:pPr>
        <w:jc w:val="both"/>
        <w:ind w:firstLine="1304"/>
        <w:spacing w:after="0" w:line="261" w:lineRule="auto"/>
        <w:tabs>
          <w:tab w:leader="none" w:pos="1914" w:val="left"/>
        </w:tabs>
        <w:numPr>
          <w:ilvl w:val="0"/>
          <w:numId w:val="98"/>
        </w:numPr>
        <w:rPr>
          <w:rFonts w:ascii="Arial" w:cs="Arial" w:eastAsia="Arial" w:hAnsi="Arial"/>
          <w:sz w:val="21"/>
          <w:szCs w:val="21"/>
          <w:color w:val="010000"/>
        </w:rPr>
      </w:pPr>
      <w:r>
        <w:rPr>
          <w:rFonts w:ascii="Arial" w:cs="Arial" w:eastAsia="Arial" w:hAnsi="Arial"/>
          <w:sz w:val="21"/>
          <w:szCs w:val="21"/>
          <w:color w:val="auto"/>
        </w:rPr>
        <w:t>If the Company or any Subsidiaries it establishes has knowledge or reasonable cause to believe after reasonable investigation that the Company, any of its Subsidiaries or any Associated Person of the Company or any of its Subsidiaries has materially violated any of the Applicable ABAC Laws, Applicable AML Laws and/or Applicable Trade Laws, it shall notify SoftBank promptly in writing of its suspicion or belief and keep SoftBank apprised of material developments concerning such violation; provided further, for the avoidance of doubt, that neither the Company nor any of the Company’s Subsidiaries shall be obligated to waive their attorney-client privilege to satisfy the foregoing obligation.</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8.05 </w:t>
      </w:r>
      <w:r>
        <w:rPr>
          <w:rFonts w:ascii="Arial" w:cs="Arial" w:eastAsia="Arial" w:hAnsi="Arial"/>
          <w:sz w:val="22"/>
          <w:szCs w:val="22"/>
          <w:b w:val="1"/>
          <w:bCs w:val="1"/>
          <w:u w:val="single" w:color="auto"/>
          <w:color w:val="auto"/>
        </w:rPr>
        <w:t>Notice to Honda of an OEM Investment</w:t>
      </w:r>
      <w:r>
        <w:rPr>
          <w:rFonts w:ascii="Arial" w:cs="Arial" w:eastAsia="Arial" w:hAnsi="Arial"/>
          <w:sz w:val="22"/>
          <w:szCs w:val="22"/>
          <w:color w:val="auto"/>
        </w:rPr>
        <w:t>. The Company shall provide the Class E Member with written notice of</w:t>
      </w:r>
      <w:r>
        <w:rPr>
          <w:rFonts w:ascii="Arial" w:cs="Arial" w:eastAsia="Arial" w:hAnsi="Arial"/>
          <w:sz w:val="22"/>
          <w:szCs w:val="22"/>
          <w:b w:val="1"/>
          <w:bCs w:val="1"/>
          <w:color w:val="auto"/>
        </w:rPr>
        <w:t xml:space="preserve"> </w:t>
      </w:r>
      <w:r>
        <w:rPr>
          <w:rFonts w:ascii="Arial" w:cs="Arial" w:eastAsia="Arial" w:hAnsi="Arial"/>
          <w:sz w:val="22"/>
          <w:szCs w:val="22"/>
          <w:color w:val="auto"/>
        </w:rPr>
        <w:t>an OEM Investment through the Honda Board Observer prior to the execution of the definitive agreement with respect to the consummation of such OEM Investment.</w:t>
      </w:r>
    </w:p>
    <w:p>
      <w:pPr>
        <w:spacing w:after="0" w:line="17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8.06 </w:t>
      </w:r>
      <w:r>
        <w:rPr>
          <w:rFonts w:ascii="Arial" w:cs="Arial" w:eastAsia="Arial" w:hAnsi="Arial"/>
          <w:sz w:val="19"/>
          <w:szCs w:val="19"/>
          <w:b w:val="1"/>
          <w:bCs w:val="1"/>
          <w:u w:val="single" w:color="auto"/>
          <w:color w:val="auto"/>
        </w:rPr>
        <w:t>Material Non-Public Information</w:t>
      </w:r>
      <w:r>
        <w:rPr>
          <w:rFonts w:ascii="Arial" w:cs="Arial" w:eastAsia="Arial" w:hAnsi="Arial"/>
          <w:sz w:val="19"/>
          <w:szCs w:val="19"/>
          <w:color w:val="auto"/>
        </w:rPr>
        <w:t>. Notwithstanding anything to the contrary herein, (a) the Company will not</w:t>
      </w:r>
      <w:r>
        <w:rPr>
          <w:rFonts w:ascii="Arial" w:cs="Arial" w:eastAsia="Arial" w:hAnsi="Arial"/>
          <w:sz w:val="19"/>
          <w:szCs w:val="19"/>
          <w:b w:val="1"/>
          <w:bCs w:val="1"/>
          <w:color w:val="auto"/>
        </w:rPr>
        <w:t xml:space="preserve"> </w:t>
      </w:r>
      <w:r>
        <w:rPr>
          <w:rFonts w:ascii="Arial" w:cs="Arial" w:eastAsia="Arial" w:hAnsi="Arial"/>
          <w:sz w:val="19"/>
          <w:szCs w:val="19"/>
          <w:color w:val="auto"/>
        </w:rPr>
        <w:t>provide any Class F New Member with any Material Non-Public Information, and (b) the Company shall not be deemed to be in breach of any obligation under this Agreement as a result of withholding Material Non-Public Information or failing to comply with any of its covenants or obligations herein as a result of the failure to provide Material Non-Public Information (including its obligations to provide a Company’s Notice of Intention to Sell, or any other notice, pursuant to Section 2.07).</w:t>
      </w:r>
    </w:p>
    <w:p>
      <w:pPr>
        <w:spacing w:after="0" w:line="385"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TRANSFERS OF COMPANY INTERESTS;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ADMISSION OF NEW MEMBERS; GM CALL</w:t>
      </w:r>
    </w:p>
    <w:p>
      <w:pPr>
        <w:spacing w:after="0" w:line="19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9.01</w:t>
      </w:r>
      <w:r>
        <w:rPr>
          <w:sz w:val="20"/>
          <w:szCs w:val="20"/>
          <w:color w:val="auto"/>
        </w:rPr>
        <w:tab/>
      </w:r>
      <w:r>
        <w:rPr>
          <w:rFonts w:ascii="Arial" w:cs="Arial" w:eastAsia="Arial" w:hAnsi="Arial"/>
          <w:sz w:val="19"/>
          <w:szCs w:val="19"/>
          <w:b w:val="1"/>
          <w:bCs w:val="1"/>
          <w:u w:val="single" w:color="auto"/>
          <w:color w:val="auto"/>
        </w:rPr>
        <w:t>Limitations on Transfer</w:t>
      </w:r>
      <w:r>
        <w:rPr>
          <w:rFonts w:ascii="Arial" w:cs="Arial" w:eastAsia="Arial" w:hAnsi="Arial"/>
          <w:sz w:val="19"/>
          <w:szCs w:val="19"/>
          <w:color w:val="auto"/>
        </w:rPr>
        <w: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(a)</w:t>
      </w:r>
    </w:p>
    <w:p>
      <w:pPr>
        <w:spacing w:after="0" w:line="220" w:lineRule="exact"/>
        <w:rPr>
          <w:sz w:val="20"/>
          <w:szCs w:val="20"/>
          <w:color w:val="auto"/>
        </w:rPr>
      </w:pPr>
    </w:p>
    <w:p>
      <w:pPr>
        <w:jc w:val="both"/>
        <w:ind w:firstLine="1952"/>
        <w:spacing w:after="0" w:line="289" w:lineRule="auto"/>
        <w:tabs>
          <w:tab w:leader="none" w:pos="2377" w:val="left"/>
        </w:tabs>
        <w:numPr>
          <w:ilvl w:val="0"/>
          <w:numId w:val="99"/>
        </w:numPr>
        <w:rPr>
          <w:rFonts w:ascii="Arial" w:cs="Arial" w:eastAsia="Arial" w:hAnsi="Arial"/>
          <w:sz w:val="19"/>
          <w:szCs w:val="19"/>
          <w:color w:val="010000"/>
        </w:rPr>
      </w:pPr>
      <w:r>
        <w:rPr>
          <w:rFonts w:ascii="Arial" w:cs="Arial" w:eastAsia="Arial" w:hAnsi="Arial"/>
          <w:sz w:val="19"/>
          <w:szCs w:val="19"/>
          <w:color w:val="auto"/>
        </w:rPr>
        <w:t xml:space="preserve">Prior to the SoftBank Trigger Date, (A) no Equity Securities held by SoftBank or any of its Affiliates (other than any Class F Preferred Shares or Class G Preferred Shares held by SoftBank or any of its Affiliates) and (B) no Class B Common Shares, may be Transferred or offered to be Transferred without the prior written approval of each of the GM Investor and the Board of Directors and any such Transfer or offer to Transfer such Equity Securities or interests therein or rights relating thereto shall be null and void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and of no effect whatsoever. From and after the SoftBank Trigger Date, the limitations on Transfer set forth in the immediately preceding sentence will cease to apply;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following the SoftBank Trigger Date and prior to the consummation of an IPO no Transfer of any Equity Securities held by SoftBank or any of its Affiliates (other than any Class F Preferred Shares and Class G Preferred Shares held by SoftBank or any of its Affiliates) will be permitted unless the holder of such Shares shall have first complied with the provisions of Section 9.01(a)(ix).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04" w:lineRule="exact"/>
        <w:rPr>
          <w:sz w:val="20"/>
          <w:szCs w:val="20"/>
          <w:color w:val="auto"/>
        </w:rPr>
      </w:pPr>
    </w:p>
    <w:p>
      <w:pPr>
        <w:jc w:val="both"/>
        <w:ind w:firstLine="1952"/>
        <w:spacing w:after="0" w:line="259" w:lineRule="auto"/>
        <w:tabs>
          <w:tab w:leader="none" w:pos="2464" w:val="left"/>
        </w:tabs>
        <w:numPr>
          <w:ilvl w:val="1"/>
          <w:numId w:val="100"/>
        </w:numPr>
        <w:rPr>
          <w:rFonts w:ascii="Arial" w:cs="Arial" w:eastAsia="Arial" w:hAnsi="Arial"/>
          <w:sz w:val="21"/>
          <w:szCs w:val="21"/>
          <w:color w:val="010000"/>
        </w:rPr>
      </w:pPr>
      <w:r>
        <w:rPr>
          <w:rFonts w:ascii="Arial" w:cs="Arial" w:eastAsia="Arial" w:hAnsi="Arial"/>
          <w:sz w:val="21"/>
          <w:szCs w:val="21"/>
          <w:color w:val="auto"/>
        </w:rPr>
        <w:t xml:space="preserve">Prior to the Honda Trigger Date, no Equity Securities held by Honda or any of its Affiliates (except any Class F Preferred Shares or Class G Preferred Shares held by Honda or any of its Affiliates), may be Transferred or offered to be Transferred without the prior written approval of each of the GM Investor and the Board of Directors and any such Transfer or offer to Transfer such Equity Securities or interests therein or rights relating thereto shall be null and void </w:t>
      </w:r>
      <w:r>
        <w:rPr>
          <w:rFonts w:ascii="Arial" w:cs="Arial" w:eastAsia="Arial" w:hAnsi="Arial"/>
          <w:sz w:val="21"/>
          <w:szCs w:val="21"/>
          <w:i w:val="1"/>
          <w:iCs w:val="1"/>
          <w:color w:val="auto"/>
        </w:rPr>
        <w:t>ab initio</w:t>
      </w:r>
      <w:r>
        <w:rPr>
          <w:rFonts w:ascii="Arial" w:cs="Arial" w:eastAsia="Arial" w:hAnsi="Arial"/>
          <w:sz w:val="21"/>
          <w:szCs w:val="21"/>
          <w:color w:val="auto"/>
        </w:rPr>
        <w:t xml:space="preserve"> and of no effect whatsoever. From and after the Honda Trigger Date, the limitations on Transfer set forth in the immediately preceding sentence will cease to apply; provided, that following the Honda Trigger Date, and prior to the consummation of an IPO no Transfer of Class E Common Shares or any other Equity Securities (other than Class F Preferred Shares and Class G Preferred Shares) held by Honda or any of its Affiliates will be permitted unless the holder of such Shares shall have first complied with the provisions of Section 9.01(a)(ix).</w:t>
      </w:r>
    </w:p>
    <w:p>
      <w:pPr>
        <w:spacing w:after="0" w:line="179" w:lineRule="exact"/>
        <w:rPr>
          <w:rFonts w:ascii="Arial" w:cs="Arial" w:eastAsia="Arial" w:hAnsi="Arial"/>
          <w:sz w:val="21"/>
          <w:szCs w:val="21"/>
          <w:color w:val="010000"/>
        </w:rPr>
      </w:pPr>
    </w:p>
    <w:p>
      <w:pPr>
        <w:jc w:val="both"/>
        <w:ind w:firstLine="1952"/>
        <w:spacing w:after="0" w:line="246" w:lineRule="auto"/>
        <w:tabs>
          <w:tab w:leader="none" w:pos="2524" w:val="left"/>
        </w:tabs>
        <w:numPr>
          <w:ilvl w:val="1"/>
          <w:numId w:val="100"/>
        </w:numPr>
        <w:rPr>
          <w:rFonts w:ascii="Arial" w:cs="Arial" w:eastAsia="Arial" w:hAnsi="Arial"/>
          <w:sz w:val="22"/>
          <w:szCs w:val="22"/>
          <w:color w:val="010000"/>
        </w:rPr>
      </w:pPr>
      <w:r>
        <w:rPr>
          <w:rFonts w:ascii="Arial" w:cs="Arial" w:eastAsia="Arial" w:hAnsi="Arial"/>
          <w:sz w:val="22"/>
          <w:szCs w:val="22"/>
          <w:color w:val="auto"/>
        </w:rPr>
        <w:t xml:space="preserve">Prior to the Class F Trigger Date, no Class F Preferred Shares may be Transferred or offered to be Transferred without the prior approval of each of the GM Investor and the Board of Directors and any such Transfer or offer to Transfer such Shares or interests therein or rights relating thereto shall be null and void </w:t>
      </w:r>
      <w:r>
        <w:rPr>
          <w:rFonts w:ascii="Arial" w:cs="Arial" w:eastAsia="Arial" w:hAnsi="Arial"/>
          <w:sz w:val="22"/>
          <w:szCs w:val="22"/>
          <w:i w:val="1"/>
          <w:iCs w:val="1"/>
          <w:color w:val="auto"/>
        </w:rPr>
        <w:t>ab initio</w:t>
      </w:r>
      <w:r>
        <w:rPr>
          <w:rFonts w:ascii="Arial" w:cs="Arial" w:eastAsia="Arial" w:hAnsi="Arial"/>
          <w:sz w:val="22"/>
          <w:szCs w:val="22"/>
          <w:color w:val="auto"/>
        </w:rPr>
        <w:t xml:space="preserve"> and of no effect whatsoever. From and after the Class F Trigger Date, the limitations on Transfer set forth in the immediately preceding sentence will cease to apply; </w:t>
      </w:r>
      <w:r>
        <w:rPr>
          <w:rFonts w:ascii="Arial" w:cs="Arial" w:eastAsia="Arial" w:hAnsi="Arial"/>
          <w:sz w:val="22"/>
          <w:szCs w:val="22"/>
          <w:u w:val="single" w:color="auto"/>
          <w:color w:val="auto"/>
        </w:rPr>
        <w:t>provided</w:t>
      </w:r>
      <w:r>
        <w:rPr>
          <w:rFonts w:ascii="Arial" w:cs="Arial" w:eastAsia="Arial" w:hAnsi="Arial"/>
          <w:sz w:val="22"/>
          <w:szCs w:val="22"/>
          <w:color w:val="auto"/>
        </w:rPr>
        <w:t>, that following the Class F Trigger Date and prior to the consummation of an IPO no Transfer of Class F Preferred Shares will be permitted unless the holder of such Shares shall have first complied with the provisions of Section 9.01(a)(ix).</w:t>
      </w:r>
    </w:p>
    <w:p>
      <w:pPr>
        <w:spacing w:after="0" w:line="196" w:lineRule="exact"/>
        <w:rPr>
          <w:rFonts w:ascii="Arial" w:cs="Arial" w:eastAsia="Arial" w:hAnsi="Arial"/>
          <w:sz w:val="22"/>
          <w:szCs w:val="22"/>
          <w:color w:val="010000"/>
        </w:rPr>
      </w:pPr>
    </w:p>
    <w:p>
      <w:pPr>
        <w:jc w:val="both"/>
        <w:ind w:firstLine="1952"/>
        <w:spacing w:after="0" w:line="246" w:lineRule="auto"/>
        <w:tabs>
          <w:tab w:leader="none" w:pos="2512" w:val="left"/>
        </w:tabs>
        <w:numPr>
          <w:ilvl w:val="1"/>
          <w:numId w:val="100"/>
        </w:numPr>
        <w:rPr>
          <w:rFonts w:ascii="Arial" w:cs="Arial" w:eastAsia="Arial" w:hAnsi="Arial"/>
          <w:sz w:val="22"/>
          <w:szCs w:val="22"/>
          <w:color w:val="010000"/>
        </w:rPr>
      </w:pPr>
      <w:r>
        <w:rPr>
          <w:rFonts w:ascii="Arial" w:cs="Arial" w:eastAsia="Arial" w:hAnsi="Arial"/>
          <w:sz w:val="22"/>
          <w:szCs w:val="22"/>
          <w:color w:val="auto"/>
        </w:rPr>
        <w:t xml:space="preserve">Prior to the Class G Trigger Date, no Class G Preferred Shares may be Transferred or offered to be Transferred without the prior approval of each of the GM Investor and the Board of Directors and any such Transfer or offer to Transfer such Shares or interests therein or rights relating thereto shall be null and void ab initio and of no effect whatsoever. From and after the Class G Trigger Date, the limitations on Transfer set forth in the immediately preceding sentence will cease to apply; </w:t>
      </w:r>
      <w:r>
        <w:rPr>
          <w:rFonts w:ascii="Arial" w:cs="Arial" w:eastAsia="Arial" w:hAnsi="Arial"/>
          <w:sz w:val="22"/>
          <w:szCs w:val="22"/>
          <w:u w:val="single" w:color="auto"/>
          <w:color w:val="auto"/>
        </w:rPr>
        <w:t>provided</w:t>
      </w:r>
      <w:r>
        <w:rPr>
          <w:rFonts w:ascii="Arial" w:cs="Arial" w:eastAsia="Arial" w:hAnsi="Arial"/>
          <w:sz w:val="22"/>
          <w:szCs w:val="22"/>
          <w:color w:val="auto"/>
        </w:rPr>
        <w:t>, that following the Class G Trigger Date and prior to the consummation of an IPO no Transfer of Class G Preferred Shares will be permitted unless the holder of such Shares shall have first complied with the provisions of Section 9.01(a)(ix).</w:t>
      </w:r>
    </w:p>
    <w:p>
      <w:pPr>
        <w:spacing w:after="0" w:line="196" w:lineRule="exact"/>
        <w:rPr>
          <w:rFonts w:ascii="Arial" w:cs="Arial" w:eastAsia="Arial" w:hAnsi="Arial"/>
          <w:sz w:val="22"/>
          <w:szCs w:val="22"/>
          <w:color w:val="010000"/>
        </w:rPr>
      </w:pPr>
    </w:p>
    <w:p>
      <w:pPr>
        <w:jc w:val="both"/>
        <w:ind w:firstLine="1952"/>
        <w:spacing w:after="0" w:line="291" w:lineRule="auto"/>
        <w:tabs>
          <w:tab w:leader="none" w:pos="2601" w:val="left"/>
        </w:tabs>
        <w:numPr>
          <w:ilvl w:val="1"/>
          <w:numId w:val="100"/>
        </w:numPr>
        <w:rPr>
          <w:rFonts w:ascii="Arial" w:cs="Arial" w:eastAsia="Arial" w:hAnsi="Arial"/>
          <w:sz w:val="19"/>
          <w:szCs w:val="19"/>
          <w:color w:val="010000"/>
        </w:rPr>
      </w:pPr>
      <w:r>
        <w:rPr>
          <w:rFonts w:ascii="Arial" w:cs="Arial" w:eastAsia="Arial" w:hAnsi="Arial"/>
          <w:sz w:val="19"/>
          <w:szCs w:val="19"/>
          <w:color w:val="auto"/>
        </w:rPr>
        <w:t>Sections 9.01(a)(i), 9.01(a)(ii), 9.01(a)(iii), and 9.01(a)(iv) (A) will not apply to any Transfer pursuant to Sections 2.02(c), 2.10, 2.11, 9.02, 9.07, 9.08, 9.09, 9.10, 9.12 or 9.13 (such Transfer, an “</w:t>
      </w:r>
      <w:r>
        <w:rPr>
          <w:rFonts w:ascii="Arial" w:cs="Arial" w:eastAsia="Arial" w:hAnsi="Arial"/>
          <w:sz w:val="19"/>
          <w:szCs w:val="19"/>
          <w:b w:val="1"/>
          <w:bCs w:val="1"/>
          <w:color w:val="auto"/>
        </w:rPr>
        <w:t>Excluded Transfer</w:t>
      </w:r>
      <w:r>
        <w:rPr>
          <w:rFonts w:ascii="Arial" w:cs="Arial" w:eastAsia="Arial" w:hAnsi="Arial"/>
          <w:sz w:val="19"/>
          <w:szCs w:val="19"/>
          <w:color w:val="auto"/>
        </w:rPr>
        <w:t>”) and</w:t>
      </w:r>
    </w:p>
    <w:p>
      <w:pPr>
        <w:spacing w:after="0" w:line="1" w:lineRule="exact"/>
        <w:rPr>
          <w:rFonts w:ascii="Arial" w:cs="Arial" w:eastAsia="Arial" w:hAnsi="Arial"/>
          <w:sz w:val="19"/>
          <w:szCs w:val="19"/>
          <w:color w:val="010000"/>
        </w:rPr>
      </w:pPr>
    </w:p>
    <w:p>
      <w:pPr>
        <w:ind w:left="360" w:hanging="352"/>
        <w:spacing w:after="0"/>
        <w:tabs>
          <w:tab w:leader="none" w:pos="3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will cease to apply upon consummation of an IPO.</w:t>
      </w:r>
    </w:p>
    <w:p>
      <w:pPr>
        <w:spacing w:after="0" w:line="201" w:lineRule="exact"/>
        <w:rPr>
          <w:rFonts w:ascii="Arial" w:cs="Arial" w:eastAsia="Arial" w:hAnsi="Arial"/>
          <w:sz w:val="22"/>
          <w:szCs w:val="22"/>
          <w:color w:val="auto"/>
        </w:rPr>
      </w:pPr>
    </w:p>
    <w:p>
      <w:pPr>
        <w:jc w:val="both"/>
        <w:ind w:firstLine="1952"/>
        <w:spacing w:after="0" w:line="250" w:lineRule="auto"/>
        <w:tabs>
          <w:tab w:leader="none" w:pos="2566" w:val="left"/>
        </w:tabs>
        <w:numPr>
          <w:ilvl w:val="1"/>
          <w:numId w:val="101"/>
        </w:numPr>
        <w:rPr>
          <w:rFonts w:ascii="Arial" w:cs="Arial" w:eastAsia="Arial" w:hAnsi="Arial"/>
          <w:sz w:val="22"/>
          <w:szCs w:val="22"/>
          <w:color w:val="010000"/>
        </w:rPr>
      </w:pPr>
      <w:r>
        <w:rPr>
          <w:rFonts w:ascii="Arial" w:cs="Arial" w:eastAsia="Arial" w:hAnsi="Arial"/>
          <w:sz w:val="22"/>
          <w:szCs w:val="22"/>
          <w:color w:val="auto"/>
        </w:rPr>
        <w:t>For clarity, except as set forth in Section 9.01(b) or Section 9.01(a)(viii), no Class A-2 Preferred Member, Class C Member, or the GM Investor or its Affiliates, with respect to its or their respective Class F Preferred Shares or Class G Preferred Shares, is subject to any restrictions on Transfer of its Class A-2 Preferred Shares, Class C Common Shares, Class F Preferred Shares, or Class G Preferred Shares.</w:t>
      </w:r>
    </w:p>
    <w:p>
      <w:pPr>
        <w:spacing w:after="0" w:line="187" w:lineRule="exact"/>
        <w:rPr>
          <w:rFonts w:ascii="Arial" w:cs="Arial" w:eastAsia="Arial" w:hAnsi="Arial"/>
          <w:sz w:val="22"/>
          <w:szCs w:val="22"/>
          <w:color w:val="010000"/>
        </w:rPr>
      </w:pPr>
    </w:p>
    <w:p>
      <w:pPr>
        <w:ind w:firstLine="1952"/>
        <w:spacing w:after="0" w:line="263" w:lineRule="auto"/>
        <w:tabs>
          <w:tab w:leader="none" w:pos="2532" w:val="left"/>
        </w:tabs>
        <w:numPr>
          <w:ilvl w:val="1"/>
          <w:numId w:val="101"/>
        </w:numPr>
        <w:rPr>
          <w:rFonts w:ascii="Arial" w:cs="Arial" w:eastAsia="Arial" w:hAnsi="Arial"/>
          <w:sz w:val="22"/>
          <w:szCs w:val="22"/>
          <w:color w:val="010000"/>
        </w:rPr>
      </w:pPr>
      <w:r>
        <w:rPr>
          <w:rFonts w:ascii="Arial" w:cs="Arial" w:eastAsia="Arial" w:hAnsi="Arial"/>
          <w:sz w:val="22"/>
          <w:szCs w:val="22"/>
          <w:color w:val="auto"/>
        </w:rPr>
        <w:t>Other than in connection with a Class H Purchase (as defined below), prior to the applicable Class H Trigger Date, no Class H Common Shares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04"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 xml:space="preserve">Transferred or offered to be Transferred without the prior written approval of each of the GM Investor and the Board of Directors, and any such Transfer, or offer to Transfer such Class H Common Shares or interests therein or rights relating thereto shall be null and void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and of no effect whatsoever. From and after the applicable Class H Trigger Date and prior to the consummation of the IPO, no Transfer of Class H Common Shares will be permitted to any Person (other than to the Company in connection with a Class H Purchase and/or the GM Investor pursuant to Section 9.01(a)(ix) or in connection with a Sale of the Company), unless the holder of such Shares shall have first complied with the provisions of Section 9.01(a)(ix).</w:t>
      </w:r>
    </w:p>
    <w:p>
      <w:pPr>
        <w:spacing w:after="0" w:line="149" w:lineRule="exact"/>
        <w:rPr>
          <w:sz w:val="20"/>
          <w:szCs w:val="20"/>
          <w:color w:val="auto"/>
        </w:rPr>
      </w:pPr>
    </w:p>
    <w:p>
      <w:pPr>
        <w:jc w:val="both"/>
        <w:ind w:firstLine="1952"/>
        <w:spacing w:after="0" w:line="253" w:lineRule="auto"/>
        <w:tabs>
          <w:tab w:leader="none" w:pos="2619" w:val="left"/>
        </w:tabs>
        <w:numPr>
          <w:ilvl w:val="0"/>
          <w:numId w:val="102"/>
        </w:numPr>
        <w:rPr>
          <w:rFonts w:ascii="Arial" w:cs="Arial" w:eastAsia="Arial" w:hAnsi="Arial"/>
          <w:sz w:val="22"/>
          <w:szCs w:val="22"/>
          <w:color w:val="010000"/>
        </w:rPr>
      </w:pPr>
      <w:r>
        <w:rPr>
          <w:rFonts w:ascii="Arial" w:cs="Arial" w:eastAsia="Arial" w:hAnsi="Arial"/>
          <w:sz w:val="22"/>
          <w:szCs w:val="22"/>
          <w:color w:val="auto"/>
        </w:rPr>
        <w:t>Notwithstanding anything to the contrary in this Agreement, at no time may any Equity Securities held by any Member (other than the GM Investor or its Affiliates) be Transferred to a Restricted Person without the prior written approval of each of the GM Investor and the Board of Directors.</w:t>
      </w:r>
    </w:p>
    <w:p>
      <w:pPr>
        <w:spacing w:after="0" w:line="185" w:lineRule="exact"/>
        <w:rPr>
          <w:rFonts w:ascii="Arial" w:cs="Arial" w:eastAsia="Arial" w:hAnsi="Arial"/>
          <w:sz w:val="22"/>
          <w:szCs w:val="22"/>
          <w:color w:val="010000"/>
        </w:rPr>
      </w:pPr>
    </w:p>
    <w:p>
      <w:pPr>
        <w:jc w:val="both"/>
        <w:ind w:firstLine="1952"/>
        <w:spacing w:after="0" w:line="284" w:lineRule="auto"/>
        <w:tabs>
          <w:tab w:leader="none" w:pos="2499" w:val="left"/>
        </w:tabs>
        <w:numPr>
          <w:ilvl w:val="0"/>
          <w:numId w:val="102"/>
        </w:numPr>
        <w:rPr>
          <w:rFonts w:ascii="Arial" w:cs="Arial" w:eastAsia="Arial" w:hAnsi="Arial"/>
          <w:sz w:val="19"/>
          <w:szCs w:val="19"/>
          <w:color w:val="010000"/>
        </w:rPr>
      </w:pPr>
      <w:r>
        <w:rPr>
          <w:rFonts w:ascii="Arial" w:cs="Arial" w:eastAsia="Arial" w:hAnsi="Arial"/>
          <w:sz w:val="19"/>
          <w:szCs w:val="19"/>
          <w:color w:val="auto"/>
        </w:rPr>
        <w:t>At least fifteen (15) days (or such shorter period as may be consented to by the Board of Directors) prior to entering into any definitive agreement (a “</w:t>
      </w:r>
      <w:r>
        <w:rPr>
          <w:rFonts w:ascii="Arial" w:cs="Arial" w:eastAsia="Arial" w:hAnsi="Arial"/>
          <w:sz w:val="19"/>
          <w:szCs w:val="19"/>
          <w:b w:val="1"/>
          <w:bCs w:val="1"/>
          <w:color w:val="auto"/>
        </w:rPr>
        <w:t>Binding Transaction Agreement</w:t>
      </w:r>
      <w:r>
        <w:rPr>
          <w:rFonts w:ascii="Arial" w:cs="Arial" w:eastAsia="Arial" w:hAnsi="Arial"/>
          <w:sz w:val="19"/>
          <w:szCs w:val="19"/>
          <w:color w:val="auto"/>
        </w:rPr>
        <w:t>”) providing for, or entered into in connection with, a proposed Transfer (other than an Excluded Transfer) of (A) any Equity Securities held by SoftBank or any of its Affiliates (other than any Class F Preferred Shares and Class G Preferred Shares held by SoftBank or any of its Affiliates), in each case from and after the SoftBank Trigger Date, (B) any Equity Securities (other than Class F Preferred Shares and Class G Preferred Shares) held by Honda or any of their Affiliates from and after the Honda Trigger Date, or (C) any Equity Securities held by Class F New Members or their Affiliates, or Class F Preferred Shares held by SoftBank, Honda or their respective Affiliates, in each case from and after the Class F Trigger Date, (D) any Equity Securities held by Class G New Members or their Affiliates, or Class G Preferred Shares held by SoftBank, Honda or their respective Affiliates, in each case from and after the Class G Trigger Date, or (E) any Class H Common Shares held by any Class H Member, in each case from and after the applicable Class H Trigger Date, such Member proposing to make such a Transfer (the “</w:t>
      </w:r>
      <w:r>
        <w:rPr>
          <w:rFonts w:ascii="Arial" w:cs="Arial" w:eastAsia="Arial" w:hAnsi="Arial"/>
          <w:sz w:val="19"/>
          <w:szCs w:val="19"/>
          <w:b w:val="1"/>
          <w:bCs w:val="1"/>
          <w:color w:val="auto"/>
        </w:rPr>
        <w:t>Transferor</w:t>
      </w:r>
      <w:r>
        <w:rPr>
          <w:rFonts w:ascii="Arial" w:cs="Arial" w:eastAsia="Arial" w:hAnsi="Arial"/>
          <w:sz w:val="19"/>
          <w:szCs w:val="19"/>
          <w:color w:val="auto"/>
        </w:rPr>
        <w:t>”) shall deliver a written notice (the “</w:t>
      </w:r>
      <w:r>
        <w:rPr>
          <w:rFonts w:ascii="Arial" w:cs="Arial" w:eastAsia="Arial" w:hAnsi="Arial"/>
          <w:sz w:val="19"/>
          <w:szCs w:val="19"/>
          <w:b w:val="1"/>
          <w:bCs w:val="1"/>
          <w:color w:val="auto"/>
        </w:rPr>
        <w:t>ROFR Notice</w:t>
      </w:r>
      <w:r>
        <w:rPr>
          <w:rFonts w:ascii="Arial" w:cs="Arial" w:eastAsia="Arial" w:hAnsi="Arial"/>
          <w:sz w:val="19"/>
          <w:szCs w:val="19"/>
          <w:color w:val="auto"/>
        </w:rPr>
        <w:t>”) to the Board of Directors and the GM Investor, specifying in reasonable detail the identity of the prospective transferee(s), the number and class of Equity Securities proposed to be Transferred (the “</w:t>
      </w:r>
      <w:r>
        <w:rPr>
          <w:rFonts w:ascii="Arial" w:cs="Arial" w:eastAsia="Arial" w:hAnsi="Arial"/>
          <w:sz w:val="19"/>
          <w:szCs w:val="19"/>
          <w:b w:val="1"/>
          <w:bCs w:val="1"/>
          <w:color w:val="auto"/>
        </w:rPr>
        <w:t>ROFR Offered Shares</w:t>
      </w:r>
      <w:r>
        <w:rPr>
          <w:rFonts w:ascii="Arial" w:cs="Arial" w:eastAsia="Arial" w:hAnsi="Arial"/>
          <w:sz w:val="19"/>
          <w:szCs w:val="19"/>
          <w:color w:val="auto"/>
        </w:rPr>
        <w:t>”) and the price and other terms and conditions of the proposed Transfer. No Transferor shall enter into a Binding Transaction Agreement or consummate such proposed Transfer before the GM ROFR Date (or such shorter period as consented to by the Board of Directors). Following receipt of the ROFR Notice, the GM Investor may elect to purchase all (but not less than all) of the ROFR Offered Shares at the price set forth in the ROFR Notice and otherwise on Equivalent Terms, by delivering (or one of its Affiliates delivering) written notice (a “</w:t>
      </w:r>
      <w:r>
        <w:rPr>
          <w:rFonts w:ascii="Arial" w:cs="Arial" w:eastAsia="Arial" w:hAnsi="Arial"/>
          <w:sz w:val="19"/>
          <w:szCs w:val="19"/>
          <w:b w:val="1"/>
          <w:bCs w:val="1"/>
          <w:color w:val="auto"/>
        </w:rPr>
        <w:t>GM ROFR Notice</w:t>
      </w:r>
      <w:r>
        <w:rPr>
          <w:rFonts w:ascii="Arial" w:cs="Arial" w:eastAsia="Arial" w:hAnsi="Arial"/>
          <w:sz w:val="19"/>
          <w:szCs w:val="19"/>
          <w:color w:val="auto"/>
        </w:rPr>
        <w:t>”) of such election to the relevant Transferor(s) within ten (10) days after delivery of the ROFR Notice (such 10th day, the “</w:t>
      </w:r>
      <w:r>
        <w:rPr>
          <w:rFonts w:ascii="Arial" w:cs="Arial" w:eastAsia="Arial" w:hAnsi="Arial"/>
          <w:sz w:val="19"/>
          <w:szCs w:val="19"/>
          <w:b w:val="1"/>
          <w:bCs w:val="1"/>
          <w:color w:val="auto"/>
        </w:rPr>
        <w:t>GM ROFR Date</w:t>
      </w:r>
      <w:r>
        <w:rPr>
          <w:rFonts w:ascii="Arial" w:cs="Arial" w:eastAsia="Arial" w:hAnsi="Arial"/>
          <w:sz w:val="19"/>
          <w:szCs w:val="19"/>
          <w:color w:val="auto"/>
        </w:rPr>
        <w:t>”). If the GM Investor (or one of its Affiliates) does not deliver a GM ROFR Notice electing to purchase all of the ROFR Offered Shares at the price set forth in the ROFR Notice and otherwise on Equivalent Terms on or prior to the GM ROFR Date, then the applicable Transferor(s) may sell all, but not less than all, of the ROFR Offered Shares to the Person identified in the ROFR Notice for a per Share amount equal to or greater than, and on other terms no less favorable to Transferor than, the price and other terms set forth in the ROFR Notice, in each case within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hundred twenty (120) days following the GM ROFR Date. Any ROFR Offered Shares not Transferred within such one hundred twenty (120)-day period shall again be subject to the provisions of this Section 9.01(a)(ix) prior to any subsequent Transfer. If the GM Investor has elected to purchase the ROFR Offered Shares in accordance with this Section 9.01(a)(ix), then such purchase shall be consummated as soon as practicable after the delivery of the GM ROFR Notice to the Transferor(s), but in any event within one hundred twenty (120) days after the delivery of such GM ROFR Notice. If the consideration proposed to be paid for the ROFR Offered Shares in the ROFR Notice is in property, services or other non-cash consideration, then the fair market value of such non-cash consideration shall be equal to the Fair Market Value thereof. The GM Investor shall pay the cash equivalent of such Fair Market Value of any such property, services or other non-cash consideration proposed to be paid in the ROFR Notice.</w:t>
      </w:r>
    </w:p>
    <w:p>
      <w:pPr>
        <w:spacing w:after="0" w:line="156" w:lineRule="exact"/>
        <w:rPr>
          <w:sz w:val="20"/>
          <w:szCs w:val="20"/>
          <w:color w:val="auto"/>
        </w:rPr>
      </w:pPr>
    </w:p>
    <w:p>
      <w:pPr>
        <w:jc w:val="both"/>
        <w:ind w:firstLine="1304"/>
        <w:spacing w:after="0" w:line="285" w:lineRule="auto"/>
        <w:tabs>
          <w:tab w:leader="none" w:pos="1804" w:val="left"/>
        </w:tabs>
        <w:numPr>
          <w:ilvl w:val="0"/>
          <w:numId w:val="103"/>
        </w:numPr>
        <w:rPr>
          <w:rFonts w:ascii="Arial" w:cs="Arial" w:eastAsia="Arial" w:hAnsi="Arial"/>
          <w:sz w:val="19"/>
          <w:szCs w:val="19"/>
          <w:color w:val="010000"/>
        </w:rPr>
      </w:pPr>
      <w:r>
        <w:rPr>
          <w:rFonts w:ascii="Arial" w:cs="Arial" w:eastAsia="Arial" w:hAnsi="Arial"/>
          <w:sz w:val="19"/>
          <w:szCs w:val="19"/>
          <w:color w:val="auto"/>
        </w:rPr>
        <w:t>Notwithstanding any other provision in this Agreement to the contrary, no Transfer of Shares may be made unless, in the opinion of counsel for the Company, satisfactory in form and substance to the Board of Directors (which opinion requirement, or one or more components thereof, may be waived, in whole or in part by the Board of Directors), such Transfer would not result in (i) a violation of any applicable United States federal or state securities laws, (ii) unless waived by the Board of Directors, the Company being required to register as an investment company under the Investment Company Act of 1940 or any other federal or state securities laws or (iii) other than pursuant to Section 9.10, the Company being required to register under Section 12(g) of the Securities Exchange Act of 1934. As a condition to the Company recognizing the effectiveness of any Transfer of Shares, the Board of Directors may require the transferor and/or transferee, as the case may be, to execute, acknowledge and deliver to the Company such instruments of transfer, assignment and assumption and such other certificates, representations and documents, and to perform all such other acts, which the Board of Directors may reasonably deem necessary or desirable to (A) verify the Transfer, (B) confirm that the proposed transferee has accepted, assumed and agreed to be subject and bound by all of the terms, obligations and conditions of this Agreement (whether or not such Person is to be admitted as a new Member) and (C) assure compliance with applicable state and federal laws, including securities laws and regulations. For the purposes of this Article IX, any transfer, sale, assignment, pledge, encumbrance or other direct or indirect disposition of shares or other interests of any Person which is an entity and a substantial portion of the assets of which are, directly or indirectly, Shares or other Equity Securities, or which is intentionally designed to, or has the effect of, circumventing the intention of the Transfer restrictions in this Agreement, shall be deemed to be a Transfer of Shares or Equity Securities (as applicable). Each Member as to which the immediately preceding sentence applies shall cause its direct and indirect interest holders to comply with the provisions of this Article IX.</w:t>
      </w:r>
    </w:p>
    <w:p>
      <w:pPr>
        <w:spacing w:after="0" w:line="200" w:lineRule="exact"/>
        <w:rPr>
          <w:rFonts w:ascii="Arial" w:cs="Arial" w:eastAsia="Arial" w:hAnsi="Arial"/>
          <w:sz w:val="19"/>
          <w:szCs w:val="19"/>
          <w:color w:val="010000"/>
        </w:rPr>
      </w:pPr>
    </w:p>
    <w:p>
      <w:pPr>
        <w:spacing w:after="0" w:line="219" w:lineRule="exact"/>
        <w:rPr>
          <w:rFonts w:ascii="Arial" w:cs="Arial" w:eastAsia="Arial" w:hAnsi="Arial"/>
          <w:sz w:val="19"/>
          <w:szCs w:val="19"/>
          <w:color w:val="010000"/>
        </w:rPr>
      </w:pPr>
    </w:p>
    <w:p>
      <w:pPr>
        <w:jc w:val="both"/>
        <w:ind w:firstLine="1304"/>
        <w:spacing w:after="0" w:line="297" w:lineRule="auto"/>
        <w:tabs>
          <w:tab w:leader="none" w:pos="1981" w:val="left"/>
        </w:tabs>
        <w:numPr>
          <w:ilvl w:val="0"/>
          <w:numId w:val="103"/>
        </w:numPr>
        <w:rPr>
          <w:rFonts w:ascii="Arial" w:cs="Arial" w:eastAsia="Arial" w:hAnsi="Arial"/>
          <w:sz w:val="19"/>
          <w:szCs w:val="19"/>
          <w:color w:val="010000"/>
        </w:rPr>
      </w:pPr>
      <w:r>
        <w:rPr>
          <w:rFonts w:ascii="Arial" w:cs="Arial" w:eastAsia="Arial" w:hAnsi="Arial"/>
          <w:sz w:val="19"/>
          <w:szCs w:val="19"/>
          <w:color w:val="auto"/>
        </w:rPr>
        <w:t>No Transfer of (i) Class A-1 Preferred Shares may be consummated (and any process pursuant to Section 9.01(a)(ix) shall be suspended if a Call Notice is delivered pursuant to Section 9.12) until such time as the Class A-1/D Purchase pursuant to such Call Notice has been consummated or (ii) Class H Common Shares may be consummated (and any process pursuant to Section 9.01(a)(ix) shall be suspended if a Class H Call Notice is delivered pursuant to Section 9.12) until such time as the Class H Purchase pursuant to such Class H Call Notice has been consummated.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204" w:lineRule="exact"/>
        <w:rPr>
          <w:sz w:val="20"/>
          <w:szCs w:val="20"/>
          <w:color w:val="auto"/>
        </w:rPr>
      </w:pPr>
    </w:p>
    <w:p>
      <w:pPr>
        <w:jc w:val="both"/>
        <w:ind w:firstLine="1304"/>
        <w:spacing w:after="0" w:line="250" w:lineRule="auto"/>
        <w:tabs>
          <w:tab w:leader="none" w:pos="2007" w:val="left"/>
        </w:tabs>
        <w:numPr>
          <w:ilvl w:val="0"/>
          <w:numId w:val="104"/>
        </w:numPr>
        <w:rPr>
          <w:rFonts w:ascii="Arial" w:cs="Arial" w:eastAsia="Arial" w:hAnsi="Arial"/>
          <w:sz w:val="22"/>
          <w:szCs w:val="22"/>
          <w:color w:val="010000"/>
        </w:rPr>
      </w:pPr>
      <w:r>
        <w:rPr>
          <w:rFonts w:ascii="Arial" w:cs="Arial" w:eastAsia="Arial" w:hAnsi="Arial"/>
          <w:sz w:val="22"/>
          <w:szCs w:val="22"/>
          <w:color w:val="auto"/>
        </w:rPr>
        <w:t>Until such time as SoftBank has paid, in full, the Subsequent SoftBank Commitment pursuant to Section 2.02(c), SoftBank (i) shall not make any Transfer if the effect of such Transfer would be that SoftBank ceases to be a Member hereunder and (ii) shall ensure that it has uncalled capital commitments sufficient to pay the Subsequent SoftBank Commitment in full.</w:t>
      </w:r>
    </w:p>
    <w:p>
      <w:pPr>
        <w:spacing w:after="0" w:line="18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9.02</w:t>
      </w:r>
      <w:r>
        <w:rPr>
          <w:sz w:val="20"/>
          <w:szCs w:val="20"/>
          <w:color w:val="auto"/>
        </w:rPr>
        <w:tab/>
      </w:r>
      <w:r>
        <w:rPr>
          <w:rFonts w:ascii="Arial" w:cs="Arial" w:eastAsia="Arial" w:hAnsi="Arial"/>
          <w:sz w:val="19"/>
          <w:szCs w:val="19"/>
          <w:b w:val="1"/>
          <w:bCs w:val="1"/>
          <w:u w:val="single" w:color="auto"/>
          <w:color w:val="auto"/>
        </w:rPr>
        <w:t>Permitted Transfers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312" w:lineRule="auto"/>
        <w:tabs>
          <w:tab w:leader="none" w:pos="1819" w:val="left"/>
        </w:tabs>
        <w:numPr>
          <w:ilvl w:val="0"/>
          <w:numId w:val="105"/>
        </w:numPr>
        <w:rPr>
          <w:rFonts w:ascii="Arial" w:cs="Arial" w:eastAsia="Arial" w:hAnsi="Arial"/>
          <w:sz w:val="19"/>
          <w:szCs w:val="19"/>
          <w:color w:val="010000"/>
        </w:rPr>
      </w:pPr>
      <w:r>
        <w:rPr>
          <w:rFonts w:ascii="Arial" w:cs="Arial" w:eastAsia="Arial" w:hAnsi="Arial"/>
          <w:sz w:val="19"/>
          <w:szCs w:val="19"/>
          <w:color w:val="auto"/>
        </w:rPr>
        <w:t>Notwithstanding Section 9.01(a), Class A-1 Preferred Shares, Class D Common Shares, Class B Common Shares, Class E Common Shares, Class H Common Shares, Class F Preferred Shares, and Class G Preferred Shares may be Transferred by the holder thereof without obtaining the approval of the Board of Directors or the GM Investor:</w:t>
      </w:r>
    </w:p>
    <w:p>
      <w:pPr>
        <w:spacing w:after="0" w:line="133" w:lineRule="exact"/>
        <w:rPr>
          <w:rFonts w:ascii="Arial" w:cs="Arial" w:eastAsia="Arial" w:hAnsi="Arial"/>
          <w:sz w:val="19"/>
          <w:szCs w:val="19"/>
          <w:color w:val="010000"/>
        </w:rPr>
      </w:pPr>
    </w:p>
    <w:p>
      <w:pPr>
        <w:ind w:firstLine="1952"/>
        <w:spacing w:after="0" w:line="287" w:lineRule="auto"/>
        <w:tabs>
          <w:tab w:leader="none" w:pos="2404" w:val="left"/>
        </w:tabs>
        <w:numPr>
          <w:ilvl w:val="1"/>
          <w:numId w:val="105"/>
        </w:numPr>
        <w:rPr>
          <w:rFonts w:ascii="Arial" w:cs="Arial" w:eastAsia="Arial" w:hAnsi="Arial"/>
          <w:sz w:val="21"/>
          <w:szCs w:val="21"/>
          <w:color w:val="010000"/>
        </w:rPr>
      </w:pPr>
      <w:r>
        <w:rPr>
          <w:rFonts w:ascii="Arial" w:cs="Arial" w:eastAsia="Arial" w:hAnsi="Arial"/>
          <w:sz w:val="21"/>
          <w:szCs w:val="21"/>
          <w:color w:val="auto"/>
        </w:rPr>
        <w:t>in the case of an Employee Member, to a member of the Family Group of the Person to whom such Shares were originally issued (a Transfer pursuant to this clause (i), an “</w:t>
      </w:r>
      <w:r>
        <w:rPr>
          <w:rFonts w:ascii="Arial" w:cs="Arial" w:eastAsia="Arial" w:hAnsi="Arial"/>
          <w:sz w:val="21"/>
          <w:szCs w:val="21"/>
          <w:b w:val="1"/>
          <w:bCs w:val="1"/>
          <w:color w:val="auto"/>
        </w:rPr>
        <w:t>Exempt Employee Member Transfer</w:t>
      </w:r>
      <w:r>
        <w:rPr>
          <w:rFonts w:ascii="Arial" w:cs="Arial" w:eastAsia="Arial" w:hAnsi="Arial"/>
          <w:sz w:val="21"/>
          <w:szCs w:val="21"/>
          <w:color w:val="auto"/>
        </w:rPr>
        <w:t>”);</w:t>
      </w:r>
    </w:p>
    <w:p>
      <w:pPr>
        <w:spacing w:after="0" w:line="151" w:lineRule="exact"/>
        <w:rPr>
          <w:rFonts w:ascii="Arial" w:cs="Arial" w:eastAsia="Arial" w:hAnsi="Arial"/>
          <w:sz w:val="21"/>
          <w:szCs w:val="21"/>
          <w:color w:val="010000"/>
        </w:rPr>
      </w:pPr>
    </w:p>
    <w:p>
      <w:pPr>
        <w:jc w:val="both"/>
        <w:ind w:firstLine="1952"/>
        <w:spacing w:after="0" w:line="253" w:lineRule="auto"/>
        <w:tabs>
          <w:tab w:leader="none" w:pos="2532" w:val="left"/>
        </w:tabs>
        <w:numPr>
          <w:ilvl w:val="1"/>
          <w:numId w:val="105"/>
        </w:numPr>
        <w:rPr>
          <w:rFonts w:ascii="Arial" w:cs="Arial" w:eastAsia="Arial" w:hAnsi="Arial"/>
          <w:sz w:val="22"/>
          <w:szCs w:val="22"/>
          <w:color w:val="010000"/>
        </w:rPr>
      </w:pPr>
      <w:r>
        <w:rPr>
          <w:rFonts w:ascii="Arial" w:cs="Arial" w:eastAsia="Arial" w:hAnsi="Arial"/>
          <w:sz w:val="22"/>
          <w:szCs w:val="22"/>
          <w:color w:val="auto"/>
        </w:rPr>
        <w:t>in the case of a SoftBank, to any Affiliate of SoftBank (other than SoftBank Group Corp. or its Subsidiaries) that is owned and controlled, directly or indirectly, by SoftBank and is not a Restricted Person (a Transfer pursuant to this clause (ii), an “</w:t>
      </w:r>
      <w:r>
        <w:rPr>
          <w:rFonts w:ascii="Arial" w:cs="Arial" w:eastAsia="Arial" w:hAnsi="Arial"/>
          <w:sz w:val="22"/>
          <w:szCs w:val="22"/>
          <w:b w:val="1"/>
          <w:bCs w:val="1"/>
          <w:color w:val="auto"/>
        </w:rPr>
        <w:t>Exempt SoftBank Transfer</w:t>
      </w:r>
      <w:r>
        <w:rPr>
          <w:rFonts w:ascii="Arial" w:cs="Arial" w:eastAsia="Arial" w:hAnsi="Arial"/>
          <w:sz w:val="22"/>
          <w:szCs w:val="22"/>
          <w:color w:val="auto"/>
        </w:rPr>
        <w:t>”);</w:t>
      </w:r>
    </w:p>
    <w:p>
      <w:pPr>
        <w:spacing w:after="0" w:line="185" w:lineRule="exact"/>
        <w:rPr>
          <w:rFonts w:ascii="Arial" w:cs="Arial" w:eastAsia="Arial" w:hAnsi="Arial"/>
          <w:sz w:val="22"/>
          <w:szCs w:val="22"/>
          <w:color w:val="010000"/>
        </w:rPr>
      </w:pPr>
    </w:p>
    <w:p>
      <w:pPr>
        <w:jc w:val="both"/>
        <w:ind w:firstLine="1952"/>
        <w:spacing w:after="0" w:line="250" w:lineRule="auto"/>
        <w:tabs>
          <w:tab w:leader="none" w:pos="2511" w:val="left"/>
        </w:tabs>
        <w:numPr>
          <w:ilvl w:val="1"/>
          <w:numId w:val="105"/>
        </w:numPr>
        <w:rPr>
          <w:rFonts w:ascii="Arial" w:cs="Arial" w:eastAsia="Arial" w:hAnsi="Arial"/>
          <w:sz w:val="22"/>
          <w:szCs w:val="22"/>
          <w:color w:val="010000"/>
        </w:rPr>
      </w:pPr>
      <w:r>
        <w:rPr>
          <w:rFonts w:ascii="Arial" w:cs="Arial" w:eastAsia="Arial" w:hAnsi="Arial"/>
          <w:sz w:val="22"/>
          <w:szCs w:val="22"/>
          <w:color w:val="auto"/>
        </w:rPr>
        <w:t>in the case of Honda, (A) to any Affiliate of Honda that is not a Restricted Person or (B) subject to compliance with Section 9.01(a)(ix), following the consummation of an OEM Restricted Investment, to any Person that is not a Restricted Person (a Transfer pursuant to this clause (iii), an “</w:t>
      </w:r>
      <w:r>
        <w:rPr>
          <w:rFonts w:ascii="Arial" w:cs="Arial" w:eastAsia="Arial" w:hAnsi="Arial"/>
          <w:sz w:val="22"/>
          <w:szCs w:val="22"/>
          <w:b w:val="1"/>
          <w:bCs w:val="1"/>
          <w:color w:val="auto"/>
        </w:rPr>
        <w:t>Exempt Honda Transfer</w:t>
      </w:r>
      <w:r>
        <w:rPr>
          <w:rFonts w:ascii="Arial" w:cs="Arial" w:eastAsia="Arial" w:hAnsi="Arial"/>
          <w:sz w:val="22"/>
          <w:szCs w:val="22"/>
          <w:color w:val="auto"/>
        </w:rPr>
        <w:t>”)</w:t>
      </w:r>
      <w:r>
        <w:rPr>
          <w:rFonts w:ascii="Arial" w:cs="Arial" w:eastAsia="Arial" w:hAnsi="Arial"/>
          <w:sz w:val="22"/>
          <w:szCs w:val="22"/>
          <w:u w:val="single" w:color="auto"/>
          <w:color w:val="auto"/>
        </w:rPr>
        <w:t>; provided</w:t>
      </w:r>
      <w:r>
        <w:rPr>
          <w:rFonts w:ascii="Arial" w:cs="Arial" w:eastAsia="Arial" w:hAnsi="Arial"/>
          <w:sz w:val="22"/>
          <w:szCs w:val="22"/>
          <w:color w:val="auto"/>
        </w:rPr>
        <w:t>, that any Transfer by Honda must be a Transfer of all of Honda’s Equity Securities in the Company;</w:t>
      </w:r>
    </w:p>
    <w:p>
      <w:pPr>
        <w:spacing w:after="0" w:line="187" w:lineRule="exact"/>
        <w:rPr>
          <w:rFonts w:ascii="Arial" w:cs="Arial" w:eastAsia="Arial" w:hAnsi="Arial"/>
          <w:sz w:val="22"/>
          <w:szCs w:val="22"/>
          <w:color w:val="010000"/>
        </w:rPr>
      </w:pPr>
    </w:p>
    <w:p>
      <w:pPr>
        <w:ind w:firstLine="1952"/>
        <w:spacing w:after="0" w:line="263" w:lineRule="auto"/>
        <w:tabs>
          <w:tab w:leader="none" w:pos="2553" w:val="left"/>
        </w:tabs>
        <w:numPr>
          <w:ilvl w:val="1"/>
          <w:numId w:val="105"/>
        </w:numPr>
        <w:rPr>
          <w:rFonts w:ascii="Arial" w:cs="Arial" w:eastAsia="Arial" w:hAnsi="Arial"/>
          <w:sz w:val="22"/>
          <w:szCs w:val="22"/>
          <w:color w:val="010000"/>
        </w:rPr>
      </w:pPr>
      <w:r>
        <w:rPr>
          <w:rFonts w:ascii="Arial" w:cs="Arial" w:eastAsia="Arial" w:hAnsi="Arial"/>
          <w:sz w:val="22"/>
          <w:szCs w:val="22"/>
          <w:color w:val="auto"/>
        </w:rPr>
        <w:t>in the case of a Class F New Member, to an Affiliate of such Class F New Member that is not a Restricted Person (an “</w:t>
      </w:r>
      <w:r>
        <w:rPr>
          <w:rFonts w:ascii="Arial" w:cs="Arial" w:eastAsia="Arial" w:hAnsi="Arial"/>
          <w:sz w:val="22"/>
          <w:szCs w:val="22"/>
          <w:b w:val="1"/>
          <w:bCs w:val="1"/>
          <w:color w:val="auto"/>
        </w:rPr>
        <w:t>Exempt Class F Transfer</w:t>
      </w:r>
      <w:r>
        <w:rPr>
          <w:rFonts w:ascii="Arial" w:cs="Arial" w:eastAsia="Arial" w:hAnsi="Arial"/>
          <w:sz w:val="22"/>
          <w:szCs w:val="22"/>
          <w:color w:val="auto"/>
        </w:rPr>
        <w:t>”);</w:t>
      </w:r>
    </w:p>
    <w:p>
      <w:pPr>
        <w:spacing w:after="0" w:line="174" w:lineRule="exact"/>
        <w:rPr>
          <w:rFonts w:ascii="Arial" w:cs="Arial" w:eastAsia="Arial" w:hAnsi="Arial"/>
          <w:sz w:val="22"/>
          <w:szCs w:val="22"/>
          <w:color w:val="010000"/>
        </w:rPr>
      </w:pPr>
    </w:p>
    <w:p>
      <w:pPr>
        <w:ind w:firstLine="1952"/>
        <w:spacing w:after="0" w:line="263" w:lineRule="auto"/>
        <w:tabs>
          <w:tab w:leader="none" w:pos="2466" w:val="left"/>
        </w:tabs>
        <w:numPr>
          <w:ilvl w:val="1"/>
          <w:numId w:val="105"/>
        </w:numPr>
        <w:rPr>
          <w:rFonts w:ascii="Arial" w:cs="Arial" w:eastAsia="Arial" w:hAnsi="Arial"/>
          <w:sz w:val="22"/>
          <w:szCs w:val="22"/>
          <w:color w:val="010000"/>
        </w:rPr>
      </w:pPr>
      <w:r>
        <w:rPr>
          <w:rFonts w:ascii="Arial" w:cs="Arial" w:eastAsia="Arial" w:hAnsi="Arial"/>
          <w:sz w:val="22"/>
          <w:szCs w:val="22"/>
          <w:color w:val="auto"/>
        </w:rPr>
        <w:t>in the case of a Class G New Member (other than Microsoft), to an Affiliate of such Class G New Member that is not a Restricted Person (an “</w:t>
      </w:r>
      <w:r>
        <w:rPr>
          <w:rFonts w:ascii="Arial" w:cs="Arial" w:eastAsia="Arial" w:hAnsi="Arial"/>
          <w:sz w:val="22"/>
          <w:szCs w:val="22"/>
          <w:b w:val="1"/>
          <w:bCs w:val="1"/>
          <w:color w:val="auto"/>
        </w:rPr>
        <w:t>Exempt Class G Transfer</w:t>
      </w:r>
      <w:r>
        <w:rPr>
          <w:rFonts w:ascii="Arial" w:cs="Arial" w:eastAsia="Arial" w:hAnsi="Arial"/>
          <w:sz w:val="22"/>
          <w:szCs w:val="22"/>
          <w:color w:val="auto"/>
        </w:rPr>
        <w:t>”);</w:t>
      </w:r>
    </w:p>
    <w:p>
      <w:pPr>
        <w:spacing w:after="0" w:line="174" w:lineRule="exact"/>
        <w:rPr>
          <w:rFonts w:ascii="Arial" w:cs="Arial" w:eastAsia="Arial" w:hAnsi="Arial"/>
          <w:sz w:val="22"/>
          <w:szCs w:val="22"/>
          <w:color w:val="010000"/>
        </w:rPr>
      </w:pPr>
    </w:p>
    <w:p>
      <w:pPr>
        <w:jc w:val="both"/>
        <w:ind w:firstLine="1952"/>
        <w:spacing w:after="0" w:line="253" w:lineRule="auto"/>
        <w:tabs>
          <w:tab w:leader="none" w:pos="2620" w:val="left"/>
        </w:tabs>
        <w:numPr>
          <w:ilvl w:val="1"/>
          <w:numId w:val="105"/>
        </w:numPr>
        <w:rPr>
          <w:rFonts w:ascii="Arial" w:cs="Arial" w:eastAsia="Arial" w:hAnsi="Arial"/>
          <w:sz w:val="22"/>
          <w:szCs w:val="22"/>
          <w:color w:val="010000"/>
        </w:rPr>
      </w:pPr>
      <w:r>
        <w:rPr>
          <w:rFonts w:ascii="Arial" w:cs="Arial" w:eastAsia="Arial" w:hAnsi="Arial"/>
          <w:sz w:val="22"/>
          <w:szCs w:val="22"/>
          <w:color w:val="auto"/>
        </w:rPr>
        <w:t>in the case of Microsoft, to an Affiliate of Microsoft that is owned and controlled, directly or indirectly, by Microsoft and is not a Restricted Person (an “</w:t>
      </w:r>
      <w:r>
        <w:rPr>
          <w:rFonts w:ascii="Arial" w:cs="Arial" w:eastAsia="Arial" w:hAnsi="Arial"/>
          <w:sz w:val="22"/>
          <w:szCs w:val="22"/>
          <w:b w:val="1"/>
          <w:bCs w:val="1"/>
          <w:color w:val="auto"/>
        </w:rPr>
        <w:t>Exempt Microsoft Transfer</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that any such Transfer by Microsoft must be a Transfer of all of Microsoft’s Equity Securities; or</w:t>
      </w:r>
    </w:p>
    <w:p>
      <w:pPr>
        <w:spacing w:after="0" w:line="185" w:lineRule="exact"/>
        <w:rPr>
          <w:rFonts w:ascii="Arial" w:cs="Arial" w:eastAsia="Arial" w:hAnsi="Arial"/>
          <w:sz w:val="22"/>
          <w:szCs w:val="22"/>
          <w:color w:val="010000"/>
        </w:rPr>
      </w:pPr>
    </w:p>
    <w:p>
      <w:pPr>
        <w:jc w:val="both"/>
        <w:ind w:firstLine="1952"/>
        <w:spacing w:after="0" w:line="302" w:lineRule="auto"/>
        <w:tabs>
          <w:tab w:leader="none" w:pos="2532" w:val="left"/>
        </w:tabs>
        <w:numPr>
          <w:ilvl w:val="1"/>
          <w:numId w:val="105"/>
        </w:numPr>
        <w:rPr>
          <w:rFonts w:ascii="Arial" w:cs="Arial" w:eastAsia="Arial" w:hAnsi="Arial"/>
          <w:sz w:val="19"/>
          <w:szCs w:val="19"/>
          <w:color w:val="010000"/>
        </w:rPr>
      </w:pPr>
      <w:r>
        <w:rPr>
          <w:rFonts w:ascii="Arial" w:cs="Arial" w:eastAsia="Arial" w:hAnsi="Arial"/>
          <w:sz w:val="19"/>
          <w:szCs w:val="19"/>
          <w:color w:val="auto"/>
        </w:rPr>
        <w:t>in the case of a Class H Member, to (A) an Affiliate of such Class H Member that is not a Restricted Person, if such Class H Member is an entity (an “</w:t>
      </w:r>
      <w:r>
        <w:rPr>
          <w:rFonts w:ascii="Arial" w:cs="Arial" w:eastAsia="Arial" w:hAnsi="Arial"/>
          <w:sz w:val="19"/>
          <w:szCs w:val="19"/>
          <w:b w:val="1"/>
          <w:bCs w:val="1"/>
          <w:color w:val="auto"/>
        </w:rPr>
        <w:t>Exempt Class H Affiliate Transfer</w:t>
      </w:r>
      <w:r>
        <w:rPr>
          <w:rFonts w:ascii="Arial" w:cs="Arial" w:eastAsia="Arial" w:hAnsi="Arial"/>
          <w:sz w:val="19"/>
          <w:szCs w:val="19"/>
          <w:color w:val="auto"/>
        </w:rPr>
        <w:t>”), or (B) to a member of the Family Group of the Person to whom such Class H Common Shares were originally issued, if such Class H Member is a natural person (an “</w:t>
      </w:r>
      <w:r>
        <w:rPr>
          <w:rFonts w:ascii="Arial" w:cs="Arial" w:eastAsia="Arial" w:hAnsi="Arial"/>
          <w:sz w:val="19"/>
          <w:szCs w:val="19"/>
          <w:b w:val="1"/>
          <w:bCs w:val="1"/>
          <w:color w:val="auto"/>
        </w:rPr>
        <w:t>Exempt Class H Family Transfer</w:t>
      </w:r>
      <w:r>
        <w:rPr>
          <w:rFonts w:ascii="Arial" w:cs="Arial" w:eastAsia="Arial" w:hAnsi="Arial"/>
          <w:sz w:val="19"/>
          <w:szCs w:val="19"/>
          <w:color w:val="auto"/>
        </w:rPr>
        <w:t>” and together with an Exempt Class H Affiliate Transfer, an “</w:t>
      </w:r>
      <w:r>
        <w:rPr>
          <w:rFonts w:ascii="Arial" w:cs="Arial" w:eastAsia="Arial" w:hAnsi="Arial"/>
          <w:sz w:val="19"/>
          <w:szCs w:val="19"/>
          <w:b w:val="1"/>
          <w:bCs w:val="1"/>
          <w:color w:val="auto"/>
        </w:rPr>
        <w:t>Exempt Class H Transfer</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If a Permitted Transferee ceases to meet the criteria set forth above, such Permitted Transferee shall re-transfer (within ten (10) Business Days) the Shares Transferred to such Permitted Transferee to the original transferor (in the case of an Exempt SoftBank Transfer, an Exempt Honda Transfer, an Exempt Class F Transfer, an Exempt Class G Transfer, an Exempt Class H Affiliate Transfer, and an Exempt Microsoft Transfer) or to another member of the Family Group of such transferring Person (in the case of an Exempt Employee Member Transfer and an Exempt Class H Family Transfer) and, pending the completion of such re-transfer, such Permitted Transferee shall not have any rights under this Agreement in respect of such Shares held by him, her or it.</w:t>
      </w:r>
    </w:p>
    <w:p>
      <w:pPr>
        <w:spacing w:after="0" w:line="190" w:lineRule="exact"/>
        <w:rPr>
          <w:sz w:val="20"/>
          <w:szCs w:val="20"/>
          <w:color w:val="auto"/>
        </w:rPr>
      </w:pPr>
    </w:p>
    <w:p>
      <w:pPr>
        <w:ind w:firstLine="1304"/>
        <w:spacing w:after="0" w:line="269" w:lineRule="auto"/>
        <w:tabs>
          <w:tab w:leader="none" w:pos="1831" w:val="left"/>
        </w:tabs>
        <w:numPr>
          <w:ilvl w:val="0"/>
          <w:numId w:val="106"/>
        </w:numPr>
        <w:rPr>
          <w:rFonts w:ascii="Arial" w:cs="Arial" w:eastAsia="Arial" w:hAnsi="Arial"/>
          <w:sz w:val="22"/>
          <w:szCs w:val="22"/>
          <w:color w:val="010000"/>
        </w:rPr>
      </w:pPr>
      <w:r>
        <w:rPr>
          <w:rFonts w:ascii="Arial" w:cs="Arial" w:eastAsia="Arial" w:hAnsi="Arial"/>
          <w:sz w:val="22"/>
          <w:szCs w:val="22"/>
          <w:color w:val="auto"/>
        </w:rPr>
        <w:t>As used herein, a “</w:t>
      </w:r>
      <w:r>
        <w:rPr>
          <w:rFonts w:ascii="Arial" w:cs="Arial" w:eastAsia="Arial" w:hAnsi="Arial"/>
          <w:sz w:val="22"/>
          <w:szCs w:val="22"/>
          <w:b w:val="1"/>
          <w:bCs w:val="1"/>
          <w:color w:val="auto"/>
        </w:rPr>
        <w:t>Permitted Transferee</w:t>
      </w:r>
      <w:r>
        <w:rPr>
          <w:rFonts w:ascii="Arial" w:cs="Arial" w:eastAsia="Arial" w:hAnsi="Arial"/>
          <w:sz w:val="22"/>
          <w:szCs w:val="22"/>
          <w:color w:val="auto"/>
        </w:rPr>
        <w:t>” shall constitute any Person, other than the Company, to whom Shares are Transferred pursuant to this Section 9.02.</w:t>
      </w:r>
    </w:p>
    <w:p>
      <w:pPr>
        <w:spacing w:after="0" w:line="16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9.03</w:t>
      </w:r>
      <w:r>
        <w:rPr>
          <w:sz w:val="20"/>
          <w:szCs w:val="20"/>
          <w:color w:val="auto"/>
        </w:rPr>
        <w:tab/>
      </w:r>
      <w:r>
        <w:rPr>
          <w:rFonts w:ascii="Arial" w:cs="Arial" w:eastAsia="Arial" w:hAnsi="Arial"/>
          <w:sz w:val="18"/>
          <w:szCs w:val="18"/>
          <w:b w:val="1"/>
          <w:bCs w:val="1"/>
          <w:u w:val="single" w:color="auto"/>
          <w:color w:val="auto"/>
        </w:rPr>
        <w:t>Assignee’s Rights and Obligations</w:t>
      </w:r>
      <w:r>
        <w:rPr>
          <w:rFonts w:ascii="Arial" w:cs="Arial" w:eastAsia="Arial" w:hAnsi="Arial"/>
          <w:sz w:val="18"/>
          <w:szCs w:val="18"/>
          <w:color w:val="auto"/>
        </w:rPr>
        <w:t>.</w:t>
      </w:r>
    </w:p>
    <w:p>
      <w:pPr>
        <w:spacing w:after="0" w:line="226" w:lineRule="exact"/>
        <w:rPr>
          <w:sz w:val="20"/>
          <w:szCs w:val="20"/>
          <w:color w:val="auto"/>
        </w:rPr>
      </w:pPr>
    </w:p>
    <w:p>
      <w:pPr>
        <w:jc w:val="both"/>
        <w:ind w:firstLine="1304"/>
        <w:spacing w:after="0" w:line="297" w:lineRule="auto"/>
        <w:tabs>
          <w:tab w:leader="none" w:pos="1806" w:val="left"/>
        </w:tabs>
        <w:numPr>
          <w:ilvl w:val="0"/>
          <w:numId w:val="107"/>
        </w:numPr>
        <w:rPr>
          <w:rFonts w:ascii="Arial" w:cs="Arial" w:eastAsia="Arial" w:hAnsi="Arial"/>
          <w:sz w:val="19"/>
          <w:szCs w:val="19"/>
          <w:color w:val="010000"/>
        </w:rPr>
      </w:pPr>
      <w:r>
        <w:rPr>
          <w:rFonts w:ascii="Arial" w:cs="Arial" w:eastAsia="Arial" w:hAnsi="Arial"/>
          <w:sz w:val="19"/>
          <w:szCs w:val="19"/>
          <w:color w:val="auto"/>
        </w:rPr>
        <w:t>A Transfer of a Share permitted pursuant to this Agreement shall be effective as of the date of assignment and compliance with the conditions to such Transfer, and such Transfer shall be shown on the books and records of the Company. Prior to the date that the Transfer is consummated and the transferee becomes a Member hereunder, such proposed transferee shall be referred to herein as an “</w:t>
      </w:r>
      <w:r>
        <w:rPr>
          <w:rFonts w:ascii="Arial" w:cs="Arial" w:eastAsia="Arial" w:hAnsi="Arial"/>
          <w:sz w:val="19"/>
          <w:szCs w:val="19"/>
          <w:b w:val="1"/>
          <w:bCs w:val="1"/>
          <w:color w:val="auto"/>
        </w:rPr>
        <w:t>Assignee</w:t>
      </w:r>
      <w:r>
        <w:rPr>
          <w:rFonts w:ascii="Arial" w:cs="Arial" w:eastAsia="Arial" w:hAnsi="Arial"/>
          <w:sz w:val="19"/>
          <w:szCs w:val="19"/>
          <w:color w:val="auto"/>
        </w:rPr>
        <w:t>”. Distributions made before the effective date of such Transfer, shall be paid to the transferor, and Distributions made after such date shall be paid to the Assignee.</w:t>
      </w:r>
    </w:p>
    <w:p>
      <w:pPr>
        <w:spacing w:after="0" w:line="146" w:lineRule="exact"/>
        <w:rPr>
          <w:rFonts w:ascii="Arial" w:cs="Arial" w:eastAsia="Arial" w:hAnsi="Arial"/>
          <w:sz w:val="19"/>
          <w:szCs w:val="19"/>
          <w:color w:val="010000"/>
        </w:rPr>
      </w:pPr>
    </w:p>
    <w:p>
      <w:pPr>
        <w:jc w:val="both"/>
        <w:ind w:firstLine="1304"/>
        <w:spacing w:after="0" w:line="265" w:lineRule="auto"/>
        <w:tabs>
          <w:tab w:leader="none" w:pos="1872" w:val="left"/>
        </w:tabs>
        <w:numPr>
          <w:ilvl w:val="0"/>
          <w:numId w:val="107"/>
        </w:numPr>
        <w:rPr>
          <w:rFonts w:ascii="Arial" w:cs="Arial" w:eastAsia="Arial" w:hAnsi="Arial"/>
          <w:sz w:val="21"/>
          <w:szCs w:val="21"/>
          <w:color w:val="010000"/>
        </w:rPr>
      </w:pPr>
      <w:r>
        <w:rPr>
          <w:rFonts w:ascii="Arial" w:cs="Arial" w:eastAsia="Arial" w:hAnsi="Arial"/>
          <w:sz w:val="21"/>
          <w:szCs w:val="21"/>
          <w:color w:val="auto"/>
        </w:rPr>
        <w:t>Unless and until an Assignee becomes a Member pursuant to this Article IX, the Assignee shall not be entitled to any of the rights granted to a Member hereunder or under applicable law, other than the rights granted specifically to Assignees pursuant to this Agreement and rights granted to Assignees pursuant to the Act. Further, such Assignee shall be bound by any limitations and obligations contained herein with respect to Members.</w:t>
      </w:r>
    </w:p>
    <w:p>
      <w:pPr>
        <w:spacing w:after="0" w:line="175" w:lineRule="exact"/>
        <w:rPr>
          <w:rFonts w:ascii="Arial" w:cs="Arial" w:eastAsia="Arial" w:hAnsi="Arial"/>
          <w:sz w:val="21"/>
          <w:szCs w:val="21"/>
          <w:color w:val="010000"/>
        </w:rPr>
      </w:pPr>
    </w:p>
    <w:p>
      <w:pPr>
        <w:jc w:val="both"/>
        <w:ind w:firstLine="1304"/>
        <w:spacing w:after="0" w:line="287" w:lineRule="auto"/>
        <w:tabs>
          <w:tab w:leader="none" w:pos="1819" w:val="left"/>
        </w:tabs>
        <w:numPr>
          <w:ilvl w:val="0"/>
          <w:numId w:val="107"/>
        </w:numPr>
        <w:rPr>
          <w:rFonts w:ascii="Arial" w:cs="Arial" w:eastAsia="Arial" w:hAnsi="Arial"/>
          <w:sz w:val="19"/>
          <w:szCs w:val="19"/>
          <w:color w:val="010000"/>
        </w:rPr>
      </w:pPr>
      <w:r>
        <w:rPr>
          <w:rFonts w:ascii="Arial" w:cs="Arial" w:eastAsia="Arial" w:hAnsi="Arial"/>
          <w:sz w:val="19"/>
          <w:szCs w:val="19"/>
          <w:color w:val="auto"/>
        </w:rPr>
        <w:t>Any Member who shall Transfer any Shares or other interest in the Company shall cease to be a Member with respect to such Shares or other interest and shall no longer have any rights or privileges of a Member with respect to such Shares or other interest, except that, unless and until the Assignee is admitted as a Substituted Member in accordance with the provisions of Section 9.04 (the “</w:t>
      </w:r>
      <w:r>
        <w:rPr>
          <w:rFonts w:ascii="Arial" w:cs="Arial" w:eastAsia="Arial" w:hAnsi="Arial"/>
          <w:sz w:val="19"/>
          <w:szCs w:val="19"/>
          <w:b w:val="1"/>
          <w:bCs w:val="1"/>
          <w:color w:val="auto"/>
        </w:rPr>
        <w:t>Admission Date</w:t>
      </w:r>
      <w:r>
        <w:rPr>
          <w:rFonts w:ascii="Arial" w:cs="Arial" w:eastAsia="Arial" w:hAnsi="Arial"/>
          <w:sz w:val="19"/>
          <w:szCs w:val="19"/>
          <w:color w:val="auto"/>
        </w:rPr>
        <w:t>”), (i) such assigning Member shall retain all of the duties, liabilities and obligations of a Member with respect to such Shares or other interest and (ii) the Board of Directors may reinstate all or any portion of the rights and privileges of such Member with respect to such Shares or other interest for any period of time prior to the Admission Date. Nothing contained herein shall relieve any Member who Transfers any Shares or other interest in the Company from any liability of such Member to the Company or the other Members with respect to such Shares or other interest that may exist on the Admission Date or that is otherwise specified in the Act and incorporated into this Agreement or for any liability to the Company or any other Person for any breaches of any representations, warranties or covenants by such Member (in its capacity as such) contained herein or in the other agreements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204" w:lineRule="exact"/>
        <w:rPr>
          <w:sz w:val="20"/>
          <w:szCs w:val="20"/>
          <w:color w:val="auto"/>
        </w:rPr>
      </w:pPr>
    </w:p>
    <w:p>
      <w:pPr>
        <w:jc w:val="both"/>
        <w:ind w:firstLine="1304"/>
        <w:spacing w:after="0" w:line="294" w:lineRule="auto"/>
        <w:tabs>
          <w:tab w:leader="none" w:pos="1804" w:val="left"/>
        </w:tabs>
        <w:numPr>
          <w:ilvl w:val="0"/>
          <w:numId w:val="108"/>
        </w:numPr>
        <w:rPr>
          <w:rFonts w:ascii="Arial" w:cs="Arial" w:eastAsia="Arial" w:hAnsi="Arial"/>
          <w:sz w:val="19"/>
          <w:szCs w:val="19"/>
          <w:color w:val="010000"/>
        </w:rPr>
      </w:pPr>
      <w:r>
        <w:rPr>
          <w:rFonts w:ascii="Arial" w:cs="Arial" w:eastAsia="Arial" w:hAnsi="Arial"/>
          <w:sz w:val="19"/>
          <w:szCs w:val="19"/>
          <w:color w:val="auto"/>
        </w:rPr>
        <w:t>For clarity (and notwithstanding anything to the contrary herein), the respective rights of SoftBank, Honda, and Microsoft hereunder are personal to SoftBank, Honda, and Microsoft, as applicable, (for so long as SoftBank, Honda, or Microsoft as applicable, is a Member), do not attach to the Class A-1 Preferred Shares, Class E Common Shares, Class G Preferred Shares, or any other class of Shares or Equity Securities, and cannot be assigned by SoftBank, Honda, or Microsoft to any other Person, except in connection with an Exempt SoftBank Transfer, an Exempt Honda Transfer pursuant to Section 9.02(a)(iii)(A) (but not, for clarity, Section 9.02(a)(iii)(B)), or an Exempt Microsoft Transfer, as applicable.</w:t>
      </w:r>
    </w:p>
    <w:p>
      <w:pPr>
        <w:spacing w:after="0" w:line="14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9.04</w:t>
      </w:r>
      <w:r>
        <w:rPr>
          <w:sz w:val="20"/>
          <w:szCs w:val="20"/>
          <w:color w:val="auto"/>
        </w:rPr>
        <w:tab/>
      </w:r>
      <w:r>
        <w:rPr>
          <w:rFonts w:ascii="Arial" w:cs="Arial" w:eastAsia="Arial" w:hAnsi="Arial"/>
          <w:sz w:val="19"/>
          <w:szCs w:val="19"/>
          <w:b w:val="1"/>
          <w:bCs w:val="1"/>
          <w:u w:val="single" w:color="auto"/>
          <w:color w:val="auto"/>
        </w:rPr>
        <w:t>Admission of Members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302" w:lineRule="auto"/>
        <w:tabs>
          <w:tab w:leader="none" w:pos="1819" w:val="left"/>
        </w:tabs>
        <w:numPr>
          <w:ilvl w:val="0"/>
          <w:numId w:val="109"/>
        </w:numPr>
        <w:rPr>
          <w:rFonts w:ascii="Arial" w:cs="Arial" w:eastAsia="Arial" w:hAnsi="Arial"/>
          <w:sz w:val="19"/>
          <w:szCs w:val="19"/>
          <w:color w:val="010000"/>
        </w:rPr>
      </w:pPr>
      <w:r>
        <w:rPr>
          <w:rFonts w:ascii="Arial" w:cs="Arial" w:eastAsia="Arial" w:hAnsi="Arial"/>
          <w:sz w:val="19"/>
          <w:szCs w:val="19"/>
          <w:color w:val="auto"/>
        </w:rPr>
        <w:t>In connection with the Transfer of a Share of a Member permitted under the terms of this Agreement, the transferee shall not become a Member (a “</w:t>
      </w:r>
      <w:r>
        <w:rPr>
          <w:rFonts w:ascii="Arial" w:cs="Arial" w:eastAsia="Arial" w:hAnsi="Arial"/>
          <w:sz w:val="19"/>
          <w:szCs w:val="19"/>
          <w:b w:val="1"/>
          <w:bCs w:val="1"/>
          <w:color w:val="auto"/>
        </w:rPr>
        <w:t>Substituted Member</w:t>
      </w:r>
      <w:r>
        <w:rPr>
          <w:rFonts w:ascii="Arial" w:cs="Arial" w:eastAsia="Arial" w:hAnsi="Arial"/>
          <w:sz w:val="19"/>
          <w:szCs w:val="19"/>
          <w:color w:val="auto"/>
        </w:rPr>
        <w:t>”) until the later of (i) the effective date of such Transfer and (ii) the date on which the Board of Directors approves such transferee as a Substituted Member (such approval not to be unreasonably withheld, conditioned or delayed), and such admission shall be shown on the books and records of the Company</w:t>
      </w:r>
    </w:p>
    <w:p>
      <w:pPr>
        <w:spacing w:after="0" w:line="142" w:lineRule="exact"/>
        <w:rPr>
          <w:rFonts w:ascii="Arial" w:cs="Arial" w:eastAsia="Arial" w:hAnsi="Arial"/>
          <w:sz w:val="19"/>
          <w:szCs w:val="19"/>
          <w:color w:val="010000"/>
        </w:rPr>
      </w:pPr>
    </w:p>
    <w:p>
      <w:pPr>
        <w:jc w:val="both"/>
        <w:ind w:firstLine="1304"/>
        <w:spacing w:after="0" w:line="312" w:lineRule="auto"/>
        <w:tabs>
          <w:tab w:leader="none" w:pos="1777" w:val="left"/>
        </w:tabs>
        <w:numPr>
          <w:ilvl w:val="0"/>
          <w:numId w:val="109"/>
        </w:numPr>
        <w:rPr>
          <w:rFonts w:ascii="Arial" w:cs="Arial" w:eastAsia="Arial" w:hAnsi="Arial"/>
          <w:sz w:val="19"/>
          <w:szCs w:val="19"/>
          <w:color w:val="010000"/>
        </w:rPr>
      </w:pPr>
      <w:r>
        <w:rPr>
          <w:rFonts w:ascii="Arial" w:cs="Arial" w:eastAsia="Arial" w:hAnsi="Arial"/>
          <w:sz w:val="19"/>
          <w:szCs w:val="19"/>
          <w:color w:val="auto"/>
        </w:rPr>
        <w:t>Notwithstanding anything to the contrary that may be expressed or implied in this Agreement, a Person may be admitted to the Company as a Member by the Board of Directors (an “</w:t>
      </w:r>
      <w:r>
        <w:rPr>
          <w:rFonts w:ascii="Arial" w:cs="Arial" w:eastAsia="Arial" w:hAnsi="Arial"/>
          <w:sz w:val="19"/>
          <w:szCs w:val="19"/>
          <w:b w:val="1"/>
          <w:bCs w:val="1"/>
          <w:color w:val="auto"/>
        </w:rPr>
        <w:t>Additional Member</w:t>
      </w:r>
      <w:r>
        <w:rPr>
          <w:rFonts w:ascii="Arial" w:cs="Arial" w:eastAsia="Arial" w:hAnsi="Arial"/>
          <w:sz w:val="19"/>
          <w:szCs w:val="19"/>
          <w:color w:val="auto"/>
        </w:rPr>
        <w:t>”). Such admission shall become effective on the date on which such admission is shown on the books and records of the Company.</w:t>
      </w:r>
    </w:p>
    <w:p>
      <w:pPr>
        <w:spacing w:after="0" w:line="12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9.05 </w:t>
      </w:r>
      <w:r>
        <w:rPr>
          <w:rFonts w:ascii="Arial" w:cs="Arial" w:eastAsia="Arial" w:hAnsi="Arial"/>
          <w:sz w:val="22"/>
          <w:szCs w:val="22"/>
          <w:b w:val="1"/>
          <w:bCs w:val="1"/>
          <w:u w:val="single" w:color="auto"/>
          <w:color w:val="auto"/>
        </w:rPr>
        <w:t>Certain Requirements of Prospective Members</w:t>
      </w:r>
      <w:r>
        <w:rPr>
          <w:rFonts w:ascii="Arial" w:cs="Arial" w:eastAsia="Arial" w:hAnsi="Arial"/>
          <w:sz w:val="22"/>
          <w:szCs w:val="22"/>
          <w:color w:val="auto"/>
        </w:rPr>
        <w:t>. As a condition to admission to the Company as a Member, each</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Assignee and Additional Member shall execute and deliver a joinder to this Agreement in the form attached hereto as </w:t>
      </w:r>
      <w:r>
        <w:rPr>
          <w:rFonts w:ascii="Arial" w:cs="Arial" w:eastAsia="Arial" w:hAnsi="Arial"/>
          <w:sz w:val="22"/>
          <w:szCs w:val="22"/>
          <w:b w:val="1"/>
          <w:bCs w:val="1"/>
          <w:color w:val="auto"/>
        </w:rPr>
        <w:t>Exhibit I</w:t>
      </w:r>
      <w:r>
        <w:rPr>
          <w:rFonts w:ascii="Arial" w:cs="Arial" w:eastAsia="Arial" w:hAnsi="Arial"/>
          <w:sz w:val="22"/>
          <w:szCs w:val="22"/>
          <w:color w:val="auto"/>
        </w:rPr>
        <w:t xml:space="preserve"> or otherwise acceptable to the Board of Directors.</w:t>
      </w:r>
    </w:p>
    <w:p>
      <w:pPr>
        <w:spacing w:after="0" w:line="17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9.06 </w:t>
      </w:r>
      <w:r>
        <w:rPr>
          <w:rFonts w:ascii="Arial" w:cs="Arial" w:eastAsia="Arial" w:hAnsi="Arial"/>
          <w:sz w:val="22"/>
          <w:szCs w:val="22"/>
          <w:b w:val="1"/>
          <w:bCs w:val="1"/>
          <w:u w:val="single" w:color="auto"/>
          <w:color w:val="auto"/>
        </w:rPr>
        <w:t>Status of Transferred Shares</w:t>
      </w:r>
      <w:r>
        <w:rPr>
          <w:rFonts w:ascii="Arial" w:cs="Arial" w:eastAsia="Arial" w:hAnsi="Arial"/>
          <w:sz w:val="22"/>
          <w:szCs w:val="22"/>
          <w:color w:val="auto"/>
        </w:rPr>
        <w:t>. Shares that are Transferred shall thereafter continue to be subject to all restrictions</w:t>
      </w:r>
      <w:r>
        <w:rPr>
          <w:rFonts w:ascii="Arial" w:cs="Arial" w:eastAsia="Arial" w:hAnsi="Arial"/>
          <w:sz w:val="22"/>
          <w:szCs w:val="22"/>
          <w:b w:val="1"/>
          <w:bCs w:val="1"/>
          <w:color w:val="auto"/>
        </w:rPr>
        <w:t xml:space="preserve"> </w:t>
      </w:r>
      <w:r>
        <w:rPr>
          <w:rFonts w:ascii="Arial" w:cs="Arial" w:eastAsia="Arial" w:hAnsi="Arial"/>
          <w:sz w:val="22"/>
          <w:szCs w:val="22"/>
          <w:color w:val="auto"/>
        </w:rPr>
        <w:t>and obligations imposed by this Agreement with respect to Shares and Transfers thereof.</w:t>
      </w:r>
    </w:p>
    <w:p>
      <w:pPr>
        <w:spacing w:after="0" w:line="16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9.07</w:t>
      </w:r>
      <w:r>
        <w:rPr>
          <w:sz w:val="20"/>
          <w:szCs w:val="20"/>
          <w:color w:val="auto"/>
        </w:rPr>
        <w:tab/>
      </w:r>
      <w:r>
        <w:rPr>
          <w:rFonts w:ascii="Arial" w:cs="Arial" w:eastAsia="Arial" w:hAnsi="Arial"/>
          <w:sz w:val="19"/>
          <w:szCs w:val="19"/>
          <w:b w:val="1"/>
          <w:bCs w:val="1"/>
          <w:u w:val="single" w:color="auto"/>
          <w:color w:val="auto"/>
        </w:rPr>
        <w:t>Tag-Along Rights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89" w:lineRule="auto"/>
        <w:tabs>
          <w:tab w:leader="none" w:pos="1765" w:val="left"/>
        </w:tabs>
        <w:numPr>
          <w:ilvl w:val="0"/>
          <w:numId w:val="110"/>
        </w:numPr>
        <w:rPr>
          <w:rFonts w:ascii="Arial" w:cs="Arial" w:eastAsia="Arial" w:hAnsi="Arial"/>
          <w:sz w:val="19"/>
          <w:szCs w:val="19"/>
          <w:color w:val="010000"/>
        </w:rPr>
      </w:pPr>
      <w:r>
        <w:rPr>
          <w:rFonts w:ascii="Arial" w:cs="Arial" w:eastAsia="Arial" w:hAnsi="Arial"/>
          <w:sz w:val="19"/>
          <w:szCs w:val="19"/>
          <w:color w:val="auto"/>
        </w:rPr>
        <w:t>If any Class A-2 Member, Class C Member or the GM Investor or its Affiliates in their capacity as a Class F Preferred Member or Class G Preferred Member (the “</w:t>
      </w:r>
      <w:r>
        <w:rPr>
          <w:rFonts w:ascii="Arial" w:cs="Arial" w:eastAsia="Arial" w:hAnsi="Arial"/>
          <w:sz w:val="19"/>
          <w:szCs w:val="19"/>
          <w:b w:val="1"/>
          <w:bCs w:val="1"/>
          <w:color w:val="auto"/>
        </w:rPr>
        <w:t>Transferring Holder</w:t>
      </w:r>
      <w:r>
        <w:rPr>
          <w:rFonts w:ascii="Arial" w:cs="Arial" w:eastAsia="Arial" w:hAnsi="Arial"/>
          <w:sz w:val="19"/>
          <w:szCs w:val="19"/>
          <w:color w:val="auto"/>
        </w:rPr>
        <w:t>”) proposes to Transfer Class A-2 Preferred Shares, Class C Common Shares, Class F Preferred Shares, or Class G Preferred Shares (or any other Equity Securities held by such Member) to an Independent Third Party prior to an IPO (other than any Transfer (i) as provided in Section 9.08, (ii) as provided in Section 9.09, (iii) in connection with Section 9.10 or (iv) as provided in Section 9.12), then the Transferring Holder(s) shall deliver a written notice (such notice, the “</w:t>
      </w:r>
      <w:r>
        <w:rPr>
          <w:rFonts w:ascii="Arial" w:cs="Arial" w:eastAsia="Arial" w:hAnsi="Arial"/>
          <w:sz w:val="19"/>
          <w:szCs w:val="19"/>
          <w:b w:val="1"/>
          <w:bCs w:val="1"/>
          <w:color w:val="auto"/>
        </w:rPr>
        <w:t>Tag Notice</w:t>
      </w:r>
      <w:r>
        <w:rPr>
          <w:rFonts w:ascii="Arial" w:cs="Arial" w:eastAsia="Arial" w:hAnsi="Arial"/>
          <w:sz w:val="19"/>
          <w:szCs w:val="19"/>
          <w:color w:val="auto"/>
        </w:rPr>
        <w:t>”) to the Company, each Class D Member, each Class A-1 Preferred Member, each Class E Member, each Class F Preferred Member, and each Class G Preferred Member (the “</w:t>
      </w:r>
      <w:r>
        <w:rPr>
          <w:rFonts w:ascii="Arial" w:cs="Arial" w:eastAsia="Arial" w:hAnsi="Arial"/>
          <w:sz w:val="19"/>
          <w:szCs w:val="19"/>
          <w:b w:val="1"/>
          <w:bCs w:val="1"/>
          <w:color w:val="auto"/>
        </w:rPr>
        <w:t>Participation</w:t>
      </w:r>
      <w:r>
        <w:rPr>
          <w:rFonts w:ascii="Arial" w:cs="Arial" w:eastAsia="Arial" w:hAnsi="Arial"/>
          <w:sz w:val="19"/>
          <w:szCs w:val="19"/>
          <w:color w:val="auto"/>
        </w:rPr>
        <w:t xml:space="preserve"> </w:t>
      </w:r>
      <w:r>
        <w:rPr>
          <w:rFonts w:ascii="Arial" w:cs="Arial" w:eastAsia="Arial" w:hAnsi="Arial"/>
          <w:sz w:val="19"/>
          <w:szCs w:val="19"/>
          <w:b w:val="1"/>
          <w:bCs w:val="1"/>
          <w:color w:val="auto"/>
        </w:rPr>
        <w:t>Members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that, for clarity, such Transferring Holder will not be a Participation Member in its capacity as a Class F</w:t>
      </w:r>
      <w:r>
        <w:rPr>
          <w:rFonts w:ascii="Arial" w:cs="Arial" w:eastAsia="Arial" w:hAnsi="Arial"/>
          <w:sz w:val="19"/>
          <w:szCs w:val="19"/>
          <w:b w:val="1"/>
          <w:bCs w:val="1"/>
          <w:color w:val="auto"/>
        </w:rPr>
        <w:t xml:space="preserve"> </w:t>
      </w:r>
      <w:r>
        <w:rPr>
          <w:rFonts w:ascii="Arial" w:cs="Arial" w:eastAsia="Arial" w:hAnsi="Arial"/>
          <w:sz w:val="19"/>
          <w:szCs w:val="19"/>
          <w:color w:val="auto"/>
        </w:rPr>
        <w:t>Preferred Member or Class G Preferred Member, notwithstanding that such Transferring Holder may hold Class F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204"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Shares and Class G Preferred Shares) at least thirty (30) days prior to making such Transfer, specifying in reasonable detail the identity of the prospective transferee(s), the number of Class A-2 Preferred Shares or Class C Common Shares (or any other Equity Securities held by such Members) to be Transferred and the price and other terms and conditions of the Transfer. Each Participation Member may elect to participate in the contemplated Transfer in the manner set forth in this Section 9.07 by delivering an irrevocable written notice to the Transferring Holder(s) within fifteen (15) days after delivery of the Tag Notice, which notice shall specify the number of Class A-1 Preferred Shares, Class D Common Shares, Class E Common Shares, Class F Preferred Shares, and Class G Preferred Shares (or any other Equity Securities held by such Members) that such Participation Member desires to include in such proposed Transfer. If none of the Participation Members gives such notice prior to the expiration of the fifteen (15) day period for giving such notice, then the Transferring Holder(s) may Transfer such Class A-2 Preferred Shares or Class C Common Shares (or any other Equity Securities held by such Members) to any Person at the same price and on other terms and conditions that are no more favorable, in the aggregate, to the Transferring Holder(s) than those set forth in the Tag Notice. If any Participation Members have irrevocably elected to participate in such Transfer prior to the expiration of the fifteen (15) day period for giving notice, each Participation Member shall be entitled to sell in the contemplated Transfer a total number of Class A-1 Preferred Shares with respect to Class A-1 Preferred Members, Class D Common Shares with respect to Class D Members, Class E Common Shares with respect to Class E Members, Class F Preferred Shares with respect to Class F Preferred Members, and Class G Preferred Shares with respect to Class G Preferred Members (the “</w:t>
      </w:r>
      <w:r>
        <w:rPr>
          <w:rFonts w:ascii="Arial" w:cs="Arial" w:eastAsia="Arial" w:hAnsi="Arial"/>
          <w:sz w:val="19"/>
          <w:szCs w:val="19"/>
          <w:b w:val="1"/>
          <w:bCs w:val="1"/>
          <w:color w:val="auto"/>
        </w:rPr>
        <w:t>Tagged</w:t>
      </w:r>
      <w:r>
        <w:rPr>
          <w:rFonts w:ascii="Arial" w:cs="Arial" w:eastAsia="Arial" w:hAnsi="Arial"/>
          <w:sz w:val="19"/>
          <w:szCs w:val="19"/>
          <w:color w:val="auto"/>
        </w:rPr>
        <w:t xml:space="preserve"> </w:t>
      </w:r>
      <w:r>
        <w:rPr>
          <w:rFonts w:ascii="Arial" w:cs="Arial" w:eastAsia="Arial" w:hAnsi="Arial"/>
          <w:sz w:val="19"/>
          <w:szCs w:val="19"/>
          <w:b w:val="1"/>
          <w:bCs w:val="1"/>
          <w:color w:val="auto"/>
        </w:rPr>
        <w:t>Shares</w:t>
      </w:r>
      <w:r>
        <w:rPr>
          <w:rFonts w:ascii="Arial" w:cs="Arial" w:eastAsia="Arial" w:hAnsi="Arial"/>
          <w:sz w:val="19"/>
          <w:szCs w:val="19"/>
          <w:color w:val="auto"/>
        </w:rPr>
        <w:t>”) to be sold in the Transfer, to be calculated according to the following methodology:</w:t>
      </w:r>
    </w:p>
    <w:p>
      <w:pPr>
        <w:spacing w:after="0" w:line="166" w:lineRule="exact"/>
        <w:rPr>
          <w:sz w:val="20"/>
          <w:szCs w:val="20"/>
          <w:color w:val="auto"/>
        </w:rPr>
      </w:pPr>
    </w:p>
    <w:p>
      <w:pPr>
        <w:jc w:val="both"/>
        <w:ind w:firstLine="1952"/>
        <w:spacing w:after="0" w:line="286" w:lineRule="auto"/>
        <w:tabs>
          <w:tab w:leader="none" w:pos="2485" w:val="left"/>
        </w:tabs>
        <w:numPr>
          <w:ilvl w:val="0"/>
          <w:numId w:val="111"/>
        </w:numPr>
        <w:rPr>
          <w:rFonts w:ascii="Arial" w:cs="Arial" w:eastAsia="Arial" w:hAnsi="Arial"/>
          <w:sz w:val="19"/>
          <w:szCs w:val="19"/>
          <w:color w:val="010000"/>
        </w:rPr>
      </w:pPr>
      <w:r>
        <w:rPr>
          <w:rFonts w:ascii="Arial" w:cs="Arial" w:eastAsia="Arial" w:hAnsi="Arial"/>
          <w:sz w:val="19"/>
          <w:szCs w:val="19"/>
          <w:u w:val="single" w:color="auto"/>
          <w:color w:val="auto"/>
        </w:rPr>
        <w:t>First</w:t>
      </w:r>
      <w:r>
        <w:rPr>
          <w:rFonts w:ascii="Arial" w:cs="Arial" w:eastAsia="Arial" w:hAnsi="Arial"/>
          <w:sz w:val="19"/>
          <w:szCs w:val="19"/>
          <w:color w:val="auto"/>
        </w:rPr>
        <w:t>, all Non-A-1 Interests owned by the Transferring Holder are deemed converted (on a Fully Diluted Basis) to Class D Common Shares on a 1:1 basis (as adjusted, as necessary, to reflect appropriate and proportional adjustments to take into account any subdivision, reorganization, reclassification, recapitalization, stock split, reverse stock split, combination of shares or similar event), all Class A-1 Preferred Shares held by all Participation Member(s) are deemed converted to Class D Common Shares pursuant to Section 2.10(b), all Class E Common Shares held by all Participation Member(s) are deemed converted to Class D Common Shares on a 1:1 basis (as adjusted, as necessary, to reflect appropriate and proportional adjustments to take into account any subdivision, reorganization, reclassification, recapitalization, stock split, reverse stock split, combination of shares or similar event), and all Class F Preferred Shares and Class G Preferred Shares held by all Participation Member(s) are deemed converted to Class D Common Shares on a 1:1 basis (as adjusted, as necessary, to reflect appropriate and proportional adjustments to take into account any subdivision, reorganization, reclassification, recapitalization, stock split, reverse stock split, combination of shares or similar event) (collectively the number of Class D Common Shares resulting from the deemed conversion, plus the number of Class D Common Shares held by the Participation Members prior to such deemed conversion, the “</w:t>
      </w:r>
      <w:r>
        <w:rPr>
          <w:rFonts w:ascii="Arial" w:cs="Arial" w:eastAsia="Arial" w:hAnsi="Arial"/>
          <w:sz w:val="19"/>
          <w:szCs w:val="19"/>
          <w:b w:val="1"/>
          <w:bCs w:val="1"/>
          <w:color w:val="auto"/>
        </w:rPr>
        <w:t>Total Conversion Shares</w:t>
      </w:r>
      <w:r>
        <w:rPr>
          <w:rFonts w:ascii="Arial" w:cs="Arial" w:eastAsia="Arial" w:hAnsi="Arial"/>
          <w:sz w:val="19"/>
          <w:szCs w:val="19"/>
          <w:color w:val="auto"/>
        </w:rPr>
        <w:t>”). For clarity, such “deemed” conversion pursuant to this Section 9.07(a) shall solely be for the purposes of calculating the Tagged Shares, and no actual conversion shall occur pursuant to this Section 9.07(a).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98" w:lineRule="exact"/>
        <w:rPr>
          <w:sz w:val="20"/>
          <w:szCs w:val="20"/>
          <w:color w:val="auto"/>
        </w:rPr>
      </w:pPr>
    </w:p>
    <w:p>
      <w:pPr>
        <w:ind w:left="2520" w:hanging="568"/>
        <w:spacing w:after="0"/>
        <w:tabs>
          <w:tab w:leader="none" w:pos="2520" w:val="left"/>
        </w:tabs>
        <w:numPr>
          <w:ilvl w:val="0"/>
          <w:numId w:val="112"/>
        </w:numPr>
        <w:rPr>
          <w:rFonts w:ascii="Arial" w:cs="Arial" w:eastAsia="Arial" w:hAnsi="Arial"/>
          <w:sz w:val="19"/>
          <w:szCs w:val="19"/>
          <w:color w:val="010000"/>
        </w:rPr>
      </w:pPr>
      <w:r>
        <w:rPr>
          <w:rFonts w:ascii="Arial" w:cs="Arial" w:eastAsia="Arial" w:hAnsi="Arial"/>
          <w:sz w:val="19"/>
          <w:szCs w:val="19"/>
          <w:u w:val="single" w:color="auto"/>
          <w:color w:val="auto"/>
        </w:rPr>
        <w:t>Second</w:t>
      </w:r>
      <w:r>
        <w:rPr>
          <w:rFonts w:ascii="Arial" w:cs="Arial" w:eastAsia="Arial" w:hAnsi="Arial"/>
          <w:sz w:val="19"/>
          <w:szCs w:val="19"/>
          <w:color w:val="auto"/>
        </w:rPr>
        <w:t>, the total number of Shares that are subject to Transfer is determined (the “</w:t>
      </w:r>
      <w:r>
        <w:rPr>
          <w:rFonts w:ascii="Arial" w:cs="Arial" w:eastAsia="Arial" w:hAnsi="Arial"/>
          <w:sz w:val="19"/>
          <w:szCs w:val="19"/>
          <w:b w:val="1"/>
          <w:bCs w:val="1"/>
          <w:color w:val="auto"/>
        </w:rPr>
        <w:t>Total Tagged</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Shares</w:t>
      </w:r>
      <w:r>
        <w:rPr>
          <w:rFonts w:ascii="Arial" w:cs="Arial" w:eastAsia="Arial" w:hAnsi="Arial"/>
          <w:sz w:val="22"/>
          <w:szCs w:val="22"/>
          <w:color w:val="auto"/>
        </w:rPr>
        <w:t>”).</w:t>
      </w:r>
    </w:p>
    <w:p>
      <w:pPr>
        <w:spacing w:after="0" w:line="202" w:lineRule="exact"/>
        <w:rPr>
          <w:sz w:val="20"/>
          <w:szCs w:val="20"/>
          <w:color w:val="auto"/>
        </w:rPr>
      </w:pPr>
    </w:p>
    <w:p>
      <w:pPr>
        <w:ind w:left="2500" w:hanging="548"/>
        <w:spacing w:after="0"/>
        <w:tabs>
          <w:tab w:leader="none" w:pos="2500" w:val="left"/>
        </w:tabs>
        <w:numPr>
          <w:ilvl w:val="2"/>
          <w:numId w:val="113"/>
        </w:numPr>
        <w:rPr>
          <w:rFonts w:ascii="Arial" w:cs="Arial" w:eastAsia="Arial" w:hAnsi="Arial"/>
          <w:sz w:val="22"/>
          <w:szCs w:val="22"/>
          <w:color w:val="010000"/>
        </w:rPr>
      </w:pPr>
      <w:r>
        <w:rPr>
          <w:rFonts w:ascii="Arial" w:cs="Arial" w:eastAsia="Arial" w:hAnsi="Arial"/>
          <w:sz w:val="22"/>
          <w:szCs w:val="22"/>
          <w:u w:val="single" w:color="auto"/>
          <w:color w:val="auto"/>
        </w:rPr>
        <w:t>Third</w:t>
      </w:r>
      <w:r>
        <w:rPr>
          <w:rFonts w:ascii="Arial" w:cs="Arial" w:eastAsia="Arial" w:hAnsi="Arial"/>
          <w:sz w:val="22"/>
          <w:szCs w:val="22"/>
          <w:color w:val="auto"/>
        </w:rPr>
        <w:t>, the Tagged Shares will be:</w:t>
      </w:r>
    </w:p>
    <w:p>
      <w:pPr>
        <w:spacing w:after="0" w:line="219" w:lineRule="exact"/>
        <w:rPr>
          <w:rFonts w:ascii="Arial" w:cs="Arial" w:eastAsia="Arial" w:hAnsi="Arial"/>
          <w:sz w:val="22"/>
          <w:szCs w:val="22"/>
          <w:color w:val="010000"/>
        </w:rPr>
      </w:pPr>
    </w:p>
    <w:p>
      <w:pPr>
        <w:jc w:val="both"/>
        <w:ind w:firstLine="2600"/>
        <w:spacing w:after="0" w:line="265" w:lineRule="auto"/>
        <w:tabs>
          <w:tab w:leader="none" w:pos="3135" w:val="left"/>
        </w:tabs>
        <w:numPr>
          <w:ilvl w:val="3"/>
          <w:numId w:val="113"/>
        </w:numPr>
        <w:rPr>
          <w:rFonts w:ascii="Arial" w:cs="Arial" w:eastAsia="Arial" w:hAnsi="Arial"/>
          <w:sz w:val="21"/>
          <w:szCs w:val="21"/>
          <w:color w:val="010000"/>
        </w:rPr>
      </w:pPr>
      <w:r>
        <w:rPr>
          <w:rFonts w:ascii="Arial" w:cs="Arial" w:eastAsia="Arial" w:hAnsi="Arial"/>
          <w:sz w:val="21"/>
          <w:szCs w:val="21"/>
          <w:color w:val="auto"/>
        </w:rPr>
        <w:t xml:space="preserve">a number of Class A-1-A Preferred Shares equal to: (1) Total Tagged Shares </w:t>
      </w:r>
      <w:r>
        <w:rPr>
          <w:rFonts w:ascii="Arial" w:cs="Arial" w:eastAsia="Arial" w:hAnsi="Arial"/>
          <w:sz w:val="21"/>
          <w:szCs w:val="21"/>
          <w:u w:val="single" w:color="auto"/>
          <w:color w:val="auto"/>
        </w:rPr>
        <w:t>multiplied by</w:t>
      </w:r>
      <w:r>
        <w:rPr>
          <w:rFonts w:ascii="Arial" w:cs="Arial" w:eastAsia="Arial" w:hAnsi="Arial"/>
          <w:sz w:val="21"/>
          <w:szCs w:val="21"/>
          <w:color w:val="auto"/>
        </w:rPr>
        <w:t xml:space="preserve"> a fraction, (x) the numerator of which is the number of Class D Common Shares into which the Class A-1-A Preferred Shares of such Participation Member were deemed converted pursuant to subsection (i) above, and (y) the denominator of which is the Total Conversion Shares </w:t>
      </w:r>
      <w:r>
        <w:rPr>
          <w:rFonts w:ascii="Arial" w:cs="Arial" w:eastAsia="Arial" w:hAnsi="Arial"/>
          <w:sz w:val="21"/>
          <w:szCs w:val="21"/>
          <w:u w:val="single" w:color="auto"/>
          <w:color w:val="auto"/>
        </w:rPr>
        <w:t>divided by</w:t>
      </w:r>
      <w:r>
        <w:rPr>
          <w:rFonts w:ascii="Arial" w:cs="Arial" w:eastAsia="Arial" w:hAnsi="Arial"/>
          <w:sz w:val="21"/>
          <w:szCs w:val="21"/>
          <w:color w:val="auto"/>
        </w:rPr>
        <w:t>, (2) the A-1-A Preferred Share Conversion Ratio;</w:t>
      </w:r>
    </w:p>
    <w:p>
      <w:pPr>
        <w:spacing w:after="0" w:line="175" w:lineRule="exact"/>
        <w:rPr>
          <w:rFonts w:ascii="Arial" w:cs="Arial" w:eastAsia="Arial" w:hAnsi="Arial"/>
          <w:sz w:val="21"/>
          <w:szCs w:val="21"/>
          <w:color w:val="010000"/>
        </w:rPr>
      </w:pPr>
    </w:p>
    <w:p>
      <w:pPr>
        <w:jc w:val="both"/>
        <w:ind w:firstLine="2600"/>
        <w:spacing w:after="0" w:line="265" w:lineRule="auto"/>
        <w:tabs>
          <w:tab w:leader="none" w:pos="3136" w:val="left"/>
        </w:tabs>
        <w:numPr>
          <w:ilvl w:val="3"/>
          <w:numId w:val="113"/>
        </w:numPr>
        <w:rPr>
          <w:rFonts w:ascii="Arial" w:cs="Arial" w:eastAsia="Arial" w:hAnsi="Arial"/>
          <w:sz w:val="21"/>
          <w:szCs w:val="21"/>
          <w:color w:val="010000"/>
        </w:rPr>
      </w:pPr>
      <w:r>
        <w:rPr>
          <w:rFonts w:ascii="Arial" w:cs="Arial" w:eastAsia="Arial" w:hAnsi="Arial"/>
          <w:sz w:val="21"/>
          <w:szCs w:val="21"/>
          <w:color w:val="auto"/>
        </w:rPr>
        <w:t xml:space="preserve">a number of Class A-1-B Preferred Shares equal to: (1) Total Tagged Shares </w:t>
      </w:r>
      <w:r>
        <w:rPr>
          <w:rFonts w:ascii="Arial" w:cs="Arial" w:eastAsia="Arial" w:hAnsi="Arial"/>
          <w:sz w:val="21"/>
          <w:szCs w:val="21"/>
          <w:u w:val="single" w:color="auto"/>
          <w:color w:val="auto"/>
        </w:rPr>
        <w:t>multiplied by</w:t>
      </w:r>
      <w:r>
        <w:rPr>
          <w:rFonts w:ascii="Arial" w:cs="Arial" w:eastAsia="Arial" w:hAnsi="Arial"/>
          <w:sz w:val="21"/>
          <w:szCs w:val="21"/>
          <w:color w:val="auto"/>
        </w:rPr>
        <w:t xml:space="preserve"> a fraction, (x) the numerator of which is the number of Class D Common Shares into which the Class A-1-B Preferred Shares of such Participation Member were deemed converted pursuant to subsection (i) above, and (y) the denominator of which is the Total Conversion Shares </w:t>
      </w:r>
      <w:r>
        <w:rPr>
          <w:rFonts w:ascii="Arial" w:cs="Arial" w:eastAsia="Arial" w:hAnsi="Arial"/>
          <w:sz w:val="21"/>
          <w:szCs w:val="21"/>
          <w:u w:val="single" w:color="auto"/>
          <w:color w:val="auto"/>
        </w:rPr>
        <w:t>divided by</w:t>
      </w:r>
      <w:r>
        <w:rPr>
          <w:rFonts w:ascii="Arial" w:cs="Arial" w:eastAsia="Arial" w:hAnsi="Arial"/>
          <w:sz w:val="21"/>
          <w:szCs w:val="21"/>
          <w:color w:val="auto"/>
        </w:rPr>
        <w:t>, (2) A-1-B Preferred Share Conversion Ratio;</w:t>
      </w:r>
    </w:p>
    <w:p>
      <w:pPr>
        <w:spacing w:after="0" w:line="175" w:lineRule="exact"/>
        <w:rPr>
          <w:rFonts w:ascii="Arial" w:cs="Arial" w:eastAsia="Arial" w:hAnsi="Arial"/>
          <w:sz w:val="21"/>
          <w:szCs w:val="21"/>
          <w:color w:val="010000"/>
        </w:rPr>
      </w:pPr>
    </w:p>
    <w:p>
      <w:pPr>
        <w:ind w:left="3120" w:hanging="520"/>
        <w:spacing w:after="0"/>
        <w:tabs>
          <w:tab w:leader="none" w:pos="3120" w:val="left"/>
        </w:tabs>
        <w:numPr>
          <w:ilvl w:val="3"/>
          <w:numId w:val="113"/>
        </w:numPr>
        <w:rPr>
          <w:rFonts w:ascii="Arial" w:cs="Arial" w:eastAsia="Arial" w:hAnsi="Arial"/>
          <w:sz w:val="19"/>
          <w:szCs w:val="19"/>
          <w:color w:val="010000"/>
        </w:rPr>
      </w:pPr>
      <w:r>
        <w:rPr>
          <w:rFonts w:ascii="Arial" w:cs="Arial" w:eastAsia="Arial" w:hAnsi="Arial"/>
          <w:sz w:val="19"/>
          <w:szCs w:val="19"/>
          <w:color w:val="auto"/>
        </w:rPr>
        <w:t xml:space="preserve">a number of Class D Common Shares equal to: Total Tagged Shares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a fraction,</w:t>
      </w:r>
    </w:p>
    <w:p>
      <w:pPr>
        <w:spacing w:after="0" w:line="55" w:lineRule="exact"/>
        <w:rPr>
          <w:rFonts w:ascii="Arial" w:cs="Arial" w:eastAsia="Arial" w:hAnsi="Arial"/>
          <w:sz w:val="19"/>
          <w:szCs w:val="19"/>
          <w:color w:val="010000"/>
        </w:rPr>
      </w:pPr>
    </w:p>
    <w:p>
      <w:pPr>
        <w:ind w:firstLine="8"/>
        <w:spacing w:after="0" w:line="269" w:lineRule="auto"/>
        <w:tabs>
          <w:tab w:leader="none" w:pos="325" w:val="left"/>
        </w:tabs>
        <w:numPr>
          <w:ilvl w:val="0"/>
          <w:numId w:val="114"/>
        </w:numPr>
        <w:rPr>
          <w:rFonts w:ascii="Arial" w:cs="Arial" w:eastAsia="Arial" w:hAnsi="Arial"/>
          <w:sz w:val="21"/>
          <w:szCs w:val="21"/>
          <w:color w:val="auto"/>
        </w:rPr>
      </w:pPr>
      <w:r>
        <w:rPr>
          <w:rFonts w:ascii="Arial" w:cs="Arial" w:eastAsia="Arial" w:hAnsi="Arial"/>
          <w:sz w:val="21"/>
          <w:szCs w:val="21"/>
          <w:color w:val="auto"/>
        </w:rPr>
        <w:t>the numerator of which is the number of Class D Common Shares held by such Participation Member prior to the deemed conversion pursuant to subsection (i) above, and (2) the denominator of which is the Total Conversion Shares;</w:t>
      </w:r>
    </w:p>
    <w:p>
      <w:pPr>
        <w:spacing w:after="0" w:line="169" w:lineRule="exact"/>
        <w:rPr>
          <w:rFonts w:ascii="Arial" w:cs="Arial" w:eastAsia="Arial" w:hAnsi="Arial"/>
          <w:sz w:val="21"/>
          <w:szCs w:val="21"/>
          <w:color w:val="auto"/>
        </w:rPr>
      </w:pPr>
    </w:p>
    <w:p>
      <w:pPr>
        <w:ind w:left="3140" w:hanging="540"/>
        <w:spacing w:after="0"/>
        <w:tabs>
          <w:tab w:leader="none" w:pos="3140" w:val="left"/>
        </w:tabs>
        <w:numPr>
          <w:ilvl w:val="3"/>
          <w:numId w:val="114"/>
        </w:numPr>
        <w:rPr>
          <w:rFonts w:ascii="Arial" w:cs="Arial" w:eastAsia="Arial" w:hAnsi="Arial"/>
          <w:sz w:val="19"/>
          <w:szCs w:val="19"/>
          <w:color w:val="010000"/>
        </w:rPr>
      </w:pPr>
      <w:r>
        <w:rPr>
          <w:rFonts w:ascii="Arial" w:cs="Arial" w:eastAsia="Arial" w:hAnsi="Arial"/>
          <w:sz w:val="19"/>
          <w:szCs w:val="19"/>
          <w:color w:val="auto"/>
        </w:rPr>
        <w:t xml:space="preserve">a number of Class E Common Shares equal to: Total Tagged Shares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a fraction,</w:t>
      </w:r>
    </w:p>
    <w:p>
      <w:pPr>
        <w:spacing w:after="0" w:line="55" w:lineRule="exact"/>
        <w:rPr>
          <w:rFonts w:ascii="Arial" w:cs="Arial" w:eastAsia="Arial" w:hAnsi="Arial"/>
          <w:sz w:val="19"/>
          <w:szCs w:val="19"/>
          <w:color w:val="010000"/>
        </w:rPr>
      </w:pPr>
    </w:p>
    <w:p>
      <w:pPr>
        <w:ind w:right="20" w:firstLine="8"/>
        <w:spacing w:after="0" w:line="269" w:lineRule="auto"/>
        <w:tabs>
          <w:tab w:leader="none" w:pos="325"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the numerator of which is the number of Class E Common Shares held by such Participation Member prior to the deemed conversion pursuant to subsection (i) above, and (2) the denominator of which is the Total Conversion Shares;</w:t>
      </w:r>
    </w:p>
    <w:p>
      <w:pPr>
        <w:spacing w:after="0" w:line="169" w:lineRule="exact"/>
        <w:rPr>
          <w:rFonts w:ascii="Arial" w:cs="Arial" w:eastAsia="Arial" w:hAnsi="Arial"/>
          <w:sz w:val="21"/>
          <w:szCs w:val="21"/>
          <w:color w:val="auto"/>
        </w:rPr>
      </w:pPr>
    </w:p>
    <w:p>
      <w:pPr>
        <w:ind w:left="3120" w:hanging="520"/>
        <w:spacing w:after="0"/>
        <w:tabs>
          <w:tab w:leader="none" w:pos="3120" w:val="left"/>
        </w:tabs>
        <w:numPr>
          <w:ilvl w:val="3"/>
          <w:numId w:val="115"/>
        </w:numPr>
        <w:rPr>
          <w:rFonts w:ascii="Arial" w:cs="Arial" w:eastAsia="Arial" w:hAnsi="Arial"/>
          <w:sz w:val="19"/>
          <w:szCs w:val="19"/>
          <w:color w:val="010000"/>
        </w:rPr>
      </w:pPr>
      <w:r>
        <w:rPr>
          <w:rFonts w:ascii="Arial" w:cs="Arial" w:eastAsia="Arial" w:hAnsi="Arial"/>
          <w:sz w:val="19"/>
          <w:szCs w:val="19"/>
          <w:color w:val="auto"/>
        </w:rPr>
        <w:t xml:space="preserve">a number of Class F Preferred Shares equal to: Total Tagged Shares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a fraction,</w:t>
      </w:r>
    </w:p>
    <w:p>
      <w:pPr>
        <w:spacing w:after="0" w:line="55" w:lineRule="exact"/>
        <w:rPr>
          <w:rFonts w:ascii="Arial" w:cs="Arial" w:eastAsia="Arial" w:hAnsi="Arial"/>
          <w:sz w:val="19"/>
          <w:szCs w:val="19"/>
          <w:color w:val="010000"/>
        </w:rPr>
      </w:pPr>
    </w:p>
    <w:p>
      <w:pPr>
        <w:ind w:right="20" w:firstLine="8"/>
        <w:spacing w:after="0" w:line="323" w:lineRule="auto"/>
        <w:tabs>
          <w:tab w:leader="none" w:pos="326"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numerator of which is the number of Class F Preferred Shares held by such Participation Member prior to the deemed conversion pursuant to subsection (i) above, and (2) the denominator of which is the Total Conversion Shares; and</w:t>
      </w:r>
    </w:p>
    <w:p>
      <w:pPr>
        <w:spacing w:after="0" w:line="122" w:lineRule="exact"/>
        <w:rPr>
          <w:rFonts w:ascii="Arial" w:cs="Arial" w:eastAsia="Arial" w:hAnsi="Arial"/>
          <w:sz w:val="19"/>
          <w:szCs w:val="19"/>
          <w:color w:val="auto"/>
        </w:rPr>
      </w:pPr>
    </w:p>
    <w:p>
      <w:pPr>
        <w:ind w:left="3100" w:hanging="500"/>
        <w:spacing w:after="0"/>
        <w:tabs>
          <w:tab w:leader="none" w:pos="3100" w:val="left"/>
        </w:tabs>
        <w:numPr>
          <w:ilvl w:val="3"/>
          <w:numId w:val="116"/>
        </w:numPr>
        <w:rPr>
          <w:rFonts w:ascii="Arial" w:cs="Arial" w:eastAsia="Arial" w:hAnsi="Arial"/>
          <w:sz w:val="19"/>
          <w:szCs w:val="19"/>
          <w:color w:val="010000"/>
        </w:rPr>
      </w:pPr>
      <w:r>
        <w:rPr>
          <w:rFonts w:ascii="Arial" w:cs="Arial" w:eastAsia="Arial" w:hAnsi="Arial"/>
          <w:sz w:val="19"/>
          <w:szCs w:val="19"/>
          <w:color w:val="auto"/>
        </w:rPr>
        <w:t xml:space="preserve">a number of Class G Preferred Shares equal to: Total Tagged Shares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a fraction,</w:t>
      </w:r>
    </w:p>
    <w:p>
      <w:pPr>
        <w:spacing w:after="0" w:line="55" w:lineRule="exact"/>
        <w:rPr>
          <w:rFonts w:ascii="Arial" w:cs="Arial" w:eastAsia="Arial" w:hAnsi="Arial"/>
          <w:sz w:val="19"/>
          <w:szCs w:val="19"/>
          <w:color w:val="010000"/>
        </w:rPr>
      </w:pPr>
    </w:p>
    <w:p>
      <w:pPr>
        <w:ind w:firstLine="8"/>
        <w:spacing w:after="0" w:line="269" w:lineRule="auto"/>
        <w:tabs>
          <w:tab w:leader="none" w:pos="325" w:val="left"/>
        </w:tabs>
        <w:numPr>
          <w:ilvl w:val="0"/>
          <w:numId w:val="117"/>
        </w:numPr>
        <w:rPr>
          <w:rFonts w:ascii="Arial" w:cs="Arial" w:eastAsia="Arial" w:hAnsi="Arial"/>
          <w:sz w:val="21"/>
          <w:szCs w:val="21"/>
          <w:color w:val="auto"/>
        </w:rPr>
      </w:pPr>
      <w:r>
        <w:rPr>
          <w:rFonts w:ascii="Arial" w:cs="Arial" w:eastAsia="Arial" w:hAnsi="Arial"/>
          <w:sz w:val="21"/>
          <w:szCs w:val="21"/>
          <w:color w:val="auto"/>
        </w:rPr>
        <w:t>the numerator of which is the number of Class G Preferred Shares held by such Participation Member prior to the deemed conversion pursuant to subsection (i) above, and (2) the denominator of which is the Total Conversion Shares.</w:t>
      </w:r>
    </w:p>
    <w:p>
      <w:pPr>
        <w:spacing w:after="0" w:line="169" w:lineRule="exact"/>
        <w:rPr>
          <w:rFonts w:ascii="Arial" w:cs="Arial" w:eastAsia="Arial" w:hAnsi="Arial"/>
          <w:sz w:val="21"/>
          <w:szCs w:val="21"/>
          <w:color w:val="auto"/>
        </w:rPr>
      </w:pPr>
    </w:p>
    <w:p>
      <w:pPr>
        <w:jc w:val="both"/>
        <w:ind w:firstLine="1304"/>
        <w:spacing w:after="0" w:line="294" w:lineRule="auto"/>
        <w:tabs>
          <w:tab w:leader="none" w:pos="1831" w:val="left"/>
        </w:tabs>
        <w:numPr>
          <w:ilvl w:val="1"/>
          <w:numId w:val="117"/>
        </w:numPr>
        <w:rPr>
          <w:rFonts w:ascii="Arial" w:cs="Arial" w:eastAsia="Arial" w:hAnsi="Arial"/>
          <w:sz w:val="19"/>
          <w:szCs w:val="19"/>
          <w:color w:val="010000"/>
        </w:rPr>
      </w:pPr>
      <w:r>
        <w:rPr>
          <w:rFonts w:ascii="Arial" w:cs="Arial" w:eastAsia="Arial" w:hAnsi="Arial"/>
          <w:sz w:val="19"/>
          <w:szCs w:val="19"/>
          <w:color w:val="auto"/>
        </w:rPr>
        <w:t>Immediately prior to the consummation of the Transfer to the Independent Third Party, the Tagged Shares (other than Class E Common Shares, Class F Preferred Shares, and Class G Preferred Shares) will be automatically, and without any further action, be actually converted into Class D Common Shares pursuant to Section 2.10(b). The Transferring Holder(s) and each participating Participation Member shall receive the same form of consideration and the aggregate net consideration (after such aggregate net consideration is adjusted for Company expenses, purchase price adjustments, escrow amounts, purchase price holdbacks, indemnity obligations and other similar items) shall be divided ratably among the Transferring Holder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each participating Participation Member based upon their respective numbers of Shares included in the Transfer.</w:t>
      </w:r>
    </w:p>
    <w:p>
      <w:pPr>
        <w:spacing w:after="0" w:line="220" w:lineRule="exact"/>
        <w:rPr>
          <w:sz w:val="20"/>
          <w:szCs w:val="20"/>
          <w:color w:val="auto"/>
        </w:rPr>
      </w:pPr>
    </w:p>
    <w:p>
      <w:pPr>
        <w:jc w:val="both"/>
        <w:ind w:firstLine="1304"/>
        <w:spacing w:after="0" w:line="259" w:lineRule="auto"/>
        <w:tabs>
          <w:tab w:leader="none" w:pos="1981" w:val="left"/>
        </w:tabs>
        <w:numPr>
          <w:ilvl w:val="0"/>
          <w:numId w:val="118"/>
        </w:numPr>
        <w:rPr>
          <w:rFonts w:ascii="Arial" w:cs="Arial" w:eastAsia="Arial" w:hAnsi="Arial"/>
          <w:sz w:val="21"/>
          <w:szCs w:val="21"/>
          <w:color w:val="010000"/>
        </w:rPr>
      </w:pPr>
      <w:r>
        <w:rPr>
          <w:rFonts w:ascii="Arial" w:cs="Arial" w:eastAsia="Arial" w:hAnsi="Arial"/>
          <w:sz w:val="21"/>
          <w:szCs w:val="21"/>
          <w:color w:val="auto"/>
        </w:rPr>
        <w:t>Notwithstanding anything to the contrary in this Section 9.07, the Transferring Holder(s) shall not consummate the Transfer contemplated by the Tag Notice at a higher price or on other terms and conditions more favorable to them, in the aggregate, than the terms set forth in the Tag Notice (including as to price per Class A-1 Preferred Share or form of consideration to be received) unless the Transferring Holder(s) shall first have delivered a second notice setting forth such more favorable terms (the “</w:t>
      </w:r>
      <w:r>
        <w:rPr>
          <w:rFonts w:ascii="Arial" w:cs="Arial" w:eastAsia="Arial" w:hAnsi="Arial"/>
          <w:sz w:val="21"/>
          <w:szCs w:val="21"/>
          <w:b w:val="1"/>
          <w:bCs w:val="1"/>
          <w:color w:val="auto"/>
        </w:rPr>
        <w:t>Amended Tag Notice</w:t>
      </w:r>
      <w:r>
        <w:rPr>
          <w:rFonts w:ascii="Arial" w:cs="Arial" w:eastAsia="Arial" w:hAnsi="Arial"/>
          <w:sz w:val="21"/>
          <w:szCs w:val="21"/>
          <w:color w:val="auto"/>
        </w:rPr>
        <w:t>”) to each Participation Member who had not elected to participate in the contemplated Transfer. Each Participation Member receiving an Amended Tag Notice may elect to participate in the contemplated Transfer on such amended terms by delivering written notice to the Transferring Holder(s) not later than ten (10) Business Days after delivery of the Amended Tag Notice.</w:t>
      </w:r>
    </w:p>
    <w:p>
      <w:pPr>
        <w:spacing w:after="0" w:line="183" w:lineRule="exact"/>
        <w:rPr>
          <w:rFonts w:ascii="Arial" w:cs="Arial" w:eastAsia="Arial" w:hAnsi="Arial"/>
          <w:sz w:val="21"/>
          <w:szCs w:val="21"/>
          <w:color w:val="010000"/>
        </w:rPr>
      </w:pPr>
    </w:p>
    <w:p>
      <w:pPr>
        <w:jc w:val="both"/>
        <w:ind w:firstLine="1304"/>
        <w:spacing w:after="0" w:line="289" w:lineRule="auto"/>
        <w:tabs>
          <w:tab w:leader="none" w:pos="1764" w:val="left"/>
        </w:tabs>
        <w:numPr>
          <w:ilvl w:val="0"/>
          <w:numId w:val="118"/>
        </w:numPr>
        <w:rPr>
          <w:rFonts w:ascii="Arial" w:cs="Arial" w:eastAsia="Arial" w:hAnsi="Arial"/>
          <w:sz w:val="19"/>
          <w:szCs w:val="19"/>
          <w:color w:val="010000"/>
        </w:rPr>
      </w:pPr>
      <w:r>
        <w:rPr>
          <w:rFonts w:ascii="Arial" w:cs="Arial" w:eastAsia="Arial" w:hAnsi="Arial"/>
          <w:sz w:val="19"/>
          <w:szCs w:val="19"/>
          <w:color w:val="auto"/>
        </w:rPr>
        <w:t xml:space="preserve">Each Participation Member shall pay his, her or its own costs of any sale and a pro rata share (based upon the reduction in proceeds that would have been allocated to such Member if the amount of such expense were not included in the aggregate consideration) of the expenses incurred by the Members (to the extent such costs are incurred for the benefit of all of such Members and are not otherwise paid by the Transferee) and the Company in connection with such Transfer and shall be obligated to provide the same customary representations, warranties, covenants, agreements, indemnities and other obligations that the Transferring Holder(s) agrees to provide in connection with such Transfer; </w:t>
      </w:r>
      <w:r>
        <w:rPr>
          <w:rFonts w:ascii="Arial" w:cs="Arial" w:eastAsia="Arial" w:hAnsi="Arial"/>
          <w:sz w:val="19"/>
          <w:szCs w:val="19"/>
          <w:u w:val="single" w:color="auto"/>
          <w:color w:val="auto"/>
        </w:rPr>
        <w:t>provided</w:t>
      </w:r>
      <w:r>
        <w:rPr>
          <w:rFonts w:ascii="Arial" w:cs="Arial" w:eastAsia="Arial" w:hAnsi="Arial"/>
          <w:sz w:val="19"/>
          <w:szCs w:val="19"/>
          <w:color w:val="auto"/>
        </w:rPr>
        <w:t>, that in no event will a Participation Member be required to enter into a non-competition agreement or be subject to any similar covenant or provision. Except as contemplated by the preceding sentence, each Participation Member shall execute and deliver all documents required to be executed in connection with such tag-along sale transaction.</w:t>
      </w:r>
    </w:p>
    <w:p>
      <w:pPr>
        <w:spacing w:after="0" w:line="156" w:lineRule="exact"/>
        <w:rPr>
          <w:rFonts w:ascii="Arial" w:cs="Arial" w:eastAsia="Arial" w:hAnsi="Arial"/>
          <w:sz w:val="19"/>
          <w:szCs w:val="19"/>
          <w:color w:val="010000"/>
        </w:rPr>
      </w:pPr>
    </w:p>
    <w:p>
      <w:pPr>
        <w:jc w:val="both"/>
        <w:ind w:firstLine="1304"/>
        <w:spacing w:after="0" w:line="261" w:lineRule="auto"/>
        <w:tabs>
          <w:tab w:leader="none" w:pos="1792" w:val="left"/>
        </w:tabs>
        <w:numPr>
          <w:ilvl w:val="0"/>
          <w:numId w:val="118"/>
        </w:numPr>
        <w:rPr>
          <w:rFonts w:ascii="Arial" w:cs="Arial" w:eastAsia="Arial" w:hAnsi="Arial"/>
          <w:sz w:val="21"/>
          <w:szCs w:val="21"/>
          <w:color w:val="010000"/>
        </w:rPr>
      </w:pPr>
      <w:r>
        <w:rPr>
          <w:rFonts w:ascii="Arial" w:cs="Arial" w:eastAsia="Arial" w:hAnsi="Arial"/>
          <w:sz w:val="21"/>
          <w:szCs w:val="21"/>
          <w:color w:val="auto"/>
        </w:rPr>
        <w:t>Without limiting the generality of the other provisions of this Section 9.07, the Transferring Holder(s) shall decide whether or not to pursue, consummate, postpone or abandon any Transfer and, subject to the limitations set forth in this Section 9.07, the terms and conditions thereof. None of the Transferring Holder(s) nor any of their respective Affiliates shall have any liability to any Member arising from, relating to or in connection with the pursuit, consummation, postponement, abandonment or terms and conditions of any such Transfer except to the extent the Transferring Holder(s) shall have failed to comply with any of the other provisions of this Section 9.07.</w:t>
      </w:r>
    </w:p>
    <w:p>
      <w:pPr>
        <w:spacing w:after="0" w:line="17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9.08</w:t>
      </w:r>
      <w:r>
        <w:rPr>
          <w:sz w:val="20"/>
          <w:szCs w:val="20"/>
          <w:color w:val="auto"/>
        </w:rPr>
        <w:tab/>
      </w:r>
      <w:r>
        <w:rPr>
          <w:rFonts w:ascii="Arial" w:cs="Arial" w:eastAsia="Arial" w:hAnsi="Arial"/>
          <w:sz w:val="19"/>
          <w:szCs w:val="19"/>
          <w:b w:val="1"/>
          <w:bCs w:val="1"/>
          <w:u w:val="single" w:color="auto"/>
          <w:color w:val="auto"/>
        </w:rPr>
        <w:t>Sale of the Company</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94" w:lineRule="auto"/>
        <w:tabs>
          <w:tab w:leader="none" w:pos="1806" w:val="left"/>
        </w:tabs>
        <w:numPr>
          <w:ilvl w:val="0"/>
          <w:numId w:val="119"/>
        </w:numPr>
        <w:rPr>
          <w:rFonts w:ascii="Arial" w:cs="Arial" w:eastAsia="Arial" w:hAnsi="Arial"/>
          <w:sz w:val="19"/>
          <w:szCs w:val="19"/>
          <w:color w:val="010000"/>
        </w:rPr>
      </w:pPr>
      <w:r>
        <w:rPr>
          <w:rFonts w:ascii="Arial" w:cs="Arial" w:eastAsia="Arial" w:hAnsi="Arial"/>
          <w:sz w:val="19"/>
          <w:szCs w:val="19"/>
          <w:color w:val="auto"/>
        </w:rPr>
        <w:t>Provided that a Drag-Along Notice has not been delivered and the procedures in Section 9.09 are not then currently in effect, notwithstanding anything to the contrary in this Agreement, the Board of Directors may (subject to Section 5.11) elect to cause a Sale of the Company at any time. The Board of Directors shall direct and control all decisions in connection with a Sale of the Company (including the hiring or termination of any investment bank or professional adviser and making all decisions regarding valuation and consideration and the percentage of the Equity Securities in the Company to be sold) and, subject to Section 9.08(b) and Section 9.08(d), and without prejudice to Section 5.11, each Member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04"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vote for, consent to and not object to such Sale of the Company or the sale process associated therewith. If such Sale of the Company is structured as a sale of assets, merger or consolidation, then each Member shall, to the extent applicable to such transaction, vote for or consent to, and waive any dissenter’s rights, appraisal rights or similar rights in connection with, such sale, merger or consolidation. If such Sale of the Company is structured as a Transfer of Shares, and the Sale of the Company involves less than all of the Shares in the Company, then each Member shall Transfer the same percentage of each class or series of Shares (or rights to acquire Shares of any class or series) that it holds. Each Member and the Company shall take all reasonable and necessary actions in connection with the consummation of such Sale of the Company as may be requested by the Board of Directors, including (i) in the case of the Company only, engaging one or more investment banks and legal counsel selected by the Board of Directors to establish procedures acceptable to the Board of Directors to effect and to otherwise assist in connection with a Sale of the Company, (ii) taking such commercially reasonable actions and providing such commercially reasonable cooperation and assistance as may be necessary to consummate the Sale of the Company in an expeditious and efficient manner and not taking any action or engaging in any activity designed to hinder, prevent or delay the consummation of the Sale of the Company, (iii) in the case of the Company only, facilitating the due diligence process in respect of any such Sale of the Company, including establishing, populating and maintaining an online “data room”, (iv) in the case of the Company only, providing any financial or other information or audit required by the proposed buyer’s financing sources and (v) the execution of such agreements and such instruments and other actions reasonably necessary in connection with the Sale of the Company, including to provide customary representations, warranties, indemnities and escrow arrangements relating thereto, in each case in accordance with and subject to the limitations set forth in Section 9.08(d).</w:t>
      </w:r>
    </w:p>
    <w:p>
      <w:pPr>
        <w:spacing w:after="0" w:line="163" w:lineRule="exact"/>
        <w:rPr>
          <w:sz w:val="20"/>
          <w:szCs w:val="20"/>
          <w:color w:val="auto"/>
        </w:rPr>
      </w:pPr>
    </w:p>
    <w:p>
      <w:pPr>
        <w:jc w:val="both"/>
        <w:ind w:firstLine="1304"/>
        <w:spacing w:after="0" w:line="287" w:lineRule="auto"/>
        <w:tabs>
          <w:tab w:leader="none" w:pos="1804" w:val="left"/>
        </w:tabs>
        <w:numPr>
          <w:ilvl w:val="0"/>
          <w:numId w:val="120"/>
        </w:numPr>
        <w:rPr>
          <w:rFonts w:ascii="Arial" w:cs="Arial" w:eastAsia="Arial" w:hAnsi="Arial"/>
          <w:sz w:val="19"/>
          <w:szCs w:val="19"/>
          <w:color w:val="010000"/>
        </w:rPr>
      </w:pPr>
      <w:r>
        <w:rPr>
          <w:rFonts w:ascii="Arial" w:cs="Arial" w:eastAsia="Arial" w:hAnsi="Arial"/>
          <w:sz w:val="19"/>
          <w:szCs w:val="19"/>
          <w:color w:val="auto"/>
        </w:rPr>
        <w:t>The obligations of the Members with respect to a Sale of the Company are subject to the satisfaction of the following conditions: (i) upon the consummation of such Sale of the Company, each holder of Shares, to the extent such holder is receiving any consideration, shall receive the same form(s) of consideration as each other holder of Shares receives (or the option to receive the same form of consideration), and (ii) the Sale of the Company will be a Deemed Liquidation Event and the aggregate consideration payable upon consummation of such Sale of the Company to all holders of Shares in respect of their Shares shall be apportioned and distributed (after such aggregate consideration is adjusted for Company expenses, purchase price adjustments, escrow amounts, purchase price holdbacks, indemnity obligations and other similar items) as between the classes of Shares in accordance with the relevant provisions of Section 3.02 (assuming that, if such Sale of the Company is structured as a Transfer of Shares and less than all of the Shares are being Transferred, the Shares included in the Transfer are all of the Shares outstanding). For clarity, the application of Section 3.02 may result in some Shares included in the Transfer not receiving any consideration with respect to such Sale of the Company.</w:t>
      </w:r>
    </w:p>
    <w:p>
      <w:pPr>
        <w:spacing w:after="0" w:line="163" w:lineRule="exact"/>
        <w:rPr>
          <w:rFonts w:ascii="Arial" w:cs="Arial" w:eastAsia="Arial" w:hAnsi="Arial"/>
          <w:sz w:val="19"/>
          <w:szCs w:val="19"/>
          <w:color w:val="010000"/>
        </w:rPr>
      </w:pPr>
    </w:p>
    <w:p>
      <w:pPr>
        <w:jc w:val="both"/>
        <w:ind w:firstLine="1304"/>
        <w:spacing w:after="0" w:line="312" w:lineRule="auto"/>
        <w:tabs>
          <w:tab w:leader="none" w:pos="1765" w:val="left"/>
        </w:tabs>
        <w:numPr>
          <w:ilvl w:val="0"/>
          <w:numId w:val="120"/>
        </w:numPr>
        <w:rPr>
          <w:rFonts w:ascii="Arial" w:cs="Arial" w:eastAsia="Arial" w:hAnsi="Arial"/>
          <w:sz w:val="19"/>
          <w:szCs w:val="19"/>
          <w:color w:val="010000"/>
        </w:rPr>
      </w:pPr>
      <w:r>
        <w:rPr>
          <w:rFonts w:ascii="Arial" w:cs="Arial" w:eastAsia="Arial" w:hAnsi="Arial"/>
          <w:sz w:val="19"/>
          <w:szCs w:val="19"/>
          <w:color w:val="auto"/>
        </w:rPr>
        <w:t>If the Company, or if the holders of any Shares, enter into any negotiation or transaction for which Rule 506 (or any similar rule then in effect) promulgated by the SEC may be available with respect to such negotiation or transaction (including a merger, consolidation, or other reorganization), each holder of Equity Securities will, at the request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04"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Company, appoint either a purchaser representative (as such term is defined in Rule 501) designated by the Company, in which event the Company will pay the fees of such purchaser representative, or another purchaser representative (reasonably acceptable to the Company), in which event such holder will be responsible for the fees of the purchaser representative so appointed. Notwithstanding anything to the contrary, in connection with any Sale of the Company where the consideration in such Sale of the Company consists of or includes securities, if the issuance of such securities to the Member would require either a registration statement under the Securities Act, or preparation of a disclosure statement pursuant to Regulation D (or any successor regulation) under the Securities Act, or preparation of a disclosure document under a similar provision of any state securities law, and such registration statement or disclosure statement or other disclosure document is not otherwise being prepared in connection with the Sale of the Company, then, at the option of the Board of Directors, the Member may receive, in lieu of such securities, the Fair Market Value of such securities in cash.</w:t>
      </w:r>
    </w:p>
    <w:p>
      <w:pPr>
        <w:spacing w:after="0" w:line="159" w:lineRule="exact"/>
        <w:rPr>
          <w:sz w:val="20"/>
          <w:szCs w:val="20"/>
          <w:color w:val="auto"/>
        </w:rPr>
      </w:pPr>
    </w:p>
    <w:p>
      <w:pPr>
        <w:jc w:val="both"/>
        <w:ind w:firstLine="1304"/>
        <w:spacing w:after="0" w:line="285" w:lineRule="auto"/>
        <w:tabs>
          <w:tab w:leader="none" w:pos="1831" w:val="left"/>
        </w:tabs>
        <w:numPr>
          <w:ilvl w:val="0"/>
          <w:numId w:val="121"/>
        </w:numPr>
        <w:rPr>
          <w:rFonts w:ascii="Arial" w:cs="Arial" w:eastAsia="Arial" w:hAnsi="Arial"/>
          <w:sz w:val="19"/>
          <w:szCs w:val="19"/>
          <w:color w:val="010000"/>
        </w:rPr>
      </w:pPr>
      <w:r>
        <w:rPr>
          <w:rFonts w:ascii="Arial" w:cs="Arial" w:eastAsia="Arial" w:hAnsi="Arial"/>
          <w:sz w:val="19"/>
          <w:szCs w:val="19"/>
          <w:color w:val="auto"/>
        </w:rPr>
        <w:t xml:space="preserve">In connection with any Sale of the Company, each Member shall (i) make such customary representations and warranties, including, as applicable, as to due organization and good standing, power and authority, due approval, no conflicts and ownership and title of Shares (including the absence of liens with respect to such Shares) and no litigation pending or threatened against or affecting such Member relating to its ownership of Shares, agree to such covenants and enter into such definitive agreements, in each case as are customary for transactions of the nature of the Sale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that no Member shall be required to make any representation or warranty or agree to any covenant that is more extensive or burdensome than those made by the other Members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in no event will the GM Investor or any of its Affiliates, SoftBank or any of its Affiliates, Honda or any of its Affiliates, any Class F New Member or any of its Affiliates, or any Class G New Member or any of its Affiliates be required to enter into a non-competition agreement or be subject to any similar covenant or provision and (B) the Employee Members may be required to enter into certain covenants, including non-compete and non-solicit obligations) and (ii) be obligated to join on a several, and not joint, basis (determined in accordance with such Member’s proportionate share of the proceeds from the Sale of the Company) in any indemnification or other obligations that are part of the terms and conditions of the Sale of the Company (other than to the extent of any escrows or holdbacks established in connection with such Sale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that no Member shall be obligated (A) to provide indemnification with respect to the representations, warranties, covenants or agreements of any other Member (other than to the extent of any escrows or holdbacks established in connection with such Sale of the Company), or (B) to incur liability to any Person in connection with such Sale of the Company, including under any indemnity, in excess of the consideration received by such Member in the Sale of the Company (other than for fraud or breach of a covenant).</w:t>
      </w:r>
    </w:p>
    <w:p>
      <w:pPr>
        <w:spacing w:after="0" w:line="200" w:lineRule="exact"/>
        <w:rPr>
          <w:rFonts w:ascii="Arial" w:cs="Arial" w:eastAsia="Arial" w:hAnsi="Arial"/>
          <w:sz w:val="19"/>
          <w:szCs w:val="19"/>
          <w:color w:val="010000"/>
        </w:rPr>
      </w:pPr>
    </w:p>
    <w:p>
      <w:pPr>
        <w:spacing w:after="0" w:line="222" w:lineRule="exact"/>
        <w:rPr>
          <w:rFonts w:ascii="Arial" w:cs="Arial" w:eastAsia="Arial" w:hAnsi="Arial"/>
          <w:sz w:val="19"/>
          <w:szCs w:val="19"/>
          <w:color w:val="010000"/>
        </w:rPr>
      </w:pPr>
    </w:p>
    <w:p>
      <w:pPr>
        <w:jc w:val="both"/>
        <w:ind w:firstLine="1304"/>
        <w:spacing w:after="0" w:line="250" w:lineRule="auto"/>
        <w:tabs>
          <w:tab w:leader="none" w:pos="1792" w:val="left"/>
        </w:tabs>
        <w:numPr>
          <w:ilvl w:val="0"/>
          <w:numId w:val="121"/>
        </w:numPr>
        <w:rPr>
          <w:rFonts w:ascii="Arial" w:cs="Arial" w:eastAsia="Arial" w:hAnsi="Arial"/>
          <w:sz w:val="22"/>
          <w:szCs w:val="22"/>
          <w:color w:val="010000"/>
        </w:rPr>
      </w:pPr>
      <w:r>
        <w:rPr>
          <w:rFonts w:ascii="Arial" w:cs="Arial" w:eastAsia="Arial" w:hAnsi="Arial"/>
          <w:sz w:val="22"/>
          <w:szCs w:val="22"/>
          <w:color w:val="auto"/>
        </w:rPr>
        <w:t>Each Member will bear his, her or its proportionate share of the costs incurred in connection with a Sale of the Company to the extent such costs are incurred for the benefit of all such holders of Shares and are not otherwise paid by the Company or the acquiring party. Costs incurred by the holders of Shares on their own behalf will not be considered costs of the Sale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204" w:lineRule="exact"/>
        <w:rPr>
          <w:sz w:val="20"/>
          <w:szCs w:val="20"/>
          <w:color w:val="auto"/>
        </w:rPr>
      </w:pPr>
    </w:p>
    <w:p>
      <w:pPr>
        <w:jc w:val="both"/>
        <w:ind w:firstLine="1304"/>
        <w:spacing w:after="0" w:line="287" w:lineRule="auto"/>
        <w:tabs>
          <w:tab w:leader="none" w:pos="1755" w:val="left"/>
        </w:tabs>
        <w:numPr>
          <w:ilvl w:val="0"/>
          <w:numId w:val="122"/>
        </w:numPr>
        <w:rPr>
          <w:rFonts w:ascii="Arial" w:cs="Arial" w:eastAsia="Arial" w:hAnsi="Arial"/>
          <w:sz w:val="19"/>
          <w:szCs w:val="19"/>
          <w:color w:val="010000"/>
        </w:rPr>
      </w:pPr>
      <w:r>
        <w:rPr>
          <w:rFonts w:ascii="Arial" w:cs="Arial" w:eastAsia="Arial" w:hAnsi="Arial"/>
          <w:sz w:val="19"/>
          <w:szCs w:val="19"/>
          <w:color w:val="auto"/>
        </w:rPr>
        <w:t>Any contingent consideration (whether as a result of a release of an escrow or the payment of an “earn out” or otherwise) to be paid in connection with a Sale of the Company shall be allocated among the Members such that each Member receives the amount which such Member would have received if such consideration had been received by the Company and distributed as the next incremental dollars following the Distribution of any amounts previously paid under this Agreement or paid in connection with such Sale of the Company (assuming for such purposes that the Shares Transferred constitute all of the Shares). In the event any Member is liable in such Sale of the Company for amounts in excess of any escrow or holdback (other than any such obligations that relate specifically to a particular Member, such as indemnification with respect to representations and warranties given by a Member regarding such Person’s title to and ownership of Shares), such amounts shall be treated as a deduction to the consideration payable in such Sale of the Company and the aggregate consideration shall be re-allocated among the Members in accordance with Section 9.08(b). The Members agree that to the extent, as a result of such re-allocation, a Member has received more than its share of the consideration pursuant to such re-allocation, such Member shall deliver such excess to the appropriate Member(s) in order for each Member to receive its appropriate share of the consideration.</w:t>
      </w:r>
    </w:p>
    <w:p>
      <w:pPr>
        <w:spacing w:after="0" w:line="158" w:lineRule="exact"/>
        <w:rPr>
          <w:rFonts w:ascii="Arial" w:cs="Arial" w:eastAsia="Arial" w:hAnsi="Arial"/>
          <w:sz w:val="19"/>
          <w:szCs w:val="19"/>
          <w:color w:val="010000"/>
        </w:rPr>
      </w:pPr>
    </w:p>
    <w:p>
      <w:pPr>
        <w:jc w:val="both"/>
        <w:ind w:firstLine="1304"/>
        <w:spacing w:after="0" w:line="271" w:lineRule="auto"/>
        <w:tabs>
          <w:tab w:leader="none" w:pos="1818" w:val="left"/>
        </w:tabs>
        <w:numPr>
          <w:ilvl w:val="0"/>
          <w:numId w:val="122"/>
        </w:numPr>
        <w:rPr>
          <w:rFonts w:ascii="Arial" w:cs="Arial" w:eastAsia="Arial" w:hAnsi="Arial"/>
          <w:sz w:val="21"/>
          <w:szCs w:val="21"/>
          <w:color w:val="010000"/>
        </w:rPr>
      </w:pPr>
      <w:r>
        <w:rPr>
          <w:rFonts w:ascii="Arial" w:cs="Arial" w:eastAsia="Arial" w:hAnsi="Arial"/>
          <w:sz w:val="21"/>
          <w:szCs w:val="21"/>
          <w:color w:val="auto"/>
        </w:rPr>
        <w:t>Without limiting the generality of the other provisions of this Section 9.08 but subject to Section 5.11, the Board of Directors shall determine whether or not to pursue, consummate, postpone or abandon any Sale of the Company and, subject to the limitations expressly set forth in this Section 9.08, the terms and conditions thereof.</w:t>
      </w:r>
    </w:p>
    <w:p>
      <w:pPr>
        <w:spacing w:after="0" w:line="167" w:lineRule="exact"/>
        <w:rPr>
          <w:rFonts w:ascii="Arial" w:cs="Arial" w:eastAsia="Arial" w:hAnsi="Arial"/>
          <w:sz w:val="21"/>
          <w:szCs w:val="21"/>
          <w:color w:val="010000"/>
        </w:rPr>
      </w:pPr>
    </w:p>
    <w:p>
      <w:pPr>
        <w:ind w:left="1780" w:hanging="476"/>
        <w:spacing w:after="0"/>
        <w:tabs>
          <w:tab w:leader="none" w:pos="1780" w:val="left"/>
        </w:tabs>
        <w:numPr>
          <w:ilvl w:val="0"/>
          <w:numId w:val="122"/>
        </w:numPr>
        <w:rPr>
          <w:rFonts w:ascii="Arial" w:cs="Arial" w:eastAsia="Arial" w:hAnsi="Arial"/>
          <w:sz w:val="19"/>
          <w:szCs w:val="19"/>
          <w:color w:val="010000"/>
        </w:rPr>
      </w:pPr>
      <w:r>
        <w:rPr>
          <w:rFonts w:ascii="Arial" w:cs="Arial" w:eastAsia="Arial" w:hAnsi="Arial"/>
          <w:sz w:val="19"/>
          <w:szCs w:val="19"/>
          <w:color w:val="auto"/>
        </w:rPr>
        <w:t>The provisions of this Section 9.08 shall not apply to any transaction pursuant to Sections 9.10 or 9.12.</w:t>
      </w:r>
    </w:p>
    <w:p>
      <w:pPr>
        <w:spacing w:after="0" w:line="24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9.09</w:t>
      </w:r>
      <w:r>
        <w:rPr>
          <w:sz w:val="20"/>
          <w:szCs w:val="20"/>
          <w:color w:val="auto"/>
        </w:rPr>
        <w:tab/>
      </w:r>
      <w:r>
        <w:rPr>
          <w:rFonts w:ascii="Arial" w:cs="Arial" w:eastAsia="Arial" w:hAnsi="Arial"/>
          <w:sz w:val="19"/>
          <w:szCs w:val="19"/>
          <w:b w:val="1"/>
          <w:bCs w:val="1"/>
          <w:u w:val="single" w:color="auto"/>
          <w:color w:val="auto"/>
        </w:rPr>
        <w:t>Drag-Along</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86" w:lineRule="auto"/>
        <w:tabs>
          <w:tab w:leader="none" w:pos="1779" w:val="left"/>
        </w:tabs>
        <w:numPr>
          <w:ilvl w:val="0"/>
          <w:numId w:val="123"/>
        </w:numPr>
        <w:rPr>
          <w:rFonts w:ascii="Arial" w:cs="Arial" w:eastAsia="Arial" w:hAnsi="Arial"/>
          <w:sz w:val="19"/>
          <w:szCs w:val="19"/>
          <w:color w:val="010000"/>
        </w:rPr>
      </w:pPr>
      <w:r>
        <w:rPr>
          <w:rFonts w:ascii="Arial" w:cs="Arial" w:eastAsia="Arial" w:hAnsi="Arial"/>
          <w:sz w:val="19"/>
          <w:szCs w:val="19"/>
          <w:color w:val="auto"/>
        </w:rPr>
        <w:t>If the GM Investor proposes to Transfer more than fifty percent (50%) of the issued and outstanding Equity Securities to an Independent Third Party prior to an IPO (other than any Transfer (i) as provided in Section 9.08, (ii) in connection with Section 9.10, or (iii) pursuant to Section 9.12), the GM Investor shall have the right (but not the obligation) to deliver a written notice (such notice, the “</w:t>
      </w:r>
      <w:r>
        <w:rPr>
          <w:rFonts w:ascii="Arial" w:cs="Arial" w:eastAsia="Arial" w:hAnsi="Arial"/>
          <w:sz w:val="19"/>
          <w:szCs w:val="19"/>
          <w:b w:val="1"/>
          <w:bCs w:val="1"/>
          <w:color w:val="auto"/>
        </w:rPr>
        <w:t>Drag-Along Notice</w:t>
      </w:r>
      <w:r>
        <w:rPr>
          <w:rFonts w:ascii="Arial" w:cs="Arial" w:eastAsia="Arial" w:hAnsi="Arial"/>
          <w:sz w:val="19"/>
          <w:szCs w:val="19"/>
          <w:color w:val="auto"/>
        </w:rPr>
        <w:t>”) of its intention to do so to each other Member (the “</w:t>
      </w:r>
      <w:r>
        <w:rPr>
          <w:rFonts w:ascii="Arial" w:cs="Arial" w:eastAsia="Arial" w:hAnsi="Arial"/>
          <w:sz w:val="19"/>
          <w:szCs w:val="19"/>
          <w:b w:val="1"/>
          <w:bCs w:val="1"/>
          <w:color w:val="auto"/>
        </w:rPr>
        <w:t>Dragees</w:t>
      </w:r>
      <w:r>
        <w:rPr>
          <w:rFonts w:ascii="Arial" w:cs="Arial" w:eastAsia="Arial" w:hAnsi="Arial"/>
          <w:sz w:val="19"/>
          <w:szCs w:val="19"/>
          <w:color w:val="auto"/>
        </w:rPr>
        <w:t>”). The Drag-Along Notice shall set forth the aggregate consideration to be paid by the Independent Third Party and the other material terms and conditions of such transaction (a “</w:t>
      </w:r>
      <w:r>
        <w:rPr>
          <w:rFonts w:ascii="Arial" w:cs="Arial" w:eastAsia="Arial" w:hAnsi="Arial"/>
          <w:sz w:val="19"/>
          <w:szCs w:val="19"/>
          <w:b w:val="1"/>
          <w:bCs w:val="1"/>
          <w:color w:val="auto"/>
        </w:rPr>
        <w:t>Drag-Along Sale Transaction</w:t>
      </w:r>
      <w:r>
        <w:rPr>
          <w:rFonts w:ascii="Arial" w:cs="Arial" w:eastAsia="Arial" w:hAnsi="Arial"/>
          <w:sz w:val="19"/>
          <w:szCs w:val="19"/>
          <w:color w:val="auto"/>
        </w:rPr>
        <w:t xml:space="preserve">”), which shall be the same (in all but </w:t>
      </w:r>
      <w:r>
        <w:rPr>
          <w:rFonts w:ascii="Arial" w:cs="Arial" w:eastAsia="Arial" w:hAnsi="Arial"/>
          <w:sz w:val="19"/>
          <w:szCs w:val="19"/>
          <w:i w:val="1"/>
          <w:iCs w:val="1"/>
          <w:color w:val="auto"/>
        </w:rPr>
        <w:t>de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minimis </w:t>
      </w:r>
      <w:r>
        <w:rPr>
          <w:rFonts w:ascii="Arial" w:cs="Arial" w:eastAsia="Arial" w:hAnsi="Arial"/>
          <w:sz w:val="19"/>
          <w:szCs w:val="19"/>
          <w:color w:val="auto"/>
        </w:rPr>
        <w:t>and immaterial respects) for the GM Investor and the other Members except as otherwise contemplated by this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Agreement. Upon receipt of the Drag-Along Notice, each Dragee shall be required to participate in the proposed Transfer in accordance with the terms and conditions of this Section 9.09; </w:t>
      </w:r>
      <w:r>
        <w:rPr>
          <w:rFonts w:ascii="Arial" w:cs="Arial" w:eastAsia="Arial" w:hAnsi="Arial"/>
          <w:sz w:val="19"/>
          <w:szCs w:val="19"/>
          <w:u w:val="single" w:color="auto"/>
          <w:color w:val="auto"/>
        </w:rPr>
        <w:t>provided</w:t>
      </w:r>
      <w:r>
        <w:rPr>
          <w:rFonts w:ascii="Arial" w:cs="Arial" w:eastAsia="Arial" w:hAnsi="Arial"/>
          <w:sz w:val="19"/>
          <w:szCs w:val="19"/>
          <w:color w:val="auto"/>
        </w:rPr>
        <w:t>, that if such Drag-Along Sale Transaction involves less than one hundred percent (100%) of the Shares held by the GM Investor, then each Dragee will only be required to participate in the proposed Transfer to the Independent Third Party with respect to such percentage of each class of its Shares as equals the percentage of the GM Investor’s total Shares being sold in such Drag-Along Sale Transaction (the “</w:t>
      </w:r>
      <w:r>
        <w:rPr>
          <w:rFonts w:ascii="Arial" w:cs="Arial" w:eastAsia="Arial" w:hAnsi="Arial"/>
          <w:sz w:val="19"/>
          <w:szCs w:val="19"/>
          <w:b w:val="1"/>
          <w:bCs w:val="1"/>
          <w:color w:val="auto"/>
        </w:rPr>
        <w:t>Drag Percentage</w:t>
      </w:r>
      <w:r>
        <w:rPr>
          <w:rFonts w:ascii="Arial" w:cs="Arial" w:eastAsia="Arial" w:hAnsi="Arial"/>
          <w:sz w:val="19"/>
          <w:szCs w:val="19"/>
          <w:color w:val="auto"/>
        </w:rPr>
        <w:t>”). If the GM Investor is given an option as to the form and amount of consideration to be received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Section 9.09, all Dragees shall be given the same option and, otherwise, the ratio of both (i) any cash to any non-cash consideration and (ii) among any type of non-cash property or asset consideration to any other type of non-cash property or asset consideration shall be equal (to the extent reasonably practicable) for each of the GM Investor and the Dragees. Within ten (10) Business Days following receipt of the Drag-Along Notice, each Dragee shall deliver to a representative of the Company or the GM Member designated in the Drag-Along Notice such certificates (if certificated) representing all Shares (or the Drag Percentage of each class of its Shares, as applicable) held by such Dragee or in other cases mutually acceptable instruments of transfer duly endorsed, together with a limited power-of-attorney authorizing the Company and the GM Investor to sell or otherwise dispose of such Shares pursuant to the proposed Transfer to the Independent Third Party, as well as any other documents required to be executed in connection with such transaction. In the event that any Dragee should fail to deliver such certificates (if certificated) or other documentation to the Company or the GM Investor’s representative, the Company shall cause the books and records of the Company to show that the Shares of such Dragee are bound by the provisions of this Section 9.09 and that such Shares may be Transferred only to the Independent Third Party.</w:t>
      </w:r>
    </w:p>
    <w:p>
      <w:pPr>
        <w:spacing w:after="0" w:line="159" w:lineRule="exact"/>
        <w:rPr>
          <w:sz w:val="20"/>
          <w:szCs w:val="20"/>
          <w:color w:val="auto"/>
        </w:rPr>
      </w:pPr>
    </w:p>
    <w:p>
      <w:pPr>
        <w:jc w:val="both"/>
        <w:ind w:firstLine="1304"/>
        <w:spacing w:after="0" w:line="286" w:lineRule="auto"/>
        <w:tabs>
          <w:tab w:leader="none" w:pos="1777" w:val="left"/>
        </w:tabs>
        <w:numPr>
          <w:ilvl w:val="0"/>
          <w:numId w:val="124"/>
        </w:numPr>
        <w:rPr>
          <w:rFonts w:ascii="Arial" w:cs="Arial" w:eastAsia="Arial" w:hAnsi="Arial"/>
          <w:sz w:val="19"/>
          <w:szCs w:val="19"/>
          <w:color w:val="010000"/>
        </w:rPr>
      </w:pPr>
      <w:r>
        <w:rPr>
          <w:rFonts w:ascii="Arial" w:cs="Arial" w:eastAsia="Arial" w:hAnsi="Arial"/>
          <w:sz w:val="19"/>
          <w:szCs w:val="19"/>
          <w:color w:val="auto"/>
        </w:rPr>
        <w:t xml:space="preserve">The Company and the GM Investor shall have ninety (90) days following delivery of the Drag-Along Notice to complete the Transfer of the Shares in accordance with this Section 9.09;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Transfer would require the GM Investor, any Dragee, the Independent Third Party, the Company or an Affiliate of any of the foregoing to obtain any regulatory approval prior to consummating such sale, such ninety (90) day period shall be extended to the date that is five (5) Business Days after such regulatory approval has been obtained or finally denied. If, within such ninety (90) day period (as it may be extended) after the Company or the GM Investor has given the Drag-Along Notice, it shall not have completed the Transfer of all the Shares of the GM Investor and the Dragees in accordance with this Section 9.09 the Company or the GM Investor shall return to each of the Dragees all certificates (if certificated) representing Shares, or in other cases, mutually acceptable instruments of transfer, that the Dragees delivered for Transfer pursuant hereto and that were not purchased in accordance with this Section 9.09; </w:t>
      </w:r>
      <w:r>
        <w:rPr>
          <w:rFonts w:ascii="Arial" w:cs="Arial" w:eastAsia="Arial" w:hAnsi="Arial"/>
          <w:sz w:val="19"/>
          <w:szCs w:val="19"/>
          <w:u w:val="single" w:color="auto"/>
          <w:color w:val="auto"/>
        </w:rPr>
        <w:t>provided</w:t>
      </w:r>
      <w:r>
        <w:rPr>
          <w:rFonts w:ascii="Arial" w:cs="Arial" w:eastAsia="Arial" w:hAnsi="Arial"/>
          <w:sz w:val="19"/>
          <w:szCs w:val="19"/>
          <w:color w:val="auto"/>
        </w:rPr>
        <w:t>, that (i) if any one or more of the Dragees defaults, the Company or the GM Investor shall be permitted, but not obligated, to complete the sale by all non-defaulting Dragees, and (ii) the completion of the sale by the Company or the GM Investor and such non-defaulting Dragees shall not relieve a defaulting Dragee of liability for its breach. All reasonable out-of-pocket costs and expenses incurred by the Company, the GM Investor and the Dragees in connection with the Transfers set forth in this Section 9.09 shall be paid by the Company.</w:t>
      </w:r>
    </w:p>
    <w:p>
      <w:pPr>
        <w:spacing w:after="0" w:line="161" w:lineRule="exact"/>
        <w:rPr>
          <w:rFonts w:ascii="Arial" w:cs="Arial" w:eastAsia="Arial" w:hAnsi="Arial"/>
          <w:sz w:val="19"/>
          <w:szCs w:val="19"/>
          <w:color w:val="010000"/>
        </w:rPr>
      </w:pPr>
    </w:p>
    <w:p>
      <w:pPr>
        <w:jc w:val="both"/>
        <w:ind w:firstLine="1304"/>
        <w:spacing w:after="0" w:line="294" w:lineRule="auto"/>
        <w:tabs>
          <w:tab w:leader="none" w:pos="1752" w:val="left"/>
        </w:tabs>
        <w:numPr>
          <w:ilvl w:val="0"/>
          <w:numId w:val="124"/>
        </w:numPr>
        <w:rPr>
          <w:rFonts w:ascii="Arial" w:cs="Arial" w:eastAsia="Arial" w:hAnsi="Arial"/>
          <w:sz w:val="19"/>
          <w:szCs w:val="19"/>
          <w:color w:val="010000"/>
        </w:rPr>
      </w:pPr>
      <w:r>
        <w:rPr>
          <w:rFonts w:ascii="Arial" w:cs="Arial" w:eastAsia="Arial" w:hAnsi="Arial"/>
          <w:sz w:val="19"/>
          <w:szCs w:val="19"/>
          <w:color w:val="auto"/>
        </w:rPr>
        <w:t>A Drag-Along Sale Transaction will be a Deemed Liquidation Event and the aggregate consideration payable upon consummation of such Drag-Along Sale Transaction to all holders of Shares in respect of their Shares included in such Drag-Along Sale Transaction shall be apportioned and distributed (after such aggregate consideration is adjusted for Company expenses, purchase price adjustments, escrow amounts, purchase price holdbacks, indemnity obligations and other similar items) as between the classes of Shares included in such Drag-Along Sale Transaction in accordance with the relevant provisions of Section 3.02 (it being understood that, if less than all of the Shares are being Transferred, for purposes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calculations, it shall be assumed that the Shares included in such Drag-Along Sale Transaction constitute all of the Shares outstanding). For clarity, the application of Section 3.02 may result in some Shares included in the Drag-Along Sale Transaction not receiving any consideration with respect to such Drag-Along Sale Transaction.</w:t>
      </w:r>
    </w:p>
    <w:p>
      <w:pPr>
        <w:spacing w:after="0" w:line="185" w:lineRule="exact"/>
        <w:rPr>
          <w:sz w:val="20"/>
          <w:szCs w:val="20"/>
          <w:color w:val="auto"/>
        </w:rPr>
      </w:pPr>
    </w:p>
    <w:p>
      <w:pPr>
        <w:ind w:left="1820" w:hanging="516"/>
        <w:spacing w:after="0"/>
        <w:tabs>
          <w:tab w:leader="none" w:pos="1820" w:val="left"/>
        </w:tabs>
        <w:numPr>
          <w:ilvl w:val="0"/>
          <w:numId w:val="125"/>
        </w:numPr>
        <w:rPr>
          <w:rFonts w:ascii="Arial" w:cs="Arial" w:eastAsia="Arial" w:hAnsi="Arial"/>
          <w:sz w:val="19"/>
          <w:szCs w:val="19"/>
          <w:color w:val="010000"/>
        </w:rPr>
      </w:pPr>
      <w:r>
        <w:rPr>
          <w:rFonts w:ascii="Arial" w:cs="Arial" w:eastAsia="Arial" w:hAnsi="Arial"/>
          <w:sz w:val="19"/>
          <w:szCs w:val="19"/>
          <w:color w:val="auto"/>
        </w:rPr>
        <w:t>The provisions of this Section 9.09 shall not apply to any Transfer to a Permitted Transferee in accordance</w:t>
      </w:r>
    </w:p>
    <w:p>
      <w:pPr>
        <w:spacing w:after="0" w:line="5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with Section 9.02.</w:t>
      </w:r>
    </w:p>
    <w:p>
      <w:pPr>
        <w:spacing w:after="0" w:line="201" w:lineRule="exact"/>
        <w:rPr>
          <w:rFonts w:ascii="Arial" w:cs="Arial" w:eastAsia="Arial" w:hAnsi="Arial"/>
          <w:sz w:val="19"/>
          <w:szCs w:val="19"/>
          <w:color w:val="010000"/>
        </w:rPr>
      </w:pPr>
    </w:p>
    <w:p>
      <w:pPr>
        <w:ind w:firstLine="1304"/>
        <w:spacing w:after="0" w:line="263" w:lineRule="auto"/>
        <w:tabs>
          <w:tab w:leader="none" w:pos="1833" w:val="left"/>
        </w:tabs>
        <w:numPr>
          <w:ilvl w:val="0"/>
          <w:numId w:val="125"/>
        </w:numPr>
        <w:rPr>
          <w:rFonts w:ascii="Arial" w:cs="Arial" w:eastAsia="Arial" w:hAnsi="Arial"/>
          <w:sz w:val="22"/>
          <w:szCs w:val="22"/>
          <w:color w:val="010000"/>
        </w:rPr>
      </w:pPr>
      <w:r>
        <w:rPr>
          <w:rFonts w:ascii="Arial" w:cs="Arial" w:eastAsia="Arial" w:hAnsi="Arial"/>
          <w:sz w:val="22"/>
          <w:szCs w:val="22"/>
          <w:color w:val="auto"/>
        </w:rPr>
        <w:t>The obligations of a Member in connection with a Drag-Along Sale shall be subject to the limitations set forth in Section 9.08(d) as if such Drag-Along Sale was a Sale of the Company thereunder.</w:t>
      </w:r>
    </w:p>
    <w:p>
      <w:pPr>
        <w:spacing w:after="0" w:line="16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9.10</w:t>
      </w:r>
      <w:r>
        <w:rPr>
          <w:sz w:val="20"/>
          <w:szCs w:val="20"/>
          <w:color w:val="auto"/>
        </w:rPr>
        <w:tab/>
      </w:r>
      <w:r>
        <w:rPr>
          <w:rFonts w:ascii="Arial" w:cs="Arial" w:eastAsia="Arial" w:hAnsi="Arial"/>
          <w:sz w:val="19"/>
          <w:szCs w:val="19"/>
          <w:b w:val="1"/>
          <w:bCs w:val="1"/>
          <w:u w:val="single" w:color="auto"/>
          <w:color w:val="auto"/>
        </w:rPr>
        <w:t>Public Offering</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86" w:lineRule="auto"/>
        <w:tabs>
          <w:tab w:leader="none" w:pos="1779" w:val="left"/>
        </w:tabs>
        <w:numPr>
          <w:ilvl w:val="0"/>
          <w:numId w:val="126"/>
        </w:numPr>
        <w:rPr>
          <w:rFonts w:ascii="Arial" w:cs="Arial" w:eastAsia="Arial" w:hAnsi="Arial"/>
          <w:sz w:val="19"/>
          <w:szCs w:val="19"/>
          <w:color w:val="010000"/>
        </w:rPr>
      </w:pPr>
      <w:r>
        <w:rPr>
          <w:rFonts w:ascii="Arial" w:cs="Arial" w:eastAsia="Arial" w:hAnsi="Arial"/>
          <w:sz w:val="19"/>
          <w:szCs w:val="19"/>
          <w:color w:val="auto"/>
        </w:rPr>
        <w:t>If the Board of Directors authorizes (subject to Section 5.11 and Section 6.13(d)) the Company to undertake an IPO (which may be abandoned at any time prior to its consummation by the Board of Directors), or the GM Investor notifies the Company that it wishes to consummate an IPO that takes the form of distribution of IPO Shares to the stockholders of GM Parent pursuant to a Form 10 (or any successor form), then each of the Company, the Members and any holder of Equity Securities agrees to, and agrees to cause its Affiliates to, take such commercially reasonable actions and provide such commercially reasonable cooperation and assistance as may be necessary to consummate the IPO in an expeditious and efficient manner and not to take any action or engage in any activity designed to hinder, prevent or delay the consummation of the IPO. Subject to Section 9.10(b), in connection with the IPO, each Share will be exchanged on an as-converted basis as if all Non-A-1 Interests are converted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are converted in accordance with Section 2.10(b), for one share or unit (as applicable) of the single type of equity security of the Company that is listed and admitted for trading on the New York Stock Exchange, the NASDAQ Stock Market or other nationally recognized exchange (the “</w:t>
      </w:r>
      <w:r>
        <w:rPr>
          <w:rFonts w:ascii="Arial" w:cs="Arial" w:eastAsia="Arial" w:hAnsi="Arial"/>
          <w:sz w:val="19"/>
          <w:szCs w:val="19"/>
          <w:b w:val="1"/>
          <w:bCs w:val="1"/>
          <w:color w:val="auto"/>
        </w:rPr>
        <w:t>IPO Shares</w:t>
      </w:r>
      <w:r>
        <w:rPr>
          <w:rFonts w:ascii="Arial" w:cs="Arial" w:eastAsia="Arial" w:hAnsi="Arial"/>
          <w:sz w:val="19"/>
          <w:szCs w:val="19"/>
          <w:color w:val="auto"/>
        </w:rPr>
        <w:t>”). For purposes of this Section 9.10 and Section 9.11, all references to “Company” shall also refer to (i) any corporate successor to the Company or (ii) any parent or Subsidiary of the Company, in each case which effects the IPO.</w:t>
      </w:r>
    </w:p>
    <w:p>
      <w:pPr>
        <w:spacing w:after="0" w:line="158" w:lineRule="exact"/>
        <w:rPr>
          <w:rFonts w:ascii="Arial" w:cs="Arial" w:eastAsia="Arial" w:hAnsi="Arial"/>
          <w:sz w:val="19"/>
          <w:szCs w:val="19"/>
          <w:color w:val="010000"/>
        </w:rPr>
      </w:pPr>
    </w:p>
    <w:p>
      <w:pPr>
        <w:jc w:val="both"/>
        <w:ind w:firstLine="1304"/>
        <w:spacing w:after="0" w:line="259" w:lineRule="auto"/>
        <w:tabs>
          <w:tab w:leader="none" w:pos="1777" w:val="left"/>
        </w:tabs>
        <w:numPr>
          <w:ilvl w:val="0"/>
          <w:numId w:val="126"/>
        </w:numPr>
        <w:rPr>
          <w:rFonts w:ascii="Arial" w:cs="Arial" w:eastAsia="Arial" w:hAnsi="Arial"/>
          <w:sz w:val="21"/>
          <w:szCs w:val="21"/>
          <w:color w:val="010000"/>
        </w:rPr>
      </w:pPr>
      <w:r>
        <w:rPr>
          <w:rFonts w:ascii="Arial" w:cs="Arial" w:eastAsia="Arial" w:hAnsi="Arial"/>
          <w:sz w:val="21"/>
          <w:szCs w:val="21"/>
          <w:color w:val="auto"/>
        </w:rPr>
        <w:t>The IPO Shares issued to each Class C Member with respect to each Class C Common Share and each Class A-2 Preferred Member with respect to each Class A-2 Preferred Share (collectively, the “</w:t>
      </w:r>
      <w:r>
        <w:rPr>
          <w:rFonts w:ascii="Arial" w:cs="Arial" w:eastAsia="Arial" w:hAnsi="Arial"/>
          <w:sz w:val="21"/>
          <w:szCs w:val="21"/>
          <w:b w:val="1"/>
          <w:bCs w:val="1"/>
          <w:color w:val="auto"/>
        </w:rPr>
        <w:t>High-Vote IPO Shares</w:t>
      </w:r>
      <w:r>
        <w:rPr>
          <w:rFonts w:ascii="Arial" w:cs="Arial" w:eastAsia="Arial" w:hAnsi="Arial"/>
          <w:sz w:val="21"/>
          <w:szCs w:val="21"/>
          <w:color w:val="auto"/>
        </w:rPr>
        <w:t>”) will be of a different class to the IPO Shares. The High-Vote IPO Shares will be identical to the IPO Shares, except that they will be entitled to a number of votes per High-Vote IPO Share on all matters on which stockholders of the Company may vote (including the election of directors) as will be reasonably determined by the GM Investor to enable the GM Investor to establish or maintain “control” (within the meaning of Section 368(c) of the Code) of the Company at the time of the consummation of the IPO (in the case of an IPO effected by a “spin-off” or “split-off” transaction), or immediately after the consummation of the IPO (in the case of any other IPO), in each case taking into account any other planned issuances or transfers of IPO Shares. Each Member, including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Class A-1 Preferred Member, will take all reasonable action requested by the Company to give effect to this Section 9.10(b) and to cause GM to have “control” within the meaning of Section 368(c) of the Code immediately prior to any “spin-off” or “split-off” transaction.</w:t>
      </w:r>
    </w:p>
    <w:p>
      <w:pPr>
        <w:spacing w:after="0" w:line="185" w:lineRule="exact"/>
        <w:rPr>
          <w:sz w:val="20"/>
          <w:szCs w:val="20"/>
          <w:color w:val="auto"/>
        </w:rPr>
      </w:pPr>
    </w:p>
    <w:p>
      <w:pPr>
        <w:jc w:val="both"/>
        <w:ind w:firstLine="1304"/>
        <w:spacing w:after="0" w:line="283" w:lineRule="auto"/>
        <w:tabs>
          <w:tab w:leader="none" w:pos="1765" w:val="left"/>
        </w:tabs>
        <w:numPr>
          <w:ilvl w:val="1"/>
          <w:numId w:val="127"/>
        </w:numPr>
        <w:rPr>
          <w:rFonts w:ascii="Arial" w:cs="Arial" w:eastAsia="Arial" w:hAnsi="Arial"/>
          <w:sz w:val="19"/>
          <w:szCs w:val="19"/>
          <w:color w:val="010000"/>
        </w:rPr>
      </w:pPr>
      <w:r>
        <w:rPr>
          <w:rFonts w:ascii="Arial" w:cs="Arial" w:eastAsia="Arial" w:hAnsi="Arial"/>
          <w:sz w:val="19"/>
          <w:szCs w:val="19"/>
          <w:color w:val="auto"/>
        </w:rPr>
        <w:t>Without limiting (and without prejudice to) the other subsections of this Section 9.10, if immediately prior to an IPO the Board of Directors determines that it is in the best interests of the Company and its Members (taken as a whole) to engage in a reorganization pursuant to which a new corporation, limited liability company, partnership or other entity (the “</w:t>
      </w:r>
      <w:r>
        <w:rPr>
          <w:rFonts w:ascii="Arial" w:cs="Arial" w:eastAsia="Arial" w:hAnsi="Arial"/>
          <w:sz w:val="19"/>
          <w:szCs w:val="19"/>
          <w:b w:val="1"/>
          <w:bCs w:val="1"/>
          <w:color w:val="auto"/>
        </w:rPr>
        <w:t>Entity</w:t>
      </w:r>
      <w:r>
        <w:rPr>
          <w:rFonts w:ascii="Arial" w:cs="Arial" w:eastAsia="Arial" w:hAnsi="Arial"/>
          <w:sz w:val="19"/>
          <w:szCs w:val="19"/>
          <w:color w:val="auto"/>
        </w:rPr>
        <w:t>”) is formed and the Equity Securities of the company are recapitalized or reorganized into classes of Equity Securities of the Entity, then each Member will (i) consent (and, to the extent required, vote in favor of) such recapitalization, reorganization or exchange of the existing Equity Securities of the Company into the Equity Securities of the Entity, and (ii) take all such reasonable actions that are necessary in connection with the consummation of the recapitalization, reorganization or exchange, including entering into a new stockholders’ agreement, members’ agreement, limited liability company agreement, employee equity arrangements and/or other agreements and arrangements in respect of the Equity Securities of the Entity, in each case, on terms and conditions substantially similar to such agreements and arrangements in respect of the Equity Securities of the Company that are in effect immediately prior to such recapitalization or reorganization; provided, that the Board of Directors shall not be permitted to approve, the Company shall not be permitted to engage in, and no Member shall be required to provide any consent to or to take any action in connection with, any such formation, recapitalization or reorganization, in each case if (A) such formation, recapitalization or reorganization was undertaken in bad faith, (B) the intent or direct result of such formation, recapitalization or reorganization is or would be to impair, in any material respect, the express rights of any Member hereunder or</w:t>
      </w:r>
    </w:p>
    <w:p>
      <w:pPr>
        <w:jc w:val="both"/>
        <w:ind w:firstLine="8"/>
        <w:spacing w:after="0" w:line="244" w:lineRule="auto"/>
        <w:tabs>
          <w:tab w:leader="none" w:pos="347" w:val="left"/>
        </w:tabs>
        <w:numPr>
          <w:ilvl w:val="0"/>
          <w:numId w:val="128"/>
        </w:numPr>
        <w:rPr>
          <w:rFonts w:ascii="Arial" w:cs="Arial" w:eastAsia="Arial" w:hAnsi="Arial"/>
          <w:sz w:val="22"/>
          <w:szCs w:val="22"/>
          <w:color w:val="auto"/>
        </w:rPr>
      </w:pPr>
      <w:r>
        <w:rPr>
          <w:rFonts w:ascii="Arial" w:cs="Arial" w:eastAsia="Arial" w:hAnsi="Arial"/>
          <w:sz w:val="22"/>
          <w:szCs w:val="22"/>
          <w:color w:val="auto"/>
        </w:rPr>
        <w:t>such formation, recapitalization or reorganization adversely affects any Member in a manner which is disproportionate to the other Members (except as contemplated by this Section 9.10). For the avoidance of doubt, any reorganization or recapitalization undertaken pursuant to this Section 9.10(c) shall include provision for an Equity Security analogous to the High-Vote IPO Shares described in Section 9.10(b) above.</w:t>
      </w:r>
    </w:p>
    <w:p>
      <w:pPr>
        <w:spacing w:after="0" w:line="189"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b w:val="1"/>
          <w:bCs w:val="1"/>
          <w:color w:val="auto"/>
        </w:rPr>
        <w:t>9.11</w:t>
      </w:r>
      <w:r>
        <w:rPr>
          <w:sz w:val="20"/>
          <w:szCs w:val="20"/>
          <w:color w:val="auto"/>
        </w:rPr>
        <w:tab/>
      </w:r>
      <w:r>
        <w:rPr>
          <w:rFonts w:ascii="Arial" w:cs="Arial" w:eastAsia="Arial" w:hAnsi="Arial"/>
          <w:sz w:val="19"/>
          <w:szCs w:val="19"/>
          <w:b w:val="1"/>
          <w:bCs w:val="1"/>
          <w:u w:val="single" w:color="auto"/>
          <w:color w:val="auto"/>
        </w:rPr>
        <w:t>Registration Rights; “Market Stand-Off” Agreement; Volume Restrictions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85" w:lineRule="auto"/>
        <w:tabs>
          <w:tab w:leader="none" w:pos="1765" w:val="left"/>
        </w:tabs>
        <w:numPr>
          <w:ilvl w:val="1"/>
          <w:numId w:val="129"/>
        </w:numPr>
        <w:rPr>
          <w:rFonts w:ascii="Arial" w:cs="Arial" w:eastAsia="Arial" w:hAnsi="Arial"/>
          <w:sz w:val="19"/>
          <w:szCs w:val="19"/>
          <w:color w:val="010000"/>
        </w:rPr>
      </w:pPr>
      <w:r>
        <w:rPr>
          <w:rFonts w:ascii="Arial" w:cs="Arial" w:eastAsia="Arial" w:hAnsi="Arial"/>
          <w:sz w:val="19"/>
          <w:szCs w:val="19"/>
          <w:color w:val="auto"/>
        </w:rPr>
        <w:t>After the consummation of an IPO pursuant to Section 9.10, the Company shall grant to (i) the GM Investor an unlimited number of demand registration rights (including underwritten offerings), (ii) each Class A-1 Preferred Member that, together with its Affiliates, beneficially owns more than ten percent (10%) of the Equity Securities in the Company, demand registration rights (including underwritten offerings) and (iii) (A) all Members that, together with its Affiliates, beneficially own more than five percent (5%) of the Equity Securities in the Company, piggyback registration rights and shelf registration rights,</w:t>
      </w:r>
    </w:p>
    <w:p>
      <w:pPr>
        <w:spacing w:after="0" w:line="3" w:lineRule="exact"/>
        <w:rPr>
          <w:rFonts w:ascii="Arial" w:cs="Arial" w:eastAsia="Arial" w:hAnsi="Arial"/>
          <w:sz w:val="19"/>
          <w:szCs w:val="19"/>
          <w:color w:val="010000"/>
        </w:rPr>
      </w:pPr>
    </w:p>
    <w:p>
      <w:pPr>
        <w:jc w:val="both"/>
        <w:ind w:firstLine="8"/>
        <w:spacing w:after="0" w:line="258" w:lineRule="auto"/>
        <w:tabs>
          <w:tab w:leader="none" w:pos="345" w:val="left"/>
        </w:tabs>
        <w:numPr>
          <w:ilvl w:val="0"/>
          <w:numId w:val="130"/>
        </w:numPr>
        <w:rPr>
          <w:rFonts w:ascii="Arial" w:cs="Arial" w:eastAsia="Arial" w:hAnsi="Arial"/>
          <w:sz w:val="21"/>
          <w:szCs w:val="21"/>
          <w:color w:val="auto"/>
        </w:rPr>
      </w:pPr>
      <w:r>
        <w:rPr>
          <w:rFonts w:ascii="Arial" w:cs="Arial" w:eastAsia="Arial" w:hAnsi="Arial"/>
          <w:sz w:val="21"/>
          <w:szCs w:val="21"/>
          <w:color w:val="auto"/>
        </w:rPr>
        <w:t>each of the Class F New Members for so long as they, together with their Affiliates, beneficially own more than one half of a percent (0.50%) of the Equity Securities in the Company, piggyback registration rights, in each case, subject to customary terms and conditions as at the time of the IPO, and (C) each of the Class G New Members for so long as they, together with their Affiliates, beneficially own more than five percent (5%) of the Equity Securities in the Company, piggyback registration rights, in each case, subject to customary terms and conditions as at the time of the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that the Class A-1 Preferred Members may collectively exercise up to three (3) demands, the Company shall not be required to consummate more than one (1) demand registration (including underwritten offering) per ninety (90) day period, the Company shall not be required to consummate any demand registration (including underwritten offering) expected to realize less than $100,000,000 of gross proceeds (before deduction of any underwriting discount, fees or expenses) and the Company may suspend registration rights for up to one hundred twenty (120) days in any calendar year if the filing or maintenance of a registration statement would, if not so suspended, adversely affect a proposed corporate transaction or adversely affect the Company by requiring premature disclosure of confidential information.</w:t>
      </w:r>
    </w:p>
    <w:p>
      <w:pPr>
        <w:spacing w:after="0" w:line="180" w:lineRule="exact"/>
        <w:rPr>
          <w:sz w:val="20"/>
          <w:szCs w:val="20"/>
          <w:color w:val="auto"/>
        </w:rPr>
      </w:pPr>
    </w:p>
    <w:p>
      <w:pPr>
        <w:jc w:val="both"/>
        <w:ind w:firstLine="1304"/>
        <w:spacing w:after="0" w:line="289" w:lineRule="auto"/>
        <w:tabs>
          <w:tab w:leader="none" w:pos="1845" w:val="left"/>
        </w:tabs>
        <w:numPr>
          <w:ilvl w:val="0"/>
          <w:numId w:val="131"/>
        </w:numPr>
        <w:rPr>
          <w:rFonts w:ascii="Arial" w:cs="Arial" w:eastAsia="Arial" w:hAnsi="Arial"/>
          <w:sz w:val="19"/>
          <w:szCs w:val="19"/>
          <w:color w:val="010000"/>
        </w:rPr>
      </w:pPr>
      <w:r>
        <w:rPr>
          <w:rFonts w:ascii="Arial" w:cs="Arial" w:eastAsia="Arial" w:hAnsi="Arial"/>
          <w:sz w:val="19"/>
          <w:szCs w:val="19"/>
          <w:color w:val="auto"/>
        </w:rPr>
        <w:t>Each Member hereby agrees that (i) during the period of duration (up to, but not exceeding, one hundred eighty (180) days) specified by the Company and an underwriter of Equity Securities of the Company or its successor, following the date of the final prospectus distributed in connection with the IPO, it shall not, to the extent requested by the Company and such underwriter, directly or indirectly sell, offer to sell, contract to sell (including any short sale or other hedging transaction), grant any option to purchase or otherwise Transfer or dispose of (other than to donees who agree to be similarly bound) any Equity Securities held by it at any time during such period except for such Equity Securities as shall be included in such registration or any Equity Securities acquired by such Member in the IPO or following the completion of the IPO and (ii) it shall, if requested by the managing underwriter or underwriters in connection with the IPO, execute a customary “lockup” agreement in the form requested by the managing underwriter or underwriters with a duration not to exceed one hundred eighty (180) days.</w:t>
      </w:r>
    </w:p>
    <w:p>
      <w:pPr>
        <w:spacing w:after="0" w:line="156" w:lineRule="exact"/>
        <w:rPr>
          <w:rFonts w:ascii="Arial" w:cs="Arial" w:eastAsia="Arial" w:hAnsi="Arial"/>
          <w:sz w:val="19"/>
          <w:szCs w:val="19"/>
          <w:color w:val="010000"/>
        </w:rPr>
      </w:pPr>
    </w:p>
    <w:p>
      <w:pPr>
        <w:jc w:val="both"/>
        <w:ind w:firstLine="1304"/>
        <w:spacing w:after="0" w:line="259" w:lineRule="auto"/>
        <w:tabs>
          <w:tab w:leader="none" w:pos="1752" w:val="left"/>
        </w:tabs>
        <w:numPr>
          <w:ilvl w:val="0"/>
          <w:numId w:val="131"/>
        </w:numPr>
        <w:rPr>
          <w:rFonts w:ascii="Arial" w:cs="Arial" w:eastAsia="Arial" w:hAnsi="Arial"/>
          <w:sz w:val="21"/>
          <w:szCs w:val="21"/>
          <w:color w:val="010000"/>
        </w:rPr>
      </w:pPr>
      <w:r>
        <w:rPr>
          <w:rFonts w:ascii="Arial" w:cs="Arial" w:eastAsia="Arial" w:hAnsi="Arial"/>
          <w:sz w:val="21"/>
          <w:szCs w:val="21"/>
          <w:color w:val="auto"/>
        </w:rPr>
        <w:t>Each Member hereby agrees that (i) during the period of duration (up to, but not exceeding, ninety (90) days) specified by the Company and an underwriter of Equity Securities of the Company or its successor, following the date of the final prospectus distributed in connection with an underwritten public follow-on offering, it shall not, to the extent requested by the Company and such underwriter, directly or indirectly sell, offer to sell, contract to sell (including any short sale or other hedging transaction), grant any option to purchase or otherwise Transfer or dispose of (other than to donees who agree to be similarly bound) any Equity Securities held by it at any time during such period except for such Equity Securities as shall be included in such registration and (ii) it shall, if requested by the managing underwriter or underwriters in connection with an underwritten public follow-on offering, execute a customary “lockup” agreement in the form requested by the managing underwriter or underwriters with a duration not to exceed ninety (90) days.</w:t>
      </w:r>
    </w:p>
    <w:p>
      <w:pPr>
        <w:spacing w:after="0" w:line="179" w:lineRule="exact"/>
        <w:rPr>
          <w:rFonts w:ascii="Arial" w:cs="Arial" w:eastAsia="Arial" w:hAnsi="Arial"/>
          <w:sz w:val="21"/>
          <w:szCs w:val="21"/>
          <w:color w:val="010000"/>
        </w:rPr>
      </w:pPr>
    </w:p>
    <w:p>
      <w:pPr>
        <w:jc w:val="both"/>
        <w:ind w:firstLine="1304"/>
        <w:spacing w:after="0" w:line="292" w:lineRule="auto"/>
        <w:tabs>
          <w:tab w:leader="none" w:pos="1764" w:val="left"/>
        </w:tabs>
        <w:numPr>
          <w:ilvl w:val="0"/>
          <w:numId w:val="131"/>
        </w:numPr>
        <w:rPr>
          <w:rFonts w:ascii="Arial" w:cs="Arial" w:eastAsia="Arial" w:hAnsi="Arial"/>
          <w:sz w:val="19"/>
          <w:szCs w:val="19"/>
          <w:color w:val="010000"/>
        </w:rPr>
      </w:pPr>
      <w:r>
        <w:rPr>
          <w:rFonts w:ascii="Arial" w:cs="Arial" w:eastAsia="Arial" w:hAnsi="Arial"/>
          <w:sz w:val="19"/>
          <w:szCs w:val="19"/>
          <w:color w:val="auto"/>
        </w:rPr>
        <w:t>All Members shall be treated similarly with respect to any release prior to the termination of the time periods for the transfer restrictions contemplated by Section 9.11(b) and Section 9.11(c) (including any extension thereof) such that if any such persons are released, then all Members shall also be released to the same extent on a pro rata basis. In order to enforce the foregoing covenant in connection with the IPO or an underwritten public follow-on offering, the Company may impose stop-transfer instructions with respect to the Equity Securities of each Member and its Affiliates (and the Equity Securities of every other Person subject to the foregoing restriction) until the end of such period, and each Member agrees that, if so requested, such Member will execute, and will cause its Affiliates to execute, an agreement in the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provided by the underwriter containing terms which are essentially consistent with the provisions of Section 9.11(a), Section 9.11(b) and Section 9.11(c). Notwithstanding the foregoing, the obligations described in Section 9.11(a), Section 9.11(b) and Section 9.11(c) shall not apply to a registration relating solely to employee benefit plans on Form S-1 or Form S-8 or similar forms which may be promulgated in the future, or a registration relating solely to an SEC Rule 145 transaction on Form S-4 or similar forms which may be promulgated in the future.</w:t>
      </w:r>
    </w:p>
    <w:p>
      <w:pPr>
        <w:spacing w:after="0" w:line="18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9.12</w:t>
      </w:r>
      <w:r>
        <w:rPr>
          <w:sz w:val="20"/>
          <w:szCs w:val="20"/>
          <w:color w:val="auto"/>
        </w:rPr>
        <w:tab/>
      </w:r>
      <w:r>
        <w:rPr>
          <w:rFonts w:ascii="Arial" w:cs="Arial" w:eastAsia="Arial" w:hAnsi="Arial"/>
          <w:sz w:val="19"/>
          <w:szCs w:val="19"/>
          <w:b w:val="1"/>
          <w:bCs w:val="1"/>
          <w:u w:val="single" w:color="auto"/>
          <w:color w:val="auto"/>
        </w:rPr>
        <w:t>Call Rights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86" w:lineRule="auto"/>
        <w:tabs>
          <w:tab w:leader="none" w:pos="1765" w:val="left"/>
        </w:tabs>
        <w:numPr>
          <w:ilvl w:val="0"/>
          <w:numId w:val="132"/>
        </w:numPr>
        <w:rPr>
          <w:rFonts w:ascii="Arial" w:cs="Arial" w:eastAsia="Arial" w:hAnsi="Arial"/>
          <w:sz w:val="19"/>
          <w:szCs w:val="19"/>
          <w:color w:val="010000"/>
        </w:rPr>
      </w:pPr>
      <w:r>
        <w:rPr>
          <w:rFonts w:ascii="Arial" w:cs="Arial" w:eastAsia="Arial" w:hAnsi="Arial"/>
          <w:sz w:val="19"/>
          <w:szCs w:val="19"/>
          <w:color w:val="auto"/>
        </w:rPr>
        <w:t>At any time after the SoftBank Trigger Date, the Company will have the right, by providing written notice to each Class A-1 Preferred Member, each Class D Member and the Board of Directors (a “</w:t>
      </w:r>
      <w:r>
        <w:rPr>
          <w:rFonts w:ascii="Arial" w:cs="Arial" w:eastAsia="Arial" w:hAnsi="Arial"/>
          <w:sz w:val="19"/>
          <w:szCs w:val="19"/>
          <w:b w:val="1"/>
          <w:bCs w:val="1"/>
          <w:color w:val="auto"/>
        </w:rPr>
        <w:t>SoftBank Call Notice</w:t>
      </w:r>
      <w:r>
        <w:rPr>
          <w:rFonts w:ascii="Arial" w:cs="Arial" w:eastAsia="Arial" w:hAnsi="Arial"/>
          <w:sz w:val="19"/>
          <w:szCs w:val="19"/>
          <w:color w:val="auto"/>
        </w:rPr>
        <w:t>”), to purchase from each Class A-1 Preferred Member and each Class D Member all (but not less than all) of the Class A-1 Preferred Shares and Class D Common Shares then owned by such Members (and any other Equity Securities, excluding any Class F Preferred Shares and Class G Preferred Shares, held by such Members) in exchange for a cash purchase price (i) per Class A-1 Preferred Share equal to the greater of (A) the applicable Class A-1 Liquidation Preference Amount, and (B) the Per Class A-1 Preferred Share FMV, and (ii) per Class D Common Share (or any other Equity Securities, excluding any Class F Preferred Shares and Class G Preferred Shares, held by such Members) equal to the Per Class A-1 Preferred Share FMV (collectively, the “</w:t>
      </w:r>
      <w:r>
        <w:rPr>
          <w:rFonts w:ascii="Arial" w:cs="Arial" w:eastAsia="Arial" w:hAnsi="Arial"/>
          <w:sz w:val="19"/>
          <w:szCs w:val="19"/>
          <w:b w:val="1"/>
          <w:bCs w:val="1"/>
          <w:color w:val="auto"/>
        </w:rPr>
        <w:t>Class A-1/D</w:t>
      </w:r>
      <w:r>
        <w:rPr>
          <w:rFonts w:ascii="Arial" w:cs="Arial" w:eastAsia="Arial" w:hAnsi="Arial"/>
          <w:sz w:val="19"/>
          <w:szCs w:val="19"/>
          <w:color w:val="auto"/>
        </w:rPr>
        <w:t xml:space="preserve"> </w:t>
      </w:r>
      <w:r>
        <w:rPr>
          <w:rFonts w:ascii="Arial" w:cs="Arial" w:eastAsia="Arial" w:hAnsi="Arial"/>
          <w:sz w:val="19"/>
          <w:szCs w:val="19"/>
          <w:b w:val="1"/>
          <w:bCs w:val="1"/>
          <w:color w:val="auto"/>
        </w:rPr>
        <w:t>Purchase</w:t>
      </w:r>
      <w:r>
        <w:rPr>
          <w:rFonts w:ascii="Arial" w:cs="Arial" w:eastAsia="Arial" w:hAnsi="Arial"/>
          <w:sz w:val="19"/>
          <w:szCs w:val="19"/>
          <w:color w:val="auto"/>
        </w:rPr>
        <w:t>”). If an Optional SoftBank Conversion Notice has been delivered pursuant to Section 9.13 and, subsequent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delivery of such Optional SoftBank Conversion Notice, a SoftBank Call Notice is delivered to a Class A-1 Preferred Member or Class D Member, then the process contemplated by Section 9.13 shall be suspended (it being understood that if the Class A-1/D Purchase is subsequently terminated or otherwise fails to be consummated, the process contemplated by Section 9.13 shall resume); provided, that if, at the time the SoftBank Call Notice is delivered to a Class A-1 Preferred Member or Class D Member, the calculation of Call Notice/Optional SoftBank Conversion Notice Fair Market Value is ongoing pursuant to Section 9.13 (but has not yet been finalized), such calculation shall continue and shall be utilized to calculate the Per Class A-1 Preferred Share FMV required by this Section 9.12.</w:t>
      </w:r>
    </w:p>
    <w:p>
      <w:pPr>
        <w:spacing w:after="0" w:line="200" w:lineRule="exact"/>
        <w:rPr>
          <w:rFonts w:ascii="Arial" w:cs="Arial" w:eastAsia="Arial" w:hAnsi="Arial"/>
          <w:sz w:val="19"/>
          <w:szCs w:val="19"/>
          <w:color w:val="010000"/>
        </w:rPr>
      </w:pPr>
    </w:p>
    <w:p>
      <w:pPr>
        <w:spacing w:after="0" w:line="214" w:lineRule="exact"/>
        <w:rPr>
          <w:rFonts w:ascii="Arial" w:cs="Arial" w:eastAsia="Arial" w:hAnsi="Arial"/>
          <w:sz w:val="19"/>
          <w:szCs w:val="19"/>
          <w:color w:val="010000"/>
        </w:rPr>
      </w:pPr>
    </w:p>
    <w:p>
      <w:pPr>
        <w:jc w:val="both"/>
        <w:ind w:firstLine="1304"/>
        <w:spacing w:after="0" w:line="294" w:lineRule="auto"/>
        <w:tabs>
          <w:tab w:leader="none" w:pos="1777" w:val="left"/>
        </w:tabs>
        <w:numPr>
          <w:ilvl w:val="0"/>
          <w:numId w:val="132"/>
        </w:numPr>
        <w:rPr>
          <w:rFonts w:ascii="Arial" w:cs="Arial" w:eastAsia="Arial" w:hAnsi="Arial"/>
          <w:sz w:val="19"/>
          <w:szCs w:val="19"/>
          <w:color w:val="010000"/>
        </w:rPr>
      </w:pPr>
      <w:r>
        <w:rPr>
          <w:rFonts w:ascii="Arial" w:cs="Arial" w:eastAsia="Arial" w:hAnsi="Arial"/>
          <w:sz w:val="19"/>
          <w:szCs w:val="19"/>
          <w:color w:val="auto"/>
        </w:rPr>
        <w:t>At any time after the Honda Call Trigger Date, the Company will have the right, by providing written notice to each Class E Member and the Board of Directors (a “</w:t>
      </w:r>
      <w:r>
        <w:rPr>
          <w:rFonts w:ascii="Arial" w:cs="Arial" w:eastAsia="Arial" w:hAnsi="Arial"/>
          <w:sz w:val="19"/>
          <w:szCs w:val="19"/>
          <w:b w:val="1"/>
          <w:bCs w:val="1"/>
          <w:color w:val="auto"/>
        </w:rPr>
        <w:t>Honda Call Notice</w:t>
      </w:r>
      <w:r>
        <w:rPr>
          <w:rFonts w:ascii="Arial" w:cs="Arial" w:eastAsia="Arial" w:hAnsi="Arial"/>
          <w:sz w:val="19"/>
          <w:szCs w:val="19"/>
          <w:color w:val="auto"/>
        </w:rPr>
        <w:t>” and, together with the SoftBank Call Notice, a “</w:t>
      </w:r>
      <w:r>
        <w:rPr>
          <w:rFonts w:ascii="Arial" w:cs="Arial" w:eastAsia="Arial" w:hAnsi="Arial"/>
          <w:sz w:val="19"/>
          <w:szCs w:val="19"/>
          <w:b w:val="1"/>
          <w:bCs w:val="1"/>
          <w:color w:val="auto"/>
        </w:rPr>
        <w:t>Call</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 to purchase from each Class E Member all (but not less than all) of the Class E Common Shares then owned by such</w:t>
      </w:r>
      <w:r>
        <w:rPr>
          <w:rFonts w:ascii="Arial" w:cs="Arial" w:eastAsia="Arial" w:hAnsi="Arial"/>
          <w:sz w:val="19"/>
          <w:szCs w:val="19"/>
          <w:b w:val="1"/>
          <w:bCs w:val="1"/>
          <w:color w:val="auto"/>
        </w:rPr>
        <w:t xml:space="preserve"> </w:t>
      </w:r>
      <w:r>
        <w:rPr>
          <w:rFonts w:ascii="Arial" w:cs="Arial" w:eastAsia="Arial" w:hAnsi="Arial"/>
          <w:sz w:val="19"/>
          <w:szCs w:val="19"/>
          <w:color w:val="auto"/>
        </w:rPr>
        <w:t>Members (and any other Equity Securities, excluding Class F Preferred Shares and Class G Preferred Shares, held by such Members) in exchange for a cash purchase price per Class E Common Share (or any other Equity Securities, excluding Class F Preferred Shares and Class G Preferred Shares, held by such Members) equal to the Per Class E FMV (the “</w:t>
      </w:r>
      <w:r>
        <w:rPr>
          <w:rFonts w:ascii="Arial" w:cs="Arial" w:eastAsia="Arial" w:hAnsi="Arial"/>
          <w:sz w:val="19"/>
          <w:szCs w:val="19"/>
          <w:b w:val="1"/>
          <w:bCs w:val="1"/>
          <w:color w:val="auto"/>
        </w:rPr>
        <w:t>Class E Purchase</w:t>
      </w:r>
      <w:r>
        <w:rPr>
          <w:rFonts w:ascii="Arial" w:cs="Arial" w:eastAsia="Arial" w:hAnsi="Arial"/>
          <w:sz w:val="19"/>
          <w:szCs w:val="19"/>
          <w:color w:val="auto"/>
        </w:rPr>
        <w:t>”).</w:t>
      </w:r>
    </w:p>
    <w:p>
      <w:pPr>
        <w:spacing w:after="0" w:line="1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Delivery of a Call Notice with respect to the Class A-1 Preferred Shares, Class D Common Shares or Class E Common Shares will commence the process set forth on </w:t>
      </w:r>
      <w:r>
        <w:rPr>
          <w:rFonts w:ascii="Arial" w:cs="Arial" w:eastAsia="Arial" w:hAnsi="Arial"/>
          <w:sz w:val="22"/>
          <w:szCs w:val="22"/>
          <w:b w:val="1"/>
          <w:bCs w:val="1"/>
          <w:color w:val="auto"/>
        </w:rPr>
        <w:t>Exhibit II</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that in the event of a Honda Call Notice, (1) references to “SoftBank”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98" w:lineRule="exact"/>
        <w:rPr>
          <w:sz w:val="20"/>
          <w:szCs w:val="20"/>
          <w:color w:val="auto"/>
        </w:rPr>
      </w:pPr>
    </w:p>
    <w:p>
      <w:pPr>
        <w:spacing w:after="0" w:line="269" w:lineRule="auto"/>
        <w:rPr>
          <w:sz w:val="20"/>
          <w:szCs w:val="20"/>
          <w:color w:val="auto"/>
        </w:rPr>
      </w:pPr>
      <w:r>
        <w:rPr>
          <w:rFonts w:ascii="Arial" w:cs="Arial" w:eastAsia="Arial" w:hAnsi="Arial"/>
          <w:sz w:val="22"/>
          <w:szCs w:val="22"/>
          <w:color w:val="auto"/>
        </w:rPr>
        <w:t xml:space="preserve">“Majority of the Class A-1 Preferred” on </w:t>
      </w:r>
      <w:r>
        <w:rPr>
          <w:rFonts w:ascii="Arial" w:cs="Arial" w:eastAsia="Arial" w:hAnsi="Arial"/>
          <w:sz w:val="22"/>
          <w:szCs w:val="22"/>
          <w:b w:val="1"/>
          <w:bCs w:val="1"/>
          <w:color w:val="auto"/>
        </w:rPr>
        <w:t>Exhibit II</w:t>
      </w:r>
      <w:r>
        <w:rPr>
          <w:rFonts w:ascii="Arial" w:cs="Arial" w:eastAsia="Arial" w:hAnsi="Arial"/>
          <w:sz w:val="22"/>
          <w:szCs w:val="22"/>
          <w:color w:val="auto"/>
        </w:rPr>
        <w:t xml:space="preserve"> shall be replaced with “Honda” and (2) the Qualified Appraisers will only calculate the Standardized FMV and not the IP Upsized FMV).</w:t>
      </w:r>
    </w:p>
    <w:p>
      <w:pPr>
        <w:spacing w:after="0" w:line="168" w:lineRule="exact"/>
        <w:rPr>
          <w:sz w:val="20"/>
          <w:szCs w:val="20"/>
          <w:color w:val="auto"/>
        </w:rPr>
      </w:pPr>
    </w:p>
    <w:p>
      <w:pPr>
        <w:jc w:val="both"/>
        <w:ind w:firstLine="1304"/>
        <w:spacing w:after="0" w:line="259" w:lineRule="auto"/>
        <w:tabs>
          <w:tab w:leader="none" w:pos="1968" w:val="left"/>
        </w:tabs>
        <w:numPr>
          <w:ilvl w:val="0"/>
          <w:numId w:val="133"/>
        </w:numPr>
        <w:rPr>
          <w:rFonts w:ascii="Arial" w:cs="Arial" w:eastAsia="Arial" w:hAnsi="Arial"/>
          <w:sz w:val="21"/>
          <w:szCs w:val="21"/>
          <w:color w:val="010000"/>
        </w:rPr>
      </w:pPr>
      <w:r>
        <w:rPr>
          <w:rFonts w:ascii="Arial" w:cs="Arial" w:eastAsia="Arial" w:hAnsi="Arial"/>
          <w:sz w:val="21"/>
          <w:szCs w:val="21"/>
          <w:color w:val="auto"/>
        </w:rPr>
        <w:t xml:space="preserve">The Company and each Class A-1 Preferred Member, Class D Member and Class E Member will consummate the Class A-1/D Purchase or the Class E Purchase, as applicable, as soon as reasonably practicable and, in any event, within thirty (30) days following the date of determination of the Per Class A-1 Preferred Share FMV or Per Class E FMV (as applicable). The Class A-1/D Purchase or the Class E Purchase, as applicable, shall be memorialized in a written agreement containing customary terms for a transaction of this type; </w:t>
      </w:r>
      <w:r>
        <w:rPr>
          <w:rFonts w:ascii="Arial" w:cs="Arial" w:eastAsia="Arial" w:hAnsi="Arial"/>
          <w:sz w:val="21"/>
          <w:szCs w:val="21"/>
          <w:u w:val="single" w:color="auto"/>
          <w:color w:val="auto"/>
        </w:rPr>
        <w:t>provided</w:t>
      </w:r>
      <w:r>
        <w:rPr>
          <w:rFonts w:ascii="Arial" w:cs="Arial" w:eastAsia="Arial" w:hAnsi="Arial"/>
          <w:sz w:val="21"/>
          <w:szCs w:val="21"/>
          <w:color w:val="auto"/>
        </w:rPr>
        <w:t>, that no Class A-1 Preferred Member, Class D Member or Class E Member shall be required to make any representations or warranties other than representations and warranties as to due organization and good standing, power and authority, due approval, no conflicts and ownership and title of Shares (including the absence of liens with respect to such Shares), no brokers and no litigation pending or threatened against or affecting such Member relating to its ownership of Shares.</w:t>
      </w:r>
    </w:p>
    <w:p>
      <w:pPr>
        <w:spacing w:after="0" w:line="179" w:lineRule="exact"/>
        <w:rPr>
          <w:rFonts w:ascii="Arial" w:cs="Arial" w:eastAsia="Arial" w:hAnsi="Arial"/>
          <w:sz w:val="21"/>
          <w:szCs w:val="21"/>
          <w:color w:val="010000"/>
        </w:rPr>
      </w:pPr>
    </w:p>
    <w:p>
      <w:pPr>
        <w:jc w:val="both"/>
        <w:ind w:firstLine="1304"/>
        <w:spacing w:after="0" w:line="248" w:lineRule="auto"/>
        <w:tabs>
          <w:tab w:leader="none" w:pos="1885" w:val="left"/>
        </w:tabs>
        <w:numPr>
          <w:ilvl w:val="0"/>
          <w:numId w:val="133"/>
        </w:numPr>
        <w:rPr>
          <w:rFonts w:ascii="Arial" w:cs="Arial" w:eastAsia="Arial" w:hAnsi="Arial"/>
          <w:sz w:val="22"/>
          <w:szCs w:val="22"/>
          <w:color w:val="010000"/>
        </w:rPr>
      </w:pPr>
      <w:r>
        <w:rPr>
          <w:rFonts w:ascii="Arial" w:cs="Arial" w:eastAsia="Arial" w:hAnsi="Arial"/>
          <w:sz w:val="22"/>
          <w:szCs w:val="22"/>
          <w:color w:val="auto"/>
        </w:rPr>
        <w:t>Each Class A-1 Preferred Member, Class D Member and Class E Member, as applicable, shall take all commercially reasonable actions and provide such other commercially reasonable cooperation and assistance as may be necessary to consummate the Class A-1/D Purchase or Class E Purchase, as applicable, in an expeditious and efficient manner and will not take any action or engage in any activity designed to hinder, prevent or delay the consummation of the Class A-1/D Purchase or Class E Purchase, as applicable.</w:t>
      </w:r>
    </w:p>
    <w:p>
      <w:pPr>
        <w:spacing w:after="0" w:line="191" w:lineRule="exact"/>
        <w:rPr>
          <w:rFonts w:ascii="Arial" w:cs="Arial" w:eastAsia="Arial" w:hAnsi="Arial"/>
          <w:sz w:val="22"/>
          <w:szCs w:val="22"/>
          <w:color w:val="010000"/>
        </w:rPr>
      </w:pPr>
    </w:p>
    <w:p>
      <w:pPr>
        <w:jc w:val="both"/>
        <w:ind w:firstLine="1304"/>
        <w:spacing w:after="0" w:line="312" w:lineRule="auto"/>
        <w:tabs>
          <w:tab w:leader="none" w:pos="1860" w:val="left"/>
        </w:tabs>
        <w:numPr>
          <w:ilvl w:val="0"/>
          <w:numId w:val="133"/>
        </w:numPr>
        <w:rPr>
          <w:rFonts w:ascii="Arial" w:cs="Arial" w:eastAsia="Arial" w:hAnsi="Arial"/>
          <w:sz w:val="19"/>
          <w:szCs w:val="19"/>
          <w:color w:val="010000"/>
        </w:rPr>
      </w:pPr>
      <w:r>
        <w:rPr>
          <w:rFonts w:ascii="Arial" w:cs="Arial" w:eastAsia="Arial" w:hAnsi="Arial"/>
          <w:sz w:val="19"/>
          <w:szCs w:val="19"/>
          <w:color w:val="auto"/>
        </w:rPr>
        <w:t>(i) At any time after the SoftBank Trigger Date or the Honda Call Trigger Date, as applicable, the GM Investor (or one of its Affiliates) may issue a Call Notice in lieu of the Company, in which event all references to the Company in this Section 9.12 (other than this Section 9.12(e) or Section 9.12(f)) shall be deemed to be references to the GM Investor.</w:t>
      </w:r>
    </w:p>
    <w:p>
      <w:pPr>
        <w:spacing w:after="0" w:line="133" w:lineRule="exact"/>
        <w:rPr>
          <w:rFonts w:ascii="Arial" w:cs="Arial" w:eastAsia="Arial" w:hAnsi="Arial"/>
          <w:sz w:val="19"/>
          <w:szCs w:val="19"/>
          <w:color w:val="010000"/>
        </w:rPr>
      </w:pPr>
    </w:p>
    <w:p>
      <w:pPr>
        <w:jc w:val="both"/>
        <w:ind w:firstLine="1304"/>
        <w:spacing w:after="0" w:line="286" w:lineRule="auto"/>
        <w:tabs>
          <w:tab w:leader="none" w:pos="1849" w:val="left"/>
        </w:tabs>
        <w:numPr>
          <w:ilvl w:val="0"/>
          <w:numId w:val="133"/>
        </w:numPr>
        <w:rPr>
          <w:rFonts w:ascii="Arial" w:cs="Arial" w:eastAsia="Arial" w:hAnsi="Arial"/>
          <w:sz w:val="19"/>
          <w:szCs w:val="19"/>
          <w:color w:val="010000"/>
        </w:rPr>
      </w:pPr>
      <w:r>
        <w:rPr>
          <w:rFonts w:ascii="Arial" w:cs="Arial" w:eastAsia="Arial" w:hAnsi="Arial"/>
          <w:sz w:val="19"/>
          <w:szCs w:val="19"/>
          <w:color w:val="auto"/>
        </w:rPr>
        <w:t>At any time or from time to time prior to the consummation of an IPO or a Sale of the Company, the Company will have the right, by providing written notice to any or all of the Class H Members (each, a “</w:t>
      </w:r>
      <w:r>
        <w:rPr>
          <w:rFonts w:ascii="Arial" w:cs="Arial" w:eastAsia="Arial" w:hAnsi="Arial"/>
          <w:sz w:val="19"/>
          <w:szCs w:val="19"/>
          <w:b w:val="1"/>
          <w:bCs w:val="1"/>
          <w:color w:val="auto"/>
        </w:rPr>
        <w:t>Class H Call Notice</w:t>
      </w:r>
      <w:r>
        <w:rPr>
          <w:rFonts w:ascii="Arial" w:cs="Arial" w:eastAsia="Arial" w:hAnsi="Arial"/>
          <w:sz w:val="19"/>
          <w:szCs w:val="19"/>
          <w:color w:val="auto"/>
        </w:rPr>
        <w:t>”), to purchase from such Class H Member(s) any or all of the Class H Common Shares then owned by such Class H Member(s) (the “</w:t>
      </w:r>
      <w:r>
        <w:rPr>
          <w:rFonts w:ascii="Arial" w:cs="Arial" w:eastAsia="Arial" w:hAnsi="Arial"/>
          <w:sz w:val="19"/>
          <w:szCs w:val="19"/>
          <w:b w:val="1"/>
          <w:bCs w:val="1"/>
          <w:color w:val="auto"/>
        </w:rPr>
        <w:t>Class H Purchase</w:t>
      </w:r>
      <w:r>
        <w:rPr>
          <w:rFonts w:ascii="Arial" w:cs="Arial" w:eastAsia="Arial" w:hAnsi="Arial"/>
          <w:sz w:val="19"/>
          <w:szCs w:val="19"/>
          <w:color w:val="auto"/>
        </w:rPr>
        <w:t xml:space="preserve">”) in exchange for a cash purchase price per Class H Common Share equal to the price per share of the Company’s Equity Securities sold and issued in the Company’s most recent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equity financing with the principal purpose of raising capital (currently, $26.35, as adjusted to reflect appropriate and proportional adjustments to take into account any subdivision, reorganization, reclassification, recapitalization, stock split, reverse stock split, combination of shares or similar event). The Company and such Class H Member(s) will consummate the Class H Purchase as soon as reasonably practicable and, in any event, within thirty (30) days following the date of the Class H Call Notice. The Class H Purchase shall be memorialized in a written agreement containing customary terms for a transaction of this type; provided, that no Class H Member shall be required to make any representations or warranties other than representations and warranties as to due organization and good standing (if applicable), power and authority, due approval, no conflicts and ownership and title of such Class H Common Shares (including the absence of liens with respect to such Class H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Shares), no brokers and no litigation pending or threatened against or affecting such Class H Member relating to its ownership of such Class H Common Shares. Each such Class H Member shall take all commercially reasonable actions and provide such other commercially reasonable cooperation and assistance as may be necessary to consummate the Class H Purchase in an expeditious and efficient manner and will not take any action or engage in any activity designed to hinder, prevent or delay the consummation of the Class H Purchase. Notwithstanding the foregoing, the Board of Directors may waive the applicability of this Section 9.12(f) with respect to Class H Shares issued in connection with any particular M&amp;A Transaction and reflected in the definitive agreement related to such M&amp;A Transaction.</w:t>
      </w:r>
    </w:p>
    <w:p>
      <w:pPr>
        <w:spacing w:after="0" w:line="174"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9.13</w:t>
      </w:r>
      <w:r>
        <w:rPr>
          <w:sz w:val="20"/>
          <w:szCs w:val="20"/>
          <w:color w:val="auto"/>
        </w:rPr>
        <w:tab/>
      </w:r>
      <w:r>
        <w:rPr>
          <w:rFonts w:ascii="Arial" w:cs="Arial" w:eastAsia="Arial" w:hAnsi="Arial"/>
          <w:sz w:val="19"/>
          <w:szCs w:val="19"/>
          <w:b w:val="1"/>
          <w:bCs w:val="1"/>
          <w:u w:val="single" w:color="auto"/>
          <w:color w:val="auto"/>
        </w:rPr>
        <w:t>Optional SoftBank Conversion</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90" w:lineRule="auto"/>
        <w:tabs>
          <w:tab w:leader="none" w:pos="1765" w:val="left"/>
        </w:tabs>
        <w:numPr>
          <w:ilvl w:val="0"/>
          <w:numId w:val="134"/>
        </w:numPr>
        <w:rPr>
          <w:rFonts w:ascii="Arial" w:cs="Arial" w:eastAsia="Arial" w:hAnsi="Arial"/>
          <w:sz w:val="19"/>
          <w:szCs w:val="19"/>
          <w:color w:val="010000"/>
        </w:rPr>
      </w:pPr>
      <w:r>
        <w:rPr>
          <w:rFonts w:ascii="Arial" w:cs="Arial" w:eastAsia="Arial" w:hAnsi="Arial"/>
          <w:sz w:val="19"/>
          <w:szCs w:val="19"/>
          <w:color w:val="auto"/>
        </w:rPr>
        <w:t>If an IPO, Sale of the Company or dissolution (pursuant to Article X) has not been consummated prior to the SoftBank Trigger Date then, at any time after the SoftBank Trigger Date and subject to Section 9.12(a), SoftBank or its Permitted Transferee shall be entitled to deliver to the Board of Directors an irrevocable written notice (the “</w:t>
      </w:r>
      <w:r>
        <w:rPr>
          <w:rFonts w:ascii="Arial" w:cs="Arial" w:eastAsia="Arial" w:hAnsi="Arial"/>
          <w:sz w:val="19"/>
          <w:szCs w:val="19"/>
          <w:b w:val="1"/>
          <w:bCs w:val="1"/>
          <w:color w:val="auto"/>
        </w:rPr>
        <w:t>Optional SoftBank</w:t>
      </w:r>
      <w:r>
        <w:rPr>
          <w:rFonts w:ascii="Arial" w:cs="Arial" w:eastAsia="Arial" w:hAnsi="Arial"/>
          <w:sz w:val="19"/>
          <w:szCs w:val="19"/>
          <w:color w:val="auto"/>
        </w:rPr>
        <w:t xml:space="preserve"> </w:t>
      </w:r>
      <w:r>
        <w:rPr>
          <w:rFonts w:ascii="Arial" w:cs="Arial" w:eastAsia="Arial" w:hAnsi="Arial"/>
          <w:sz w:val="19"/>
          <w:szCs w:val="19"/>
          <w:b w:val="1"/>
          <w:bCs w:val="1"/>
          <w:color w:val="auto"/>
        </w:rPr>
        <w:t>Conversion Notice</w:t>
      </w:r>
      <w:r>
        <w:rPr>
          <w:rFonts w:ascii="Arial" w:cs="Arial" w:eastAsia="Arial" w:hAnsi="Arial"/>
          <w:sz w:val="19"/>
          <w:szCs w:val="19"/>
          <w:color w:val="auto"/>
        </w:rPr>
        <w:t>”) requiring the Company to, at the election of the GM Investor (i) use its reasonable best efforts to redeem</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all, but not less than all, of SoftBank’s Class A-1 Preferred Shares and Class D Common Shares for common stock of GM Parent, or (ii) redeem all, but not less than all of SoftBank’s Class A-1 Preferred Shares and Class D Common Shares for cash, in each case on the terms set forth herein and, in the case of sub-section (i), on the terms set forth in the Exchange Agreement. Delivery of the Optional SoftBank Conversion Notice will commence the process set forth on </w:t>
      </w:r>
      <w:r>
        <w:rPr>
          <w:rFonts w:ascii="Arial" w:cs="Arial" w:eastAsia="Arial" w:hAnsi="Arial"/>
          <w:sz w:val="19"/>
          <w:szCs w:val="19"/>
          <w:b w:val="1"/>
          <w:bCs w:val="1"/>
          <w:color w:val="auto"/>
        </w:rPr>
        <w:t>Exhibit II</w:t>
      </w:r>
      <w:r>
        <w:rPr>
          <w:rFonts w:ascii="Arial" w:cs="Arial" w:eastAsia="Arial" w:hAnsi="Arial"/>
          <w:sz w:val="19"/>
          <w:szCs w:val="19"/>
          <w:color w:val="auto"/>
        </w:rPr>
        <w:t>.</w:t>
      </w:r>
    </w:p>
    <w:p>
      <w:pPr>
        <w:spacing w:after="0" w:line="155" w:lineRule="exact"/>
        <w:rPr>
          <w:rFonts w:ascii="Arial" w:cs="Arial" w:eastAsia="Arial" w:hAnsi="Arial"/>
          <w:sz w:val="19"/>
          <w:szCs w:val="19"/>
          <w:color w:val="010000"/>
        </w:rPr>
      </w:pPr>
    </w:p>
    <w:p>
      <w:pPr>
        <w:jc w:val="both"/>
        <w:ind w:firstLine="1304"/>
        <w:spacing w:after="0" w:line="286" w:lineRule="auto"/>
        <w:tabs>
          <w:tab w:leader="none" w:pos="1885" w:val="left"/>
        </w:tabs>
        <w:numPr>
          <w:ilvl w:val="0"/>
          <w:numId w:val="134"/>
        </w:numPr>
        <w:rPr>
          <w:rFonts w:ascii="Arial" w:cs="Arial" w:eastAsia="Arial" w:hAnsi="Arial"/>
          <w:sz w:val="19"/>
          <w:szCs w:val="19"/>
          <w:color w:val="010000"/>
        </w:rPr>
      </w:pPr>
      <w:r>
        <w:rPr>
          <w:rFonts w:ascii="Arial" w:cs="Arial" w:eastAsia="Arial" w:hAnsi="Arial"/>
          <w:sz w:val="19"/>
          <w:szCs w:val="19"/>
          <w:color w:val="auto"/>
        </w:rPr>
        <w:t xml:space="preserve">Within ten (10) Business Days of the date of determination of the final Call Notice/Optional SoftBank Conversion Notice Fair Market Value pursuant to </w:t>
      </w:r>
      <w:r>
        <w:rPr>
          <w:rFonts w:ascii="Arial" w:cs="Arial" w:eastAsia="Arial" w:hAnsi="Arial"/>
          <w:sz w:val="19"/>
          <w:szCs w:val="19"/>
          <w:b w:val="1"/>
          <w:bCs w:val="1"/>
          <w:color w:val="auto"/>
        </w:rPr>
        <w:t>Exhibit II</w:t>
      </w:r>
      <w:r>
        <w:rPr>
          <w:rFonts w:ascii="Arial" w:cs="Arial" w:eastAsia="Arial" w:hAnsi="Arial"/>
          <w:sz w:val="19"/>
          <w:szCs w:val="19"/>
          <w:color w:val="auto"/>
        </w:rPr>
        <w:t>, the Company will deliver written notice to SoftBank, informing SoftBank of the Call Notice/Optional SoftBank Conversion Notice Fair Market Value and whether the GM Investor has elected to have the Company redeem SoftBank’s Class A-1 Preferred Shares and Class D Common Shares (i) for cash, at a per Share value equal to the applicable Optional SoftBank Conversion Share Price (the “</w:t>
      </w:r>
      <w:r>
        <w:rPr>
          <w:rFonts w:ascii="Arial" w:cs="Arial" w:eastAsia="Arial" w:hAnsi="Arial"/>
          <w:sz w:val="19"/>
          <w:szCs w:val="19"/>
          <w:b w:val="1"/>
          <w:bCs w:val="1"/>
          <w:color w:val="auto"/>
        </w:rPr>
        <w:t>Cash Election</w:t>
      </w:r>
      <w:r>
        <w:rPr>
          <w:rFonts w:ascii="Arial" w:cs="Arial" w:eastAsia="Arial" w:hAnsi="Arial"/>
          <w:sz w:val="19"/>
          <w:szCs w:val="19"/>
          <w:color w:val="auto"/>
        </w:rPr>
        <w:t>”), or (ii) in exchange for common stock of GM Parent on the terms and subject to the conditions set forth in the Exchange Agreement in which case GM Parent and SoftBank or its Permitted Transferee will enter into the Exchange Agreement (the “</w:t>
      </w:r>
      <w:r>
        <w:rPr>
          <w:rFonts w:ascii="Arial" w:cs="Arial" w:eastAsia="Arial" w:hAnsi="Arial"/>
          <w:sz w:val="19"/>
          <w:szCs w:val="19"/>
          <w:b w:val="1"/>
          <w:bCs w:val="1"/>
          <w:color w:val="auto"/>
        </w:rPr>
        <w:t>Stock Election</w:t>
      </w:r>
      <w:r>
        <w:rPr>
          <w:rFonts w:ascii="Arial" w:cs="Arial" w:eastAsia="Arial" w:hAnsi="Arial"/>
          <w:sz w:val="19"/>
          <w:szCs w:val="19"/>
          <w:color w:val="auto"/>
        </w:rPr>
        <w:t>”). If, upon consummation of the Sale of GM Parent, GM Parent (it being understood that if GM has merged or consolidated into any other Person or sold all or substantially all of its assets in any one or a series of related to transactions to such other Person, GM Parent shall include such successor or other Person) is not listed or traded on the New York Stock Exchange or the NASDAQ Stock Market or any successor exchange or market thereof, any national securities exchange (registered with the SEC under Section 6 of the Securities Exchange Act of 1934, as amended) or any other established non-U.S. exchange, then the GM Acquirer shall be required to settle any Stock Election pursuant to this Section 9.13 in cash.</w:t>
      </w:r>
    </w:p>
    <w:p>
      <w:pPr>
        <w:spacing w:after="0" w:line="165" w:lineRule="exact"/>
        <w:rPr>
          <w:rFonts w:ascii="Arial" w:cs="Arial" w:eastAsia="Arial" w:hAnsi="Arial"/>
          <w:sz w:val="19"/>
          <w:szCs w:val="19"/>
          <w:color w:val="010000"/>
        </w:rPr>
      </w:pPr>
    </w:p>
    <w:p>
      <w:pPr>
        <w:jc w:val="both"/>
        <w:ind w:firstLine="1304"/>
        <w:spacing w:after="0" w:line="253" w:lineRule="auto"/>
        <w:tabs>
          <w:tab w:leader="none" w:pos="1806" w:val="left"/>
        </w:tabs>
        <w:numPr>
          <w:ilvl w:val="0"/>
          <w:numId w:val="134"/>
        </w:numPr>
        <w:rPr>
          <w:rFonts w:ascii="Arial" w:cs="Arial" w:eastAsia="Arial" w:hAnsi="Arial"/>
          <w:sz w:val="22"/>
          <w:szCs w:val="22"/>
          <w:color w:val="010000"/>
        </w:rPr>
      </w:pPr>
      <w:r>
        <w:rPr>
          <w:rFonts w:ascii="Arial" w:cs="Arial" w:eastAsia="Arial" w:hAnsi="Arial"/>
          <w:sz w:val="22"/>
          <w:szCs w:val="22"/>
          <w:color w:val="auto"/>
        </w:rPr>
        <w:t>If the Cash Election is made, the Company and SoftBank or its Permitted Transferee will consummate the redemption by the Company of the Class A-1 Preferred Shares and Class D Common Shares (the “</w:t>
      </w:r>
      <w:r>
        <w:rPr>
          <w:rFonts w:ascii="Arial" w:cs="Arial" w:eastAsia="Arial" w:hAnsi="Arial"/>
          <w:sz w:val="22"/>
          <w:szCs w:val="22"/>
          <w:b w:val="1"/>
          <w:bCs w:val="1"/>
          <w:color w:val="auto"/>
        </w:rPr>
        <w:t>Optional SoftBank</w:t>
      </w:r>
      <w:r>
        <w:rPr>
          <w:rFonts w:ascii="Arial" w:cs="Arial" w:eastAsia="Arial" w:hAnsi="Arial"/>
          <w:sz w:val="22"/>
          <w:szCs w:val="22"/>
          <w:color w:val="auto"/>
        </w:rPr>
        <w:t xml:space="preserve"> </w:t>
      </w:r>
      <w:r>
        <w:rPr>
          <w:rFonts w:ascii="Arial" w:cs="Arial" w:eastAsia="Arial" w:hAnsi="Arial"/>
          <w:sz w:val="22"/>
          <w:szCs w:val="22"/>
          <w:b w:val="1"/>
          <w:bCs w:val="1"/>
          <w:color w:val="auto"/>
        </w:rPr>
        <w:t>Conversion Purchase</w:t>
      </w:r>
      <w:r>
        <w:rPr>
          <w:rFonts w:ascii="Arial" w:cs="Arial" w:eastAsia="Arial" w:hAnsi="Arial"/>
          <w:sz w:val="22"/>
          <w:szCs w:val="22"/>
          <w:color w:val="auto"/>
        </w:rPr>
        <w:t>”) as soon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04"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reasonably practicable and in any event within thirty (30) days of the Cash Election. The place for closing shall be the principal office of the Company or at such other place as the Company may reasonably determine. In the event of a Cash Election, at the closing thereof SoftBank shall deliver to the Company certificates (if certificated) for its Class A-1 Preferred Shares and Class D Common Shares or, in other cases, mutually acceptable instruments of transfer, in exchange for payment (per Class A-1 Preferred Share and Class D Common Share held by SoftBank) of the relevant Optional SoftBank Conversion Share Price. The Optional SoftBank Conversion Purchase shall be memorialized in a written agreement containing representations and warranties as to due organization and good standing, power and authority, due approval, no conflicts and ownership and title of Shares (including the absence of liens with respect to such Shares), no brokers and no litigation pending or threatened against or affecting SoftBank relating to its ownership of Shares. Each of the Company and SoftBank or its Permitted Transferee shall bear its own costs and expense incurred in connection with the Optional SoftBank Conversion Purchase.</w:t>
      </w:r>
    </w:p>
    <w:p>
      <w:pPr>
        <w:spacing w:after="0" w:line="159" w:lineRule="exact"/>
        <w:rPr>
          <w:sz w:val="20"/>
          <w:szCs w:val="20"/>
          <w:color w:val="auto"/>
        </w:rPr>
      </w:pPr>
    </w:p>
    <w:p>
      <w:pPr>
        <w:ind w:firstLine="1304"/>
        <w:spacing w:after="0" w:line="343" w:lineRule="auto"/>
        <w:tabs>
          <w:tab w:leader="none" w:pos="1858" w:val="left"/>
        </w:tabs>
        <w:numPr>
          <w:ilvl w:val="0"/>
          <w:numId w:val="135"/>
        </w:numPr>
        <w:rPr>
          <w:rFonts w:ascii="Arial" w:cs="Arial" w:eastAsia="Arial" w:hAnsi="Arial"/>
          <w:sz w:val="19"/>
          <w:szCs w:val="19"/>
          <w:color w:val="010000"/>
        </w:rPr>
      </w:pPr>
      <w:r>
        <w:rPr>
          <w:rFonts w:ascii="Arial" w:cs="Arial" w:eastAsia="Arial" w:hAnsi="Arial"/>
          <w:sz w:val="19"/>
          <w:szCs w:val="19"/>
          <w:color w:val="auto"/>
        </w:rPr>
        <w:t>If the Stock Election is made, SoftBank or its Permitted Transferee will (and the Company and the GM Investor will cause GM Parent to) promptly (and in any event within five (5) days) enter into the Exchange Agreement.</w:t>
      </w:r>
    </w:p>
    <w:p>
      <w:pPr>
        <w:spacing w:after="0" w:line="104" w:lineRule="exact"/>
        <w:rPr>
          <w:rFonts w:ascii="Arial" w:cs="Arial" w:eastAsia="Arial" w:hAnsi="Arial"/>
          <w:sz w:val="19"/>
          <w:szCs w:val="19"/>
          <w:color w:val="010000"/>
        </w:rPr>
      </w:pPr>
    </w:p>
    <w:p>
      <w:pPr>
        <w:jc w:val="both"/>
        <w:ind w:firstLine="1304"/>
        <w:spacing w:after="0" w:line="258" w:lineRule="auto"/>
        <w:tabs>
          <w:tab w:leader="none" w:pos="1860" w:val="left"/>
        </w:tabs>
        <w:numPr>
          <w:ilvl w:val="0"/>
          <w:numId w:val="135"/>
        </w:numPr>
        <w:rPr>
          <w:rFonts w:ascii="Arial" w:cs="Arial" w:eastAsia="Arial" w:hAnsi="Arial"/>
          <w:sz w:val="21"/>
          <w:szCs w:val="21"/>
          <w:color w:val="010000"/>
        </w:rPr>
      </w:pPr>
      <w:r>
        <w:rPr>
          <w:rFonts w:ascii="Arial" w:cs="Arial" w:eastAsia="Arial" w:hAnsi="Arial"/>
          <w:sz w:val="21"/>
          <w:szCs w:val="21"/>
          <w:color w:val="auto"/>
        </w:rPr>
        <w:t>If the Company, acting reasonably and in good faith, determines that a filing, notice, approval, consent, registration, permit, authorization or confirmation from any Governmental Authority may be required to consummate the transactions set forth in the Exchange Agreement, then the Company and SoftBank or its Permitted Transferee shall (and SoftBank shall cause its Affiliates to) reasonably cooperate in good faith during the pendency of the calculation of the Call Notice/Optional SoftBank Conversion Notice Fair Market Value to seek to obtain such approvals as promptly as practicable such that in the event a Stock Election is made the period between signing the Exchange Agreement and closing the transaction thereunder would be reduced. For clarity, nothing in this Section 9.13(e) will require the Company to make a Stock Election (as opposed to a Cash Election) and the intention of this Section 9.13(e) is solely to take such actions as may reduce (in the event a Stock Election is made) the period between the execution of the Exchange Agreement and the consummation of the transactions contemplated thereby.</w:t>
      </w:r>
    </w:p>
    <w:p>
      <w:pPr>
        <w:spacing w:after="0" w:line="185" w:lineRule="exact"/>
        <w:rPr>
          <w:rFonts w:ascii="Arial" w:cs="Arial" w:eastAsia="Arial" w:hAnsi="Arial"/>
          <w:sz w:val="21"/>
          <w:szCs w:val="21"/>
          <w:color w:val="010000"/>
        </w:rPr>
      </w:pPr>
    </w:p>
    <w:p>
      <w:pPr>
        <w:jc w:val="both"/>
        <w:ind w:firstLine="1304"/>
        <w:spacing w:after="0" w:line="250" w:lineRule="auto"/>
        <w:tabs>
          <w:tab w:leader="none" w:pos="1809" w:val="left"/>
        </w:tabs>
        <w:numPr>
          <w:ilvl w:val="0"/>
          <w:numId w:val="135"/>
        </w:numPr>
        <w:rPr>
          <w:rFonts w:ascii="Arial" w:cs="Arial" w:eastAsia="Arial" w:hAnsi="Arial"/>
          <w:sz w:val="22"/>
          <w:szCs w:val="22"/>
          <w:color w:val="010000"/>
        </w:rPr>
      </w:pPr>
      <w:r>
        <w:rPr>
          <w:rFonts w:ascii="Arial" w:cs="Arial" w:eastAsia="Arial" w:hAnsi="Arial"/>
          <w:sz w:val="22"/>
          <w:szCs w:val="22"/>
          <w:color w:val="auto"/>
        </w:rPr>
        <w:t>In lieu of a redemption of the Class A-1 Preferred Shares and Class D Common Shares by the Company pursuant to this Section 9.13, the GM Investor will have the right to have such Class A-1 Preferred Shares and Class D Common Shares transferred to the GM Investor (or its Affiliates) and, if a Cash Election has been made, to have the GM Investor (or its Affiliates) make the applicable cash payments.</w:t>
      </w:r>
    </w:p>
    <w:p>
      <w:pPr>
        <w:spacing w:after="0" w:line="187" w:lineRule="exact"/>
        <w:rPr>
          <w:rFonts w:ascii="Arial" w:cs="Arial" w:eastAsia="Arial" w:hAnsi="Arial"/>
          <w:sz w:val="22"/>
          <w:szCs w:val="22"/>
          <w:color w:val="010000"/>
        </w:rPr>
      </w:pPr>
    </w:p>
    <w:p>
      <w:pPr>
        <w:jc w:val="both"/>
        <w:ind w:firstLine="1304"/>
        <w:spacing w:after="0" w:line="302" w:lineRule="auto"/>
        <w:tabs>
          <w:tab w:leader="none" w:pos="1858" w:val="left"/>
        </w:tabs>
        <w:numPr>
          <w:ilvl w:val="0"/>
          <w:numId w:val="135"/>
        </w:numPr>
        <w:rPr>
          <w:rFonts w:ascii="Arial" w:cs="Arial" w:eastAsia="Arial" w:hAnsi="Arial"/>
          <w:sz w:val="19"/>
          <w:szCs w:val="19"/>
          <w:color w:val="010000"/>
        </w:rPr>
      </w:pPr>
      <w:r>
        <w:rPr>
          <w:rFonts w:ascii="Arial" w:cs="Arial" w:eastAsia="Arial" w:hAnsi="Arial"/>
          <w:sz w:val="19"/>
          <w:szCs w:val="19"/>
          <w:color w:val="auto"/>
        </w:rPr>
        <w:t>If an Optional SoftBank Conversion Notice has been delivered and an IPO or a Sale of the Company is pending, but has not yet been consummated, SoftBank will, and will cause its Affiliates to, reasonably cooperate with the Company and each other Member to ensure that the IPO or Sale of the Company, as applicable, is carried out in an expeditious manner and minimizing the effect (economically or otherwise) on such IPO or Sale of the Company of this Section 9.13.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9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DISSOLUTION</w:t>
      </w:r>
    </w:p>
    <w:p>
      <w:pPr>
        <w:spacing w:after="0" w:line="196" w:lineRule="exact"/>
        <w:rPr>
          <w:sz w:val="20"/>
          <w:szCs w:val="20"/>
          <w:color w:val="auto"/>
        </w:rPr>
      </w:pPr>
    </w:p>
    <w:p>
      <w:pPr>
        <w:ind w:right="20" w:firstLine="648"/>
        <w:spacing w:after="0" w:line="269" w:lineRule="auto"/>
        <w:rPr>
          <w:sz w:val="20"/>
          <w:szCs w:val="20"/>
          <w:color w:val="auto"/>
        </w:rPr>
      </w:pPr>
      <w:r>
        <w:rPr>
          <w:rFonts w:ascii="Arial" w:cs="Arial" w:eastAsia="Arial" w:hAnsi="Arial"/>
          <w:sz w:val="22"/>
          <w:szCs w:val="22"/>
          <w:b w:val="1"/>
          <w:bCs w:val="1"/>
          <w:color w:val="auto"/>
        </w:rPr>
        <w:t xml:space="preserve">10.01 </w:t>
      </w:r>
      <w:r>
        <w:rPr>
          <w:rFonts w:ascii="Arial" w:cs="Arial" w:eastAsia="Arial" w:hAnsi="Arial"/>
          <w:sz w:val="22"/>
          <w:szCs w:val="22"/>
          <w:b w:val="1"/>
          <w:bCs w:val="1"/>
          <w:u w:val="single" w:color="auto"/>
          <w:color w:val="auto"/>
        </w:rPr>
        <w:t>Events of Dissolution</w:t>
      </w:r>
      <w:r>
        <w:rPr>
          <w:rFonts w:ascii="Arial" w:cs="Arial" w:eastAsia="Arial" w:hAnsi="Arial"/>
          <w:sz w:val="22"/>
          <w:szCs w:val="22"/>
          <w:color w:val="auto"/>
        </w:rPr>
        <w:t>. The Company shall be dissolved upon the occurrence of any of the following events and</w:t>
      </w:r>
      <w:r>
        <w:rPr>
          <w:rFonts w:ascii="Arial" w:cs="Arial" w:eastAsia="Arial" w:hAnsi="Arial"/>
          <w:sz w:val="22"/>
          <w:szCs w:val="22"/>
          <w:b w:val="1"/>
          <w:bCs w:val="1"/>
          <w:color w:val="auto"/>
        </w:rPr>
        <w:t xml:space="preserve"> </w:t>
      </w:r>
      <w:r>
        <w:rPr>
          <w:rFonts w:ascii="Arial" w:cs="Arial" w:eastAsia="Arial" w:hAnsi="Arial"/>
          <w:sz w:val="22"/>
          <w:szCs w:val="22"/>
          <w:color w:val="auto"/>
        </w:rPr>
        <w:t>its business and affairs shall thereafter be liquidated and wound up pursuant to the Act:</w:t>
      </w:r>
    </w:p>
    <w:p>
      <w:pPr>
        <w:spacing w:after="0" w:line="168" w:lineRule="exact"/>
        <w:rPr>
          <w:sz w:val="20"/>
          <w:szCs w:val="20"/>
          <w:color w:val="auto"/>
        </w:rPr>
      </w:pPr>
    </w:p>
    <w:p>
      <w:pPr>
        <w:ind w:left="1760" w:hanging="456"/>
        <w:spacing w:after="0"/>
        <w:tabs>
          <w:tab w:leader="none" w:pos="1760" w:val="left"/>
        </w:tabs>
        <w:numPr>
          <w:ilvl w:val="0"/>
          <w:numId w:val="136"/>
        </w:numPr>
        <w:rPr>
          <w:rFonts w:ascii="Arial" w:cs="Arial" w:eastAsia="Arial" w:hAnsi="Arial"/>
          <w:sz w:val="22"/>
          <w:szCs w:val="22"/>
          <w:color w:val="010000"/>
        </w:rPr>
      </w:pPr>
      <w:r>
        <w:rPr>
          <w:rFonts w:ascii="Arial" w:cs="Arial" w:eastAsia="Arial" w:hAnsi="Arial"/>
          <w:sz w:val="22"/>
          <w:szCs w:val="22"/>
          <w:color w:val="auto"/>
        </w:rPr>
        <w:t>upon the approval of the Board of Directors or a Majority of the Members;</w:t>
      </w:r>
    </w:p>
    <w:p>
      <w:pPr>
        <w:spacing w:after="0" w:line="219" w:lineRule="exact"/>
        <w:rPr>
          <w:rFonts w:ascii="Arial" w:cs="Arial" w:eastAsia="Arial" w:hAnsi="Arial"/>
          <w:sz w:val="22"/>
          <w:szCs w:val="22"/>
          <w:color w:val="010000"/>
        </w:rPr>
      </w:pPr>
    </w:p>
    <w:p>
      <w:pPr>
        <w:ind w:left="1780" w:hanging="476"/>
        <w:spacing w:after="0"/>
        <w:tabs>
          <w:tab w:leader="none" w:pos="1780" w:val="left"/>
        </w:tabs>
        <w:numPr>
          <w:ilvl w:val="0"/>
          <w:numId w:val="136"/>
        </w:numPr>
        <w:rPr>
          <w:rFonts w:ascii="Arial" w:cs="Arial" w:eastAsia="Arial" w:hAnsi="Arial"/>
          <w:sz w:val="22"/>
          <w:szCs w:val="22"/>
          <w:color w:val="010000"/>
        </w:rPr>
      </w:pPr>
      <w:r>
        <w:rPr>
          <w:rFonts w:ascii="Arial" w:cs="Arial" w:eastAsia="Arial" w:hAnsi="Arial"/>
          <w:sz w:val="22"/>
          <w:szCs w:val="22"/>
          <w:color w:val="auto"/>
        </w:rPr>
        <w:t>upon the issuance of a final and nonappealable judicial decree of dissolution; or</w:t>
      </w:r>
    </w:p>
    <w:p>
      <w:pPr>
        <w:spacing w:after="0" w:line="219" w:lineRule="exact"/>
        <w:rPr>
          <w:rFonts w:ascii="Arial" w:cs="Arial" w:eastAsia="Arial" w:hAnsi="Arial"/>
          <w:sz w:val="22"/>
          <w:szCs w:val="22"/>
          <w:color w:val="010000"/>
        </w:rPr>
      </w:pPr>
    </w:p>
    <w:p>
      <w:pPr>
        <w:ind w:firstLine="1304"/>
        <w:spacing w:after="0" w:line="263" w:lineRule="auto"/>
        <w:tabs>
          <w:tab w:leader="none" w:pos="1846" w:val="left"/>
        </w:tabs>
        <w:numPr>
          <w:ilvl w:val="0"/>
          <w:numId w:val="136"/>
        </w:numPr>
        <w:rPr>
          <w:rFonts w:ascii="Arial" w:cs="Arial" w:eastAsia="Arial" w:hAnsi="Arial"/>
          <w:sz w:val="22"/>
          <w:szCs w:val="22"/>
          <w:color w:val="010000"/>
        </w:rPr>
      </w:pPr>
      <w:r>
        <w:rPr>
          <w:rFonts w:ascii="Arial" w:cs="Arial" w:eastAsia="Arial" w:hAnsi="Arial"/>
          <w:sz w:val="22"/>
          <w:szCs w:val="22"/>
          <w:color w:val="auto"/>
        </w:rPr>
        <w:t>as otherwise required by the Act, except that the death, retirement, resignation, expulsion, bankruptcy or dissolution of a Member shall not result in dissolution of the Company.</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10.02 </w:t>
      </w:r>
      <w:r>
        <w:rPr>
          <w:rFonts w:ascii="Arial" w:cs="Arial" w:eastAsia="Arial" w:hAnsi="Arial"/>
          <w:sz w:val="21"/>
          <w:szCs w:val="21"/>
          <w:b w:val="1"/>
          <w:bCs w:val="1"/>
          <w:u w:val="single" w:color="auto"/>
          <w:color w:val="auto"/>
        </w:rPr>
        <w:t>Liquidation and Termination</w:t>
      </w:r>
      <w:r>
        <w:rPr>
          <w:rFonts w:ascii="Arial" w:cs="Arial" w:eastAsia="Arial" w:hAnsi="Arial"/>
          <w:sz w:val="21"/>
          <w:szCs w:val="21"/>
          <w:color w:val="auto"/>
        </w:rPr>
        <w:t>. On dissolution of the Company, the Board of Directors shall act as the liquidator</w:t>
      </w:r>
      <w:r>
        <w:rPr>
          <w:rFonts w:ascii="Arial" w:cs="Arial" w:eastAsia="Arial" w:hAnsi="Arial"/>
          <w:sz w:val="21"/>
          <w:szCs w:val="21"/>
          <w:b w:val="1"/>
          <w:bCs w:val="1"/>
          <w:color w:val="auto"/>
        </w:rPr>
        <w:t xml:space="preserve"> </w:t>
      </w:r>
      <w:r>
        <w:rPr>
          <w:rFonts w:ascii="Arial" w:cs="Arial" w:eastAsia="Arial" w:hAnsi="Arial"/>
          <w:sz w:val="21"/>
          <w:szCs w:val="21"/>
          <w:color w:val="auto"/>
        </w:rPr>
        <w:t>or may appoint one or more Members as liquidator. The liquidator shall proceed diligently to wind up the affairs of the Company and make final distributions as provided herein and in the Act. The costs of liquidation shall be borne as a Company expense. Until final distribution, the liquidator shall continue to operate the Company properties with all of the power and authority of the Board of Directors. The steps to be accomplished by the liquidator are as follows:</w:t>
      </w:r>
    </w:p>
    <w:p>
      <w:pPr>
        <w:spacing w:after="0" w:line="176" w:lineRule="exact"/>
        <w:rPr>
          <w:sz w:val="20"/>
          <w:szCs w:val="20"/>
          <w:color w:val="auto"/>
        </w:rPr>
      </w:pPr>
    </w:p>
    <w:p>
      <w:pPr>
        <w:jc w:val="both"/>
        <w:ind w:firstLine="1304"/>
        <w:spacing w:after="0" w:line="312" w:lineRule="auto"/>
        <w:tabs>
          <w:tab w:leader="none" w:pos="1779" w:val="left"/>
        </w:tabs>
        <w:numPr>
          <w:ilvl w:val="0"/>
          <w:numId w:val="137"/>
        </w:numPr>
        <w:rPr>
          <w:rFonts w:ascii="Arial" w:cs="Arial" w:eastAsia="Arial" w:hAnsi="Arial"/>
          <w:sz w:val="19"/>
          <w:szCs w:val="19"/>
          <w:color w:val="010000"/>
        </w:rPr>
      </w:pPr>
      <w:r>
        <w:rPr>
          <w:rFonts w:ascii="Arial" w:cs="Arial" w:eastAsia="Arial" w:hAnsi="Arial"/>
          <w:sz w:val="19"/>
          <w:szCs w:val="19"/>
          <w:color w:val="auto"/>
        </w:rPr>
        <w:t>as promptly as possible after dissolution and again after final liquidation, the liquidator shall cause a proper accounting to be made by a recognized firm of certified public accountants of the Company’s assets, liabilities and operations through the last day of the calendar month in which the dissolution occurs or the final liquidation is completed, as applicable;</w:t>
      </w:r>
    </w:p>
    <w:p>
      <w:pPr>
        <w:spacing w:after="0" w:line="133" w:lineRule="exact"/>
        <w:rPr>
          <w:rFonts w:ascii="Arial" w:cs="Arial" w:eastAsia="Arial" w:hAnsi="Arial"/>
          <w:sz w:val="19"/>
          <w:szCs w:val="19"/>
          <w:color w:val="010000"/>
        </w:rPr>
      </w:pPr>
    </w:p>
    <w:p>
      <w:pPr>
        <w:ind w:firstLine="1304"/>
        <w:spacing w:after="0" w:line="263" w:lineRule="auto"/>
        <w:tabs>
          <w:tab w:leader="none" w:pos="1764" w:val="left"/>
        </w:tabs>
        <w:numPr>
          <w:ilvl w:val="0"/>
          <w:numId w:val="137"/>
        </w:numPr>
        <w:rPr>
          <w:rFonts w:ascii="Arial" w:cs="Arial" w:eastAsia="Arial" w:hAnsi="Arial"/>
          <w:sz w:val="22"/>
          <w:szCs w:val="22"/>
          <w:color w:val="010000"/>
        </w:rPr>
      </w:pPr>
      <w:r>
        <w:rPr>
          <w:rFonts w:ascii="Arial" w:cs="Arial" w:eastAsia="Arial" w:hAnsi="Arial"/>
          <w:sz w:val="22"/>
          <w:szCs w:val="22"/>
          <w:color w:val="auto"/>
        </w:rPr>
        <w:t>the liquidator shall cause the notice described in the Act to be mailed to each known creditor of and claimant against the Company in the manner described thereunder;</w:t>
      </w:r>
    </w:p>
    <w:p>
      <w:pPr>
        <w:spacing w:after="0" w:line="174" w:lineRule="exact"/>
        <w:rPr>
          <w:rFonts w:ascii="Arial" w:cs="Arial" w:eastAsia="Arial" w:hAnsi="Arial"/>
          <w:sz w:val="22"/>
          <w:szCs w:val="22"/>
          <w:color w:val="010000"/>
        </w:rPr>
      </w:pPr>
    </w:p>
    <w:p>
      <w:pPr>
        <w:jc w:val="both"/>
        <w:ind w:firstLine="1304"/>
        <w:spacing w:after="0" w:line="253" w:lineRule="auto"/>
        <w:tabs>
          <w:tab w:leader="none" w:pos="1779" w:val="left"/>
        </w:tabs>
        <w:numPr>
          <w:ilvl w:val="0"/>
          <w:numId w:val="137"/>
        </w:numPr>
        <w:rPr>
          <w:rFonts w:ascii="Arial" w:cs="Arial" w:eastAsia="Arial" w:hAnsi="Arial"/>
          <w:sz w:val="22"/>
          <w:szCs w:val="22"/>
          <w:color w:val="010000"/>
        </w:rPr>
      </w:pPr>
      <w:r>
        <w:rPr>
          <w:rFonts w:ascii="Arial" w:cs="Arial" w:eastAsia="Arial" w:hAnsi="Arial"/>
          <w:sz w:val="22"/>
          <w:szCs w:val="22"/>
          <w:color w:val="auto"/>
        </w:rPr>
        <w:t>the liquidator shall pay, satisfy or discharge from Company funds all of the debts, liabilities and obligations of the Company (including all expenses incurred in liquidation) or otherwise make adequate provision for payment and discharge thereof;</w:t>
      </w:r>
    </w:p>
    <w:p>
      <w:pPr>
        <w:spacing w:after="0" w:line="185" w:lineRule="exact"/>
        <w:rPr>
          <w:rFonts w:ascii="Arial" w:cs="Arial" w:eastAsia="Arial" w:hAnsi="Arial"/>
          <w:sz w:val="22"/>
          <w:szCs w:val="22"/>
          <w:color w:val="010000"/>
        </w:rPr>
      </w:pPr>
    </w:p>
    <w:p>
      <w:pPr>
        <w:ind w:right="20" w:firstLine="1304"/>
        <w:spacing w:after="0" w:line="263" w:lineRule="auto"/>
        <w:tabs>
          <w:tab w:leader="none" w:pos="1845" w:val="left"/>
        </w:tabs>
        <w:numPr>
          <w:ilvl w:val="0"/>
          <w:numId w:val="137"/>
        </w:numPr>
        <w:rPr>
          <w:rFonts w:ascii="Arial" w:cs="Arial" w:eastAsia="Arial" w:hAnsi="Arial"/>
          <w:sz w:val="22"/>
          <w:szCs w:val="22"/>
          <w:color w:val="010000"/>
        </w:rPr>
      </w:pPr>
      <w:r>
        <w:rPr>
          <w:rFonts w:ascii="Arial" w:cs="Arial" w:eastAsia="Arial" w:hAnsi="Arial"/>
          <w:sz w:val="22"/>
          <w:szCs w:val="22"/>
          <w:color w:val="auto"/>
        </w:rPr>
        <w:t>the liquidator shall make reasonable provision to pay all contingent, conditional or unmatured contractual claims known to the Company;</w:t>
      </w:r>
    </w:p>
    <w:p>
      <w:pPr>
        <w:spacing w:after="0" w:line="174" w:lineRule="exact"/>
        <w:rPr>
          <w:rFonts w:ascii="Arial" w:cs="Arial" w:eastAsia="Arial" w:hAnsi="Arial"/>
          <w:sz w:val="22"/>
          <w:szCs w:val="22"/>
          <w:color w:val="010000"/>
        </w:rPr>
      </w:pPr>
    </w:p>
    <w:p>
      <w:pPr>
        <w:ind w:right="20" w:firstLine="1304"/>
        <w:spacing w:after="0" w:line="343" w:lineRule="auto"/>
        <w:tabs>
          <w:tab w:leader="none" w:pos="1752" w:val="left"/>
        </w:tabs>
        <w:numPr>
          <w:ilvl w:val="0"/>
          <w:numId w:val="137"/>
        </w:numPr>
        <w:rPr>
          <w:rFonts w:ascii="Arial" w:cs="Arial" w:eastAsia="Arial" w:hAnsi="Arial"/>
          <w:sz w:val="19"/>
          <w:szCs w:val="19"/>
          <w:color w:val="010000"/>
        </w:rPr>
      </w:pPr>
      <w:r>
        <w:rPr>
          <w:rFonts w:ascii="Arial" w:cs="Arial" w:eastAsia="Arial" w:hAnsi="Arial"/>
          <w:sz w:val="19"/>
          <w:szCs w:val="19"/>
          <w:color w:val="auto"/>
        </w:rPr>
        <w:t>the liquidator shall make such provision as will be reasonably likely to be sufficient to provide compensation for any claim against the Company which is the subject of a pending action, suit or proceeding to which the Company is a party;</w:t>
      </w:r>
    </w:p>
    <w:p>
      <w:pPr>
        <w:spacing w:after="0" w:line="104" w:lineRule="exact"/>
        <w:rPr>
          <w:rFonts w:ascii="Arial" w:cs="Arial" w:eastAsia="Arial" w:hAnsi="Arial"/>
          <w:sz w:val="19"/>
          <w:szCs w:val="19"/>
          <w:color w:val="010000"/>
        </w:rPr>
      </w:pPr>
    </w:p>
    <w:p>
      <w:pPr>
        <w:ind w:right="20" w:firstLine="1304"/>
        <w:spacing w:after="0" w:line="263" w:lineRule="auto"/>
        <w:tabs>
          <w:tab w:leader="none" w:pos="1755" w:val="left"/>
        </w:tabs>
        <w:numPr>
          <w:ilvl w:val="0"/>
          <w:numId w:val="137"/>
        </w:numPr>
        <w:rPr>
          <w:rFonts w:ascii="Arial" w:cs="Arial" w:eastAsia="Arial" w:hAnsi="Arial"/>
          <w:sz w:val="22"/>
          <w:szCs w:val="22"/>
          <w:color w:val="010000"/>
        </w:rPr>
      </w:pPr>
      <w:r>
        <w:rPr>
          <w:rFonts w:ascii="Arial" w:cs="Arial" w:eastAsia="Arial" w:hAnsi="Arial"/>
          <w:sz w:val="22"/>
          <w:szCs w:val="22"/>
          <w:color w:val="auto"/>
        </w:rPr>
        <w:t>the liquidator shall make such provision as will be reasonably likely to be sufficient for claims that have not been made known to the Company or that have not arisen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that, based on facts known to the Company, are likely to arise or to become known to the Company after the date of dissolution;</w:t>
      </w:r>
    </w:p>
    <w:p>
      <w:pPr>
        <w:spacing w:after="0" w:line="254" w:lineRule="exact"/>
        <w:rPr>
          <w:sz w:val="20"/>
          <w:szCs w:val="20"/>
          <w:color w:val="auto"/>
        </w:rPr>
      </w:pPr>
    </w:p>
    <w:p>
      <w:pPr>
        <w:jc w:val="both"/>
        <w:ind w:firstLine="1304"/>
        <w:spacing w:after="0" w:line="253" w:lineRule="auto"/>
        <w:tabs>
          <w:tab w:leader="none" w:pos="1872" w:val="left"/>
        </w:tabs>
        <w:numPr>
          <w:ilvl w:val="0"/>
          <w:numId w:val="138"/>
        </w:numPr>
        <w:rPr>
          <w:rFonts w:ascii="Arial" w:cs="Arial" w:eastAsia="Arial" w:hAnsi="Arial"/>
          <w:sz w:val="22"/>
          <w:szCs w:val="22"/>
          <w:color w:val="010000"/>
        </w:rPr>
      </w:pPr>
      <w:r>
        <w:rPr>
          <w:rFonts w:ascii="Arial" w:cs="Arial" w:eastAsia="Arial" w:hAnsi="Arial"/>
          <w:sz w:val="22"/>
          <w:szCs w:val="22"/>
          <w:color w:val="auto"/>
        </w:rPr>
        <w:t>the liquidator shall distribute all remaining assets of the Company by the end of the taxable year of the Company during which the liquidation of the Company occurs (or, if later, 90 days after the date of the liquidation) in accordance with Section 3.02 (but subject to the other applicable provisions in this Agreement); and</w:t>
      </w:r>
    </w:p>
    <w:p>
      <w:pPr>
        <w:spacing w:after="0" w:line="185" w:lineRule="exact"/>
        <w:rPr>
          <w:rFonts w:ascii="Arial" w:cs="Arial" w:eastAsia="Arial" w:hAnsi="Arial"/>
          <w:sz w:val="22"/>
          <w:szCs w:val="22"/>
          <w:color w:val="010000"/>
        </w:rPr>
      </w:pPr>
    </w:p>
    <w:p>
      <w:pPr>
        <w:jc w:val="both"/>
        <w:ind w:firstLine="1304"/>
        <w:spacing w:after="0" w:line="292" w:lineRule="auto"/>
        <w:tabs>
          <w:tab w:leader="none" w:pos="1831" w:val="left"/>
        </w:tabs>
        <w:numPr>
          <w:ilvl w:val="0"/>
          <w:numId w:val="138"/>
        </w:numPr>
        <w:rPr>
          <w:rFonts w:ascii="Arial" w:cs="Arial" w:eastAsia="Arial" w:hAnsi="Arial"/>
          <w:sz w:val="19"/>
          <w:szCs w:val="19"/>
          <w:color w:val="010000"/>
        </w:rPr>
      </w:pPr>
      <w:r>
        <w:rPr>
          <w:rFonts w:ascii="Arial" w:cs="Arial" w:eastAsia="Arial" w:hAnsi="Arial"/>
          <w:sz w:val="19"/>
          <w:szCs w:val="19"/>
          <w:color w:val="auto"/>
        </w:rPr>
        <w:t>all distributions in kind to the Members shall be made subject to the liability of each distributee for costs, expenses and liabilities theretofore incurred or for which the Company has committed prior to the date of termination, and those costs, expenses and liabilities shall be allocated to the distributees pursuant to this Section 10.02. The distribution of cash and/or property to a Member in accordance with the provisions of this Section 10.02 constitutes a complete return to the Member of its Capital Contributions and a complete distribution to the Member of its interest in the Company and all of the Company’s property and constitutes a compromise to which all Members have consented within the meaning of the Act. To the extent that a Member returns funds to the Company, it has no claim against any other Member for those funds.</w:t>
      </w:r>
    </w:p>
    <w:p>
      <w:pPr>
        <w:spacing w:after="0" w:line="14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10.03 </w:t>
      </w:r>
      <w:r>
        <w:rPr>
          <w:rFonts w:ascii="Arial" w:cs="Arial" w:eastAsia="Arial" w:hAnsi="Arial"/>
          <w:sz w:val="22"/>
          <w:szCs w:val="22"/>
          <w:b w:val="1"/>
          <w:bCs w:val="1"/>
          <w:u w:val="single" w:color="auto"/>
          <w:color w:val="auto"/>
        </w:rPr>
        <w:t>Cancellation of Certificate</w:t>
      </w:r>
      <w:r>
        <w:rPr>
          <w:rFonts w:ascii="Arial" w:cs="Arial" w:eastAsia="Arial" w:hAnsi="Arial"/>
          <w:sz w:val="22"/>
          <w:szCs w:val="22"/>
          <w:color w:val="auto"/>
        </w:rPr>
        <w:t>. On completion of the distribution of Company assets as provided herein,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shall be terminated, and the Board of Directors (or such other Person or Persons as the Act may require or permit) shall file a certificate of cancellation with the Secretary of State of Delaware, and take such other actions as may be necessary to terminate the Company.</w:t>
      </w:r>
    </w:p>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EXCLUSIVITY; NON-COMPETE</w:t>
      </w:r>
    </w:p>
    <w:p>
      <w:pPr>
        <w:spacing w:after="0" w:line="196"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11.01 </w:t>
      </w:r>
      <w:r>
        <w:rPr>
          <w:rFonts w:ascii="Arial" w:cs="Arial" w:eastAsia="Arial" w:hAnsi="Arial"/>
          <w:sz w:val="19"/>
          <w:szCs w:val="19"/>
          <w:b w:val="1"/>
          <w:bCs w:val="1"/>
          <w:u w:val="single" w:color="auto"/>
          <w:color w:val="auto"/>
        </w:rPr>
        <w:t>Exclusivity</w:t>
      </w:r>
      <w:r>
        <w:rPr>
          <w:rFonts w:ascii="Arial" w:cs="Arial" w:eastAsia="Arial" w:hAnsi="Arial"/>
          <w:sz w:val="19"/>
          <w:szCs w:val="19"/>
          <w:color w:val="auto"/>
        </w:rPr>
        <w:t>. During the Control Period, other than pursuant to the Commercial Agreements (or any other</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entered into between GM or its Affiliates, on the one hand, and the Company or its Subsidiaries, on the other hand, in each case in accordance with the terms of this Agreement) and activities in furtherance of their obligations thereunder:</w:t>
      </w:r>
    </w:p>
    <w:p>
      <w:pPr>
        <w:spacing w:after="0" w:line="131" w:lineRule="exact"/>
        <w:rPr>
          <w:sz w:val="20"/>
          <w:szCs w:val="20"/>
          <w:color w:val="auto"/>
        </w:rPr>
      </w:pPr>
    </w:p>
    <w:p>
      <w:pPr>
        <w:jc w:val="both"/>
        <w:ind w:firstLine="1304"/>
        <w:spacing w:after="0" w:line="248" w:lineRule="auto"/>
        <w:tabs>
          <w:tab w:leader="none" w:pos="1846" w:val="left"/>
        </w:tabs>
        <w:numPr>
          <w:ilvl w:val="0"/>
          <w:numId w:val="139"/>
        </w:numPr>
        <w:rPr>
          <w:rFonts w:ascii="Arial" w:cs="Arial" w:eastAsia="Arial" w:hAnsi="Arial"/>
          <w:sz w:val="22"/>
          <w:szCs w:val="22"/>
          <w:color w:val="010000"/>
        </w:rPr>
      </w:pPr>
      <w:r>
        <w:rPr>
          <w:rFonts w:ascii="Arial" w:cs="Arial" w:eastAsia="Arial" w:hAnsi="Arial"/>
          <w:sz w:val="22"/>
          <w:szCs w:val="22"/>
          <w:color w:val="auto"/>
        </w:rPr>
        <w:t>the GM Investor and its Subsidiaries (excluding the following international joint ventures: SAIC General Motors Corp., Ltd. (“</w:t>
      </w:r>
      <w:r>
        <w:rPr>
          <w:rFonts w:ascii="Arial" w:cs="Arial" w:eastAsia="Arial" w:hAnsi="Arial"/>
          <w:sz w:val="22"/>
          <w:szCs w:val="22"/>
          <w:b w:val="1"/>
          <w:bCs w:val="1"/>
          <w:color w:val="auto"/>
        </w:rPr>
        <w:t>SGM</w:t>
      </w:r>
      <w:r>
        <w:rPr>
          <w:rFonts w:ascii="Arial" w:cs="Arial" w:eastAsia="Arial" w:hAnsi="Arial"/>
          <w:sz w:val="22"/>
          <w:szCs w:val="22"/>
          <w:color w:val="auto"/>
        </w:rPr>
        <w:t>”), Pan Asia Technical Automotive Center Co. Ltd. (“</w:t>
      </w:r>
      <w:r>
        <w:rPr>
          <w:rFonts w:ascii="Arial" w:cs="Arial" w:eastAsia="Arial" w:hAnsi="Arial"/>
          <w:sz w:val="22"/>
          <w:szCs w:val="22"/>
          <w:b w:val="1"/>
          <w:bCs w:val="1"/>
          <w:color w:val="auto"/>
        </w:rPr>
        <w:t>PATAC</w:t>
      </w:r>
      <w:r>
        <w:rPr>
          <w:rFonts w:ascii="Arial" w:cs="Arial" w:eastAsia="Arial" w:hAnsi="Arial"/>
          <w:sz w:val="22"/>
          <w:szCs w:val="22"/>
          <w:color w:val="auto"/>
        </w:rPr>
        <w:t>”), and FAW-GM Light Duty Commercial Vehicle Co., Ltd. (“</w:t>
      </w:r>
      <w:r>
        <w:rPr>
          <w:rFonts w:ascii="Arial" w:cs="Arial" w:eastAsia="Arial" w:hAnsi="Arial"/>
          <w:sz w:val="22"/>
          <w:szCs w:val="22"/>
          <w:b w:val="1"/>
          <w:bCs w:val="1"/>
          <w:color w:val="auto"/>
        </w:rPr>
        <w:t>FAW-GM</w:t>
      </w:r>
      <w:r>
        <w:rPr>
          <w:rFonts w:ascii="Arial" w:cs="Arial" w:eastAsia="Arial" w:hAnsi="Arial"/>
          <w:sz w:val="22"/>
          <w:szCs w:val="22"/>
          <w:color w:val="auto"/>
        </w:rPr>
        <w:t>”)) shall conduct the AVCo Business exclusively through the Company. Notwithstanding the foregoing, nothing in this Section 11.01 will prohibit or otherwise restrict the GM Investor or its Subsidiaries from engaging in the GM Business in any manner whatsoever;</w:t>
      </w:r>
    </w:p>
    <w:p>
      <w:pPr>
        <w:spacing w:after="0" w:line="191" w:lineRule="exact"/>
        <w:rPr>
          <w:rFonts w:ascii="Arial" w:cs="Arial" w:eastAsia="Arial" w:hAnsi="Arial"/>
          <w:sz w:val="22"/>
          <w:szCs w:val="22"/>
          <w:color w:val="010000"/>
        </w:rPr>
      </w:pPr>
    </w:p>
    <w:p>
      <w:pPr>
        <w:jc w:val="both"/>
        <w:ind w:firstLine="1304"/>
        <w:spacing w:after="0" w:line="253" w:lineRule="auto"/>
        <w:tabs>
          <w:tab w:leader="none" w:pos="1777" w:val="left"/>
        </w:tabs>
        <w:numPr>
          <w:ilvl w:val="0"/>
          <w:numId w:val="139"/>
        </w:numPr>
        <w:rPr>
          <w:rFonts w:ascii="Arial" w:cs="Arial" w:eastAsia="Arial" w:hAnsi="Arial"/>
          <w:sz w:val="22"/>
          <w:szCs w:val="22"/>
          <w:color w:val="010000"/>
        </w:rPr>
      </w:pPr>
      <w:r>
        <w:rPr>
          <w:rFonts w:ascii="Arial" w:cs="Arial" w:eastAsia="Arial" w:hAnsi="Arial"/>
          <w:sz w:val="22"/>
          <w:szCs w:val="22"/>
          <w:color w:val="auto"/>
        </w:rPr>
        <w:t>without the prior written consent of the GM Investor, the Company and its Subsidiaries shall not, directly or indirectly, engage in the GM Business; provided, that nothing in this Section 11.01(b) will prevent the Company and its Subsidiaries from engaging in the AVCo Business in any manner whatsoever;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204" w:lineRule="exact"/>
        <w:rPr>
          <w:sz w:val="20"/>
          <w:szCs w:val="20"/>
          <w:color w:val="auto"/>
        </w:rPr>
      </w:pPr>
    </w:p>
    <w:p>
      <w:pPr>
        <w:jc w:val="both"/>
        <w:ind w:firstLine="1304"/>
        <w:spacing w:after="0" w:line="250" w:lineRule="auto"/>
        <w:tabs>
          <w:tab w:leader="none" w:pos="1806" w:val="left"/>
        </w:tabs>
        <w:numPr>
          <w:ilvl w:val="0"/>
          <w:numId w:val="140"/>
        </w:numPr>
        <w:rPr>
          <w:rFonts w:ascii="Arial" w:cs="Arial" w:eastAsia="Arial" w:hAnsi="Arial"/>
          <w:sz w:val="22"/>
          <w:szCs w:val="22"/>
          <w:color w:val="010000"/>
        </w:rPr>
      </w:pPr>
      <w:r>
        <w:rPr>
          <w:rFonts w:ascii="Arial" w:cs="Arial" w:eastAsia="Arial" w:hAnsi="Arial"/>
          <w:sz w:val="22"/>
          <w:szCs w:val="22"/>
          <w:color w:val="auto"/>
        </w:rPr>
        <w:t>the Company and its Subsidiaries shall exclusively (i) obtain, purchase, source, license, lease, or otherwise acquire assets, services or rights that are of the type contemplated by the Commercial Agreements, the IPMA, the EDSA or the AGSA (including autonomous vehicles and other related products and services) from the GM Investor and its Affiliates, and (ii) provide AV technology and network services to GM and its Affiliates.</w:t>
      </w:r>
    </w:p>
    <w:p>
      <w:pPr>
        <w:spacing w:after="0" w:line="18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11.02</w:t>
      </w:r>
      <w:r>
        <w:rPr>
          <w:sz w:val="20"/>
          <w:szCs w:val="20"/>
          <w:color w:val="auto"/>
        </w:rPr>
        <w:tab/>
      </w:r>
      <w:r>
        <w:rPr>
          <w:rFonts w:ascii="Arial" w:cs="Arial" w:eastAsia="Arial" w:hAnsi="Arial"/>
          <w:sz w:val="19"/>
          <w:szCs w:val="19"/>
          <w:b w:val="1"/>
          <w:bCs w:val="1"/>
          <w:u w:val="single" w:color="auto"/>
          <w:color w:val="auto"/>
        </w:rPr>
        <w:t>Non-Compete</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90" w:lineRule="auto"/>
        <w:tabs>
          <w:tab w:leader="none" w:pos="1806" w:val="left"/>
        </w:tabs>
        <w:numPr>
          <w:ilvl w:val="0"/>
          <w:numId w:val="141"/>
        </w:numPr>
        <w:rPr>
          <w:rFonts w:ascii="Arial" w:cs="Arial" w:eastAsia="Arial" w:hAnsi="Arial"/>
          <w:sz w:val="19"/>
          <w:szCs w:val="19"/>
          <w:color w:val="010000"/>
        </w:rPr>
      </w:pPr>
      <w:r>
        <w:rPr>
          <w:rFonts w:ascii="Arial" w:cs="Arial" w:eastAsia="Arial" w:hAnsi="Arial"/>
          <w:sz w:val="19"/>
          <w:szCs w:val="19"/>
          <w:color w:val="auto"/>
        </w:rPr>
        <w:t>During the three (3) year period immediately following the end of the Control Period (the “</w:t>
      </w:r>
      <w:r>
        <w:rPr>
          <w:rFonts w:ascii="Arial" w:cs="Arial" w:eastAsia="Arial" w:hAnsi="Arial"/>
          <w:sz w:val="19"/>
          <w:szCs w:val="19"/>
          <w:b w:val="1"/>
          <w:bCs w:val="1"/>
          <w:color w:val="auto"/>
        </w:rPr>
        <w:t>Non-Compete</w:t>
      </w:r>
      <w:r>
        <w:rPr>
          <w:rFonts w:ascii="Arial" w:cs="Arial" w:eastAsia="Arial" w:hAnsi="Arial"/>
          <w:sz w:val="19"/>
          <w:szCs w:val="19"/>
          <w:color w:val="auto"/>
        </w:rPr>
        <w:t xml:space="preserve"> </w:t>
      </w:r>
      <w:r>
        <w:rPr>
          <w:rFonts w:ascii="Arial" w:cs="Arial" w:eastAsia="Arial" w:hAnsi="Arial"/>
          <w:sz w:val="19"/>
          <w:szCs w:val="19"/>
          <w:b w:val="1"/>
          <w:bCs w:val="1"/>
          <w:color w:val="auto"/>
        </w:rPr>
        <w:t>Period</w:t>
      </w:r>
      <w:r>
        <w:rPr>
          <w:rFonts w:ascii="Arial" w:cs="Arial" w:eastAsia="Arial" w:hAnsi="Arial"/>
          <w:sz w:val="19"/>
          <w:szCs w:val="19"/>
          <w:color w:val="auto"/>
        </w:rPr>
        <w:t>”), other than pursuant to the terms and conditions of any agreement entered into between the Company (or its Affiliates),</w:t>
      </w:r>
      <w:r>
        <w:rPr>
          <w:rFonts w:ascii="Arial" w:cs="Arial" w:eastAsia="Arial" w:hAnsi="Arial"/>
          <w:sz w:val="19"/>
          <w:szCs w:val="19"/>
          <w:b w:val="1"/>
          <w:bCs w:val="1"/>
          <w:color w:val="auto"/>
        </w:rPr>
        <w:t xml:space="preserve"> </w:t>
      </w:r>
      <w:r>
        <w:rPr>
          <w:rFonts w:ascii="Arial" w:cs="Arial" w:eastAsia="Arial" w:hAnsi="Arial"/>
          <w:sz w:val="19"/>
          <w:szCs w:val="19"/>
          <w:color w:val="auto"/>
        </w:rPr>
        <w:t>on the one hand, and the GM Investor (or its Affiliates) on the other hand (in each case in accordance with the terms of this Agreement, as applicable, and to the extent such agreement by its terms remains effective subsequent to the end of the Control Period) and subject to the exceptions set forth in Section 11.02(b), (i) the GM Investor and its Subsidiaries (excluding SGM, PATAC and FAW-GM) shall not, directly or indirectly, and (ii) the Company and its Subsidiaries shall not, directly or indirectly, in each case whether alone or in conjunction with any Person or as a holder of an equity or debt interest of any Person or as a principal, agent or otherwise (and, in each case, without the prior written consent of the Other Party), engage in, carry on, participate in or have any interest in the applicable Restricted Business.</w:t>
      </w:r>
    </w:p>
    <w:p>
      <w:pPr>
        <w:spacing w:after="0" w:line="154" w:lineRule="exact"/>
        <w:rPr>
          <w:rFonts w:ascii="Arial" w:cs="Arial" w:eastAsia="Arial" w:hAnsi="Arial"/>
          <w:sz w:val="19"/>
          <w:szCs w:val="19"/>
          <w:color w:val="010000"/>
        </w:rPr>
      </w:pPr>
    </w:p>
    <w:p>
      <w:pPr>
        <w:ind w:firstLine="1304"/>
        <w:spacing w:after="0" w:line="263" w:lineRule="auto"/>
        <w:tabs>
          <w:tab w:leader="none" w:pos="2142" w:val="left"/>
        </w:tabs>
        <w:numPr>
          <w:ilvl w:val="0"/>
          <w:numId w:val="141"/>
        </w:numPr>
        <w:rPr>
          <w:rFonts w:ascii="Arial" w:cs="Arial" w:eastAsia="Arial" w:hAnsi="Arial"/>
          <w:sz w:val="22"/>
          <w:szCs w:val="22"/>
          <w:color w:val="010000"/>
        </w:rPr>
      </w:pPr>
      <w:r>
        <w:rPr>
          <w:rFonts w:ascii="Arial" w:cs="Arial" w:eastAsia="Arial" w:hAnsi="Arial"/>
          <w:sz w:val="22"/>
          <w:szCs w:val="22"/>
          <w:color w:val="auto"/>
        </w:rPr>
        <w:t>Notwithstanding anything herein to the contrary, during the Non-Compete Period, nothing in Section 11.02(a) shall restrict:</w:t>
      </w:r>
    </w:p>
    <w:p>
      <w:pPr>
        <w:spacing w:after="0" w:line="174" w:lineRule="exact"/>
        <w:rPr>
          <w:rFonts w:ascii="Arial" w:cs="Arial" w:eastAsia="Arial" w:hAnsi="Arial"/>
          <w:sz w:val="22"/>
          <w:szCs w:val="22"/>
          <w:color w:val="010000"/>
        </w:rPr>
      </w:pPr>
    </w:p>
    <w:p>
      <w:pPr>
        <w:ind w:left="2420" w:hanging="468"/>
        <w:spacing w:after="0"/>
        <w:tabs>
          <w:tab w:leader="none" w:pos="2420" w:val="left"/>
        </w:tabs>
        <w:numPr>
          <w:ilvl w:val="1"/>
          <w:numId w:val="141"/>
        </w:numPr>
        <w:rPr>
          <w:rFonts w:ascii="Arial" w:cs="Arial" w:eastAsia="Arial" w:hAnsi="Arial"/>
          <w:sz w:val="19"/>
          <w:szCs w:val="19"/>
          <w:color w:val="010000"/>
        </w:rPr>
      </w:pPr>
      <w:r>
        <w:rPr>
          <w:rFonts w:ascii="Arial" w:cs="Arial" w:eastAsia="Arial" w:hAnsi="Arial"/>
          <w:sz w:val="19"/>
          <w:szCs w:val="19"/>
          <w:color w:val="auto"/>
        </w:rPr>
        <w:t>the GM Investor’s or any of its Subsidiaries’ ability to engage in, carry on or participate in the GM</w:t>
      </w:r>
    </w:p>
    <w:p>
      <w:pPr>
        <w:spacing w:after="0" w:line="5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Business;</w:t>
      </w:r>
    </w:p>
    <w:p>
      <w:pPr>
        <w:spacing w:after="0" w:line="201" w:lineRule="exact"/>
        <w:rPr>
          <w:rFonts w:ascii="Arial" w:cs="Arial" w:eastAsia="Arial" w:hAnsi="Arial"/>
          <w:sz w:val="19"/>
          <w:szCs w:val="19"/>
          <w:color w:val="010000"/>
        </w:rPr>
      </w:pPr>
    </w:p>
    <w:p>
      <w:pPr>
        <w:ind w:left="2500" w:hanging="548"/>
        <w:spacing w:after="0"/>
        <w:tabs>
          <w:tab w:leader="none" w:pos="2500" w:val="left"/>
        </w:tabs>
        <w:numPr>
          <w:ilvl w:val="1"/>
          <w:numId w:val="141"/>
        </w:numPr>
        <w:rPr>
          <w:rFonts w:ascii="Arial" w:cs="Arial" w:eastAsia="Arial" w:hAnsi="Arial"/>
          <w:sz w:val="19"/>
          <w:szCs w:val="19"/>
          <w:color w:val="010000"/>
        </w:rPr>
      </w:pPr>
      <w:r>
        <w:rPr>
          <w:rFonts w:ascii="Arial" w:cs="Arial" w:eastAsia="Arial" w:hAnsi="Arial"/>
          <w:sz w:val="19"/>
          <w:szCs w:val="19"/>
          <w:color w:val="auto"/>
        </w:rPr>
        <w:t>the Company’s or any of its Subsidiaries’ ability to engage in, carry on or participate in the AVCo</w:t>
      </w:r>
    </w:p>
    <w:p>
      <w:pPr>
        <w:spacing w:after="0" w:line="5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Business;</w:t>
      </w:r>
    </w:p>
    <w:p>
      <w:pPr>
        <w:spacing w:after="0" w:line="201" w:lineRule="exact"/>
        <w:rPr>
          <w:rFonts w:ascii="Arial" w:cs="Arial" w:eastAsia="Arial" w:hAnsi="Arial"/>
          <w:sz w:val="19"/>
          <w:szCs w:val="19"/>
          <w:color w:val="010000"/>
        </w:rPr>
      </w:pPr>
    </w:p>
    <w:p>
      <w:pPr>
        <w:jc w:val="both"/>
        <w:ind w:firstLine="1952"/>
        <w:spacing w:after="0" w:line="253" w:lineRule="auto"/>
        <w:tabs>
          <w:tab w:leader="none" w:pos="2484" w:val="left"/>
        </w:tabs>
        <w:numPr>
          <w:ilvl w:val="1"/>
          <w:numId w:val="141"/>
        </w:numPr>
        <w:rPr>
          <w:rFonts w:ascii="Arial" w:cs="Arial" w:eastAsia="Arial" w:hAnsi="Arial"/>
          <w:sz w:val="22"/>
          <w:szCs w:val="22"/>
          <w:color w:val="010000"/>
        </w:rPr>
      </w:pPr>
      <w:r>
        <w:rPr>
          <w:rFonts w:ascii="Arial" w:cs="Arial" w:eastAsia="Arial" w:hAnsi="Arial"/>
          <w:sz w:val="22"/>
          <w:szCs w:val="22"/>
          <w:color w:val="auto"/>
        </w:rPr>
        <w:t>the GM Investor and its Subsidiaries or the Company and its Subsidiaries from operating its business as conducted at any time prior to the end of the Control Period (to the extent that such prior operation or conduct did not violate Section 11.01);</w:t>
      </w:r>
    </w:p>
    <w:p>
      <w:pPr>
        <w:spacing w:after="0" w:line="185" w:lineRule="exact"/>
        <w:rPr>
          <w:rFonts w:ascii="Arial" w:cs="Arial" w:eastAsia="Arial" w:hAnsi="Arial"/>
          <w:sz w:val="22"/>
          <w:szCs w:val="22"/>
          <w:color w:val="010000"/>
        </w:rPr>
      </w:pPr>
    </w:p>
    <w:p>
      <w:pPr>
        <w:ind w:left="2480" w:hanging="528"/>
        <w:spacing w:after="0"/>
        <w:tabs>
          <w:tab w:leader="none" w:pos="2480" w:val="left"/>
        </w:tabs>
        <w:numPr>
          <w:ilvl w:val="1"/>
          <w:numId w:val="141"/>
        </w:numPr>
        <w:rPr>
          <w:rFonts w:ascii="Arial" w:cs="Arial" w:eastAsia="Arial" w:hAnsi="Arial"/>
          <w:sz w:val="22"/>
          <w:szCs w:val="22"/>
          <w:color w:val="010000"/>
        </w:rPr>
      </w:pPr>
      <w:r>
        <w:rPr>
          <w:rFonts w:ascii="Arial" w:cs="Arial" w:eastAsia="Arial" w:hAnsi="Arial"/>
          <w:sz w:val="22"/>
          <w:szCs w:val="22"/>
          <w:color w:val="auto"/>
        </w:rPr>
        <w:t>the GM Investor or any of its Subsidiaries from consummating an OEM Acquisition;</w:t>
      </w:r>
    </w:p>
    <w:p>
      <w:pPr>
        <w:spacing w:after="0" w:line="219" w:lineRule="exact"/>
        <w:rPr>
          <w:rFonts w:ascii="Arial" w:cs="Arial" w:eastAsia="Arial" w:hAnsi="Arial"/>
          <w:sz w:val="22"/>
          <w:szCs w:val="22"/>
          <w:color w:val="010000"/>
        </w:rPr>
      </w:pPr>
    </w:p>
    <w:p>
      <w:pPr>
        <w:jc w:val="both"/>
        <w:ind w:firstLine="1952"/>
        <w:spacing w:after="0" w:line="292" w:lineRule="auto"/>
        <w:tabs>
          <w:tab w:leader="none" w:pos="2466" w:val="left"/>
        </w:tabs>
        <w:numPr>
          <w:ilvl w:val="1"/>
          <w:numId w:val="141"/>
        </w:numPr>
        <w:rPr>
          <w:rFonts w:ascii="Arial" w:cs="Arial" w:eastAsia="Arial" w:hAnsi="Arial"/>
          <w:sz w:val="19"/>
          <w:szCs w:val="19"/>
          <w:color w:val="010000"/>
        </w:rPr>
      </w:pPr>
      <w:r>
        <w:rPr>
          <w:rFonts w:ascii="Arial" w:cs="Arial" w:eastAsia="Arial" w:hAnsi="Arial"/>
          <w:sz w:val="19"/>
          <w:szCs w:val="19"/>
          <w:color w:val="auto"/>
        </w:rPr>
        <w:t>the GM Investor or any of its Subsidiaries (collectively), or the Company or any of its Subsidiaries (collectively), from consummating a Change of Control transaction involving a Target (the “</w:t>
      </w:r>
      <w:r>
        <w:rPr>
          <w:rFonts w:ascii="Arial" w:cs="Arial" w:eastAsia="Arial" w:hAnsi="Arial"/>
          <w:sz w:val="19"/>
          <w:szCs w:val="19"/>
          <w:b w:val="1"/>
          <w:bCs w:val="1"/>
          <w:color w:val="auto"/>
        </w:rPr>
        <w:t>Acquired Person</w:t>
      </w:r>
      <w:r>
        <w:rPr>
          <w:rFonts w:ascii="Arial" w:cs="Arial" w:eastAsia="Arial" w:hAnsi="Arial"/>
          <w:sz w:val="19"/>
          <w:szCs w:val="19"/>
          <w:color w:val="auto"/>
        </w:rPr>
        <w:t>”); provided, that, in the event such Acquired Person either (each tested at the time of consummation of the Change of Control) (A) derived more than twenty percent (20%) of its consolidated net revenue (calculated on a trailing twelve month basis) from the conduct of the Restricted Business or (B) had meaningful research and development costs and expenses for activities relating to the Restricted Business, the GM Investor or any of its Subsidiaries (collectively), or the Company or any of its Subsidiaries (collectively), as applicable, on or prior to the twelve (12) month anniversary of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consummation of such Change of Control transaction, shall either (1) dispose of the Restricted Business (or the assets used in connection therewith) of such Acquired Person or (2) cause such Acquired Person to cease to engaging in the Restricted Business;</w:t>
      </w:r>
    </w:p>
    <w:p>
      <w:pPr>
        <w:spacing w:after="0" w:line="185" w:lineRule="exact"/>
        <w:rPr>
          <w:sz w:val="20"/>
          <w:szCs w:val="20"/>
          <w:color w:val="auto"/>
        </w:rPr>
      </w:pPr>
    </w:p>
    <w:p>
      <w:pPr>
        <w:jc w:val="both"/>
        <w:ind w:firstLine="1952"/>
        <w:spacing w:after="0" w:line="294" w:lineRule="auto"/>
        <w:tabs>
          <w:tab w:leader="none" w:pos="2512" w:val="left"/>
        </w:tabs>
        <w:numPr>
          <w:ilvl w:val="1"/>
          <w:numId w:val="142"/>
        </w:numPr>
        <w:rPr>
          <w:rFonts w:ascii="Arial" w:cs="Arial" w:eastAsia="Arial" w:hAnsi="Arial"/>
          <w:sz w:val="19"/>
          <w:szCs w:val="19"/>
          <w:color w:val="010000"/>
        </w:rPr>
      </w:pPr>
      <w:r>
        <w:rPr>
          <w:rFonts w:ascii="Arial" w:cs="Arial" w:eastAsia="Arial" w:hAnsi="Arial"/>
          <w:sz w:val="19"/>
          <w:szCs w:val="19"/>
          <w:color w:val="auto"/>
        </w:rPr>
        <w:t>the GM Investor or any of its Subsidiaries (collectively), or the Company or any of its Subsidiaries (collectively) from acquiring, owning or holding ten percent (10%) or less of the outstanding shares of capital stock, which capital stock is regularly traded on a recognized domestic or foreign securities exchange, of any Person engaged in the Restricted Business, so long as the GM Investor and its Subsidiaries (collectively) or the Company and its Subsidiaries (collectively), as applicable, is a passive investor and does not exercise any influence over or participate in the management or operation of such Person (and, for clarity, exercising rights as a stockholder or member will not constitute influence or participation);</w:t>
      </w:r>
    </w:p>
    <w:p>
      <w:pPr>
        <w:spacing w:after="0" w:line="149" w:lineRule="exact"/>
        <w:rPr>
          <w:rFonts w:ascii="Arial" w:cs="Arial" w:eastAsia="Arial" w:hAnsi="Arial"/>
          <w:sz w:val="19"/>
          <w:szCs w:val="19"/>
          <w:color w:val="010000"/>
        </w:rPr>
      </w:pPr>
    </w:p>
    <w:p>
      <w:pPr>
        <w:ind w:firstLine="1952"/>
        <w:spacing w:after="0" w:line="263" w:lineRule="auto"/>
        <w:tabs>
          <w:tab w:leader="none" w:pos="2572" w:val="left"/>
        </w:tabs>
        <w:numPr>
          <w:ilvl w:val="1"/>
          <w:numId w:val="142"/>
        </w:numPr>
        <w:rPr>
          <w:rFonts w:ascii="Arial" w:cs="Arial" w:eastAsia="Arial" w:hAnsi="Arial"/>
          <w:sz w:val="22"/>
          <w:szCs w:val="22"/>
          <w:color w:val="010000"/>
        </w:rPr>
      </w:pPr>
      <w:r>
        <w:rPr>
          <w:rFonts w:ascii="Arial" w:cs="Arial" w:eastAsia="Arial" w:hAnsi="Arial"/>
          <w:sz w:val="22"/>
          <w:szCs w:val="22"/>
          <w:color w:val="auto"/>
        </w:rPr>
        <w:t>the GM Investor or any of its Subsidiaries from engaging in or consummating any transaction that would constitute a Change of Control;</w:t>
      </w:r>
    </w:p>
    <w:p>
      <w:pPr>
        <w:spacing w:after="0" w:line="174" w:lineRule="exact"/>
        <w:rPr>
          <w:rFonts w:ascii="Arial" w:cs="Arial" w:eastAsia="Arial" w:hAnsi="Arial"/>
          <w:sz w:val="22"/>
          <w:szCs w:val="22"/>
          <w:color w:val="010000"/>
        </w:rPr>
      </w:pPr>
    </w:p>
    <w:p>
      <w:pPr>
        <w:jc w:val="both"/>
        <w:ind w:firstLine="1952"/>
        <w:spacing w:after="0" w:line="253" w:lineRule="auto"/>
        <w:tabs>
          <w:tab w:leader="none" w:pos="2619" w:val="left"/>
        </w:tabs>
        <w:numPr>
          <w:ilvl w:val="1"/>
          <w:numId w:val="142"/>
        </w:numPr>
        <w:rPr>
          <w:rFonts w:ascii="Arial" w:cs="Arial" w:eastAsia="Arial" w:hAnsi="Arial"/>
          <w:sz w:val="22"/>
          <w:szCs w:val="22"/>
          <w:color w:val="010000"/>
        </w:rPr>
      </w:pPr>
      <w:r>
        <w:rPr>
          <w:rFonts w:ascii="Arial" w:cs="Arial" w:eastAsia="Arial" w:hAnsi="Arial"/>
          <w:sz w:val="22"/>
          <w:szCs w:val="22"/>
          <w:color w:val="auto"/>
        </w:rPr>
        <w:t>General Motors Ventures LLC (and not the GM Investor or any of its Subsidiaries) from acquiring capital stock or other ownership interests, or owning or holding capital stock or other ownership interests, in the normal course of its business and investing activities, in any Person engaged in the Restricted Business;</w:t>
      </w:r>
    </w:p>
    <w:p>
      <w:pPr>
        <w:spacing w:after="0" w:line="185" w:lineRule="exact"/>
        <w:rPr>
          <w:rFonts w:ascii="Arial" w:cs="Arial" w:eastAsia="Arial" w:hAnsi="Arial"/>
          <w:sz w:val="22"/>
          <w:szCs w:val="22"/>
          <w:color w:val="010000"/>
        </w:rPr>
      </w:pPr>
    </w:p>
    <w:p>
      <w:pPr>
        <w:ind w:firstLine="1952"/>
        <w:spacing w:after="0" w:line="343" w:lineRule="auto"/>
        <w:tabs>
          <w:tab w:leader="none" w:pos="2499" w:val="left"/>
        </w:tabs>
        <w:numPr>
          <w:ilvl w:val="1"/>
          <w:numId w:val="142"/>
        </w:numPr>
        <w:rPr>
          <w:rFonts w:ascii="Arial" w:cs="Arial" w:eastAsia="Arial" w:hAnsi="Arial"/>
          <w:sz w:val="19"/>
          <w:szCs w:val="19"/>
          <w:color w:val="010000"/>
        </w:rPr>
      </w:pPr>
      <w:r>
        <w:rPr>
          <w:rFonts w:ascii="Arial" w:cs="Arial" w:eastAsia="Arial" w:hAnsi="Arial"/>
          <w:sz w:val="19"/>
          <w:szCs w:val="19"/>
          <w:color w:val="auto"/>
        </w:rPr>
        <w:t>the GM Investor or any of its Subsidiaries from owning or holding capital stock or other ownership interests in the entity (and its Subsidiaries or any successor entity) previously identified to SoftBank by the GM Investor; or</w:t>
      </w:r>
    </w:p>
    <w:p>
      <w:pPr>
        <w:spacing w:after="0" w:line="104" w:lineRule="exact"/>
        <w:rPr>
          <w:rFonts w:ascii="Arial" w:cs="Arial" w:eastAsia="Arial" w:hAnsi="Arial"/>
          <w:sz w:val="19"/>
          <w:szCs w:val="19"/>
          <w:color w:val="010000"/>
        </w:rPr>
      </w:pPr>
    </w:p>
    <w:p>
      <w:pPr>
        <w:jc w:val="both"/>
        <w:ind w:firstLine="1952"/>
        <w:spacing w:after="0" w:line="250" w:lineRule="auto"/>
        <w:tabs>
          <w:tab w:leader="none" w:pos="2601" w:val="left"/>
        </w:tabs>
        <w:numPr>
          <w:ilvl w:val="1"/>
          <w:numId w:val="142"/>
        </w:numPr>
        <w:rPr>
          <w:rFonts w:ascii="Arial" w:cs="Arial" w:eastAsia="Arial" w:hAnsi="Arial"/>
          <w:sz w:val="22"/>
          <w:szCs w:val="22"/>
          <w:color w:val="010000"/>
        </w:rPr>
      </w:pPr>
      <w:r>
        <w:rPr>
          <w:rFonts w:ascii="Arial" w:cs="Arial" w:eastAsia="Arial" w:hAnsi="Arial"/>
          <w:sz w:val="22"/>
          <w:szCs w:val="22"/>
          <w:color w:val="auto"/>
        </w:rPr>
        <w:t>the GM Investor or its Subsidiaries from engaging in internal activities relating to the AVCo Business, including business planning and research, development, design and testing activities (provided, that neither GM nor its Subsidiaries may commercialize or otherwise monetize such activities, or any results therefrom, prior to the end of the Non-Compete Period).</w:t>
      </w:r>
    </w:p>
    <w:p>
      <w:pPr>
        <w:spacing w:after="0" w:line="187" w:lineRule="exact"/>
        <w:rPr>
          <w:rFonts w:ascii="Arial" w:cs="Arial" w:eastAsia="Arial" w:hAnsi="Arial"/>
          <w:sz w:val="22"/>
          <w:szCs w:val="22"/>
          <w:color w:val="010000"/>
        </w:rPr>
      </w:pPr>
    </w:p>
    <w:p>
      <w:pPr>
        <w:jc w:val="both"/>
        <w:ind w:firstLine="1304"/>
        <w:spacing w:after="0" w:line="250" w:lineRule="auto"/>
        <w:tabs>
          <w:tab w:leader="none" w:pos="1860" w:val="left"/>
        </w:tabs>
        <w:numPr>
          <w:ilvl w:val="0"/>
          <w:numId w:val="143"/>
        </w:numPr>
        <w:rPr>
          <w:rFonts w:ascii="Arial" w:cs="Arial" w:eastAsia="Arial" w:hAnsi="Arial"/>
          <w:sz w:val="22"/>
          <w:szCs w:val="22"/>
          <w:color w:val="010000"/>
        </w:rPr>
      </w:pPr>
      <w:r>
        <w:rPr>
          <w:rFonts w:ascii="Arial" w:cs="Arial" w:eastAsia="Arial" w:hAnsi="Arial"/>
          <w:sz w:val="22"/>
          <w:szCs w:val="22"/>
          <w:color w:val="auto"/>
        </w:rPr>
        <w:t>Immediately prior to the end of the Control Period, GM and the Company will enter into and deliver a standalone agreement memorializing (and containing terms consistent with) this Section 11.02, the intention being to enable the terms and conditions of this Section 11.02 to survive if this Agreement is terminated or materially amended at such time or any time thereafter.</w:t>
      </w:r>
    </w:p>
    <w:p>
      <w:pPr>
        <w:spacing w:after="0" w:line="187" w:lineRule="exact"/>
        <w:rPr>
          <w:rFonts w:ascii="Arial" w:cs="Arial" w:eastAsia="Arial" w:hAnsi="Arial"/>
          <w:sz w:val="22"/>
          <w:szCs w:val="22"/>
          <w:color w:val="010000"/>
        </w:rPr>
      </w:pPr>
    </w:p>
    <w:p>
      <w:pPr>
        <w:ind w:left="1920" w:hanging="616"/>
        <w:spacing w:after="0"/>
        <w:tabs>
          <w:tab w:leader="none" w:pos="1920" w:val="left"/>
        </w:tabs>
        <w:numPr>
          <w:ilvl w:val="0"/>
          <w:numId w:val="143"/>
        </w:numPr>
        <w:rPr>
          <w:rFonts w:ascii="Arial" w:cs="Arial" w:eastAsia="Arial" w:hAnsi="Arial"/>
          <w:sz w:val="21"/>
          <w:szCs w:val="21"/>
          <w:color w:val="010000"/>
        </w:rPr>
      </w:pPr>
      <w:r>
        <w:rPr>
          <w:rFonts w:ascii="Arial" w:cs="Arial" w:eastAsia="Arial" w:hAnsi="Arial"/>
          <w:sz w:val="21"/>
          <w:szCs w:val="21"/>
          <w:color w:val="auto"/>
        </w:rPr>
        <w:t>For the purposes of this Article XI, the Company and its Subsidiaries are not Subsidiaries of the GM</w:t>
      </w:r>
    </w:p>
    <w:p>
      <w:pPr>
        <w:spacing w:after="0" w:line="32"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color w:val="auto"/>
        </w:rPr>
        <w:t>Investor.</w:t>
      </w:r>
    </w:p>
    <w:p>
      <w:pPr>
        <w:spacing w:after="0" w:line="19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 PROVISIONS</w:t>
      </w:r>
    </w:p>
    <w:p>
      <w:pPr>
        <w:spacing w:after="0" w:line="196" w:lineRule="exact"/>
        <w:rPr>
          <w:sz w:val="20"/>
          <w:szCs w:val="20"/>
          <w:color w:val="auto"/>
        </w:rPr>
      </w:pPr>
    </w:p>
    <w:p>
      <w:pPr>
        <w:ind w:right="20" w:firstLine="648"/>
        <w:spacing w:after="0" w:line="269" w:lineRule="auto"/>
        <w:rPr>
          <w:sz w:val="20"/>
          <w:szCs w:val="20"/>
          <w:color w:val="auto"/>
        </w:rPr>
      </w:pPr>
      <w:r>
        <w:rPr>
          <w:rFonts w:ascii="Arial" w:cs="Arial" w:eastAsia="Arial" w:hAnsi="Arial"/>
          <w:sz w:val="22"/>
          <w:szCs w:val="22"/>
          <w:b w:val="1"/>
          <w:bCs w:val="1"/>
          <w:color w:val="auto"/>
        </w:rPr>
        <w:t xml:space="preserve">12.01 </w:t>
      </w:r>
      <w:r>
        <w:rPr>
          <w:rFonts w:ascii="Arial" w:cs="Arial" w:eastAsia="Arial" w:hAnsi="Arial"/>
          <w:sz w:val="22"/>
          <w:szCs w:val="22"/>
          <w:b w:val="1"/>
          <w:bCs w:val="1"/>
          <w:u w:val="single" w:color="auto"/>
          <w:color w:val="auto"/>
        </w:rPr>
        <w:t>Expenses</w:t>
      </w:r>
      <w:r>
        <w:rPr>
          <w:rFonts w:ascii="Arial" w:cs="Arial" w:eastAsia="Arial" w:hAnsi="Arial"/>
          <w:sz w:val="22"/>
          <w:szCs w:val="22"/>
          <w:color w:val="auto"/>
        </w:rPr>
        <w:t>. Each Member and its Affiliates will be responsible for its own expenses in connection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preparation and negotiation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98" w:lineRule="exact"/>
        <w:rPr>
          <w:sz w:val="20"/>
          <w:szCs w:val="20"/>
          <w:color w:val="auto"/>
        </w:rPr>
      </w:pPr>
    </w:p>
    <w:p>
      <w:pPr>
        <w:ind w:right="20" w:firstLine="648"/>
        <w:spacing w:after="0" w:line="293" w:lineRule="auto"/>
        <w:rPr>
          <w:sz w:val="20"/>
          <w:szCs w:val="20"/>
          <w:color w:val="auto"/>
        </w:rPr>
      </w:pPr>
      <w:r>
        <w:rPr>
          <w:rFonts w:ascii="Arial" w:cs="Arial" w:eastAsia="Arial" w:hAnsi="Arial"/>
          <w:sz w:val="21"/>
          <w:szCs w:val="21"/>
          <w:b w:val="1"/>
          <w:bCs w:val="1"/>
          <w:color w:val="auto"/>
        </w:rPr>
        <w:t xml:space="preserve">12.02 </w:t>
      </w:r>
      <w:r>
        <w:rPr>
          <w:rFonts w:ascii="Arial" w:cs="Arial" w:eastAsia="Arial" w:hAnsi="Arial"/>
          <w:sz w:val="21"/>
          <w:szCs w:val="21"/>
          <w:b w:val="1"/>
          <w:bCs w:val="1"/>
          <w:u w:val="single" w:color="auto"/>
          <w:color w:val="auto"/>
        </w:rPr>
        <w:t>No Third-Party Rights</w:t>
      </w:r>
      <w:r>
        <w:rPr>
          <w:rFonts w:ascii="Arial" w:cs="Arial" w:eastAsia="Arial" w:hAnsi="Arial"/>
          <w:sz w:val="21"/>
          <w:szCs w:val="21"/>
          <w:color w:val="auto"/>
        </w:rPr>
        <w:t>. Except as otherwise expressly set forth herein (including Sections 4.03 and 7.02),</w:t>
      </w:r>
      <w:r>
        <w:rPr>
          <w:rFonts w:ascii="Arial" w:cs="Arial" w:eastAsia="Arial" w:hAnsi="Arial"/>
          <w:sz w:val="21"/>
          <w:szCs w:val="21"/>
          <w:b w:val="1"/>
          <w:bCs w:val="1"/>
          <w:color w:val="auto"/>
        </w:rPr>
        <w:t xml:space="preserve"> </w:t>
      </w:r>
      <w:r>
        <w:rPr>
          <w:rFonts w:ascii="Arial" w:cs="Arial" w:eastAsia="Arial" w:hAnsi="Arial"/>
          <w:sz w:val="21"/>
          <w:szCs w:val="21"/>
          <w:color w:val="auto"/>
        </w:rPr>
        <w:t>nothing in this Agreement shall be construed to grant rights to any Person who is not a party to this Agreement.</w:t>
      </w:r>
    </w:p>
    <w:p>
      <w:pPr>
        <w:spacing w:after="0" w:line="139"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12.03 </w:t>
      </w:r>
      <w:r>
        <w:rPr>
          <w:rFonts w:ascii="Arial" w:cs="Arial" w:eastAsia="Arial" w:hAnsi="Arial"/>
          <w:sz w:val="22"/>
          <w:szCs w:val="22"/>
          <w:b w:val="1"/>
          <w:bCs w:val="1"/>
          <w:u w:val="single" w:color="auto"/>
          <w:color w:val="auto"/>
        </w:rPr>
        <w:t>Legend on Certificates for Certificated Shares</w:t>
      </w:r>
      <w:r>
        <w:rPr>
          <w:rFonts w:ascii="Arial" w:cs="Arial" w:eastAsia="Arial" w:hAnsi="Arial"/>
          <w:sz w:val="22"/>
          <w:szCs w:val="22"/>
          <w:color w:val="auto"/>
        </w:rPr>
        <w:t>. If Certificated Shares are issued, such Certificated Shares will</w:t>
      </w:r>
      <w:r>
        <w:rPr>
          <w:rFonts w:ascii="Arial" w:cs="Arial" w:eastAsia="Arial" w:hAnsi="Arial"/>
          <w:sz w:val="22"/>
          <w:szCs w:val="22"/>
          <w:b w:val="1"/>
          <w:bCs w:val="1"/>
          <w:color w:val="auto"/>
        </w:rPr>
        <w:t xml:space="preserve"> </w:t>
      </w:r>
      <w:r>
        <w:rPr>
          <w:rFonts w:ascii="Arial" w:cs="Arial" w:eastAsia="Arial" w:hAnsi="Arial"/>
          <w:sz w:val="22"/>
          <w:szCs w:val="22"/>
          <w:color w:val="auto"/>
        </w:rPr>
        <w:t>bear the following legend:</w:t>
      </w:r>
    </w:p>
    <w:p>
      <w:pPr>
        <w:spacing w:after="0" w:line="168" w:lineRule="exact"/>
        <w:rPr>
          <w:sz w:val="20"/>
          <w:szCs w:val="20"/>
          <w:color w:val="auto"/>
        </w:rPr>
      </w:pPr>
    </w:p>
    <w:p>
      <w:pPr>
        <w:jc w:val="center"/>
        <w:spacing w:after="0"/>
        <w:tabs>
          <w:tab w:leader="none" w:pos="200" w:val="left"/>
          <w:tab w:leader="none" w:pos="200" w:val="left"/>
          <w:tab w:leader="none" w:pos="200" w:val="left"/>
          <w:tab w:leader="none" w:pos="200" w:val="left"/>
          <w:tab w:leader="none" w:pos="200" w:val="left"/>
          <w:tab w:leader="none" w:pos="200" w:val="left"/>
          <w:tab w:leader="none" w:pos="200" w:val="left"/>
          <w:tab w:leader="none" w:pos="200" w:val="left"/>
          <w:tab w:leader="none" w:pos="200" w:val="left"/>
        </w:tabs>
        <w:rPr>
          <w:sz w:val="20"/>
          <w:szCs w:val="20"/>
          <w:color w:val="auto"/>
        </w:rPr>
      </w:pPr>
      <w:r>
        <w:rPr>
          <w:rFonts w:ascii="Arial" w:cs="Arial" w:eastAsia="Arial" w:hAnsi="Arial"/>
          <w:sz w:val="22"/>
          <w:szCs w:val="22"/>
          <w:color w:val="auto"/>
        </w:rPr>
        <w:t>“THE</w:t>
        <w:tab/>
        <w:t>SHARES</w:t>
        <w:tab/>
        <w:t>REPRESENTED</w:t>
        <w:tab/>
        <w:t>BY</w:t>
        <w:tab/>
        <w:t>THIS</w:t>
        <w:tab/>
        <w:t>CERTIFICATE</w:t>
        <w:tab/>
        <w:t>WERE</w:t>
        <w:tab/>
        <w:t>ORIGINALLY</w:t>
        <w:tab/>
        <w:t>ISSUED</w:t>
      </w:r>
      <w:r>
        <w:rPr>
          <w:sz w:val="20"/>
          <w:szCs w:val="20"/>
          <w:color w:val="auto"/>
        </w:rPr>
        <w:tab/>
      </w:r>
      <w:r>
        <w:rPr>
          <w:rFonts w:ascii="Arial" w:cs="Arial" w:eastAsia="Arial" w:hAnsi="Arial"/>
          <w:sz w:val="19"/>
          <w:szCs w:val="19"/>
          <w:color w:val="auto"/>
        </w:rPr>
        <w:t>ON</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_______________, _____, HAVE NOT BEEN REGISTERED UNDER THE SECURITIES ACT OF 1933, AS</w:t>
      </w:r>
    </w:p>
    <w:p>
      <w:pPr>
        <w:spacing w:after="0" w:line="4" w:lineRule="exact"/>
        <w:rPr>
          <w:sz w:val="20"/>
          <w:szCs w:val="20"/>
          <w:color w:val="auto"/>
        </w:rPr>
      </w:pPr>
    </w:p>
    <w:p>
      <w:pPr>
        <w:jc w:val="both"/>
        <w:ind w:left="660" w:right="640"/>
        <w:spacing w:after="0" w:line="244" w:lineRule="auto"/>
        <w:rPr>
          <w:sz w:val="20"/>
          <w:szCs w:val="20"/>
          <w:color w:val="auto"/>
        </w:rPr>
      </w:pPr>
      <w:r>
        <w:rPr>
          <w:rFonts w:ascii="Arial" w:cs="Arial" w:eastAsia="Arial" w:hAnsi="Arial"/>
          <w:sz w:val="22"/>
          <w:szCs w:val="22"/>
          <w:color w:val="auto"/>
        </w:rPr>
        <w:t>AMENDED (THE “</w:t>
      </w:r>
      <w:r>
        <w:rPr>
          <w:rFonts w:ascii="Arial" w:cs="Arial" w:eastAsia="Arial" w:hAnsi="Arial"/>
          <w:sz w:val="22"/>
          <w:szCs w:val="22"/>
          <w:b w:val="1"/>
          <w:bCs w:val="1"/>
          <w:color w:val="auto"/>
        </w:rPr>
        <w:t>ACT</w:t>
      </w:r>
      <w:r>
        <w:rPr>
          <w:rFonts w:ascii="Arial" w:cs="Arial" w:eastAsia="Arial" w:hAnsi="Arial"/>
          <w:sz w:val="22"/>
          <w:szCs w:val="22"/>
          <w:color w:val="auto"/>
        </w:rPr>
        <w:t>”), OR APPLICABLE STATE SECURITIES LAWS (“</w:t>
      </w:r>
      <w:r>
        <w:rPr>
          <w:rFonts w:ascii="Arial" w:cs="Arial" w:eastAsia="Arial" w:hAnsi="Arial"/>
          <w:sz w:val="22"/>
          <w:szCs w:val="22"/>
          <w:b w:val="1"/>
          <w:bCs w:val="1"/>
          <w:color w:val="auto"/>
        </w:rPr>
        <w:t>STATE ACTS</w:t>
      </w:r>
      <w:r>
        <w:rPr>
          <w:rFonts w:ascii="Arial" w:cs="Arial" w:eastAsia="Arial" w:hAnsi="Arial"/>
          <w:sz w:val="22"/>
          <w:szCs w:val="22"/>
          <w:color w:val="auto"/>
        </w:rPr>
        <w:t>”) AND MAY NOT BE SOLD, ASSIGNED, PLEDGED, TRANSFERRED OR OTHERWISE DISPOSED OF IN THE ABSENCE OF AN EFFECTIVE REGISTRATION STATEMENT UNDER THE ACT OR STATE ACTS OR AN EXEMPTION FROM REGISTRATION THEREUNDER.</w:t>
      </w:r>
    </w:p>
    <w:p>
      <w:pPr>
        <w:spacing w:after="0" w:line="195" w:lineRule="exact"/>
        <w:rPr>
          <w:sz w:val="20"/>
          <w:szCs w:val="20"/>
          <w:color w:val="auto"/>
        </w:rPr>
      </w:pPr>
    </w:p>
    <w:p>
      <w:pPr>
        <w:jc w:val="both"/>
        <w:ind w:left="660" w:right="640"/>
        <w:spacing w:after="0" w:line="260" w:lineRule="auto"/>
        <w:rPr>
          <w:sz w:val="20"/>
          <w:szCs w:val="20"/>
          <w:color w:val="auto"/>
        </w:rPr>
      </w:pPr>
      <w:r>
        <w:rPr>
          <w:rFonts w:ascii="Arial" w:cs="Arial" w:eastAsia="Arial" w:hAnsi="Arial"/>
          <w:sz w:val="21"/>
          <w:szCs w:val="21"/>
          <w:color w:val="auto"/>
        </w:rPr>
        <w:t>THE TRANSFER OF THE SHARES REPRESENTED BY THIS CERTIFICATE IS SUBJECT TO THE CONDITIONS SPECIFIED IN A SEVENTH AMENDED AND RESTATED LIMITED LIABILITY COMPANY AGREEMENT, DATED AS OF March 14, 2021, AS AMENDED AND MODIFIED FROM TIME TO TIME,</w:t>
      </w:r>
    </w:p>
    <w:p>
      <w:pPr>
        <w:spacing w:after="0" w:line="3" w:lineRule="exact"/>
        <w:rPr>
          <w:sz w:val="20"/>
          <w:szCs w:val="20"/>
          <w:color w:val="auto"/>
        </w:rPr>
      </w:pPr>
    </w:p>
    <w:p>
      <w:pPr>
        <w:jc w:val="both"/>
        <w:ind w:left="660" w:right="640"/>
        <w:spacing w:after="0" w:line="257" w:lineRule="auto"/>
        <w:rPr>
          <w:sz w:val="20"/>
          <w:szCs w:val="20"/>
          <w:color w:val="auto"/>
        </w:rPr>
      </w:pPr>
      <w:r>
        <w:rPr>
          <w:rFonts w:ascii="Arial" w:cs="Arial" w:eastAsia="Arial" w:hAnsi="Arial"/>
          <w:sz w:val="21"/>
          <w:szCs w:val="21"/>
          <w:color w:val="auto"/>
        </w:rPr>
        <w:t>GOVERNING THE ISSUER (THE “</w:t>
      </w:r>
      <w:r>
        <w:rPr>
          <w:rFonts w:ascii="Arial" w:cs="Arial" w:eastAsia="Arial" w:hAnsi="Arial"/>
          <w:sz w:val="21"/>
          <w:szCs w:val="21"/>
          <w:b w:val="1"/>
          <w:bCs w:val="1"/>
          <w:color w:val="auto"/>
        </w:rPr>
        <w:t>COMPANY</w:t>
      </w:r>
      <w:r>
        <w:rPr>
          <w:rFonts w:ascii="Arial" w:cs="Arial" w:eastAsia="Arial" w:hAnsi="Arial"/>
          <w:sz w:val="21"/>
          <w:szCs w:val="21"/>
          <w:color w:val="auto"/>
        </w:rPr>
        <w:t>”), AND BY AND AMONG ITS MEMBERS (THE “</w:t>
      </w:r>
      <w:r>
        <w:rPr>
          <w:rFonts w:ascii="Arial" w:cs="Arial" w:eastAsia="Arial" w:hAnsi="Arial"/>
          <w:sz w:val="21"/>
          <w:szCs w:val="21"/>
          <w:b w:val="1"/>
          <w:bCs w:val="1"/>
          <w:color w:val="auto"/>
        </w:rPr>
        <w:t>LLC</w:t>
      </w:r>
      <w:r>
        <w:rPr>
          <w:rFonts w:ascii="Arial" w:cs="Arial" w:eastAsia="Arial" w:hAnsi="Arial"/>
          <w:sz w:val="21"/>
          <w:szCs w:val="21"/>
          <w:color w:val="auto"/>
        </w:rPr>
        <w:t xml:space="preserve"> </w:t>
      </w:r>
      <w:r>
        <w:rPr>
          <w:rFonts w:ascii="Arial" w:cs="Arial" w:eastAsia="Arial" w:hAnsi="Arial"/>
          <w:sz w:val="21"/>
          <w:szCs w:val="21"/>
          <w:b w:val="1"/>
          <w:bCs w:val="1"/>
          <w:color w:val="auto"/>
        </w:rPr>
        <w:t>AGREEMENT</w:t>
      </w:r>
      <w:r>
        <w:rPr>
          <w:rFonts w:ascii="Arial" w:cs="Arial" w:eastAsia="Arial" w:hAnsi="Arial"/>
          <w:sz w:val="21"/>
          <w:szCs w:val="21"/>
          <w:color w:val="auto"/>
        </w:rPr>
        <w:t>”). THE SHARES REPRESENTED BY THIS CERTIFICATE MAY ALSO BE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ADDITIONAL TRANSFER RESTRICTIONS, CERTAIN VESTING PROVISIONS, REPURCHASE OPTIONS, OFFSET RIGHTS AND FORFEITURE PROVISIONS SET FORTH IN THE LLC AGREEMENT AND/OR A SHARE GRANT AGREEMENT WITH THE INITIAL HOLDER. A COPY OF SUCH CONDITIONS, REPURCHASE OPTIONS AND FORFEITURE PROVISIONS SHALL BE FURNISHED BY THE COMPANY TO THE HOLDER HEREOF UPON WRITTEN REQUEST AND WITHOUT CHARGE.”</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If a Member holding Certificated Shares delivers to the Company an opinion of counsel, satisfactory in form and substance to the Board of Directors (which opinion may be waived by the Board of Directors), that no subsequent Transfer of such Shares will require registration under the Securities Act, the Company will promptly upon such contemplated Transfer deliver new Certificated Shares which do not bear the portion of the restrictive legend relating to the Securities Act set forth in this Section 12.03.</w:t>
      </w:r>
    </w:p>
    <w:p>
      <w:pPr>
        <w:spacing w:after="0" w:line="186"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12.04</w:t>
      </w:r>
      <w:r>
        <w:rPr>
          <w:sz w:val="20"/>
          <w:szCs w:val="20"/>
          <w:color w:val="auto"/>
        </w:rPr>
        <w:tab/>
      </w:r>
      <w:r>
        <w:rPr>
          <w:rFonts w:ascii="Arial" w:cs="Arial" w:eastAsia="Arial" w:hAnsi="Arial"/>
          <w:sz w:val="19"/>
          <w:szCs w:val="19"/>
          <w:b w:val="1"/>
          <w:bCs w:val="1"/>
          <w:u w:val="single" w:color="auto"/>
          <w:color w:val="auto"/>
        </w:rPr>
        <w:t>Confidentiality</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65" w:lineRule="auto"/>
        <w:tabs>
          <w:tab w:leader="none" w:pos="1860" w:val="left"/>
        </w:tabs>
        <w:numPr>
          <w:ilvl w:val="0"/>
          <w:numId w:val="144"/>
        </w:numPr>
        <w:rPr>
          <w:rFonts w:ascii="Arial" w:cs="Arial" w:eastAsia="Arial" w:hAnsi="Arial"/>
          <w:sz w:val="21"/>
          <w:szCs w:val="21"/>
          <w:color w:val="010000"/>
        </w:rPr>
      </w:pPr>
      <w:r>
        <w:rPr>
          <w:rFonts w:ascii="Arial" w:cs="Arial" w:eastAsia="Arial" w:hAnsi="Arial"/>
          <w:sz w:val="21"/>
          <w:szCs w:val="21"/>
          <w:color w:val="auto"/>
        </w:rPr>
        <w:t>Each Member expressly agrees to maintain, and to cause its Director and Board Observer nominees (as applicable) to maintain, the confidentiality of, and not to disclose to any Person other than (i) the Company (and any successor of the Company or any Person acquiring all or a material portion of the assets or Equity Securities of the Company or any of its Subsidiaries), (ii) another Member, (iii) such Member’s or, in the case of SoftBank any of its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04"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its Affiliate’s, financial planners, accountants, attorneys, investment advisers or other advisors or employees or representatives that need to know such information in connection with the monitoring of the Company, the Member or his, her or its Affiliates or in the normal course of operations of such Member or (iv) in the case of SoftBank or any of its Affiliates, disclosure of information (or any information derived from or based upon such information) of the type specified to SoftBank UK prior to the execution of the SoftBank Purchase Agreement (and subsequently acknowledged and agreed to by SoftBank) to its current or prospective investors in the ordinary course of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clauses (iii) and (iv), the Member advises any such Person of the confidential nature of such information and such Person is directed to keep such information confidential, it being understood and agreed that such Member shall be responsible for any breach by any such Person of this Section 12.04), any information relating to the business, financial structure, intellectual property, assets, liabilities, data, financial position or financial results, borrowers, contract counterparties, clients or affairs of the Company or any of its Subsidiaries that shall not be generally known to the public, except as otherwise required by applicable law, stock exchange requirements or required or requested by any Governmental Authority having jurisdiction, in which case (except with respect to disclosure that is required in connection with the filing of federal, state and local tax returns or to the extent that the receiving party agrees to keep any such information confidential) prior to making such disclosure such Member shall, to the extent permitted by applicable law or by such Governmental Authority, give written notice to the Company, permit the Company to review and comment upon the form and substance of such disclosure and allow the Company to seek confidential treatment therefor, and in the case of any Member who is employed by the Company or any of its Subsidiaries, in the ordinary course of his or her duties to the Company or any of its Subsidiaries. This Section 12.04 will not apply to the GM Investor, any A-2 Preferred Director or the Common Director.</w:t>
      </w:r>
    </w:p>
    <w:p>
      <w:pPr>
        <w:spacing w:after="0" w:line="163" w:lineRule="exact"/>
        <w:rPr>
          <w:sz w:val="20"/>
          <w:szCs w:val="20"/>
          <w:color w:val="auto"/>
        </w:rPr>
      </w:pPr>
    </w:p>
    <w:p>
      <w:pPr>
        <w:ind w:firstLine="1304"/>
        <w:spacing w:after="0" w:line="263" w:lineRule="auto"/>
        <w:tabs>
          <w:tab w:leader="none" w:pos="1804" w:val="left"/>
        </w:tabs>
        <w:numPr>
          <w:ilvl w:val="0"/>
          <w:numId w:val="145"/>
        </w:numPr>
        <w:rPr>
          <w:rFonts w:ascii="Arial" w:cs="Arial" w:eastAsia="Arial" w:hAnsi="Arial"/>
          <w:sz w:val="22"/>
          <w:szCs w:val="22"/>
          <w:color w:val="010000"/>
        </w:rPr>
      </w:pPr>
      <w:r>
        <w:rPr>
          <w:rFonts w:ascii="Arial" w:cs="Arial" w:eastAsia="Arial" w:hAnsi="Arial"/>
          <w:sz w:val="22"/>
          <w:szCs w:val="22"/>
          <w:color w:val="auto"/>
        </w:rPr>
        <w:t>The terms of this Section 12.04 shall apply to a Member during the time that such Person is a Member and for a period of two (2) years after such Person ceases to be a Member.</w:t>
      </w:r>
    </w:p>
    <w:p>
      <w:pPr>
        <w:spacing w:after="0" w:line="16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 xml:space="preserve">12.05 </w:t>
      </w:r>
      <w:r>
        <w:rPr>
          <w:rFonts w:ascii="Arial" w:cs="Arial" w:eastAsia="Arial" w:hAnsi="Arial"/>
          <w:sz w:val="21"/>
          <w:szCs w:val="21"/>
          <w:b w:val="1"/>
          <w:bCs w:val="1"/>
          <w:u w:val="single" w:color="auto"/>
          <w:color w:val="auto"/>
        </w:rPr>
        <w:t>Power of Attorney</w:t>
      </w:r>
      <w:r>
        <w:rPr>
          <w:rFonts w:ascii="Arial" w:cs="Arial" w:eastAsia="Arial" w:hAnsi="Arial"/>
          <w:sz w:val="21"/>
          <w:szCs w:val="21"/>
          <w:color w:val="auto"/>
        </w:rPr>
        <w:t>. Each of the Members does hereby constitute and appoint the Board of Directors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liquidator with full power to act without the others, as such Member’s true and lawful representative and attorney in-fact, in such Member’s name, place and stead, solely for the purpose of making, executing, signing, acknowledging and delivering or filing in such form and substance as is approved by the Board of Directors or the liquidator (as the case may be): (a) all instruments, documents and certificates which may from time to time be required by any law to effectuate, implement and continue the valid and subsisting existence of the Company, or to qualify or continue the qualification of the Company in the State of Delaware and in all jurisdictions in which the Company may conduct business or own property, and any amendment to, modification to, restatement of or cancellation of any such instrument, document or certificate, and (b) all conveyances and other instruments, documents and certificates which may be required to effectuate the dissolution and termination of the Company approved in accordance with the terms of this Agreement. The powers of attorney granted herein shall be deemed to be coupled with an interest, shall be irrevocable, and shall survive the death, disability, incompetency, bankruptcy, insolvency or termination of any Member and the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04"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of all or any portion of such Member’s Shares, and shall extend to such Member’s heirs, successors, assigns, and personal representatives.</w:t>
      </w:r>
    </w:p>
    <w:p>
      <w:pPr>
        <w:spacing w:after="0" w:line="169"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12.06</w:t>
      </w:r>
      <w:r>
        <w:rPr>
          <w:sz w:val="20"/>
          <w:szCs w:val="20"/>
          <w:color w:val="auto"/>
        </w:rPr>
        <w:tab/>
      </w: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Notices shall be addressed and delivered:</w:t>
      </w:r>
    </w:p>
    <w:p>
      <w:pPr>
        <w:spacing w:after="0" w:line="226" w:lineRule="exact"/>
        <w:rPr>
          <w:sz w:val="20"/>
          <w:szCs w:val="20"/>
          <w:color w:val="auto"/>
        </w:rPr>
      </w:pPr>
    </w:p>
    <w:p>
      <w:pPr>
        <w:ind w:left="1760" w:hanging="456"/>
        <w:spacing w:after="0"/>
        <w:tabs>
          <w:tab w:leader="none" w:pos="1760" w:val="left"/>
        </w:tabs>
        <w:numPr>
          <w:ilvl w:val="0"/>
          <w:numId w:val="146"/>
        </w:numPr>
        <w:rPr>
          <w:rFonts w:ascii="Arial" w:cs="Arial" w:eastAsia="Arial" w:hAnsi="Arial"/>
          <w:sz w:val="22"/>
          <w:szCs w:val="22"/>
          <w:color w:val="010000"/>
        </w:rPr>
      </w:pPr>
      <w:r>
        <w:rPr>
          <w:rFonts w:ascii="Arial" w:cs="Arial" w:eastAsia="Arial" w:hAnsi="Arial"/>
          <w:sz w:val="22"/>
          <w:szCs w:val="22"/>
          <w:color w:val="auto"/>
        </w:rPr>
        <w:t>If to the Company,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GM Cruise Holdings LLC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333 Brannan Street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San Francisco, CA 94107</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Jeff Bleich, Bill Nash</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jeff.bleich@getcruise.com, bill.nash@getcruise.com</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copies (which shall not constitute notice)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General Motors Holdings LLC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300 GM Renaissance Center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Mail Code: 482-C22-A68</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Detroit, Michigan, 48265</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 xml:space="preserve">Attention: </w:t>
      </w:r>
      <w:r>
        <w:rPr>
          <w:rFonts w:ascii="Arial" w:cs="Arial" w:eastAsia="Arial" w:hAnsi="Arial"/>
          <w:sz w:val="19"/>
          <w:szCs w:val="19"/>
          <w:color w:val="333333"/>
        </w:rPr>
        <w:t>Deputy General Counsel &amp; Chief Compliance Officer, NA, Transformation and Compliance</w:t>
      </w:r>
    </w:p>
    <w:p>
      <w:pPr>
        <w:spacing w:after="0" w:line="3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ann.cathcartchaplin@gm.com</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and</w:t>
      </w:r>
    </w:p>
    <w:p>
      <w:pPr>
        <w:spacing w:after="0" w:line="24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Latham &amp; Watkins, LLP</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140 Scott Dr.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Menlo Park, CA 94025</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Tad Freese and Jim Morrone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tad.freese@lw.com and jim.morrone@lw.com</w:t>
      </w:r>
    </w:p>
    <w:p>
      <w:pPr>
        <w:spacing w:after="0" w:line="202" w:lineRule="exact"/>
        <w:rPr>
          <w:sz w:val="20"/>
          <w:szCs w:val="20"/>
          <w:color w:val="auto"/>
        </w:rPr>
      </w:pPr>
    </w:p>
    <w:p>
      <w:pPr>
        <w:jc w:val="both"/>
        <w:ind w:firstLine="1304"/>
        <w:spacing w:after="0" w:line="259" w:lineRule="auto"/>
        <w:tabs>
          <w:tab w:leader="none" w:pos="1872" w:val="left"/>
        </w:tabs>
        <w:numPr>
          <w:ilvl w:val="0"/>
          <w:numId w:val="147"/>
        </w:numPr>
        <w:rPr>
          <w:rFonts w:ascii="Arial" w:cs="Arial" w:eastAsia="Arial" w:hAnsi="Arial"/>
          <w:sz w:val="21"/>
          <w:szCs w:val="21"/>
          <w:color w:val="010000"/>
        </w:rPr>
      </w:pPr>
      <w:r>
        <w:rPr>
          <w:rFonts w:ascii="Arial" w:cs="Arial" w:eastAsia="Arial" w:hAnsi="Arial"/>
          <w:sz w:val="21"/>
          <w:szCs w:val="21"/>
          <w:color w:val="auto"/>
        </w:rPr>
        <w:t>If to a Member, to such Member or his personal representative at his or their last address known to the Company as disclosed on the records of the Company. Notices shall be in writing and shall be sent by pdf e-mail (if promptly confirmed by personal delivery, telephone call or mail), by mailed postage prepaid, registered or certified, by United States mail, return receipt requested, by nationally recognized private courier or by personal delivery. Notices shall be effective, (i) if sent by pdf e-mail, on the day sent, if sent before 5:00 p.m. New York, New York time, or on the next Business Day, if sent after 5:00 p.m. New York, New York time, in each case, subject to acknowledgement of receipt (not to be unreasonably withheld, conditioned or delayed), (ii) if sent by nationally recognized private courier, on the next Business Day, (iii) if mailed, three (3) Business Days after mailing or (iv) if personally delivered, when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9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auto"/>
        </w:rPr>
        <w:t xml:space="preserve">12.07 </w:t>
      </w:r>
      <w:r>
        <w:rPr>
          <w:rFonts w:ascii="Arial" w:cs="Arial" w:eastAsia="Arial" w:hAnsi="Arial"/>
          <w:sz w:val="19"/>
          <w:szCs w:val="19"/>
          <w:b w:val="1"/>
          <w:bCs w:val="1"/>
          <w:u w:val="single" w:color="auto"/>
          <w:color w:val="auto"/>
        </w:rPr>
        <w:t>Electronic Mail</w:t>
      </w:r>
      <w:r>
        <w:rPr>
          <w:rFonts w:ascii="Arial" w:cs="Arial" w:eastAsia="Arial" w:hAnsi="Arial"/>
          <w:sz w:val="19"/>
          <w:szCs w:val="19"/>
          <w:color w:val="auto"/>
        </w:rPr>
        <w:t>. This Agreement, the agreements referred to herein, and each other agreement or instrument</w:t>
      </w:r>
      <w:r>
        <w:rPr>
          <w:rFonts w:ascii="Arial" w:cs="Arial" w:eastAsia="Arial" w:hAnsi="Arial"/>
          <w:sz w:val="19"/>
          <w:szCs w:val="19"/>
          <w:b w:val="1"/>
          <w:bCs w:val="1"/>
          <w:color w:val="auto"/>
        </w:rPr>
        <w:t xml:space="preserve"> </w:t>
      </w:r>
      <w:r>
        <w:rPr>
          <w:rFonts w:ascii="Arial" w:cs="Arial" w:eastAsia="Arial" w:hAnsi="Arial"/>
          <w:sz w:val="19"/>
          <w:szCs w:val="19"/>
          <w:color w:val="auto"/>
        </w:rPr>
        <w:t>entered into in connection herewith or therewith or contemplated hereby or thereby, and any amendments hereto or thereto, to the extent signed and delivered by means of electronic transmission in portable document format (“pdf”),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hereto. No party hereto or to any such agreement or instrument shall raise the use of an electronic transmission in pdf to deliver a signature or the fact that any signature or agreement or instrument was transmitted or communicated through the use of an electronic transmission in pdf as a defense to the formation or enforceability of a contract and each such party forever waives any such defense. The words “writing”, “written” and comparable terms contained in this Agreement refer to printing, typing and other means of reproducing words (including electronic media or transmission) in visible form.</w:t>
      </w:r>
    </w:p>
    <w:p>
      <w:pPr>
        <w:spacing w:after="0" w:line="15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12.08 </w:t>
      </w:r>
      <w:r>
        <w:rPr>
          <w:rFonts w:ascii="Arial" w:cs="Arial" w:eastAsia="Arial" w:hAnsi="Arial"/>
          <w:sz w:val="19"/>
          <w:szCs w:val="19"/>
          <w:b w:val="1"/>
          <w:bCs w:val="1"/>
          <w:u w:val="single" w:color="auto"/>
          <w:color w:val="auto"/>
        </w:rPr>
        <w:t>Amendment</w:t>
      </w:r>
      <w:r>
        <w:rPr>
          <w:rFonts w:ascii="Arial" w:cs="Arial" w:eastAsia="Arial" w:hAnsi="Arial"/>
          <w:sz w:val="19"/>
          <w:szCs w:val="19"/>
          <w:color w:val="auto"/>
        </w:rPr>
        <w:t>. Subject to Sections 5.12, 5.13, 5.14, and 6.13(a), this Agreement may be amended, modified, or</w:t>
      </w:r>
      <w:r>
        <w:rPr>
          <w:rFonts w:ascii="Arial" w:cs="Arial" w:eastAsia="Arial" w:hAnsi="Arial"/>
          <w:sz w:val="19"/>
          <w:szCs w:val="19"/>
          <w:b w:val="1"/>
          <w:bCs w:val="1"/>
          <w:color w:val="auto"/>
        </w:rPr>
        <w:t xml:space="preserve"> </w:t>
      </w:r>
      <w:r>
        <w:rPr>
          <w:rFonts w:ascii="Arial" w:cs="Arial" w:eastAsia="Arial" w:hAnsi="Arial"/>
          <w:sz w:val="19"/>
          <w:szCs w:val="19"/>
          <w:color w:val="auto"/>
        </w:rPr>
        <w:t>waived only by the approval of both a Majority of the Members and the Board of Directors. Notwithstanding any other provision of this Agreement, each Additional Buyer (as defined in the Class G Purchase Agreement) purchasing Class G Preferred Shares at an Additional Closing (as defined in the Class G Purchase Agreement) shall become a party to this Agreement, without any amendment of this Agreement or without any consent or approval of any other Member.</w:t>
      </w:r>
    </w:p>
    <w:p>
      <w:pPr>
        <w:spacing w:after="0" w:line="14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12.09 </w:t>
      </w:r>
      <w:r>
        <w:rPr>
          <w:rFonts w:ascii="Arial" w:cs="Arial" w:eastAsia="Arial" w:hAnsi="Arial"/>
          <w:sz w:val="19"/>
          <w:szCs w:val="19"/>
          <w:b w:val="1"/>
          <w:bCs w:val="1"/>
          <w:u w:val="single" w:color="auto"/>
          <w:color w:val="auto"/>
        </w:rPr>
        <w:t>Tax and Other Advice</w:t>
      </w:r>
      <w:r>
        <w:rPr>
          <w:rFonts w:ascii="Arial" w:cs="Arial" w:eastAsia="Arial" w:hAnsi="Arial"/>
          <w:sz w:val="19"/>
          <w:szCs w:val="19"/>
          <w:color w:val="auto"/>
        </w:rPr>
        <w:t>. Each Member has had the opportunity to consult with such Member’s own tax and other</w:t>
      </w:r>
      <w:r>
        <w:rPr>
          <w:rFonts w:ascii="Arial" w:cs="Arial" w:eastAsia="Arial" w:hAnsi="Arial"/>
          <w:sz w:val="19"/>
          <w:szCs w:val="19"/>
          <w:b w:val="1"/>
          <w:bCs w:val="1"/>
          <w:color w:val="auto"/>
        </w:rPr>
        <w:t xml:space="preserve"> </w:t>
      </w:r>
      <w:r>
        <w:rPr>
          <w:rFonts w:ascii="Arial" w:cs="Arial" w:eastAsia="Arial" w:hAnsi="Arial"/>
          <w:sz w:val="19"/>
          <w:szCs w:val="19"/>
          <w:color w:val="auto"/>
        </w:rPr>
        <w:t>advisors with respect to the consequences to such Member of the purchase, receipt or ownership of the Shares, including the tax consequences under federal, state, local, and other income tax laws of the United States or any other country and the possible effects of changes in such tax laws. Such Member acknowledges that none of the Company, its Subsidiaries, Affiliates, successors, beneficiaries, heirs and assigns and its and their past and present directors, officers, employees, and agents (including their attorneys) makes or has made any representations or warranties to such Member regarding the consequences to such Member of the purchase, receipt or ownership of the Shares, including the tax consequences under federal, state, local and other tax laws of the United States or any other country and the possible effects of changes in such tax laws.</w:t>
      </w:r>
    </w:p>
    <w:p>
      <w:pPr>
        <w:spacing w:after="0" w:line="14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12.10 </w:t>
      </w:r>
      <w:r>
        <w:rPr>
          <w:rFonts w:ascii="Arial" w:cs="Arial" w:eastAsia="Arial" w:hAnsi="Arial"/>
          <w:sz w:val="19"/>
          <w:szCs w:val="19"/>
          <w:b w:val="1"/>
          <w:bCs w:val="1"/>
          <w:u w:val="single" w:color="auto"/>
          <w:color w:val="auto"/>
        </w:rPr>
        <w:t>Acknowledgments</w:t>
      </w:r>
      <w:r>
        <w:rPr>
          <w:rFonts w:ascii="Arial" w:cs="Arial" w:eastAsia="Arial" w:hAnsi="Arial"/>
          <w:sz w:val="19"/>
          <w:szCs w:val="19"/>
          <w:color w:val="auto"/>
        </w:rPr>
        <w:t>. Upon execution and delivery of a counterpart to this Agreement or a joinder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each Member (including any of its successors or assigns, each Assignee and each Additional Member) shall be deemed to acknowledge to the Company as follows: (i) the determination of such Member to acquire Shares pursuant to this Agreement or any other agreement has been made by such Member independent of any other Member and independent of any statements or opinions as to the advisability of such purchase or as to the properties, business, prospects or condition (financial or otherwise) of the Company and its Subsidiaries which may have been made or given by any other Member or by any agent or employee of any other Member, (ii) no other Member has acted as an agent of such Member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204"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connection with making its investment hereunder and that no other Member shall be acting as an agent of such Member in connection with monitoring its investment hereunder, (iii) each of the GM Investor and GM Parent has retained Kirkland &amp; Ellis LLP in connection with the transactions contemplated hereby and expect to retain Kirkland &amp; Ellis LLP as legal counsel in connection with the management and operation of the investment in the Company and its Subsidiaries, (iv) Kirkland &amp; Ellis LLP is not representing and will not represent any other Member in connection with the transactions contemplated hereby or any dispute which may arise between the GM Investor, on the one hand, and any other Member, on the other hand, and (v) such Member will, if it wishes counsel on the transactions contemplated hereby, retain its own independent counsel.</w:t>
      </w:r>
    </w:p>
    <w:p>
      <w:pPr>
        <w:spacing w:after="0" w:line="14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12.11</w:t>
      </w:r>
      <w:r>
        <w:rPr>
          <w:sz w:val="20"/>
          <w:szCs w:val="20"/>
          <w:color w:val="auto"/>
        </w:rPr>
        <w:tab/>
      </w:r>
      <w:r>
        <w:rPr>
          <w:rFonts w:ascii="Arial" w:cs="Arial" w:eastAsia="Arial" w:hAnsi="Arial"/>
          <w:sz w:val="19"/>
          <w:szCs w:val="19"/>
          <w:b w:val="1"/>
          <w:bCs w:val="1"/>
          <w:u w:val="single" w:color="auto"/>
          <w:color w:val="auto"/>
        </w:rPr>
        <w:t>Miscellaneous</w:t>
      </w:r>
      <w:r>
        <w:rPr>
          <w:rFonts w:ascii="Arial" w:cs="Arial" w:eastAsia="Arial" w:hAnsi="Arial"/>
          <w:sz w:val="19"/>
          <w:szCs w:val="19"/>
          <w:color w:val="auto"/>
        </w:rPr>
        <w:t>.</w:t>
      </w:r>
    </w:p>
    <w:p>
      <w:pPr>
        <w:spacing w:after="0" w:line="226" w:lineRule="exact"/>
        <w:rPr>
          <w:sz w:val="20"/>
          <w:szCs w:val="20"/>
          <w:color w:val="auto"/>
        </w:rPr>
      </w:pPr>
    </w:p>
    <w:p>
      <w:pPr>
        <w:ind w:right="20" w:firstLine="1304"/>
        <w:spacing w:after="0" w:line="263" w:lineRule="auto"/>
        <w:tabs>
          <w:tab w:leader="none" w:pos="1981" w:val="left"/>
        </w:tabs>
        <w:numPr>
          <w:ilvl w:val="0"/>
          <w:numId w:val="148"/>
        </w:numPr>
        <w:rPr>
          <w:rFonts w:ascii="Arial" w:cs="Arial" w:eastAsia="Arial" w:hAnsi="Arial"/>
          <w:sz w:val="22"/>
          <w:szCs w:val="22"/>
          <w:color w:val="010000"/>
        </w:rPr>
      </w:pPr>
      <w:r>
        <w:rPr>
          <w:rFonts w:ascii="Arial" w:cs="Arial" w:eastAsia="Arial" w:hAnsi="Arial"/>
          <w:sz w:val="22"/>
          <w:szCs w:val="22"/>
          <w:u w:val="single" w:color="auto"/>
          <w:color w:val="auto"/>
        </w:rPr>
        <w:t>Descriptive Headings</w:t>
      </w:r>
      <w:r>
        <w:rPr>
          <w:rFonts w:ascii="Arial" w:cs="Arial" w:eastAsia="Arial" w:hAnsi="Arial"/>
          <w:sz w:val="22"/>
          <w:szCs w:val="22"/>
          <w:color w:val="auto"/>
        </w:rPr>
        <w:t>. The article or section titles or captions contained in this Agreement are for convenience only and shall not be deemed a part of this Agreement.</w:t>
      </w:r>
    </w:p>
    <w:p>
      <w:pPr>
        <w:spacing w:after="0" w:line="174" w:lineRule="exact"/>
        <w:rPr>
          <w:rFonts w:ascii="Arial" w:cs="Arial" w:eastAsia="Arial" w:hAnsi="Arial"/>
          <w:sz w:val="22"/>
          <w:szCs w:val="22"/>
          <w:color w:val="010000"/>
        </w:rPr>
      </w:pPr>
    </w:p>
    <w:p>
      <w:pPr>
        <w:jc w:val="both"/>
        <w:ind w:firstLine="1304"/>
        <w:spacing w:after="0" w:line="287" w:lineRule="auto"/>
        <w:tabs>
          <w:tab w:leader="none" w:pos="1791" w:val="left"/>
        </w:tabs>
        <w:numPr>
          <w:ilvl w:val="0"/>
          <w:numId w:val="148"/>
        </w:numPr>
        <w:rPr>
          <w:rFonts w:ascii="Arial" w:cs="Arial" w:eastAsia="Arial" w:hAnsi="Arial"/>
          <w:sz w:val="19"/>
          <w:szCs w:val="19"/>
          <w:color w:val="010000"/>
        </w:rPr>
      </w:pPr>
      <w:r>
        <w:rPr>
          <w:rFonts w:ascii="Arial" w:cs="Arial" w:eastAsia="Arial" w:hAnsi="Arial"/>
          <w:sz w:val="19"/>
          <w:szCs w:val="19"/>
          <w:u w:val="single" w:color="auto"/>
          <w:color w:val="auto"/>
        </w:rPr>
        <w:t>Severability</w:t>
      </w:r>
      <w:r>
        <w:rPr>
          <w:rFonts w:ascii="Arial" w:cs="Arial" w:eastAsia="Arial" w:hAnsi="Arial"/>
          <w:sz w:val="19"/>
          <w:szCs w:val="19"/>
          <w:color w:val="auto"/>
        </w:rPr>
        <w:t>. Wherever possible, each provision of this Agreement shall be interpreted in such manner as to be effective and valid under applicable law and references to any law shall include all statutory and regulatory provisions consolidating, amending, replacing, supplementing or interpreting such law, but if any provision of this Agreement shall be unenforceable or invalid under applicable law in any jurisdiction or with respect to any Member, such provision shall be ineffective only to the extent of such unenforceability or invalidity and shall not affect the enforceability of any other provision in such jurisdiction or the enforcement of the entirety of this Agreement in any other jurisdiction or with respect to any other Member, but this Agreement will be reformed, construed and enforced in such jurisdiction and with respect to the applicable Member as if such invalid or unenforceable provision had never been contained herein. Notwithstanding the foregoing, if any court determines that any of the covenants or agreements set forth in this Agreement are overbroad under applicable law in time, geographical scope or otherwise, the Members specifically agree and authorize such court to rewrite this Agreement to reflect the maximum time, geographical and/or other restrictions permitted under applicable law to be reasonable and enforceable.</w:t>
      </w:r>
    </w:p>
    <w:p>
      <w:pPr>
        <w:spacing w:after="0" w:line="163" w:lineRule="exact"/>
        <w:rPr>
          <w:rFonts w:ascii="Arial" w:cs="Arial" w:eastAsia="Arial" w:hAnsi="Arial"/>
          <w:sz w:val="19"/>
          <w:szCs w:val="19"/>
          <w:color w:val="010000"/>
        </w:rPr>
      </w:pPr>
    </w:p>
    <w:p>
      <w:pPr>
        <w:jc w:val="both"/>
        <w:ind w:firstLine="1304"/>
        <w:spacing w:after="0" w:line="247" w:lineRule="auto"/>
        <w:tabs>
          <w:tab w:leader="none" w:pos="1752" w:val="left"/>
        </w:tabs>
        <w:numPr>
          <w:ilvl w:val="0"/>
          <w:numId w:val="148"/>
        </w:numPr>
        <w:rPr>
          <w:rFonts w:ascii="Arial" w:cs="Arial" w:eastAsia="Arial" w:hAnsi="Arial"/>
          <w:sz w:val="22"/>
          <w:szCs w:val="22"/>
          <w:color w:val="010000"/>
        </w:rPr>
      </w:pPr>
      <w:r>
        <w:rPr>
          <w:rFonts w:ascii="Arial" w:cs="Arial" w:eastAsia="Arial" w:hAnsi="Arial"/>
          <w:sz w:val="22"/>
          <w:szCs w:val="22"/>
          <w:u w:val="single" w:color="auto"/>
          <w:color w:val="auto"/>
        </w:rPr>
        <w:t>Waiver</w:t>
      </w:r>
      <w:r>
        <w:rPr>
          <w:rFonts w:ascii="Arial" w:cs="Arial" w:eastAsia="Arial" w:hAnsi="Arial"/>
          <w:sz w:val="22"/>
          <w:szCs w:val="22"/>
          <w:color w:val="auto"/>
        </w:rPr>
        <w:t>. The failure of any Person to insist in one or more instances on performance by another Person of any obligation, condition or other term of this Agreement in strict accordance with the provisions hereof shall not be construed as a waiver of any right granted hereunder or of the future performance of any obligation, condition or other term of this Agreement in strict accordance with the provisions hereof, and no waiver with respect thereto shall be effective unless contained in a writing signed by or on behalf of the waiving party. The remedies in this Agreement shall be cumulative and are not exclusive of any other remedies provided by law.</w:t>
      </w:r>
    </w:p>
    <w:p>
      <w:pPr>
        <w:spacing w:after="0" w:line="192" w:lineRule="exact"/>
        <w:rPr>
          <w:rFonts w:ascii="Arial" w:cs="Arial" w:eastAsia="Arial" w:hAnsi="Arial"/>
          <w:sz w:val="22"/>
          <w:szCs w:val="22"/>
          <w:color w:val="010000"/>
        </w:rPr>
      </w:pPr>
    </w:p>
    <w:p>
      <w:pPr>
        <w:jc w:val="both"/>
        <w:ind w:firstLine="1304"/>
        <w:spacing w:after="0" w:line="302" w:lineRule="auto"/>
        <w:tabs>
          <w:tab w:leader="none" w:pos="1764" w:val="left"/>
        </w:tabs>
        <w:numPr>
          <w:ilvl w:val="0"/>
          <w:numId w:val="148"/>
        </w:numPr>
        <w:rPr>
          <w:rFonts w:ascii="Arial" w:cs="Arial" w:eastAsia="Arial" w:hAnsi="Arial"/>
          <w:sz w:val="19"/>
          <w:szCs w:val="19"/>
          <w:color w:val="010000"/>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Agreement shall be binding upon, and inure to the benefit of, the parties hereto and their respective heirs, representatives, successors and permitted assigns. Notwithstanding the foregoing or anything in this Agreement to the contrary, none of the Members may, without the prior written approval of the Board of Directors, assign or delegate any of his, her or its rights or obligations under this Agreement to any Person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a Permitted Transferee (provided that, for clarity, SoftBank may not assign its obligations in Section 2.02(c)(i));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foregoing shall not prohibit or otherwise affect the ability of a Member to effect a Transfer of Shares in accordance with this Agreement.</w:t>
      </w:r>
    </w:p>
    <w:p>
      <w:pPr>
        <w:spacing w:after="0" w:line="185" w:lineRule="exact"/>
        <w:rPr>
          <w:sz w:val="20"/>
          <w:szCs w:val="20"/>
          <w:color w:val="auto"/>
        </w:rPr>
      </w:pPr>
    </w:p>
    <w:p>
      <w:pPr>
        <w:jc w:val="both"/>
        <w:ind w:firstLine="1304"/>
        <w:spacing w:after="0" w:line="302" w:lineRule="auto"/>
        <w:tabs>
          <w:tab w:leader="none" w:pos="1765" w:val="left"/>
        </w:tabs>
        <w:numPr>
          <w:ilvl w:val="0"/>
          <w:numId w:val="149"/>
        </w:numPr>
        <w:rPr>
          <w:rFonts w:ascii="Arial" w:cs="Arial" w:eastAsia="Arial" w:hAnsi="Arial"/>
          <w:sz w:val="19"/>
          <w:szCs w:val="19"/>
          <w:color w:val="010000"/>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(including the appendices, exhibits and schedules attached hereto, which are hereby incorporated herein by reference) and the other agreements referred to in or contemplated by this Agreement constitute the entire agreement of the parties hereto with respect to the subject matter hereof and thereof and supersedes all prior agreements, negotiations or representations with respect to the subject matter hereof and thereof.</w:t>
      </w:r>
    </w:p>
    <w:p>
      <w:pPr>
        <w:spacing w:after="0" w:line="142" w:lineRule="exact"/>
        <w:rPr>
          <w:rFonts w:ascii="Arial" w:cs="Arial" w:eastAsia="Arial" w:hAnsi="Arial"/>
          <w:sz w:val="19"/>
          <w:szCs w:val="19"/>
          <w:color w:val="010000"/>
        </w:rPr>
      </w:pPr>
    </w:p>
    <w:p>
      <w:pPr>
        <w:jc w:val="both"/>
        <w:ind w:firstLine="1304"/>
        <w:spacing w:after="0" w:line="271" w:lineRule="auto"/>
        <w:tabs>
          <w:tab w:leader="none" w:pos="1755" w:val="left"/>
        </w:tabs>
        <w:numPr>
          <w:ilvl w:val="0"/>
          <w:numId w:val="149"/>
        </w:numPr>
        <w:rPr>
          <w:rFonts w:ascii="Arial" w:cs="Arial" w:eastAsia="Arial" w:hAnsi="Arial"/>
          <w:sz w:val="21"/>
          <w:szCs w:val="21"/>
          <w:color w:val="010000"/>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the laws of the State of Delaware, including the Act, without giving effect to any choice of law or conflict of law provision or rule (whether of the State of Delaware or any other jurisdiction) that would cause the application of the laws of any jurisdiction other than the State of Delaware.</w:t>
      </w:r>
    </w:p>
    <w:p>
      <w:pPr>
        <w:spacing w:after="0" w:line="167" w:lineRule="exact"/>
        <w:rPr>
          <w:rFonts w:ascii="Arial" w:cs="Arial" w:eastAsia="Arial" w:hAnsi="Arial"/>
          <w:sz w:val="21"/>
          <w:szCs w:val="21"/>
          <w:color w:val="010000"/>
        </w:rPr>
      </w:pPr>
    </w:p>
    <w:p>
      <w:pPr>
        <w:jc w:val="both"/>
        <w:ind w:firstLine="1304"/>
        <w:spacing w:after="0" w:line="285" w:lineRule="auto"/>
        <w:tabs>
          <w:tab w:leader="none" w:pos="1791" w:val="left"/>
        </w:tabs>
        <w:numPr>
          <w:ilvl w:val="0"/>
          <w:numId w:val="149"/>
        </w:numPr>
        <w:rPr>
          <w:rFonts w:ascii="Arial" w:cs="Arial" w:eastAsia="Arial" w:hAnsi="Arial"/>
          <w:sz w:val="19"/>
          <w:szCs w:val="19"/>
          <w:color w:val="010000"/>
        </w:rPr>
      </w:pPr>
      <w:r>
        <w:rPr>
          <w:rFonts w:ascii="Arial" w:cs="Arial" w:eastAsia="Arial" w:hAnsi="Arial"/>
          <w:sz w:val="19"/>
          <w:szCs w:val="19"/>
          <w:u w:val="single" w:color="auto"/>
          <w:color w:val="auto"/>
        </w:rPr>
        <w:t>Construction</w:t>
      </w:r>
      <w:r>
        <w:rPr>
          <w:rFonts w:ascii="Arial" w:cs="Arial" w:eastAsia="Arial" w:hAnsi="Arial"/>
          <w:sz w:val="19"/>
          <w:szCs w:val="19"/>
          <w:color w:val="auto"/>
        </w:rPr>
        <w:t>. The parties hereto acknowledge and agree that each has negotiated and reviewed the terms of this Agreement, assisted by such legal and tax counsel as they desired, and has contributed to its revisions. The parties hereto further agree that the rule of construction that any ambiguities are resolved against the drafting party will be subordinated to the principle that the terms and provisions of this Agreement will be construed fairly as to all parties hereto and not in favor of or against any party. The word “including” and other words of similar import means “including, without limitation” and where specific language is used to clarify by example a general statement contained herein, such specific language shall not be deemed to modify, limit or restrict in any manner the construction of the general statement to which it relates. All pronouns shall be deemed to refer to the masculine, feminine, neuter, singular or plural, as the identity of the Person may require in the context thereof. The words “herein,” “hereof,” “hereunder” and other words of similar import refer to this Agreement as a whole, and not to any particular section, subsection, paragraph, subparagraph or clause contained in this Agreement. Any law, statute, rule or regulation defined or referred to herein means such law, statute, rule or regulation as from time to time amended, modified or supplemented. The terms “$” and “dollars” means United States Dollars. A reference herein to this Agreement refers to this Agreement as it may hereafter be amended, modified, extended, restated or replaced from time to time in accordance with the provisions hereof and a reference to any other agreement refers to such other agreement as it may hereafter be amended, modified, extended, restated or replaced from time to time in accordance with the provisions thereof and the applicable limitations (if any) set forth in this Agreement. With respect to any matter requiring the approval, decision, determination or consent of any Person(s) hereunder (including the Members and the Board of Directors), if no other standard for granting, denying or making such approval, decision, determination or consent is provided in this Agreement, such approval, decision, determination or consent shall be made by such Person(s) in their sole discretion.</w:t>
      </w:r>
    </w:p>
    <w:p>
      <w:pPr>
        <w:spacing w:after="0" w:line="200" w:lineRule="exact"/>
        <w:rPr>
          <w:rFonts w:ascii="Arial" w:cs="Arial" w:eastAsia="Arial" w:hAnsi="Arial"/>
          <w:sz w:val="19"/>
          <w:szCs w:val="19"/>
          <w:color w:val="010000"/>
        </w:rPr>
      </w:pPr>
    </w:p>
    <w:p>
      <w:pPr>
        <w:spacing w:after="0" w:line="219" w:lineRule="exact"/>
        <w:rPr>
          <w:rFonts w:ascii="Arial" w:cs="Arial" w:eastAsia="Arial" w:hAnsi="Arial"/>
          <w:sz w:val="19"/>
          <w:szCs w:val="19"/>
          <w:color w:val="010000"/>
        </w:rPr>
      </w:pPr>
    </w:p>
    <w:p>
      <w:pPr>
        <w:jc w:val="both"/>
        <w:ind w:firstLine="1304"/>
        <w:spacing w:after="0" w:line="312" w:lineRule="auto"/>
        <w:tabs>
          <w:tab w:leader="none" w:pos="1845" w:val="left"/>
        </w:tabs>
        <w:numPr>
          <w:ilvl w:val="0"/>
          <w:numId w:val="149"/>
        </w:numPr>
        <w:rPr>
          <w:rFonts w:ascii="Arial" w:cs="Arial" w:eastAsia="Arial" w:hAnsi="Arial"/>
          <w:sz w:val="19"/>
          <w:szCs w:val="19"/>
          <w:color w:val="010000"/>
        </w:rPr>
      </w:pPr>
      <w:r>
        <w:rPr>
          <w:rFonts w:ascii="Arial" w:cs="Arial" w:eastAsia="Arial" w:hAnsi="Arial"/>
          <w:sz w:val="19"/>
          <w:szCs w:val="19"/>
          <w:u w:val="single" w:color="auto"/>
          <w:color w:val="auto"/>
        </w:rPr>
        <w:t>Venue; Waiver of Jury Trial</w:t>
      </w:r>
      <w:r>
        <w:rPr>
          <w:rFonts w:ascii="Arial" w:cs="Arial" w:eastAsia="Arial" w:hAnsi="Arial"/>
          <w:sz w:val="19"/>
          <w:szCs w:val="19"/>
          <w:color w:val="auto"/>
        </w:rPr>
        <w:t>. This Agreement has been executed and delivered in and shall be deemed to have been made in Delaware. Each Member agrees to the exclusive jurisdiction of any state or federal court within Delaware, with respect to any claim or cause of action arising under or relating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order from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204"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such court may be enforced in any other jurisdiction), and waives personal service of any and all process upon it, and consents that all services of process be made by registered mail, directed to it at its address as set forth in Section 12.06, and service so made shall be deemed to be completed when received. Each Member waives any objection based on </w:t>
      </w:r>
      <w:r>
        <w:rPr>
          <w:rFonts w:ascii="Arial" w:cs="Arial" w:eastAsia="Arial" w:hAnsi="Arial"/>
          <w:sz w:val="19"/>
          <w:szCs w:val="19"/>
          <w:i w:val="1"/>
          <w:iCs w:val="1"/>
          <w:color w:val="auto"/>
        </w:rPr>
        <w:t>forum non conveniens</w:t>
      </w:r>
      <w:r>
        <w:rPr>
          <w:rFonts w:ascii="Arial" w:cs="Arial" w:eastAsia="Arial" w:hAnsi="Arial"/>
          <w:sz w:val="19"/>
          <w:szCs w:val="19"/>
          <w:color w:val="auto"/>
        </w:rPr>
        <w:t xml:space="preserve"> and waives any objection to venue of any action instituted hereunder. Nothing in this paragraph shall affect the right to serve legal process in any other manner permitted by law. EACH OF THE PARTIES HERETO (INCLUDING EACH MEMBER) IRREVOCABLY WAIVES ALL RIGHT TO A TRIAL BY JURY IN ANY SUIT, ACTION OR OTHER PROCEEDING INSTITUTED BY OR AGAINST SUCH PARTY IN RESPECT OF ITS, HIS OR HER OBLIGATIONS HEREUNDER.</w:t>
      </w:r>
    </w:p>
    <w:p>
      <w:pPr>
        <w:spacing w:after="0" w:line="151" w:lineRule="exact"/>
        <w:rPr>
          <w:sz w:val="20"/>
          <w:szCs w:val="20"/>
          <w:color w:val="auto"/>
        </w:rPr>
      </w:pPr>
    </w:p>
    <w:p>
      <w:pPr>
        <w:ind w:firstLine="1304"/>
        <w:spacing w:after="0" w:line="263" w:lineRule="auto"/>
        <w:tabs>
          <w:tab w:leader="none" w:pos="1756" w:val="left"/>
        </w:tabs>
        <w:numPr>
          <w:ilvl w:val="0"/>
          <w:numId w:val="150"/>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multiple counterparts, each of which shall be deemed an original and all of which together shall constitute one instrument.</w:t>
      </w:r>
    </w:p>
    <w:p>
      <w:pPr>
        <w:spacing w:after="0" w:line="174" w:lineRule="exact"/>
        <w:rPr>
          <w:rFonts w:ascii="Arial" w:cs="Arial" w:eastAsia="Arial" w:hAnsi="Arial"/>
          <w:sz w:val="22"/>
          <w:szCs w:val="22"/>
          <w:color w:val="010000"/>
        </w:rPr>
      </w:pPr>
    </w:p>
    <w:p>
      <w:pPr>
        <w:jc w:val="both"/>
        <w:ind w:firstLine="1304"/>
        <w:spacing w:after="0" w:line="253" w:lineRule="auto"/>
        <w:tabs>
          <w:tab w:leader="none" w:pos="1837" w:val="left"/>
        </w:tabs>
        <w:numPr>
          <w:ilvl w:val="0"/>
          <w:numId w:val="150"/>
        </w:numPr>
        <w:rPr>
          <w:rFonts w:ascii="Arial" w:cs="Arial" w:eastAsia="Arial" w:hAnsi="Arial"/>
          <w:sz w:val="22"/>
          <w:szCs w:val="22"/>
          <w:color w:val="010000"/>
        </w:rPr>
      </w:pPr>
      <w:r>
        <w:rPr>
          <w:rFonts w:ascii="Arial" w:cs="Arial" w:eastAsia="Arial" w:hAnsi="Arial"/>
          <w:sz w:val="22"/>
          <w:szCs w:val="22"/>
          <w:u w:val="single" w:color="auto"/>
          <w:color w:val="auto"/>
        </w:rPr>
        <w:t>Third Parties</w:t>
      </w:r>
      <w:r>
        <w:rPr>
          <w:rFonts w:ascii="Arial" w:cs="Arial" w:eastAsia="Arial" w:hAnsi="Arial"/>
          <w:sz w:val="22"/>
          <w:szCs w:val="22"/>
          <w:color w:val="auto"/>
        </w:rPr>
        <w:t>. The agreements, covenants and representations contained herein are for the benefit of the Company and the Members and are not for the benefit of any third parties, including any creditors of the Company, except to the extent that any other Person is expressly granted any rights under this Agreement.</w:t>
      </w:r>
    </w:p>
    <w:p>
      <w:pPr>
        <w:spacing w:after="0" w:line="17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12.12 </w:t>
      </w:r>
      <w:r>
        <w:rPr>
          <w:rFonts w:ascii="Arial" w:cs="Arial" w:eastAsia="Arial" w:hAnsi="Arial"/>
          <w:sz w:val="21"/>
          <w:szCs w:val="21"/>
          <w:b w:val="1"/>
          <w:bCs w:val="1"/>
          <w:u w:val="single" w:color="auto"/>
          <w:color w:val="auto"/>
        </w:rPr>
        <w:t>Title to Company Assets</w:t>
      </w:r>
      <w:r>
        <w:rPr>
          <w:rFonts w:ascii="Arial" w:cs="Arial" w:eastAsia="Arial" w:hAnsi="Arial"/>
          <w:sz w:val="21"/>
          <w:szCs w:val="21"/>
          <w:color w:val="auto"/>
        </w:rPr>
        <w:t>. Company assets shall be deemed to be owned by the Company as an entity, and no</w:t>
      </w:r>
      <w:r>
        <w:rPr>
          <w:rFonts w:ascii="Arial" w:cs="Arial" w:eastAsia="Arial" w:hAnsi="Arial"/>
          <w:sz w:val="21"/>
          <w:szCs w:val="21"/>
          <w:b w:val="1"/>
          <w:bCs w:val="1"/>
          <w:color w:val="auto"/>
        </w:rPr>
        <w:t xml:space="preserve"> </w:t>
      </w:r>
      <w:r>
        <w:rPr>
          <w:rFonts w:ascii="Arial" w:cs="Arial" w:eastAsia="Arial" w:hAnsi="Arial"/>
          <w:sz w:val="21"/>
          <w:szCs w:val="21"/>
          <w:color w:val="auto"/>
        </w:rPr>
        <w:t>Member, individually or collectively, shall have any ownership interest in such Company assets or any portion thereof. Legal title to any or all Company assets may be held in the name of the Company or one or more nominees, as the Board of Directors may determine. The Board of Directors hereby declares and warrants that any Company assets for which legal title is held in the name of any nominee shall be held in trust by such nominee for the use and benefit of the Company in accordance with the provisions of this Agreement. All Company assets shall be recorded as the property of the Company on its books and records, irrespective of the name in which legal title to such Company assets is held.</w:t>
      </w:r>
    </w:p>
    <w:p>
      <w:pPr>
        <w:spacing w:after="0" w:line="17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auto"/>
        </w:rPr>
        <w:t xml:space="preserve">12.13 </w:t>
      </w:r>
      <w:r>
        <w:rPr>
          <w:rFonts w:ascii="Arial" w:cs="Arial" w:eastAsia="Arial" w:hAnsi="Arial"/>
          <w:sz w:val="19"/>
          <w:szCs w:val="19"/>
          <w:b w:val="1"/>
          <w:bCs w:val="1"/>
          <w:u w:val="single" w:color="auto"/>
          <w:color w:val="auto"/>
        </w:rPr>
        <w:t>Creditors</w:t>
      </w:r>
      <w:r>
        <w:rPr>
          <w:rFonts w:ascii="Arial" w:cs="Arial" w:eastAsia="Arial" w:hAnsi="Arial"/>
          <w:sz w:val="19"/>
          <w:szCs w:val="19"/>
          <w:color w:val="auto"/>
        </w:rPr>
        <w:t>. None of the provisions of this Agreement shall be for the benefit of or enforceable by any non-Member creditors of the Company or any of its Affiliates, and no non-Member creditor who makes a loan to the Company or any of its Affiliates may have or acquire (except pursuant to the terms of a separate agreement executed by the Company in favor of such creditor) at any time as a result of making the loan any direct or indirect interest in Distributions, capital or property or the rights of the Board of Directors to require Capital Contributions other than as a secured creditor. Notwithstanding anything to the contrary in this Agreement, any Member who is, or whose Affiliates are, a creditor or lender of the Company or its Subsidiaries (including a trade creditor pursuant to any Commercial Agreement) shall be entitled to exercise all of its rights as a creditor of lender of the Company or its Subsidiaries, as set forth in the applicable credit document or other agreement between such Member (or its Affiliates) and the Company or its Subsidiaries, or otherwise available to such Member (or its Affiliates) in such capacity. Without limiting the generality of the foregoing, any such Member (or its Affiliates), in exercising its rights as a creditor or lender, will have no duty to consider (i) its or its Affiliates’ status as a direct or indirect equity owner of the Company or its Subsidiaries, (ii) the interests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04"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Company or its Subsidiaries, or (iii) any duty it or any of its Affiliates may have hereunder or otherwise to any other Member, except as may be required under the applicable credit or other documents or by commercial law applicable to creditors generally.</w:t>
      </w:r>
    </w:p>
    <w:p>
      <w:pPr>
        <w:spacing w:after="0" w:line="9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12.14 </w:t>
      </w:r>
      <w:r>
        <w:rPr>
          <w:rFonts w:ascii="Arial" w:cs="Arial" w:eastAsia="Arial" w:hAnsi="Arial"/>
          <w:sz w:val="19"/>
          <w:szCs w:val="19"/>
          <w:b w:val="1"/>
          <w:bCs w:val="1"/>
          <w:u w:val="single" w:color="auto"/>
          <w:color w:val="auto"/>
        </w:rPr>
        <w:t>Remedies</w:t>
      </w:r>
      <w:r>
        <w:rPr>
          <w:rFonts w:ascii="Arial" w:cs="Arial" w:eastAsia="Arial" w:hAnsi="Arial"/>
          <w:sz w:val="19"/>
          <w:szCs w:val="19"/>
          <w:color w:val="auto"/>
        </w:rPr>
        <w:t>. The Company and the Members shall be entitled to enforce their respective rights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specifically, to recover damages by reason of any breach of any provision of this Agreement (including costs of enforcement) and to exercise any and all other rights at law or at equity existing in their respective favor. The Company and each Assignee and Member further agrees and acknowledges that money damages shall not be an adequate remedy for any breach of the provisions of this Agreement (and thus waive as defense that there is an adequate remedy at law), and that, accordingly, the Company or any Member shall, in the event of any breach or threatened breach of this Agreement, be entitled (without posting a bond or other security) to seek an injunction or injunctions to prevent or restrain threatened breaches of, and to specifically enforce the terms and provisions of this Agreement to prevent breaches or threatened breaches of, or to enforce compliance with, the covenants and obligations under this Agreement. The Company and each Member and Assignee hereby waives any right to claim that specific performance should not be ordered to prevent or remedy a breach or threatened breach of this Agreement, and agrees not to raise any objections on the basis that a remedy at laws would be adequate or on any other basis, (a) to the availability or appropriateness of the equitable remedy of specific performance, or (b) to the rights of the Company and the Members to specifically enforce the terms and provisions of this Agreement to prevent breaches or threatened breaches of, or to enforce compliance with, the covenants and obligations of this Agreement. The remedies in this Agreement shall be cumulative and are not exclusive of any other remedies provided by law.</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12.15 </w:t>
      </w:r>
      <w:r>
        <w:rPr>
          <w:rFonts w:ascii="Arial" w:cs="Arial" w:eastAsia="Arial" w:hAnsi="Arial"/>
          <w:sz w:val="22"/>
          <w:szCs w:val="22"/>
          <w:b w:val="1"/>
          <w:bCs w:val="1"/>
          <w:u w:val="single" w:color="auto"/>
          <w:color w:val="auto"/>
        </w:rPr>
        <w:t>Time is of the Essence; Computation of Time</w:t>
      </w:r>
      <w:r>
        <w:rPr>
          <w:rFonts w:ascii="Arial" w:cs="Arial" w:eastAsia="Arial" w:hAnsi="Arial"/>
          <w:sz w:val="22"/>
          <w:szCs w:val="22"/>
          <w:color w:val="auto"/>
        </w:rPr>
        <w:t>. Time is of the essence for each and every provision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Whenever the last day for the exercise of any privilege or the discharge of any duty hereunder shall fall upon a day other than a Business Day, the party having such privilege or duty may exercise such privilege or discharge such duty on the next succeeding day which is a Business Day.</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12.16 </w:t>
      </w:r>
      <w:r>
        <w:rPr>
          <w:rFonts w:ascii="Arial" w:cs="Arial" w:eastAsia="Arial" w:hAnsi="Arial"/>
          <w:sz w:val="22"/>
          <w:szCs w:val="22"/>
          <w:b w:val="1"/>
          <w:bCs w:val="1"/>
          <w:u w:val="single" w:color="auto"/>
          <w:color w:val="auto"/>
        </w:rPr>
        <w:t>Notice to Members of Provisions</w:t>
      </w:r>
      <w:r>
        <w:rPr>
          <w:rFonts w:ascii="Arial" w:cs="Arial" w:eastAsia="Arial" w:hAnsi="Arial"/>
          <w:sz w:val="22"/>
          <w:szCs w:val="22"/>
          <w:color w:val="auto"/>
        </w:rPr>
        <w:t>. By executing this Agreement (in its current or prior form), each Member</w:t>
      </w:r>
      <w:r>
        <w:rPr>
          <w:rFonts w:ascii="Arial" w:cs="Arial" w:eastAsia="Arial" w:hAnsi="Arial"/>
          <w:sz w:val="22"/>
          <w:szCs w:val="22"/>
          <w:b w:val="1"/>
          <w:bCs w:val="1"/>
          <w:color w:val="auto"/>
        </w:rPr>
        <w:t xml:space="preserve"> </w:t>
      </w:r>
      <w:r>
        <w:rPr>
          <w:rFonts w:ascii="Arial" w:cs="Arial" w:eastAsia="Arial" w:hAnsi="Arial"/>
          <w:sz w:val="22"/>
          <w:szCs w:val="22"/>
          <w:color w:val="auto"/>
        </w:rPr>
        <w:t>acknowledges that it has actual notice of (i) all of the provisions hereof (including the restrictions on transfer set forth in Article IX) and (ii) all of the provisions of the Certificate of Formation.</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12.17 </w:t>
      </w:r>
      <w:r>
        <w:rPr>
          <w:rFonts w:ascii="Arial" w:cs="Arial" w:eastAsia="Arial" w:hAnsi="Arial"/>
          <w:sz w:val="22"/>
          <w:szCs w:val="22"/>
          <w:b w:val="1"/>
          <w:bCs w:val="1"/>
          <w:u w:val="single" w:color="auto"/>
          <w:color w:val="auto"/>
        </w:rPr>
        <w:t>Further Assurances</w:t>
      </w:r>
      <w:r>
        <w:rPr>
          <w:rFonts w:ascii="Arial" w:cs="Arial" w:eastAsia="Arial" w:hAnsi="Arial"/>
          <w:sz w:val="22"/>
          <w:szCs w:val="22"/>
          <w:color w:val="auto"/>
        </w:rPr>
        <w:t>. In connection with this Agreement and the transactions contemplated hereby, each Member</w:t>
      </w:r>
      <w:r>
        <w:rPr>
          <w:rFonts w:ascii="Arial" w:cs="Arial" w:eastAsia="Arial" w:hAnsi="Arial"/>
          <w:sz w:val="22"/>
          <w:szCs w:val="22"/>
          <w:b w:val="1"/>
          <w:bCs w:val="1"/>
          <w:color w:val="auto"/>
        </w:rPr>
        <w:t xml:space="preserve"> </w:t>
      </w:r>
      <w:r>
        <w:rPr>
          <w:rFonts w:ascii="Arial" w:cs="Arial" w:eastAsia="Arial" w:hAnsi="Arial"/>
          <w:sz w:val="22"/>
          <w:szCs w:val="22"/>
          <w:color w:val="auto"/>
        </w:rPr>
        <w:t>shall execute and deliver any additional documents and instruments and perform any additional acts that may be necessary to effectuate and perform the provisions of this Agreement and those transactions.</w:t>
      </w:r>
    </w:p>
    <w:p>
      <w:pPr>
        <w:spacing w:after="0" w:line="17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12.18 </w:t>
      </w:r>
      <w:r>
        <w:rPr>
          <w:rFonts w:ascii="Arial" w:cs="Arial" w:eastAsia="Arial" w:hAnsi="Arial"/>
          <w:sz w:val="21"/>
          <w:szCs w:val="21"/>
          <w:b w:val="1"/>
          <w:bCs w:val="1"/>
          <w:u w:val="single" w:color="auto"/>
          <w:color w:val="auto"/>
        </w:rPr>
        <w:t>Termination</w:t>
      </w:r>
      <w:r>
        <w:rPr>
          <w:rFonts w:ascii="Arial" w:cs="Arial" w:eastAsia="Arial" w:hAnsi="Arial"/>
          <w:sz w:val="21"/>
          <w:szCs w:val="21"/>
          <w:color w:val="auto"/>
        </w:rPr>
        <w:t>. Upon consummation of an IPO or a Sale of the Company, this Agreement will be terminated (and</w:t>
      </w:r>
      <w:r>
        <w:rPr>
          <w:rFonts w:ascii="Arial" w:cs="Arial" w:eastAsia="Arial" w:hAnsi="Arial"/>
          <w:sz w:val="21"/>
          <w:szCs w:val="21"/>
          <w:b w:val="1"/>
          <w:bCs w:val="1"/>
          <w:color w:val="auto"/>
        </w:rPr>
        <w:t xml:space="preserve"> </w:t>
      </w:r>
      <w:r>
        <w:rPr>
          <w:rFonts w:ascii="Arial" w:cs="Arial" w:eastAsia="Arial" w:hAnsi="Arial"/>
          <w:sz w:val="21"/>
          <w:szCs w:val="21"/>
          <w:color w:val="auto"/>
        </w:rPr>
        <w:t>replaced, in the case of an IPO, by a suitable replacement stockholders’ agreement as reasonably determined by the Board of Directors immediately prior to the IPO) and each of the Members will be fully, finally and forever discharged and released from any and all agreements, terms, covenants, conditions, representations, warranties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obligations arising under this Agreement and all rights and benefits of the Members arising under this Agreement shall be fully, finally and forever terminated and extinguished; </w:t>
      </w:r>
      <w:r>
        <w:rPr>
          <w:rFonts w:ascii="Arial" w:cs="Arial" w:eastAsia="Arial" w:hAnsi="Arial"/>
          <w:sz w:val="22"/>
          <w:szCs w:val="22"/>
          <w:u w:val="single" w:color="auto"/>
          <w:color w:val="auto"/>
        </w:rPr>
        <w:t>provided</w:t>
      </w:r>
      <w:r>
        <w:rPr>
          <w:rFonts w:ascii="Arial" w:cs="Arial" w:eastAsia="Arial" w:hAnsi="Arial"/>
          <w:sz w:val="22"/>
          <w:szCs w:val="22"/>
          <w:color w:val="auto"/>
        </w:rPr>
        <w:t>, that Article VII, Article XI and this Article XII (and, solely in the case of a Sale of the Company, Section 9.08 to the extent any obligations thereunder have not been fully performed) shall survive and continue to apply in accordance with the their terms.</w:t>
      </w:r>
    </w:p>
    <w:p>
      <w:pPr>
        <w:spacing w:after="0" w:line="188" w:lineRule="exact"/>
        <w:rPr>
          <w:sz w:val="20"/>
          <w:szCs w:val="20"/>
          <w:color w:val="auto"/>
        </w:rPr>
      </w:pPr>
    </w:p>
    <w:p>
      <w:pPr>
        <w:jc w:val="center"/>
        <w:spacing w:after="0"/>
        <w:tabs>
          <w:tab w:leader="none" w:pos="200" w:val="left"/>
          <w:tab w:leader="none" w:pos="200" w:val="left"/>
        </w:tabs>
        <w:rPr>
          <w:sz w:val="20"/>
          <w:szCs w:val="20"/>
          <w:color w:val="auto"/>
        </w:rPr>
      </w:pPr>
      <w:r>
        <w:rPr>
          <w:rFonts w:ascii="Arial" w:cs="Arial" w:eastAsia="Arial" w:hAnsi="Arial"/>
          <w:sz w:val="22"/>
          <w:szCs w:val="22"/>
          <w:color w:val="auto"/>
        </w:rPr>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240"/>
          </w:cols>
          <w:pgMar w:left="320" w:top="1440" w:right="339" w:bottom="1440" w:gutter="0" w:footer="0" w:header="0"/>
        </w:sectPr>
      </w:pPr>
    </w:p>
    <w:bookmarkStart w:id="146" w:name="page147"/>
    <w:bookmarkEnd w:id="146"/>
    <w:p>
      <w:pPr>
        <w:spacing w:after="0"/>
        <w:rPr>
          <w:sz w:val="20"/>
          <w:szCs w:val="20"/>
          <w:color w:val="auto"/>
        </w:rPr>
      </w:pPr>
      <w:r>
        <w:rPr>
          <w:rFonts w:ascii="Arial" w:cs="Arial" w:eastAsia="Arial" w:hAnsi="Arial"/>
          <w:sz w:val="19"/>
          <w:szCs w:val="19"/>
          <w:color w:val="auto"/>
        </w:rPr>
        <w:t>IN WITNESS WHEREOF, the parties hereto have duly executed this Agreement as of the date first above written.</w:t>
      </w:r>
    </w:p>
    <w:p>
      <w:pPr>
        <w:sectPr>
          <w:pgSz w:w="11900" w:h="16838" w:orient="portrait"/>
          <w:cols w:equalWidth="0" w:num="1">
            <w:col w:w="9919"/>
          </w:cols>
          <w:pgMar w:left="540" w:top="1427" w:right="1440" w:bottom="1440" w:gutter="0" w:footer="0" w:header="0"/>
        </w:sectPr>
      </w:pPr>
    </w:p>
    <w:p>
      <w:pPr>
        <w:spacing w:after="0" w:line="275"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COMPANY:</w:t>
      </w:r>
    </w:p>
    <w:p>
      <w:pPr>
        <w:spacing w:after="0" w:line="247"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GM CRUISE HOLDINGS LLC</w:t>
      </w:r>
    </w:p>
    <w:p>
      <w:pPr>
        <w:spacing w:after="0" w:line="200" w:lineRule="exact"/>
        <w:rPr>
          <w:sz w:val="20"/>
          <w:szCs w:val="20"/>
          <w:color w:val="auto"/>
        </w:rPr>
      </w:pPr>
    </w:p>
    <w:p>
      <w:pPr>
        <w:spacing w:after="0" w:line="350"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By: /s/ William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2616835</wp:posOffset>
            </wp:positionH>
            <wp:positionV relativeFrom="paragraph">
              <wp:posOffset>33020</wp:posOffset>
            </wp:positionV>
            <wp:extent cx="19888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132" w:lineRule="exact"/>
        <w:rPr>
          <w:sz w:val="20"/>
          <w:szCs w:val="20"/>
          <w:color w:val="auto"/>
        </w:rPr>
      </w:pPr>
    </w:p>
    <w:p>
      <w:pPr>
        <w:ind w:left="3760"/>
        <w:spacing w:after="0"/>
        <w:tabs>
          <w:tab w:leader="none" w:pos="45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William Nash</w:t>
      </w:r>
    </w:p>
    <w:p>
      <w:pPr>
        <w:spacing w:after="0" w:line="21" w:lineRule="exact"/>
        <w:rPr>
          <w:sz w:val="20"/>
          <w:szCs w:val="20"/>
          <w:color w:val="auto"/>
        </w:rPr>
      </w:pPr>
    </w:p>
    <w:p>
      <w:pPr>
        <w:jc w:val="center"/>
        <w:ind w:right="-280"/>
        <w:spacing w:after="0"/>
        <w:tabs>
          <w:tab w:leader="none" w:pos="2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880"/>
        <w:spacing w:after="0"/>
        <w:rPr>
          <w:sz w:val="20"/>
          <w:szCs w:val="20"/>
          <w:color w:val="auto"/>
        </w:rPr>
      </w:pPr>
      <w:r>
        <w:rPr>
          <w:rFonts w:ascii="Arial" w:cs="Arial" w:eastAsia="Arial" w:hAnsi="Arial"/>
          <w:sz w:val="22"/>
          <w:szCs w:val="22"/>
          <w:i w:val="1"/>
          <w:iCs w:val="1"/>
          <w:color w:val="auto"/>
        </w:rPr>
        <w:t>[Signature Page of GM Cruise Holdings LLC</w:t>
      </w:r>
    </w:p>
    <w:p>
      <w:pPr>
        <w:spacing w:after="0" w:line="31" w:lineRule="exact"/>
        <w:rPr>
          <w:sz w:val="20"/>
          <w:szCs w:val="20"/>
          <w:color w:val="auto"/>
        </w:rPr>
      </w:pPr>
    </w:p>
    <w:p>
      <w:pPr>
        <w:jc w:val="center"/>
        <w:ind w:right="-880"/>
        <w:spacing w:after="0"/>
        <w:rPr>
          <w:sz w:val="20"/>
          <w:szCs w:val="20"/>
          <w:color w:val="auto"/>
        </w:rPr>
      </w:pPr>
      <w:r>
        <w:rPr>
          <w:rFonts w:ascii="Arial" w:cs="Arial" w:eastAsia="Arial" w:hAnsi="Arial"/>
          <w:sz w:val="19"/>
          <w:szCs w:val="19"/>
          <w:i w:val="1"/>
          <w:iCs w:val="1"/>
          <w:color w:val="auto"/>
        </w:rPr>
        <w:t>Seventh Amended and Restated Limited Liability Company Agreement]</w:t>
      </w:r>
    </w:p>
    <w:p>
      <w:pPr>
        <w:sectPr>
          <w:pgSz w:w="11900" w:h="16838" w:orient="portrait"/>
          <w:cols w:equalWidth="0" w:num="1">
            <w:col w:w="9919"/>
          </w:cols>
          <w:pgMar w:left="540" w:top="1427" w:right="1440" w:bottom="1440" w:gutter="0" w:footer="0" w:header="0"/>
          <w:type w:val="continuous"/>
        </w:sectPr>
      </w:pPr>
    </w:p>
    <w:bookmarkStart w:id="147" w:name="page148"/>
    <w:bookmarkEnd w:id="147"/>
    <w:p>
      <w:pPr>
        <w:spacing w:after="0"/>
        <w:rPr>
          <w:sz w:val="20"/>
          <w:szCs w:val="20"/>
          <w:color w:val="auto"/>
        </w:rPr>
      </w:pPr>
      <w:r>
        <w:rPr>
          <w:rFonts w:ascii="Arial" w:cs="Arial" w:eastAsia="Arial" w:hAnsi="Arial"/>
          <w:sz w:val="19"/>
          <w:szCs w:val="19"/>
          <w:color w:val="auto"/>
        </w:rPr>
        <w:t>IN WITNESS WHEREOF, the parties hereto have duly executed this Agreement as of the date first above written.</w:t>
      </w:r>
    </w:p>
    <w:p>
      <w:pPr>
        <w:sectPr>
          <w:pgSz w:w="11900" w:h="16838" w:orient="portrait"/>
          <w:cols w:equalWidth="0" w:num="1">
            <w:col w:w="9919"/>
          </w:cols>
          <w:pgMar w:left="540" w:top="1427" w:right="1440" w:bottom="1440" w:gutter="0" w:footer="0" w:header="0"/>
        </w:sectPr>
      </w:pPr>
    </w:p>
    <w:p>
      <w:pPr>
        <w:spacing w:after="0" w:line="275"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MEMBER:</w:t>
      </w:r>
    </w:p>
    <w:p>
      <w:pPr>
        <w:spacing w:after="0" w:line="247"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GENERAL MOTORS HOLDINGS LLC</w:t>
      </w:r>
    </w:p>
    <w:p>
      <w:pPr>
        <w:spacing w:after="0" w:line="200" w:lineRule="exact"/>
        <w:rPr>
          <w:sz w:val="20"/>
          <w:szCs w:val="20"/>
          <w:color w:val="auto"/>
        </w:rPr>
      </w:pPr>
    </w:p>
    <w:p>
      <w:pPr>
        <w:spacing w:after="0" w:line="350"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By: /s/ Rocky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2616835</wp:posOffset>
            </wp:positionH>
            <wp:positionV relativeFrom="paragraph">
              <wp:posOffset>33020</wp:posOffset>
            </wp:positionV>
            <wp:extent cx="21259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132" w:lineRule="exact"/>
        <w:rPr>
          <w:sz w:val="20"/>
          <w:szCs w:val="20"/>
          <w:color w:val="auto"/>
        </w:rPr>
      </w:pPr>
    </w:p>
    <w:p>
      <w:pPr>
        <w:ind w:left="3760"/>
        <w:spacing w:after="0"/>
        <w:tabs>
          <w:tab w:leader="none" w:pos="45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Rocky Gupta</w:t>
      </w:r>
    </w:p>
    <w:p>
      <w:pPr>
        <w:spacing w:after="0" w:line="21" w:lineRule="exact"/>
        <w:rPr>
          <w:sz w:val="20"/>
          <w:szCs w:val="20"/>
          <w:color w:val="auto"/>
        </w:rPr>
      </w:pPr>
    </w:p>
    <w:p>
      <w:pPr>
        <w:ind w:left="3760"/>
        <w:spacing w:after="0"/>
        <w:tabs>
          <w:tab w:leader="none" w:pos="44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880"/>
        <w:spacing w:after="0"/>
        <w:rPr>
          <w:sz w:val="20"/>
          <w:szCs w:val="20"/>
          <w:color w:val="auto"/>
        </w:rPr>
      </w:pPr>
      <w:r>
        <w:rPr>
          <w:rFonts w:ascii="Arial" w:cs="Arial" w:eastAsia="Arial" w:hAnsi="Arial"/>
          <w:sz w:val="22"/>
          <w:szCs w:val="22"/>
          <w:i w:val="1"/>
          <w:iCs w:val="1"/>
          <w:color w:val="auto"/>
        </w:rPr>
        <w:t>[Signature Page of GM Cruise Holdings LLC</w:t>
      </w:r>
    </w:p>
    <w:p>
      <w:pPr>
        <w:spacing w:after="0" w:line="31" w:lineRule="exact"/>
        <w:rPr>
          <w:sz w:val="20"/>
          <w:szCs w:val="20"/>
          <w:color w:val="auto"/>
        </w:rPr>
      </w:pPr>
    </w:p>
    <w:p>
      <w:pPr>
        <w:jc w:val="center"/>
        <w:ind w:right="-880"/>
        <w:spacing w:after="0"/>
        <w:rPr>
          <w:sz w:val="20"/>
          <w:szCs w:val="20"/>
          <w:color w:val="auto"/>
        </w:rPr>
      </w:pPr>
      <w:r>
        <w:rPr>
          <w:rFonts w:ascii="Arial" w:cs="Arial" w:eastAsia="Arial" w:hAnsi="Arial"/>
          <w:sz w:val="19"/>
          <w:szCs w:val="19"/>
          <w:i w:val="1"/>
          <w:iCs w:val="1"/>
          <w:color w:val="auto"/>
        </w:rPr>
        <w:t>Seventh Amended and Restated Limited Liability Company Agreement]</w:t>
      </w:r>
    </w:p>
    <w:p>
      <w:pPr>
        <w:sectPr>
          <w:pgSz w:w="11900" w:h="16838" w:orient="portrait"/>
          <w:cols w:equalWidth="0" w:num="1">
            <w:col w:w="9919"/>
          </w:cols>
          <w:pgMar w:left="540" w:top="1427" w:right="1440" w:bottom="1440" w:gutter="0" w:footer="0" w:header="0"/>
          <w:type w:val="continuous"/>
        </w:sectPr>
      </w:pPr>
    </w:p>
    <w:bookmarkStart w:id="148" w:name="page149"/>
    <w:bookmarkEnd w:id="148"/>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hereto have duly executed this Agreement as of the date first above written.</w:t>
      </w:r>
    </w:p>
    <w:p>
      <w:pPr>
        <w:sectPr>
          <w:pgSz w:w="11900" w:h="16838" w:orient="portrait"/>
          <w:cols w:equalWidth="0" w:num="1">
            <w:col w:w="9939"/>
          </w:cols>
          <w:pgMar w:left="520" w:top="1440" w:right="1440" w:bottom="1440" w:gutter="0" w:footer="0" w:header="0"/>
        </w:sectPr>
      </w:pPr>
    </w:p>
    <w:p>
      <w:pPr>
        <w:spacing w:after="0" w:line="275"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CLASS H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2346960</wp:posOffset>
            </wp:positionH>
            <wp:positionV relativeFrom="paragraph">
              <wp:posOffset>585470</wp:posOffset>
            </wp:positionV>
            <wp:extent cx="8001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Full Legal Name of Class H Member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2346960</wp:posOffset>
            </wp:positionH>
            <wp:positionV relativeFrom="paragraph">
              <wp:posOffset>434975</wp:posOffset>
            </wp:positionV>
            <wp:extent cx="8001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2346960</wp:posOffset>
            </wp:positionH>
            <wp:positionV relativeFrom="paragraph">
              <wp:posOffset>434975</wp:posOffset>
            </wp:positionV>
            <wp:extent cx="8001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Signatory, if signing on behalf of an entity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2346960</wp:posOffset>
            </wp:positionH>
            <wp:positionV relativeFrom="paragraph">
              <wp:posOffset>434975</wp:posOffset>
            </wp:positionV>
            <wp:extent cx="8001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Title of Signatory, if signing on behalf of an entity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2346960</wp:posOffset>
            </wp:positionH>
            <wp:positionV relativeFrom="paragraph">
              <wp:posOffset>434975</wp:posOffset>
            </wp:positionV>
            <wp:extent cx="8001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900"/>
        <w:spacing w:after="0"/>
        <w:rPr>
          <w:sz w:val="20"/>
          <w:szCs w:val="20"/>
          <w:color w:val="auto"/>
        </w:rPr>
      </w:pPr>
      <w:r>
        <w:rPr>
          <w:rFonts w:ascii="Arial" w:cs="Arial" w:eastAsia="Arial" w:hAnsi="Arial"/>
          <w:sz w:val="22"/>
          <w:szCs w:val="22"/>
          <w:i w:val="1"/>
          <w:iCs w:val="1"/>
          <w:color w:val="auto"/>
        </w:rPr>
        <w:t>[Signature Page of GM Cruise Holdings LLC</w:t>
      </w:r>
    </w:p>
    <w:p>
      <w:pPr>
        <w:spacing w:after="0" w:line="31" w:lineRule="exact"/>
        <w:rPr>
          <w:sz w:val="20"/>
          <w:szCs w:val="20"/>
          <w:color w:val="auto"/>
        </w:rPr>
      </w:pPr>
    </w:p>
    <w:p>
      <w:pPr>
        <w:jc w:val="center"/>
        <w:ind w:right="-900"/>
        <w:spacing w:after="0"/>
        <w:rPr>
          <w:sz w:val="20"/>
          <w:szCs w:val="20"/>
          <w:color w:val="auto"/>
        </w:rPr>
      </w:pPr>
      <w:r>
        <w:rPr>
          <w:rFonts w:ascii="Arial" w:cs="Arial" w:eastAsia="Arial" w:hAnsi="Arial"/>
          <w:sz w:val="19"/>
          <w:szCs w:val="19"/>
          <w:i w:val="1"/>
          <w:iCs w:val="1"/>
          <w:color w:val="auto"/>
        </w:rPr>
        <w:t>Seventh Amended and Restated Limited Liability Company Agreement]</w:t>
      </w:r>
    </w:p>
    <w:p>
      <w:pPr>
        <w:sectPr>
          <w:pgSz w:w="11900" w:h="16838" w:orient="portrait"/>
          <w:cols w:equalWidth="0" w:num="1">
            <w:col w:w="9939"/>
          </w:cols>
          <w:pgMar w:left="520" w:top="1440" w:right="1440" w:bottom="1440" w:gutter="0" w:footer="0" w:header="0"/>
          <w:type w:val="continuous"/>
        </w:sectPr>
      </w:pPr>
    </w:p>
    <w:bookmarkStart w:id="149" w:name="page150"/>
    <w:bookmarkEnd w:id="149"/>
    <w:p>
      <w:pPr>
        <w:jc w:val="center"/>
        <w:spacing w:after="0"/>
        <w:rPr>
          <w:sz w:val="20"/>
          <w:szCs w:val="20"/>
          <w:color w:val="auto"/>
        </w:rPr>
      </w:pPr>
      <w:r>
        <w:rPr>
          <w:rFonts w:ascii="Arial" w:cs="Arial" w:eastAsia="Arial" w:hAnsi="Arial"/>
          <w:sz w:val="22"/>
          <w:szCs w:val="22"/>
          <w:b w:val="1"/>
          <w:bCs w:val="1"/>
          <w:u w:val="single" w:color="auto"/>
          <w:color w:val="auto"/>
        </w:rPr>
        <w:t>Appendix I</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the purposes of this Agreement:</w:t>
      </w:r>
    </w:p>
    <w:p>
      <w:pPr>
        <w:spacing w:after="0" w:line="214" w:lineRule="exact"/>
        <w:rPr>
          <w:sz w:val="20"/>
          <w:szCs w:val="20"/>
          <w:color w:val="auto"/>
        </w:rPr>
      </w:pPr>
    </w:p>
    <w:p>
      <w:pPr>
        <w:ind w:left="1120" w:hanging="464"/>
        <w:spacing w:after="0"/>
        <w:tabs>
          <w:tab w:leader="none" w:pos="112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2018 Incentive Plan</w:t>
      </w:r>
      <w:r>
        <w:rPr>
          <w:rFonts w:ascii="Arial" w:cs="Arial" w:eastAsia="Arial" w:hAnsi="Arial"/>
          <w:sz w:val="19"/>
          <w:szCs w:val="19"/>
          <w:color w:val="auto"/>
        </w:rPr>
        <w:t>” shall mean the Company’s 2018 Incentive Plan, as may be amended from time to time.</w:t>
      </w:r>
    </w:p>
    <w:p>
      <w:pPr>
        <w:spacing w:after="0" w:line="254" w:lineRule="exact"/>
        <w:rPr>
          <w:rFonts w:ascii="Arial" w:cs="Arial" w:eastAsia="Arial" w:hAnsi="Arial"/>
          <w:sz w:val="19"/>
          <w:szCs w:val="19"/>
          <w:color w:val="auto"/>
        </w:rPr>
      </w:pPr>
    </w:p>
    <w:p>
      <w:pPr>
        <w:jc w:val="both"/>
        <w:ind w:firstLine="656"/>
        <w:spacing w:after="0" w:line="264" w:lineRule="auto"/>
        <w:tabs>
          <w:tab w:leader="none" w:pos="1143" w:val="left"/>
        </w:tabs>
        <w:numPr>
          <w:ilvl w:val="0"/>
          <w:numId w:val="15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A-1-A Preferred Share Conversion Ratio</w:t>
      </w:r>
      <w:r>
        <w:rPr>
          <w:rFonts w:ascii="Arial" w:cs="Arial" w:eastAsia="Arial" w:hAnsi="Arial"/>
          <w:sz w:val="21"/>
          <w:szCs w:val="21"/>
          <w:color w:val="auto"/>
        </w:rPr>
        <w:t xml:space="preserve">” shall mean a multiple (which, for the avoidance of doubt, unless, and solely to the extent, Section 2.02(d)(ii) applies, may not be less than one (1)) equal to (i) the </w:t>
      </w:r>
      <w:r>
        <w:rPr>
          <w:rFonts w:ascii="Arial" w:cs="Arial" w:eastAsia="Arial" w:hAnsi="Arial"/>
          <w:sz w:val="21"/>
          <w:szCs w:val="21"/>
          <w:u w:val="single" w:color="auto"/>
          <w:color w:val="auto"/>
        </w:rPr>
        <w:t>sum of</w:t>
      </w:r>
      <w:r>
        <w:rPr>
          <w:rFonts w:ascii="Arial" w:cs="Arial" w:eastAsia="Arial" w:hAnsi="Arial"/>
          <w:sz w:val="21"/>
          <w:szCs w:val="21"/>
          <w:color w:val="auto"/>
        </w:rPr>
        <w:t xml:space="preserve"> the Class A-1-A Preferred Unpaid Return and the Class A-1-A Preferred Capital Value </w:t>
      </w:r>
      <w:r>
        <w:rPr>
          <w:rFonts w:ascii="Arial" w:cs="Arial" w:eastAsia="Arial" w:hAnsi="Arial"/>
          <w:sz w:val="21"/>
          <w:szCs w:val="21"/>
          <w:u w:val="single" w:color="auto"/>
          <w:color w:val="auto"/>
        </w:rPr>
        <w:t>divided by</w:t>
      </w:r>
      <w:r>
        <w:rPr>
          <w:rFonts w:ascii="Arial" w:cs="Arial" w:eastAsia="Arial" w:hAnsi="Arial"/>
          <w:sz w:val="21"/>
          <w:szCs w:val="21"/>
          <w:color w:val="auto"/>
        </w:rPr>
        <w:t xml:space="preserve"> (ii) $10 (as adjusted, as necessary, to reflect appropriate and proportional adjustments to take into account any subdivision, reorganization, reclassification, recapitalization, stock split, reverse stock split, combination of shares or similar event).</w:t>
      </w:r>
    </w:p>
    <w:p>
      <w:pPr>
        <w:spacing w:after="0" w:line="170" w:lineRule="exact"/>
        <w:rPr>
          <w:rFonts w:ascii="Arial" w:cs="Arial" w:eastAsia="Arial" w:hAnsi="Arial"/>
          <w:sz w:val="21"/>
          <w:szCs w:val="21"/>
          <w:color w:val="auto"/>
        </w:rPr>
      </w:pPr>
    </w:p>
    <w:p>
      <w:pPr>
        <w:jc w:val="both"/>
        <w:ind w:firstLine="656"/>
        <w:spacing w:after="0" w:line="249" w:lineRule="auto"/>
        <w:tabs>
          <w:tab w:leader="none" w:pos="1131" w:val="left"/>
        </w:tabs>
        <w:numPr>
          <w:ilvl w:val="0"/>
          <w:numId w:val="1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A-1-B Preferred Share Conversion Ratio</w:t>
      </w:r>
      <w:r>
        <w:rPr>
          <w:rFonts w:ascii="Arial" w:cs="Arial" w:eastAsia="Arial" w:hAnsi="Arial"/>
          <w:sz w:val="22"/>
          <w:szCs w:val="22"/>
          <w:color w:val="auto"/>
        </w:rPr>
        <w:t xml:space="preserve">” shall mean a multiple (which, for the avoidance of doubt, may not be less than one (1)) equal to (i) the </w:t>
      </w:r>
      <w:r>
        <w:rPr>
          <w:rFonts w:ascii="Arial" w:cs="Arial" w:eastAsia="Arial" w:hAnsi="Arial"/>
          <w:sz w:val="22"/>
          <w:szCs w:val="22"/>
          <w:u w:val="single" w:color="auto"/>
          <w:color w:val="auto"/>
        </w:rPr>
        <w:t>sum of</w:t>
      </w:r>
      <w:r>
        <w:rPr>
          <w:rFonts w:ascii="Arial" w:cs="Arial" w:eastAsia="Arial" w:hAnsi="Arial"/>
          <w:sz w:val="22"/>
          <w:szCs w:val="22"/>
          <w:color w:val="auto"/>
        </w:rPr>
        <w:t xml:space="preserve"> the Class A-1-B Preferred Unpaid Return and the Class A-1-B Preferred Capital Value </w:t>
      </w:r>
      <w:r>
        <w:rPr>
          <w:rFonts w:ascii="Arial" w:cs="Arial" w:eastAsia="Arial" w:hAnsi="Arial"/>
          <w:sz w:val="22"/>
          <w:szCs w:val="22"/>
          <w:u w:val="single" w:color="auto"/>
          <w:color w:val="auto"/>
        </w:rPr>
        <w:t>divided by</w:t>
      </w:r>
      <w:r>
        <w:rPr>
          <w:rFonts w:ascii="Arial" w:cs="Arial" w:eastAsia="Arial" w:hAnsi="Arial"/>
          <w:sz w:val="22"/>
          <w:szCs w:val="22"/>
          <w:color w:val="auto"/>
        </w:rPr>
        <w:t xml:space="preserve"> (ii) $15.15 (as adjusted, as necessary, to reflect appropriate and proportional adjustments to take into account any subdivision, reorganization, reclassification, recapitalization, stock split, reverse stock split, combination of shares or similar event).</w:t>
      </w:r>
    </w:p>
    <w:p>
      <w:pPr>
        <w:spacing w:after="0" w:line="186" w:lineRule="exact"/>
        <w:rPr>
          <w:rFonts w:ascii="Arial" w:cs="Arial" w:eastAsia="Arial" w:hAnsi="Arial"/>
          <w:sz w:val="22"/>
          <w:szCs w:val="22"/>
          <w:color w:val="auto"/>
        </w:rPr>
      </w:pPr>
    </w:p>
    <w:p>
      <w:pPr>
        <w:jc w:val="both"/>
        <w:ind w:firstLine="656"/>
        <w:spacing w:after="0" w:line="260" w:lineRule="auto"/>
        <w:tabs>
          <w:tab w:leader="none" w:pos="1143" w:val="left"/>
        </w:tabs>
        <w:numPr>
          <w:ilvl w:val="0"/>
          <w:numId w:val="15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shall mean, with respect to any Person, any other Person that, directly or indirectly through one or more intermediaries, controls, or is controlled by, or is under common control with, such Person, and the term “control” (including the terms “controlled by” and “under common control with”) means the possession, directly or indirectly, of the power to direct or cause the direction of the management and policies of such Person, whether through voting securities, by contract or otherwise. Notwithstanding the foregoing or anything in this Agreement to the contrary, (i) none of the Members shall be deemed to be an “Affiliate” of any other Member solely by virtue of owning Shares, (ii) none of the Members shall be deemed to be an “Affiliate” of the Company and (iii) neither the Company nor any of its Subsidiaries shall be deemed to be an “Affiliate” of any of the Members or any of their Affiliates.</w:t>
      </w:r>
    </w:p>
    <w:p>
      <w:pPr>
        <w:spacing w:after="0" w:line="175" w:lineRule="exact"/>
        <w:rPr>
          <w:rFonts w:ascii="Arial" w:cs="Arial" w:eastAsia="Arial" w:hAnsi="Arial"/>
          <w:sz w:val="21"/>
          <w:szCs w:val="21"/>
          <w:color w:val="auto"/>
        </w:rPr>
      </w:pPr>
    </w:p>
    <w:p>
      <w:pPr>
        <w:ind w:firstLine="656"/>
        <w:spacing w:after="0" w:line="349" w:lineRule="auto"/>
        <w:tabs>
          <w:tab w:leader="none" w:pos="1131" w:val="left"/>
        </w:tabs>
        <w:numPr>
          <w:ilvl w:val="0"/>
          <w:numId w:val="1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shall mean this Seventh Amended and Restated Limited Liability Company Agreement, including all appendices, exhibits and schedules hereto, as it may be amended, supplemented or otherwise modified from time to time.</w:t>
      </w:r>
    </w:p>
    <w:p>
      <w:pPr>
        <w:spacing w:after="0" w:line="93" w:lineRule="exact"/>
        <w:rPr>
          <w:rFonts w:ascii="Arial" w:cs="Arial" w:eastAsia="Arial" w:hAnsi="Arial"/>
          <w:sz w:val="19"/>
          <w:szCs w:val="19"/>
          <w:color w:val="auto"/>
        </w:rPr>
      </w:pPr>
    </w:p>
    <w:p>
      <w:pPr>
        <w:ind w:firstLine="656"/>
        <w:spacing w:after="0" w:line="269" w:lineRule="auto"/>
        <w:tabs>
          <w:tab w:leader="none" w:pos="1269" w:val="left"/>
        </w:tabs>
        <w:numPr>
          <w:ilvl w:val="0"/>
          <w:numId w:val="1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AGSA</w:t>
      </w:r>
      <w:r>
        <w:rPr>
          <w:rFonts w:ascii="Arial" w:cs="Arial" w:eastAsia="Arial" w:hAnsi="Arial"/>
          <w:sz w:val="22"/>
          <w:szCs w:val="22"/>
          <w:color w:val="auto"/>
        </w:rPr>
        <w:t>” shall mean the Administrative and General Services Agreement entered into between GM and the Company dated as of June 28, 2018.</w:t>
      </w:r>
    </w:p>
    <w:p>
      <w:pPr>
        <w:spacing w:after="0" w:line="161" w:lineRule="exact"/>
        <w:rPr>
          <w:rFonts w:ascii="Arial" w:cs="Arial" w:eastAsia="Arial" w:hAnsi="Arial"/>
          <w:sz w:val="22"/>
          <w:szCs w:val="22"/>
          <w:color w:val="auto"/>
        </w:rPr>
      </w:pPr>
    </w:p>
    <w:p>
      <w:pPr>
        <w:jc w:val="both"/>
        <w:ind w:firstLine="656"/>
        <w:spacing w:after="0" w:line="256" w:lineRule="auto"/>
        <w:tabs>
          <w:tab w:leader="none" w:pos="1156" w:val="left"/>
        </w:tabs>
        <w:numPr>
          <w:ilvl w:val="0"/>
          <w:numId w:val="151"/>
        </w:numPr>
        <w:rPr>
          <w:rFonts w:ascii="Arial" w:cs="Arial" w:eastAsia="Arial" w:hAnsi="Arial"/>
          <w:sz w:val="22"/>
          <w:szCs w:val="22"/>
          <w:color w:val="auto"/>
        </w:rPr>
      </w:pPr>
      <w:r>
        <w:rPr>
          <w:rFonts w:ascii="Arial" w:cs="Arial" w:eastAsia="Arial" w:hAnsi="Arial"/>
          <w:sz w:val="22"/>
          <w:szCs w:val="22"/>
          <w:b w:val="1"/>
          <w:bCs w:val="1"/>
          <w:color w:val="auto"/>
        </w:rPr>
        <w:t xml:space="preserve">“Applicable ABAC Laws” </w:t>
      </w:r>
      <w:r>
        <w:rPr>
          <w:rFonts w:ascii="Arial" w:cs="Arial" w:eastAsia="Arial" w:hAnsi="Arial"/>
          <w:sz w:val="22"/>
          <w:szCs w:val="22"/>
          <w:color w:val="auto"/>
        </w:rPr>
        <w:t>means all laws and regulations applying to the Company, any of its Subsidiaries or an</w:t>
      </w:r>
      <w:r>
        <w:rPr>
          <w:rFonts w:ascii="Arial" w:cs="Arial" w:eastAsia="Arial" w:hAnsi="Arial"/>
          <w:sz w:val="22"/>
          <w:szCs w:val="22"/>
          <w:b w:val="1"/>
          <w:bCs w:val="1"/>
          <w:color w:val="auto"/>
        </w:rPr>
        <w:t xml:space="preserve"> </w:t>
      </w:r>
      <w:r>
        <w:rPr>
          <w:rFonts w:ascii="Arial" w:cs="Arial" w:eastAsia="Arial" w:hAnsi="Arial"/>
          <w:sz w:val="22"/>
          <w:szCs w:val="22"/>
          <w:color w:val="auto"/>
        </w:rPr>
        <w:t>Associated Person of either the Company or any of its Subsidiaries prohibiting bribery or some other form of corruption, including fraud and tax evasion.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Appx. 1</w:t>
      </w:r>
    </w:p>
    <w:p>
      <w:pPr>
        <w:sectPr>
          <w:pgSz w:w="11900" w:h="16838" w:orient="portrait"/>
          <w:cols w:equalWidth="0" w:num="1">
            <w:col w:w="11240"/>
          </w:cols>
          <w:pgMar w:left="320" w:top="1421" w:right="339" w:bottom="1440" w:gutter="0" w:footer="0" w:header="0"/>
        </w:sectPr>
      </w:pPr>
    </w:p>
    <w:bookmarkStart w:id="150" w:name="page151"/>
    <w:bookmarkEnd w:id="150"/>
    <w:p>
      <w:pPr>
        <w:jc w:val="both"/>
        <w:ind w:firstLine="656"/>
        <w:spacing w:after="0" w:line="256" w:lineRule="auto"/>
        <w:tabs>
          <w:tab w:leader="none" w:pos="1183" w:val="left"/>
        </w:tabs>
        <w:numPr>
          <w:ilvl w:val="0"/>
          <w:numId w:val="1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AML Laws</w:t>
      </w:r>
      <w:r>
        <w:rPr>
          <w:rFonts w:ascii="Arial" w:cs="Arial" w:eastAsia="Arial" w:hAnsi="Arial"/>
          <w:sz w:val="22"/>
          <w:szCs w:val="22"/>
          <w:color w:val="auto"/>
        </w:rPr>
        <w:t>” means all laws and regulations applying to the Company, any of its Subsidiaries or an Associated Person of either the Company or any of its Subsidiaries prohibiting money laundering, including attempting to conceal or disguise the identity of illegally obtained proceeds.</w:t>
      </w:r>
    </w:p>
    <w:p>
      <w:pPr>
        <w:spacing w:after="0" w:line="176" w:lineRule="exact"/>
        <w:rPr>
          <w:rFonts w:ascii="Arial" w:cs="Arial" w:eastAsia="Arial" w:hAnsi="Arial"/>
          <w:sz w:val="22"/>
          <w:szCs w:val="22"/>
          <w:color w:val="auto"/>
        </w:rPr>
      </w:pPr>
    </w:p>
    <w:p>
      <w:pPr>
        <w:jc w:val="both"/>
        <w:ind w:firstLine="656"/>
        <w:spacing w:after="0" w:line="256" w:lineRule="auto"/>
        <w:tabs>
          <w:tab w:leader="none" w:pos="1176" w:val="left"/>
        </w:tabs>
        <w:numPr>
          <w:ilvl w:val="0"/>
          <w:numId w:val="1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Trade Laws</w:t>
      </w:r>
      <w:r>
        <w:rPr>
          <w:rFonts w:ascii="Arial" w:cs="Arial" w:eastAsia="Arial" w:hAnsi="Arial"/>
          <w:sz w:val="22"/>
          <w:szCs w:val="22"/>
          <w:color w:val="auto"/>
        </w:rPr>
        <w:t>” means all import and export laws and regulations, including economic and financial sanctions, export controls, anti-boycott and customs laws and regulations applying to the Company, any of its Subsidiaries or an Associated Person of either the Company or any of its Subsidiaries.</w:t>
      </w:r>
    </w:p>
    <w:p>
      <w:pPr>
        <w:spacing w:after="0" w:line="176" w:lineRule="exact"/>
        <w:rPr>
          <w:rFonts w:ascii="Arial" w:cs="Arial" w:eastAsia="Arial" w:hAnsi="Arial"/>
          <w:sz w:val="22"/>
          <w:szCs w:val="22"/>
          <w:color w:val="auto"/>
        </w:rPr>
      </w:pPr>
    </w:p>
    <w:p>
      <w:pPr>
        <w:jc w:val="both"/>
        <w:ind w:firstLine="656"/>
        <w:spacing w:after="0" w:line="252" w:lineRule="auto"/>
        <w:tabs>
          <w:tab w:leader="none" w:pos="1122" w:val="left"/>
        </w:tabs>
        <w:numPr>
          <w:ilvl w:val="0"/>
          <w:numId w:val="1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Associated Person</w:t>
      </w:r>
      <w:r>
        <w:rPr>
          <w:rFonts w:ascii="Arial" w:cs="Arial" w:eastAsia="Arial" w:hAnsi="Arial"/>
          <w:sz w:val="22"/>
          <w:szCs w:val="22"/>
          <w:color w:val="auto"/>
        </w:rPr>
        <w:t>” means, in relation to a company or other entity, an individual or entity (including a director, officer, employee, consultant, agent or other representative) who or that has acted or performed services for or on behalf of that company or other entity but only with respect to actions or the performance of services for or on behalf of that company or other entity.</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AVCo Business</w:t>
      </w:r>
      <w:r>
        <w:rPr>
          <w:rFonts w:ascii="Arial" w:cs="Arial" w:eastAsia="Arial" w:hAnsi="Arial"/>
          <w:sz w:val="22"/>
          <w:szCs w:val="22"/>
          <w:color w:val="auto"/>
        </w:rPr>
        <w:t>” shall have the meaning given to it in the IPMA.</w:t>
      </w:r>
    </w:p>
    <w:p>
      <w:pPr>
        <w:spacing w:after="0" w:line="219" w:lineRule="exact"/>
        <w:rPr>
          <w:rFonts w:ascii="Arial" w:cs="Arial" w:eastAsia="Arial" w:hAnsi="Arial"/>
          <w:sz w:val="22"/>
          <w:szCs w:val="22"/>
          <w:color w:val="auto"/>
        </w:rPr>
      </w:pPr>
    </w:p>
    <w:p>
      <w:pPr>
        <w:ind w:firstLine="656"/>
        <w:spacing w:after="0" w:line="269" w:lineRule="auto"/>
        <w:tabs>
          <w:tab w:leader="none" w:pos="1081" w:val="left"/>
        </w:tabs>
        <w:numPr>
          <w:ilvl w:val="0"/>
          <w:numId w:val="1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Baron</w:t>
      </w:r>
      <w:r>
        <w:rPr>
          <w:rFonts w:ascii="Arial" w:cs="Arial" w:eastAsia="Arial" w:hAnsi="Arial"/>
          <w:sz w:val="22"/>
          <w:szCs w:val="22"/>
          <w:color w:val="auto"/>
        </w:rPr>
        <w:t>” means, collectively, BAMCO, Inc., Baron Opportunity Fund, Baron Fifth Avenue Growth Fund, and Baron Global Advantage Fund.</w:t>
      </w:r>
    </w:p>
    <w:p>
      <w:pPr>
        <w:spacing w:after="0" w:line="161" w:lineRule="exact"/>
        <w:rPr>
          <w:rFonts w:ascii="Arial" w:cs="Arial" w:eastAsia="Arial" w:hAnsi="Arial"/>
          <w:sz w:val="22"/>
          <w:szCs w:val="22"/>
          <w:color w:val="auto"/>
        </w:rPr>
      </w:pPr>
    </w:p>
    <w:p>
      <w:pPr>
        <w:jc w:val="both"/>
        <w:ind w:firstLine="656"/>
        <w:spacing w:after="0" w:line="304" w:lineRule="auto"/>
        <w:tabs>
          <w:tab w:leader="none" w:pos="123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Blocked Person</w:t>
      </w:r>
      <w:r>
        <w:rPr>
          <w:rFonts w:ascii="Arial" w:cs="Arial" w:eastAsia="Arial" w:hAnsi="Arial"/>
          <w:sz w:val="19"/>
          <w:szCs w:val="19"/>
          <w:color w:val="auto"/>
        </w:rPr>
        <w:t>” means any of the following: (a) a Person included in a restricted or prohibited list pursuant to one or more of the Applicable Trade Laws, including any Sanctioned Person; (b) an entity in which one or more Sanctioned Persons has in the aggregate, whether directly or indirectly, a fifty percent (50%) or greater equity interest; or (c) an entity that is controlled by a Sanctioned Person such that the entity, itself, would be considered a Sanctioned Person.</w:t>
      </w:r>
    </w:p>
    <w:p>
      <w:pPr>
        <w:spacing w:after="0" w:line="135" w:lineRule="exact"/>
        <w:rPr>
          <w:rFonts w:ascii="Arial" w:cs="Arial" w:eastAsia="Arial" w:hAnsi="Arial"/>
          <w:sz w:val="19"/>
          <w:szCs w:val="19"/>
          <w:color w:val="auto"/>
        </w:rPr>
      </w:pPr>
    </w:p>
    <w:p>
      <w:pPr>
        <w:ind w:firstLine="656"/>
        <w:spacing w:after="0" w:line="269" w:lineRule="auto"/>
        <w:tabs>
          <w:tab w:leader="none" w:pos="1197" w:val="left"/>
        </w:tabs>
        <w:numPr>
          <w:ilvl w:val="0"/>
          <w:numId w:val="1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shall mean a day other than a Saturday, a Sunday, or any day on which commercial banks New York City, New York, Detroit, Michigan or Tokyo, Japan are permitted to be closed.</w:t>
      </w:r>
    </w:p>
    <w:p>
      <w:pPr>
        <w:spacing w:after="0" w:line="161" w:lineRule="exact"/>
        <w:rPr>
          <w:rFonts w:ascii="Arial" w:cs="Arial" w:eastAsia="Arial" w:hAnsi="Arial"/>
          <w:sz w:val="22"/>
          <w:szCs w:val="22"/>
          <w:color w:val="auto"/>
        </w:rPr>
      </w:pPr>
    </w:p>
    <w:p>
      <w:pPr>
        <w:ind w:left="1320" w:hanging="664"/>
        <w:spacing w:after="0"/>
        <w:tabs>
          <w:tab w:leader="none" w:pos="1320" w:val="left"/>
        </w:tabs>
        <w:numPr>
          <w:ilvl w:val="0"/>
          <w:numId w:val="15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Call Notice/Optional SoftBank Conversion Notice Fair Market Value</w:t>
      </w:r>
      <w:r>
        <w:rPr>
          <w:rFonts w:ascii="Arial" w:cs="Arial" w:eastAsia="Arial" w:hAnsi="Arial"/>
          <w:sz w:val="21"/>
          <w:szCs w:val="21"/>
          <w:color w:val="auto"/>
        </w:rPr>
        <w:t>” has the meaning given to it in</w:t>
      </w:r>
    </w:p>
    <w:p>
      <w:pPr>
        <w:spacing w:after="0" w:line="38"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b w:val="1"/>
          <w:bCs w:val="1"/>
          <w:color w:val="auto"/>
        </w:rPr>
        <w:t>Exhibit II</w:t>
      </w:r>
      <w:r>
        <w:rPr>
          <w:rFonts w:ascii="Arial" w:cs="Arial" w:eastAsia="Arial" w:hAnsi="Arial"/>
          <w:sz w:val="22"/>
          <w:szCs w:val="22"/>
          <w:color w:val="auto"/>
        </w:rPr>
        <w:t>.</w:t>
      </w:r>
    </w:p>
    <w:p>
      <w:pPr>
        <w:spacing w:after="0" w:line="195" w:lineRule="exact"/>
        <w:rPr>
          <w:rFonts w:ascii="Arial" w:cs="Arial" w:eastAsia="Arial" w:hAnsi="Arial"/>
          <w:sz w:val="21"/>
          <w:szCs w:val="21"/>
          <w:color w:val="auto"/>
        </w:rPr>
      </w:pPr>
    </w:p>
    <w:p>
      <w:pPr>
        <w:ind w:firstLine="656"/>
        <w:spacing w:after="0" w:line="293" w:lineRule="auto"/>
        <w:tabs>
          <w:tab w:leader="none" w:pos="1251" w:val="left"/>
        </w:tabs>
        <w:numPr>
          <w:ilvl w:val="0"/>
          <w:numId w:val="15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Capital Contribution</w:t>
      </w:r>
      <w:r>
        <w:rPr>
          <w:rFonts w:ascii="Arial" w:cs="Arial" w:eastAsia="Arial" w:hAnsi="Arial"/>
          <w:sz w:val="21"/>
          <w:szCs w:val="21"/>
          <w:color w:val="auto"/>
        </w:rPr>
        <w:t>” shall mean a transfer of money or property by a Member to the Company, either as consideration for Shares or as additional capital without a requirement for the issuance of additional Shares.</w:t>
      </w:r>
    </w:p>
    <w:p>
      <w:pPr>
        <w:spacing w:after="0" w:line="139" w:lineRule="exact"/>
        <w:rPr>
          <w:rFonts w:ascii="Arial" w:cs="Arial" w:eastAsia="Arial" w:hAnsi="Arial"/>
          <w:sz w:val="21"/>
          <w:szCs w:val="21"/>
          <w:color w:val="auto"/>
        </w:rPr>
      </w:pPr>
    </w:p>
    <w:p>
      <w:pPr>
        <w:ind w:right="20" w:firstLine="656"/>
        <w:spacing w:after="0" w:line="349" w:lineRule="auto"/>
        <w:tabs>
          <w:tab w:leader="none" w:pos="1183" w:val="left"/>
        </w:tabs>
        <w:numPr>
          <w:ilvl w:val="0"/>
          <w:numId w:val="15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shall mean, with respect to an Employee Member, the definition of “Cause” set forth in such Employee Member’s Share Grant Agreement, but will also include a breach of this Agreement by such Employee Member.</w:t>
      </w:r>
    </w:p>
    <w:p>
      <w:pPr>
        <w:spacing w:after="0" w:line="93" w:lineRule="exact"/>
        <w:rPr>
          <w:rFonts w:ascii="Arial" w:cs="Arial" w:eastAsia="Arial" w:hAnsi="Arial"/>
          <w:sz w:val="19"/>
          <w:szCs w:val="19"/>
          <w:color w:val="auto"/>
        </w:rPr>
      </w:pPr>
    </w:p>
    <w:p>
      <w:pPr>
        <w:ind w:left="1080" w:hanging="424"/>
        <w:spacing w:after="0"/>
        <w:tabs>
          <w:tab w:leader="none" w:pos="108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CFIUS</w:t>
      </w:r>
      <w:r>
        <w:rPr>
          <w:rFonts w:ascii="Arial" w:cs="Arial" w:eastAsia="Arial" w:hAnsi="Arial"/>
          <w:sz w:val="22"/>
          <w:szCs w:val="22"/>
          <w:color w:val="auto"/>
        </w:rPr>
        <w:t>” means the Committee on Foreign Investment in the United States.</w:t>
      </w:r>
    </w:p>
    <w:p>
      <w:pPr>
        <w:spacing w:after="0" w:line="219" w:lineRule="exact"/>
        <w:rPr>
          <w:rFonts w:ascii="Arial" w:cs="Arial" w:eastAsia="Arial" w:hAnsi="Arial"/>
          <w:sz w:val="22"/>
          <w:szCs w:val="22"/>
          <w:color w:val="auto"/>
        </w:rPr>
      </w:pPr>
    </w:p>
    <w:p>
      <w:pPr>
        <w:ind w:left="1100" w:hanging="444"/>
        <w:spacing w:after="0"/>
        <w:tabs>
          <w:tab w:leader="none" w:pos="110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CFIUS Monitoring Agency</w:t>
      </w:r>
      <w:r>
        <w:rPr>
          <w:rFonts w:ascii="Arial" w:cs="Arial" w:eastAsia="Arial" w:hAnsi="Arial"/>
          <w:sz w:val="22"/>
          <w:szCs w:val="22"/>
          <w:color w:val="auto"/>
        </w:rPr>
        <w:t>” shall have the meaning given to it in the NSA.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Appx. 2</w:t>
      </w:r>
    </w:p>
    <w:p>
      <w:pPr>
        <w:sectPr>
          <w:pgSz w:w="11900" w:h="16838" w:orient="portrait"/>
          <w:cols w:equalWidth="0" w:num="1">
            <w:col w:w="11240"/>
          </w:cols>
          <w:pgMar w:left="320" w:top="1421" w:right="339" w:bottom="1440" w:gutter="0" w:footer="0" w:header="0"/>
        </w:sectPr>
      </w:pPr>
    </w:p>
    <w:bookmarkStart w:id="151" w:name="page152"/>
    <w:bookmarkEnd w:id="151"/>
    <w:p>
      <w:pPr>
        <w:jc w:val="both"/>
        <w:ind w:firstLine="656"/>
        <w:spacing w:after="0" w:line="247" w:lineRule="auto"/>
        <w:tabs>
          <w:tab w:leader="none" w:pos="1149" w:val="left"/>
        </w:tabs>
        <w:numPr>
          <w:ilvl w:val="0"/>
          <w:numId w:val="1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of Control</w:t>
      </w:r>
      <w:r>
        <w:rPr>
          <w:rFonts w:ascii="Arial" w:cs="Arial" w:eastAsia="Arial" w:hAnsi="Arial"/>
          <w:sz w:val="22"/>
          <w:szCs w:val="22"/>
          <w:color w:val="auto"/>
        </w:rPr>
        <w:t>” means (i) any “person” or “group” (within the meaning of Sections 13(d) and 14(d) of the Exchange Act) becomes the “beneficial owner” (as defined in Rule 13d-3 under the Exchange Act), directly or indirectly, of more than fifty percent (50%) of the outstanding voting securities of a Person (the “</w:t>
      </w:r>
      <w:r>
        <w:rPr>
          <w:rFonts w:ascii="Arial" w:cs="Arial" w:eastAsia="Arial" w:hAnsi="Arial"/>
          <w:sz w:val="22"/>
          <w:szCs w:val="22"/>
          <w:b w:val="1"/>
          <w:bCs w:val="1"/>
          <w:color w:val="auto"/>
        </w:rPr>
        <w:t>Target</w:t>
      </w:r>
      <w:r>
        <w:rPr>
          <w:rFonts w:ascii="Arial" w:cs="Arial" w:eastAsia="Arial" w:hAnsi="Arial"/>
          <w:sz w:val="22"/>
          <w:szCs w:val="22"/>
          <w:color w:val="auto"/>
        </w:rPr>
        <w:t>”), (ii) any reorganization, merger or consolidation of a Person, other than a transaction or series of related transactions in which the holders of the voting securities of such Person outstanding immediately prior to such transaction or series of related transactions retain, immediately after such transaction or series of related transactions, at least a majority of the total voting power represented by the outstanding voting securities of such Person or such other surviving or resulting entity, or (iii) a sale, lease or other disposition of a majority of the assets of the Target and its Subsidiaries.</w:t>
      </w:r>
    </w:p>
    <w:p>
      <w:pPr>
        <w:spacing w:after="0" w:line="185" w:lineRule="exact"/>
        <w:rPr>
          <w:rFonts w:ascii="Arial" w:cs="Arial" w:eastAsia="Arial" w:hAnsi="Arial"/>
          <w:sz w:val="22"/>
          <w:szCs w:val="22"/>
          <w:color w:val="auto"/>
        </w:rPr>
      </w:pPr>
    </w:p>
    <w:p>
      <w:pPr>
        <w:jc w:val="both"/>
        <w:ind w:firstLine="656"/>
        <w:spacing w:after="0" w:line="304" w:lineRule="auto"/>
        <w:tabs>
          <w:tab w:leader="none" w:pos="1156" w:val="left"/>
        </w:tabs>
        <w:numPr>
          <w:ilvl w:val="0"/>
          <w:numId w:val="15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A-1 Liquidation Preference Amount</w:t>
      </w:r>
      <w:r>
        <w:rPr>
          <w:rFonts w:ascii="Arial" w:cs="Arial" w:eastAsia="Arial" w:hAnsi="Arial"/>
          <w:sz w:val="19"/>
          <w:szCs w:val="19"/>
          <w:color w:val="auto"/>
        </w:rPr>
        <w:t xml:space="preserve">” shall mean, as applicable, (i) the </w:t>
      </w:r>
      <w:r>
        <w:rPr>
          <w:rFonts w:ascii="Arial" w:cs="Arial" w:eastAsia="Arial" w:hAnsi="Arial"/>
          <w:sz w:val="19"/>
          <w:szCs w:val="19"/>
          <w:u w:val="single" w:color="auto"/>
          <w:color w:val="auto"/>
        </w:rPr>
        <w:t>sum of</w:t>
      </w:r>
      <w:r>
        <w:rPr>
          <w:rFonts w:ascii="Arial" w:cs="Arial" w:eastAsia="Arial" w:hAnsi="Arial"/>
          <w:sz w:val="19"/>
          <w:szCs w:val="19"/>
          <w:color w:val="auto"/>
        </w:rPr>
        <w:t xml:space="preserve"> the Class A-1-A Preferred Unpaid Return and the Class A-1-A Preferred Capital Value applicable to a Class A-1-A Preferred Share (the “</w:t>
      </w:r>
      <w:r>
        <w:rPr>
          <w:rFonts w:ascii="Arial" w:cs="Arial" w:eastAsia="Arial" w:hAnsi="Arial"/>
          <w:sz w:val="19"/>
          <w:szCs w:val="19"/>
          <w:b w:val="1"/>
          <w:bCs w:val="1"/>
          <w:color w:val="auto"/>
        </w:rPr>
        <w:t>Class A-1-A</w:t>
      </w:r>
      <w:r>
        <w:rPr>
          <w:rFonts w:ascii="Arial" w:cs="Arial" w:eastAsia="Arial" w:hAnsi="Arial"/>
          <w:sz w:val="19"/>
          <w:szCs w:val="19"/>
          <w:color w:val="auto"/>
        </w:rPr>
        <w:t xml:space="preserve"> </w:t>
      </w:r>
      <w:r>
        <w:rPr>
          <w:rFonts w:ascii="Arial" w:cs="Arial" w:eastAsia="Arial" w:hAnsi="Arial"/>
          <w:sz w:val="19"/>
          <w:szCs w:val="19"/>
          <w:b w:val="1"/>
          <w:bCs w:val="1"/>
          <w:color w:val="auto"/>
        </w:rPr>
        <w:t>Liquidation Preference Amount</w:t>
      </w:r>
      <w:r>
        <w:rPr>
          <w:rFonts w:ascii="Arial" w:cs="Arial" w:eastAsia="Arial" w:hAnsi="Arial"/>
          <w:sz w:val="19"/>
          <w:szCs w:val="19"/>
          <w:color w:val="auto"/>
        </w:rPr>
        <w:t>”), and (ii) the</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sum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Class A-1-B Preferred Unpaid Return and the Class A-1-B Preferred</w:t>
      </w:r>
      <w:r>
        <w:rPr>
          <w:rFonts w:ascii="Arial" w:cs="Arial" w:eastAsia="Arial" w:hAnsi="Arial"/>
          <w:sz w:val="19"/>
          <w:szCs w:val="19"/>
          <w:b w:val="1"/>
          <w:bCs w:val="1"/>
          <w:color w:val="auto"/>
        </w:rPr>
        <w:t xml:space="preserve"> </w:t>
      </w:r>
      <w:r>
        <w:rPr>
          <w:rFonts w:ascii="Arial" w:cs="Arial" w:eastAsia="Arial" w:hAnsi="Arial"/>
          <w:sz w:val="19"/>
          <w:szCs w:val="19"/>
          <w:color w:val="auto"/>
        </w:rPr>
        <w:t>Capital Value applicable to a Class A-1-B Preferred Share (the “</w:t>
      </w:r>
      <w:r>
        <w:rPr>
          <w:rFonts w:ascii="Arial" w:cs="Arial" w:eastAsia="Arial" w:hAnsi="Arial"/>
          <w:sz w:val="19"/>
          <w:szCs w:val="19"/>
          <w:b w:val="1"/>
          <w:bCs w:val="1"/>
          <w:color w:val="auto"/>
        </w:rPr>
        <w:t>Class A-1-B Liquidation Preference Amount</w:t>
      </w:r>
      <w:r>
        <w:rPr>
          <w:rFonts w:ascii="Arial" w:cs="Arial" w:eastAsia="Arial" w:hAnsi="Arial"/>
          <w:sz w:val="19"/>
          <w:szCs w:val="19"/>
          <w:color w:val="auto"/>
        </w:rPr>
        <w:t>”).</w:t>
      </w:r>
    </w:p>
    <w:p>
      <w:pPr>
        <w:spacing w:after="0" w:line="135" w:lineRule="exact"/>
        <w:rPr>
          <w:rFonts w:ascii="Arial" w:cs="Arial" w:eastAsia="Arial" w:hAnsi="Arial"/>
          <w:sz w:val="19"/>
          <w:szCs w:val="19"/>
          <w:color w:val="auto"/>
        </w:rPr>
      </w:pPr>
    </w:p>
    <w:p>
      <w:pPr>
        <w:ind w:firstLine="656"/>
        <w:spacing w:after="0" w:line="269" w:lineRule="auto"/>
        <w:tabs>
          <w:tab w:leader="none" w:pos="1156" w:val="left"/>
        </w:tabs>
        <w:numPr>
          <w:ilvl w:val="0"/>
          <w:numId w:val="1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 Preferred Capital</w:t>
      </w:r>
      <w:r>
        <w:rPr>
          <w:rFonts w:ascii="Arial" w:cs="Arial" w:eastAsia="Arial" w:hAnsi="Arial"/>
          <w:sz w:val="22"/>
          <w:szCs w:val="22"/>
          <w:color w:val="auto"/>
        </w:rPr>
        <w:t>” shall mean the Class A-1-A Preferred Capital Value and the Class A-1-B Preferred Capital Value (as applicable).</w:t>
      </w:r>
    </w:p>
    <w:p>
      <w:pPr>
        <w:spacing w:after="0" w:line="161" w:lineRule="exact"/>
        <w:rPr>
          <w:rFonts w:ascii="Arial" w:cs="Arial" w:eastAsia="Arial" w:hAnsi="Arial"/>
          <w:sz w:val="22"/>
          <w:szCs w:val="22"/>
          <w:color w:val="auto"/>
        </w:rPr>
      </w:pPr>
    </w:p>
    <w:p>
      <w:pPr>
        <w:jc w:val="both"/>
        <w:ind w:firstLine="656"/>
        <w:spacing w:after="0" w:line="256" w:lineRule="auto"/>
        <w:tabs>
          <w:tab w:leader="none" w:pos="1191" w:val="left"/>
        </w:tabs>
        <w:numPr>
          <w:ilvl w:val="0"/>
          <w:numId w:val="1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 Preferred Capital Value</w:t>
      </w:r>
      <w:r>
        <w:rPr>
          <w:rFonts w:ascii="Arial" w:cs="Arial" w:eastAsia="Arial" w:hAnsi="Arial"/>
          <w:sz w:val="22"/>
          <w:szCs w:val="22"/>
          <w:color w:val="auto"/>
        </w:rPr>
        <w:t>” shall mean the weighted average of the Class A-1-A Liquidation Preference Amount and the Class A-1-B Liquidation Preference Amount, based on the relative numbers of Class A-1-A Preferred Shares and Class A-1-B Preferred Shares.</w:t>
      </w:r>
    </w:p>
    <w:p>
      <w:pPr>
        <w:spacing w:after="0" w:line="176" w:lineRule="exact"/>
        <w:rPr>
          <w:rFonts w:ascii="Arial" w:cs="Arial" w:eastAsia="Arial" w:hAnsi="Arial"/>
          <w:sz w:val="22"/>
          <w:szCs w:val="22"/>
          <w:color w:val="auto"/>
        </w:rPr>
      </w:pPr>
    </w:p>
    <w:p>
      <w:pPr>
        <w:ind w:firstLine="656"/>
        <w:spacing w:after="0" w:line="269" w:lineRule="auto"/>
        <w:tabs>
          <w:tab w:leader="none" w:pos="1197" w:val="left"/>
        </w:tabs>
        <w:numPr>
          <w:ilvl w:val="0"/>
          <w:numId w:val="1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 Preferred Member</w:t>
      </w:r>
      <w:r>
        <w:rPr>
          <w:rFonts w:ascii="Arial" w:cs="Arial" w:eastAsia="Arial" w:hAnsi="Arial"/>
          <w:sz w:val="22"/>
          <w:szCs w:val="22"/>
          <w:color w:val="auto"/>
        </w:rPr>
        <w:t>” shall mean each Person admitted to the Company as a Member and who holds Class A-1-A Preferred Shares and/or Class A-1-B Preferred Shares.</w:t>
      </w:r>
    </w:p>
    <w:p>
      <w:pPr>
        <w:spacing w:after="0" w:line="161" w:lineRule="exact"/>
        <w:rPr>
          <w:rFonts w:ascii="Arial" w:cs="Arial" w:eastAsia="Arial" w:hAnsi="Arial"/>
          <w:sz w:val="22"/>
          <w:szCs w:val="22"/>
          <w:color w:val="auto"/>
        </w:rPr>
      </w:pPr>
    </w:p>
    <w:p>
      <w:pPr>
        <w:jc w:val="both"/>
        <w:ind w:firstLine="656"/>
        <w:spacing w:after="0" w:line="295" w:lineRule="auto"/>
        <w:tabs>
          <w:tab w:leader="none" w:pos="1129" w:val="left"/>
        </w:tabs>
        <w:numPr>
          <w:ilvl w:val="0"/>
          <w:numId w:val="15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A-1 Preferred Return</w:t>
      </w:r>
      <w:r>
        <w:rPr>
          <w:rFonts w:ascii="Arial" w:cs="Arial" w:eastAsia="Arial" w:hAnsi="Arial"/>
          <w:sz w:val="19"/>
          <w:szCs w:val="19"/>
          <w:color w:val="auto"/>
        </w:rPr>
        <w:t xml:space="preserve">” shall mean, with respect to each Class A-1 Preferred Share, the amount accruing for a particular Quarter on such Class A-1 Preferred Share at the rate of seven percent (7%) per annum, compounded on the last day of such Quarter, on (i) the Class A-1 Preferred Capital of such Class A-1 Preferred Share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as the case may be, the Class A-1 Preferred Unpaid Return thereon. In calculating the amount of any Distribution to be made during a period, the portion of the Class A-1 Preferred Return with respect to such Class A-1 Preferred Share for the portion of the Quarterly period elapsing before such Distribution is made shall be taken into account in determining the amount of such Distribution.</w:t>
      </w:r>
    </w:p>
    <w:p>
      <w:pPr>
        <w:spacing w:after="0" w:line="143" w:lineRule="exact"/>
        <w:rPr>
          <w:rFonts w:ascii="Arial" w:cs="Arial" w:eastAsia="Arial" w:hAnsi="Arial"/>
          <w:sz w:val="19"/>
          <w:szCs w:val="19"/>
          <w:color w:val="auto"/>
        </w:rPr>
      </w:pPr>
    </w:p>
    <w:p>
      <w:pPr>
        <w:ind w:firstLine="656"/>
        <w:spacing w:after="0" w:line="269" w:lineRule="auto"/>
        <w:tabs>
          <w:tab w:leader="none" w:pos="114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 Preferred Unpaid Return</w:t>
      </w:r>
      <w:r>
        <w:rPr>
          <w:rFonts w:ascii="Arial" w:cs="Arial" w:eastAsia="Arial" w:hAnsi="Arial"/>
          <w:sz w:val="22"/>
          <w:szCs w:val="22"/>
          <w:color w:val="auto"/>
        </w:rPr>
        <w:t>” shall mean the Class A-1-A Preferred Unpaid Return and the Class A-1-B Preferred Unpaid Return (as applicable).</w:t>
      </w:r>
    </w:p>
    <w:p>
      <w:pPr>
        <w:spacing w:after="0" w:line="162" w:lineRule="exact"/>
        <w:rPr>
          <w:sz w:val="20"/>
          <w:szCs w:val="20"/>
          <w:color w:val="auto"/>
        </w:rPr>
      </w:pPr>
    </w:p>
    <w:p>
      <w:pPr>
        <w:jc w:val="both"/>
        <w:ind w:firstLine="656"/>
        <w:spacing w:after="0" w:line="315" w:lineRule="auto"/>
        <w:tabs>
          <w:tab w:leader="none" w:pos="1227" w:val="left"/>
        </w:tabs>
        <w:numPr>
          <w:ilvl w:val="0"/>
          <w:numId w:val="15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A-1-A Preferred Capital Value</w:t>
      </w:r>
      <w:r>
        <w:rPr>
          <w:rFonts w:ascii="Arial" w:cs="Arial" w:eastAsia="Arial" w:hAnsi="Arial"/>
          <w:sz w:val="19"/>
          <w:szCs w:val="19"/>
          <w:color w:val="auto"/>
        </w:rPr>
        <w:t>” shall mean $10 for each Class A-1-A Preferred Share issued with respect to the SoftBank Commitment, subject to appropriate and proportional adjustments to take into account any subdivision, reorganization, reclassification, recapitalization, stock split, reverse stock split, combination of shares or similar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Appx. 3</w:t>
      </w:r>
    </w:p>
    <w:p>
      <w:pPr>
        <w:sectPr>
          <w:pgSz w:w="11900" w:h="16838" w:orient="portrait"/>
          <w:cols w:equalWidth="0" w:num="1">
            <w:col w:w="11240"/>
          </w:cols>
          <w:pgMar w:left="320" w:top="1421" w:right="339" w:bottom="1440" w:gutter="0" w:footer="0" w:header="0"/>
        </w:sectPr>
      </w:pPr>
    </w:p>
    <w:bookmarkStart w:id="152" w:name="page153"/>
    <w:bookmarkEnd w:id="152"/>
    <w:p>
      <w:pPr>
        <w:ind w:left="-20" w:firstLine="656"/>
        <w:spacing w:after="0" w:line="269" w:lineRule="auto"/>
        <w:tabs>
          <w:tab w:leader="none" w:pos="1217" w:val="left"/>
        </w:tabs>
        <w:numPr>
          <w:ilvl w:val="0"/>
          <w:numId w:val="1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A-1-A Preferred Member</w:t>
      </w:r>
      <w:r>
        <w:rPr>
          <w:rFonts w:ascii="Arial" w:cs="Arial" w:eastAsia="Arial" w:hAnsi="Arial"/>
          <w:sz w:val="22"/>
          <w:szCs w:val="22"/>
          <w:color w:val="auto"/>
        </w:rPr>
        <w:t>” shall mean each Person admitted to the Company as a Member and who holds Class A-1-A Preferred Shares.</w:t>
      </w:r>
    </w:p>
    <w:p>
      <w:pPr>
        <w:spacing w:after="0" w:line="161" w:lineRule="exact"/>
        <w:rPr>
          <w:rFonts w:ascii="Arial" w:cs="Arial" w:eastAsia="Arial" w:hAnsi="Arial"/>
          <w:sz w:val="22"/>
          <w:szCs w:val="22"/>
          <w:color w:val="auto"/>
        </w:rPr>
      </w:pPr>
    </w:p>
    <w:p>
      <w:pPr>
        <w:jc w:val="both"/>
        <w:ind w:left="-20" w:firstLine="656"/>
        <w:spacing w:after="0" w:line="267" w:lineRule="auto"/>
        <w:tabs>
          <w:tab w:leader="none" w:pos="1220" w:val="left"/>
        </w:tabs>
        <w:numPr>
          <w:ilvl w:val="0"/>
          <w:numId w:val="15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A-1-A Preferred Unpaid Return</w:t>
      </w:r>
      <w:r>
        <w:rPr>
          <w:rFonts w:ascii="Arial" w:cs="Arial" w:eastAsia="Arial" w:hAnsi="Arial"/>
          <w:sz w:val="21"/>
          <w:szCs w:val="21"/>
          <w:color w:val="auto"/>
        </w:rPr>
        <w:t>” shall mean, with respect to any Class A-1-A Preferred Share as of any determination date, an amount not less than zero equal to (i) the aggregate Class A-1 Preferred Return for all prior Quarterly periods on such Class A-1-A Preferred Share as of such date, less (ii) the aggregate amount of cash Distributions made in respect of such Class A-1-A Preferred Share pursuant to Section 3.01(b)(i) and Section 3.01(b)(iii).</w:t>
      </w:r>
    </w:p>
    <w:p>
      <w:pPr>
        <w:spacing w:after="0" w:line="167" w:lineRule="exact"/>
        <w:rPr>
          <w:rFonts w:ascii="Arial" w:cs="Arial" w:eastAsia="Arial" w:hAnsi="Arial"/>
          <w:sz w:val="21"/>
          <w:szCs w:val="21"/>
          <w:color w:val="auto"/>
        </w:rPr>
      </w:pPr>
    </w:p>
    <w:p>
      <w:pPr>
        <w:jc w:val="both"/>
        <w:ind w:left="-20" w:firstLine="656"/>
        <w:spacing w:after="0" w:line="252" w:lineRule="auto"/>
        <w:tabs>
          <w:tab w:leader="none" w:pos="1312" w:val="left"/>
        </w:tabs>
        <w:numPr>
          <w:ilvl w:val="0"/>
          <w:numId w:val="1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A-1-B Preferred Capital Value</w:t>
      </w:r>
      <w:r>
        <w:rPr>
          <w:rFonts w:ascii="Arial" w:cs="Arial" w:eastAsia="Arial" w:hAnsi="Arial"/>
          <w:sz w:val="22"/>
          <w:szCs w:val="22"/>
          <w:color w:val="auto"/>
        </w:rPr>
        <w:t>” shall mean $15.15 for each Class A-1-B Preferred Share issued with respect to the Subsequent SoftBank Commitment, subject to appropriate and proportional adjustments to take into account any subdivision, reorganization, reclassification, recapitalization, stock split, reverse stock split, combination of shares or similar event.</w:t>
      </w:r>
    </w:p>
    <w:p>
      <w:pPr>
        <w:spacing w:after="0" w:line="179" w:lineRule="exact"/>
        <w:rPr>
          <w:rFonts w:ascii="Arial" w:cs="Arial" w:eastAsia="Arial" w:hAnsi="Arial"/>
          <w:sz w:val="22"/>
          <w:szCs w:val="22"/>
          <w:color w:val="auto"/>
        </w:rPr>
      </w:pPr>
    </w:p>
    <w:p>
      <w:pPr>
        <w:ind w:left="-20" w:right="20" w:firstLine="656"/>
        <w:spacing w:after="0" w:line="269" w:lineRule="auto"/>
        <w:tabs>
          <w:tab w:leader="none" w:pos="1207" w:val="left"/>
        </w:tabs>
        <w:numPr>
          <w:ilvl w:val="0"/>
          <w:numId w:val="1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A-1-B Preferred Member</w:t>
      </w:r>
      <w:r>
        <w:rPr>
          <w:rFonts w:ascii="Arial" w:cs="Arial" w:eastAsia="Arial" w:hAnsi="Arial"/>
          <w:sz w:val="22"/>
          <w:szCs w:val="22"/>
          <w:color w:val="auto"/>
        </w:rPr>
        <w:t>” shall mean each Person admitted to the Company as a Member and who holds Class A-1-B Preferred Shares.</w:t>
      </w:r>
    </w:p>
    <w:p>
      <w:pPr>
        <w:spacing w:after="0" w:line="161" w:lineRule="exact"/>
        <w:rPr>
          <w:rFonts w:ascii="Arial" w:cs="Arial" w:eastAsia="Arial" w:hAnsi="Arial"/>
          <w:sz w:val="22"/>
          <w:szCs w:val="22"/>
          <w:color w:val="auto"/>
        </w:rPr>
      </w:pPr>
    </w:p>
    <w:p>
      <w:pPr>
        <w:jc w:val="both"/>
        <w:ind w:left="-20" w:firstLine="656"/>
        <w:spacing w:after="0" w:line="267" w:lineRule="auto"/>
        <w:tabs>
          <w:tab w:leader="none" w:pos="1182" w:val="left"/>
        </w:tabs>
        <w:numPr>
          <w:ilvl w:val="0"/>
          <w:numId w:val="15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A-1-B Preferred Unpaid Return</w:t>
      </w:r>
      <w:r>
        <w:rPr>
          <w:rFonts w:ascii="Arial" w:cs="Arial" w:eastAsia="Arial" w:hAnsi="Arial"/>
          <w:sz w:val="21"/>
          <w:szCs w:val="21"/>
          <w:color w:val="auto"/>
        </w:rPr>
        <w:t>” shall mean, with respect to any Class A-1-B Preferred Share as of any determination date, an amount not less than zero equal to (i) the aggregate Class A-1 Preferred Return for all prior Quarterly periods on such Class A-1-B Preferred Share as of such date, less (ii) the aggregate amount of cash Distributions made in respect of such Class A-1-B Preferred Share pursuant to Section 3.01(b)(i) and Section 3.01(b)(iii).</w:t>
      </w:r>
    </w:p>
    <w:p>
      <w:pPr>
        <w:spacing w:after="0" w:line="167" w:lineRule="exact"/>
        <w:rPr>
          <w:rFonts w:ascii="Arial" w:cs="Arial" w:eastAsia="Arial" w:hAnsi="Arial"/>
          <w:sz w:val="21"/>
          <w:szCs w:val="21"/>
          <w:color w:val="auto"/>
        </w:rPr>
      </w:pPr>
    </w:p>
    <w:p>
      <w:pPr>
        <w:ind w:left="-20" w:right="20" w:firstLine="656"/>
        <w:spacing w:after="0" w:line="269" w:lineRule="auto"/>
        <w:tabs>
          <w:tab w:leader="none" w:pos="1204" w:val="left"/>
        </w:tabs>
        <w:numPr>
          <w:ilvl w:val="0"/>
          <w:numId w:val="1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A-2 Liquidation Preference Amount</w:t>
      </w:r>
      <w:r>
        <w:rPr>
          <w:rFonts w:ascii="Arial" w:cs="Arial" w:eastAsia="Arial" w:hAnsi="Arial"/>
          <w:sz w:val="22"/>
          <w:szCs w:val="22"/>
          <w:color w:val="auto"/>
        </w:rPr>
        <w:t>” shall mean the Class A-2 Preferred Capital Value applicable to such Class A-2 Preferred Share.</w:t>
      </w:r>
    </w:p>
    <w:p>
      <w:pPr>
        <w:spacing w:after="0" w:line="161" w:lineRule="exact"/>
        <w:rPr>
          <w:rFonts w:ascii="Arial" w:cs="Arial" w:eastAsia="Arial" w:hAnsi="Arial"/>
          <w:sz w:val="22"/>
          <w:szCs w:val="22"/>
          <w:color w:val="auto"/>
        </w:rPr>
      </w:pPr>
    </w:p>
    <w:p>
      <w:pPr>
        <w:jc w:val="both"/>
        <w:ind w:left="-20" w:firstLine="656"/>
        <w:spacing w:after="0" w:line="315" w:lineRule="auto"/>
        <w:tabs>
          <w:tab w:leader="none" w:pos="1204" w:val="left"/>
        </w:tabs>
        <w:numPr>
          <w:ilvl w:val="0"/>
          <w:numId w:val="15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A-2 Preferred Capital Value</w:t>
      </w:r>
      <w:r>
        <w:rPr>
          <w:rFonts w:ascii="Arial" w:cs="Arial" w:eastAsia="Arial" w:hAnsi="Arial"/>
          <w:sz w:val="19"/>
          <w:szCs w:val="19"/>
          <w:color w:val="auto"/>
        </w:rPr>
        <w:t>” shall mean $10 for each Class A-2 Preferred Share issued with respect to the GM Commitment, subject to appropriate and proportional adjustments to take into account any subdivision, reorganization, reclassification, recapitalization, stock split, reverse stock split, combination of shares or similar event.</w:t>
      </w:r>
    </w:p>
    <w:p>
      <w:pPr>
        <w:spacing w:after="0" w:line="125" w:lineRule="exact"/>
        <w:rPr>
          <w:rFonts w:ascii="Arial" w:cs="Arial" w:eastAsia="Arial" w:hAnsi="Arial"/>
          <w:sz w:val="19"/>
          <w:szCs w:val="19"/>
          <w:color w:val="auto"/>
        </w:rPr>
      </w:pPr>
    </w:p>
    <w:p>
      <w:pPr>
        <w:ind w:left="-20" w:firstLine="656"/>
        <w:spacing w:after="0" w:line="269" w:lineRule="auto"/>
        <w:tabs>
          <w:tab w:leader="none" w:pos="1189" w:val="left"/>
        </w:tabs>
        <w:numPr>
          <w:ilvl w:val="0"/>
          <w:numId w:val="1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A-2 Preferred Member</w:t>
      </w:r>
      <w:r>
        <w:rPr>
          <w:rFonts w:ascii="Arial" w:cs="Arial" w:eastAsia="Arial" w:hAnsi="Arial"/>
          <w:sz w:val="22"/>
          <w:szCs w:val="22"/>
          <w:color w:val="auto"/>
        </w:rPr>
        <w:t>” shall mean each Person admitted to the Company as a Member and who holds Class A-2 Preferred Shares.</w:t>
      </w:r>
    </w:p>
    <w:p>
      <w:pPr>
        <w:spacing w:after="0" w:line="161" w:lineRule="exact"/>
        <w:rPr>
          <w:rFonts w:ascii="Arial" w:cs="Arial" w:eastAsia="Arial" w:hAnsi="Arial"/>
          <w:sz w:val="22"/>
          <w:szCs w:val="22"/>
          <w:color w:val="auto"/>
        </w:rPr>
      </w:pPr>
    </w:p>
    <w:p>
      <w:pPr>
        <w:ind w:left="-20" w:firstLine="656"/>
        <w:spacing w:after="0" w:line="269" w:lineRule="auto"/>
        <w:tabs>
          <w:tab w:leader="none" w:pos="1256" w:val="left"/>
        </w:tabs>
        <w:numPr>
          <w:ilvl w:val="0"/>
          <w:numId w:val="1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B Member</w:t>
      </w:r>
      <w:r>
        <w:rPr>
          <w:rFonts w:ascii="Arial" w:cs="Arial" w:eastAsia="Arial" w:hAnsi="Arial"/>
          <w:sz w:val="22"/>
          <w:szCs w:val="22"/>
          <w:color w:val="auto"/>
        </w:rPr>
        <w:t>” shall mean each Person admitted to the Company as a Member and who holds Class B Common Shares.</w:t>
      </w:r>
    </w:p>
    <w:p>
      <w:pPr>
        <w:spacing w:after="0" w:line="161" w:lineRule="exact"/>
        <w:rPr>
          <w:rFonts w:ascii="Arial" w:cs="Arial" w:eastAsia="Arial" w:hAnsi="Arial"/>
          <w:sz w:val="22"/>
          <w:szCs w:val="22"/>
          <w:color w:val="auto"/>
        </w:rPr>
      </w:pPr>
    </w:p>
    <w:p>
      <w:pPr>
        <w:ind w:left="-20" w:firstLine="656"/>
        <w:spacing w:after="0" w:line="269" w:lineRule="auto"/>
        <w:tabs>
          <w:tab w:leader="none" w:pos="1339" w:val="left"/>
        </w:tabs>
        <w:numPr>
          <w:ilvl w:val="0"/>
          <w:numId w:val="1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C Member</w:t>
      </w:r>
      <w:r>
        <w:rPr>
          <w:rFonts w:ascii="Arial" w:cs="Arial" w:eastAsia="Arial" w:hAnsi="Arial"/>
          <w:sz w:val="22"/>
          <w:szCs w:val="22"/>
          <w:color w:val="auto"/>
        </w:rPr>
        <w:t>” shall mean each Person admitted to the Company as a Member and who holds Class C Common Shares.</w:t>
      </w:r>
    </w:p>
    <w:p>
      <w:pPr>
        <w:spacing w:after="0" w:line="161" w:lineRule="exact"/>
        <w:rPr>
          <w:rFonts w:ascii="Arial" w:cs="Arial" w:eastAsia="Arial" w:hAnsi="Arial"/>
          <w:sz w:val="22"/>
          <w:szCs w:val="22"/>
          <w:color w:val="auto"/>
        </w:rPr>
      </w:pPr>
    </w:p>
    <w:p>
      <w:pPr>
        <w:ind w:left="-20" w:firstLine="656"/>
        <w:spacing w:after="0" w:line="269" w:lineRule="auto"/>
        <w:tabs>
          <w:tab w:leader="none" w:pos="1256" w:val="left"/>
        </w:tabs>
        <w:numPr>
          <w:ilvl w:val="0"/>
          <w:numId w:val="1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D Member</w:t>
      </w:r>
      <w:r>
        <w:rPr>
          <w:rFonts w:ascii="Arial" w:cs="Arial" w:eastAsia="Arial" w:hAnsi="Arial"/>
          <w:sz w:val="22"/>
          <w:szCs w:val="22"/>
          <w:color w:val="auto"/>
        </w:rPr>
        <w:t>” shall mean each Person admitted to the Company as a Member and who holds Class D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Appx. 4</w:t>
      </w:r>
    </w:p>
    <w:p>
      <w:pPr>
        <w:sectPr>
          <w:pgSz w:w="11900" w:h="16838" w:orient="portrait"/>
          <w:cols w:equalWidth="0" w:num="1">
            <w:col w:w="11220"/>
          </w:cols>
          <w:pgMar w:left="340" w:top="1422" w:right="339" w:bottom="1440" w:gutter="0" w:footer="0" w:header="0"/>
        </w:sectPr>
      </w:pPr>
    </w:p>
    <w:bookmarkStart w:id="153" w:name="page154"/>
    <w:bookmarkEnd w:id="153"/>
    <w:p>
      <w:pPr>
        <w:ind w:firstLine="656"/>
        <w:spacing w:after="0" w:line="269" w:lineRule="auto"/>
        <w:tabs>
          <w:tab w:leader="none" w:pos="1452" w:val="left"/>
        </w:tabs>
        <w:numPr>
          <w:ilvl w:val="0"/>
          <w:numId w:val="15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E Member</w:t>
      </w:r>
      <w:r>
        <w:rPr>
          <w:rFonts w:ascii="Arial" w:cs="Arial" w:eastAsia="Arial" w:hAnsi="Arial"/>
          <w:sz w:val="22"/>
          <w:szCs w:val="22"/>
          <w:color w:val="auto"/>
        </w:rPr>
        <w:t>” shall mean each Person admitted to the Company as a Member and who holds Class E Common Shares.</w:t>
      </w:r>
    </w:p>
    <w:p>
      <w:pPr>
        <w:spacing w:after="0" w:line="161" w:lineRule="exact"/>
        <w:rPr>
          <w:rFonts w:ascii="Arial" w:cs="Arial" w:eastAsia="Arial" w:hAnsi="Arial"/>
          <w:sz w:val="22"/>
          <w:szCs w:val="22"/>
          <w:color w:val="auto"/>
        </w:rPr>
      </w:pPr>
    </w:p>
    <w:p>
      <w:pPr>
        <w:ind w:firstLine="656"/>
        <w:spacing w:after="0" w:line="269" w:lineRule="auto"/>
        <w:tabs>
          <w:tab w:leader="none" w:pos="1224" w:val="left"/>
        </w:tabs>
        <w:numPr>
          <w:ilvl w:val="0"/>
          <w:numId w:val="15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F Preferred Member</w:t>
      </w:r>
      <w:r>
        <w:rPr>
          <w:rFonts w:ascii="Arial" w:cs="Arial" w:eastAsia="Arial" w:hAnsi="Arial"/>
          <w:sz w:val="22"/>
          <w:szCs w:val="22"/>
          <w:color w:val="auto"/>
        </w:rPr>
        <w:t>” shall mean each Person admitted to the Company as a Member and who holds Class F Preferred Shares.</w:t>
      </w:r>
    </w:p>
    <w:p>
      <w:pPr>
        <w:spacing w:after="0" w:line="161" w:lineRule="exact"/>
        <w:rPr>
          <w:rFonts w:ascii="Arial" w:cs="Arial" w:eastAsia="Arial" w:hAnsi="Arial"/>
          <w:sz w:val="22"/>
          <w:szCs w:val="22"/>
          <w:color w:val="auto"/>
        </w:rPr>
      </w:pPr>
    </w:p>
    <w:p>
      <w:pPr>
        <w:ind w:firstLine="656"/>
        <w:spacing w:after="0" w:line="269" w:lineRule="auto"/>
        <w:tabs>
          <w:tab w:leader="none" w:pos="1372" w:val="left"/>
        </w:tabs>
        <w:numPr>
          <w:ilvl w:val="0"/>
          <w:numId w:val="15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F Liquidation Preference Amount</w:t>
      </w:r>
      <w:r>
        <w:rPr>
          <w:rFonts w:ascii="Arial" w:cs="Arial" w:eastAsia="Arial" w:hAnsi="Arial"/>
          <w:sz w:val="22"/>
          <w:szCs w:val="22"/>
          <w:color w:val="auto"/>
        </w:rPr>
        <w:t>” shall mean the Class F Preferred Capital Value applicable to such Class F Preferred Share.</w:t>
      </w:r>
    </w:p>
    <w:p>
      <w:pPr>
        <w:spacing w:after="0" w:line="161" w:lineRule="exact"/>
        <w:rPr>
          <w:rFonts w:ascii="Arial" w:cs="Arial" w:eastAsia="Arial" w:hAnsi="Arial"/>
          <w:sz w:val="22"/>
          <w:szCs w:val="22"/>
          <w:color w:val="auto"/>
        </w:rPr>
      </w:pPr>
    </w:p>
    <w:p>
      <w:pPr>
        <w:jc w:val="both"/>
        <w:ind w:firstLine="656"/>
        <w:spacing w:after="0" w:line="259" w:lineRule="auto"/>
        <w:tabs>
          <w:tab w:leader="none" w:pos="1278" w:val="left"/>
        </w:tabs>
        <w:numPr>
          <w:ilvl w:val="0"/>
          <w:numId w:val="15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F New Member</w:t>
      </w:r>
      <w:r>
        <w:rPr>
          <w:rFonts w:ascii="Arial" w:cs="Arial" w:eastAsia="Arial" w:hAnsi="Arial"/>
          <w:sz w:val="21"/>
          <w:szCs w:val="21"/>
          <w:color w:val="auto"/>
        </w:rPr>
        <w:t>” means each of The Growth Fund of America, T. Rowe Price Growth Stock Fund, Inc., Seasons Series Trust - SA T. Rowe Price Growth Stock Portfolio, Voya Partners, Inc. - VY T. Rowe Price Growth Equity Portfolio, Brighthouse Funds Trust II - T. Rowe Price Large Cap Growth Portfolio, Lincoln Variable Insurance Products Trust - LVIP T. Rowe Price Growth Stock Fund, Penn Series Funds, Inc. - Large Growth Stock Fund, T. Rowe Price Growth Stock Trust, Sony Master Trust, Prudential Retirement Insurance and Annuity Company, Aon Savings Plan Trust, Caleres, Inc. Retirement Plan, Colgate Palmolive Employees Savings and Investment Plan Trust, Brinker Capital Destinations Trust - Destinations Large Cap Equity Fund, Alight Solutions LLC 401K Plan Trust, MassMutual Select Funds - MassMutual Select T. Rowe Price Large Cap Blend Fund, Legacy Health Employees’ Retirement Plan, Legacy Health, T. Rowe Price Science &amp; Technology Fund, Inc., VALIC Company I - Science &amp; Technology Fund, and together with any other Person that the Board of Directors designates as a “</w:t>
      </w:r>
      <w:r>
        <w:rPr>
          <w:rFonts w:ascii="Arial" w:cs="Arial" w:eastAsia="Arial" w:hAnsi="Arial"/>
          <w:sz w:val="21"/>
          <w:szCs w:val="21"/>
          <w:b w:val="1"/>
          <w:bCs w:val="1"/>
          <w:color w:val="auto"/>
        </w:rPr>
        <w:t>Class F New Member</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jc w:val="both"/>
        <w:ind w:firstLine="656"/>
        <w:spacing w:after="0" w:line="267" w:lineRule="auto"/>
        <w:tabs>
          <w:tab w:leader="none" w:pos="1251" w:val="left"/>
        </w:tabs>
        <w:numPr>
          <w:ilvl w:val="0"/>
          <w:numId w:val="15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F Preferred Capital Value</w:t>
      </w:r>
      <w:r>
        <w:rPr>
          <w:rFonts w:ascii="Arial" w:cs="Arial" w:eastAsia="Arial" w:hAnsi="Arial"/>
          <w:sz w:val="21"/>
          <w:szCs w:val="21"/>
          <w:color w:val="auto"/>
        </w:rPr>
        <w:t>” shall mean $18.25 for each Class F Preferred Share issued with respect to the Class F Commitment (and any other Class F Preferred Shares issued pursuant to the Class F Purchase Agreement), subject to appropriate and proportional adjustments to take into account any subdivision, reorganization, reclassification, recapitalization, stock split, reverse stock split, combination of shares or similar event.</w:t>
      </w:r>
    </w:p>
    <w:p>
      <w:pPr>
        <w:spacing w:after="0" w:line="167" w:lineRule="exact"/>
        <w:rPr>
          <w:rFonts w:ascii="Arial" w:cs="Arial" w:eastAsia="Arial" w:hAnsi="Arial"/>
          <w:sz w:val="21"/>
          <w:szCs w:val="21"/>
          <w:color w:val="auto"/>
        </w:rPr>
      </w:pPr>
    </w:p>
    <w:p>
      <w:pPr>
        <w:jc w:val="both"/>
        <w:ind w:firstLine="656"/>
        <w:spacing w:after="0" w:line="289" w:lineRule="auto"/>
        <w:tabs>
          <w:tab w:leader="none" w:pos="1165" w:val="left"/>
        </w:tabs>
        <w:numPr>
          <w:ilvl w:val="0"/>
          <w:numId w:val="15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F Trigger Date</w:t>
      </w:r>
      <w:r>
        <w:rPr>
          <w:rFonts w:ascii="Arial" w:cs="Arial" w:eastAsia="Arial" w:hAnsi="Arial"/>
          <w:sz w:val="19"/>
          <w:szCs w:val="19"/>
          <w:color w:val="auto"/>
        </w:rPr>
        <w:t xml:space="preserve">” shall mean May 7, 2023; </w:t>
      </w:r>
      <w:r>
        <w:rPr>
          <w:rFonts w:ascii="Arial" w:cs="Arial" w:eastAsia="Arial" w:hAnsi="Arial"/>
          <w:sz w:val="19"/>
          <w:szCs w:val="19"/>
          <w:u w:val="single" w:color="auto"/>
          <w:color w:val="auto"/>
        </w:rPr>
        <w:t>provided</w:t>
      </w:r>
      <w:r>
        <w:rPr>
          <w:rFonts w:ascii="Arial" w:cs="Arial" w:eastAsia="Arial" w:hAnsi="Arial"/>
          <w:sz w:val="19"/>
          <w:szCs w:val="19"/>
          <w:color w:val="auto"/>
        </w:rPr>
        <w:t>, that with respect to a Class F Preferred Member, solely in its capacity as a holder of Class F Preferred Shares, such date will be reduced to the Maximum Permitted Lockup Date if such Class F Preferred Member can provide evidence reasonably satisfactory to the Company that it is prohibited (across investments in U.S. private companies generally) from agreeing to Transfer restrictions with respect to its holding of shares in private companies that have a duration of at least four (4) years (the “</w:t>
      </w:r>
      <w:r>
        <w:rPr>
          <w:rFonts w:ascii="Arial" w:cs="Arial" w:eastAsia="Arial" w:hAnsi="Arial"/>
          <w:sz w:val="19"/>
          <w:szCs w:val="19"/>
          <w:b w:val="1"/>
          <w:bCs w:val="1"/>
          <w:color w:val="auto"/>
        </w:rPr>
        <w:t>Lockup Evidence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 reduction in the Class F Trigger Date for a Class F Preferred Member with respect to its Class F Preferred Shares will not be applicable to any other Class F Preferred Member with respect to its Class F Preferred Shares unless such other Class F Preferred Member provides Lockup Evidence. For the purpose of this definition, “</w:t>
      </w:r>
      <w:r>
        <w:rPr>
          <w:rFonts w:ascii="Arial" w:cs="Arial" w:eastAsia="Arial" w:hAnsi="Arial"/>
          <w:sz w:val="19"/>
          <w:szCs w:val="19"/>
          <w:b w:val="1"/>
          <w:bCs w:val="1"/>
          <w:color w:val="auto"/>
        </w:rPr>
        <w:t>Maximum Permitted Lockup Date</w:t>
      </w:r>
      <w:r>
        <w:rPr>
          <w:rFonts w:ascii="Arial" w:cs="Arial" w:eastAsia="Arial" w:hAnsi="Arial"/>
          <w:sz w:val="19"/>
          <w:szCs w:val="19"/>
          <w:color w:val="auto"/>
        </w:rPr>
        <w:t xml:space="preserve">” shall mean the longest period such Class F Preferred Member can be subject to the transfer restrictions in Section 9.01(a) taking into account restrictions applicable to its holding of shares in U.S. private companies generally; </w:t>
      </w:r>
      <w:r>
        <w:rPr>
          <w:rFonts w:ascii="Arial" w:cs="Arial" w:eastAsia="Arial" w:hAnsi="Arial"/>
          <w:sz w:val="19"/>
          <w:szCs w:val="19"/>
          <w:u w:val="single" w:color="auto"/>
          <w:color w:val="auto"/>
        </w:rPr>
        <w:t>provided</w:t>
      </w:r>
      <w:r>
        <w:rPr>
          <w:rFonts w:ascii="Arial" w:cs="Arial" w:eastAsia="Arial" w:hAnsi="Arial"/>
          <w:sz w:val="19"/>
          <w:szCs w:val="19"/>
          <w:color w:val="auto"/>
        </w:rPr>
        <w:t>, that in no event shall the Maximum Permitted Lockup Date be sooner than May 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Appx. 5</w:t>
      </w:r>
    </w:p>
    <w:p>
      <w:pPr>
        <w:sectPr>
          <w:pgSz w:w="11900" w:h="16838" w:orient="portrait"/>
          <w:cols w:equalWidth="0" w:num="1">
            <w:col w:w="11240"/>
          </w:cols>
          <w:pgMar w:left="320" w:top="1422" w:right="339" w:bottom="1440" w:gutter="0" w:footer="0" w:header="0"/>
        </w:sectPr>
      </w:pPr>
    </w:p>
    <w:bookmarkStart w:id="154" w:name="page155"/>
    <w:bookmarkEnd w:id="154"/>
    <w:p>
      <w:pPr>
        <w:jc w:val="both"/>
        <w:ind w:firstLine="656"/>
        <w:spacing w:after="0" w:line="256" w:lineRule="auto"/>
        <w:tabs>
          <w:tab w:leader="none" w:pos="123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G New Member</w:t>
      </w:r>
      <w:r>
        <w:rPr>
          <w:rFonts w:ascii="Arial" w:cs="Arial" w:eastAsia="Arial" w:hAnsi="Arial"/>
          <w:sz w:val="22"/>
          <w:szCs w:val="22"/>
          <w:color w:val="auto"/>
        </w:rPr>
        <w:t>” shall mean Microsoft, Baron, and any other Member who purchases Class G Preferred Shares pursuant to the Class G Purchase Agreement and who did not hold any other Equity Securities immediately prior to the date of this Agreement.</w:t>
      </w:r>
    </w:p>
    <w:p>
      <w:pPr>
        <w:spacing w:after="0" w:line="176" w:lineRule="exact"/>
        <w:rPr>
          <w:rFonts w:ascii="Arial" w:cs="Arial" w:eastAsia="Arial" w:hAnsi="Arial"/>
          <w:sz w:val="22"/>
          <w:szCs w:val="22"/>
          <w:color w:val="auto"/>
        </w:rPr>
      </w:pPr>
    </w:p>
    <w:p>
      <w:pPr>
        <w:ind w:firstLine="656"/>
        <w:spacing w:after="0" w:line="269" w:lineRule="auto"/>
        <w:tabs>
          <w:tab w:leader="none" w:pos="1141" w:val="left"/>
        </w:tabs>
        <w:numPr>
          <w:ilvl w:val="0"/>
          <w:numId w:val="15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G Preferred Member</w:t>
      </w:r>
      <w:r>
        <w:rPr>
          <w:rFonts w:ascii="Arial" w:cs="Arial" w:eastAsia="Arial" w:hAnsi="Arial"/>
          <w:sz w:val="22"/>
          <w:szCs w:val="22"/>
          <w:color w:val="auto"/>
        </w:rPr>
        <w:t>” shall mean each Person admitted to the Company as a Member and who holds Class G Preferred Shares.</w:t>
      </w:r>
    </w:p>
    <w:p>
      <w:pPr>
        <w:spacing w:after="0" w:line="161" w:lineRule="exact"/>
        <w:rPr>
          <w:rFonts w:ascii="Arial" w:cs="Arial" w:eastAsia="Arial" w:hAnsi="Arial"/>
          <w:sz w:val="22"/>
          <w:szCs w:val="22"/>
          <w:color w:val="auto"/>
        </w:rPr>
      </w:pPr>
    </w:p>
    <w:p>
      <w:pPr>
        <w:ind w:right="20" w:firstLine="656"/>
        <w:spacing w:after="0" w:line="269" w:lineRule="auto"/>
        <w:tabs>
          <w:tab w:leader="none" w:pos="1291" w:val="left"/>
        </w:tabs>
        <w:numPr>
          <w:ilvl w:val="0"/>
          <w:numId w:val="15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G Liquidation Preference Amount</w:t>
      </w:r>
      <w:r>
        <w:rPr>
          <w:rFonts w:ascii="Arial" w:cs="Arial" w:eastAsia="Arial" w:hAnsi="Arial"/>
          <w:sz w:val="22"/>
          <w:szCs w:val="22"/>
          <w:color w:val="auto"/>
        </w:rPr>
        <w:t>” shall mean the Class G Preferred Capital Value applicable to such Class G Preferred Share.</w:t>
      </w:r>
    </w:p>
    <w:p>
      <w:pPr>
        <w:spacing w:after="0" w:line="161" w:lineRule="exact"/>
        <w:rPr>
          <w:rFonts w:ascii="Arial" w:cs="Arial" w:eastAsia="Arial" w:hAnsi="Arial"/>
          <w:sz w:val="22"/>
          <w:szCs w:val="22"/>
          <w:color w:val="auto"/>
        </w:rPr>
      </w:pPr>
    </w:p>
    <w:p>
      <w:pPr>
        <w:jc w:val="both"/>
        <w:ind w:firstLine="656"/>
        <w:spacing w:after="0" w:line="267" w:lineRule="auto"/>
        <w:tabs>
          <w:tab w:leader="none" w:pos="1237" w:val="left"/>
        </w:tabs>
        <w:numPr>
          <w:ilvl w:val="0"/>
          <w:numId w:val="15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G Preferred Capital Value</w:t>
      </w:r>
      <w:r>
        <w:rPr>
          <w:rFonts w:ascii="Arial" w:cs="Arial" w:eastAsia="Arial" w:hAnsi="Arial"/>
          <w:sz w:val="21"/>
          <w:szCs w:val="21"/>
          <w:color w:val="auto"/>
        </w:rPr>
        <w:t>” shall mean $26.35 for each Class G Preferred Share issued with respect to the Class G Commitment (and any other Class G Preferred Shares issued pursuant to the Class G Purchase Agreement), subject to appropriate and proportional adjustments to take into account any subdivision, reorganization, reclassification, recapitalization, stock split, reverse stock split, combination of shares or similar event.</w:t>
      </w:r>
    </w:p>
    <w:p>
      <w:pPr>
        <w:spacing w:after="0" w:line="167" w:lineRule="exact"/>
        <w:rPr>
          <w:rFonts w:ascii="Arial" w:cs="Arial" w:eastAsia="Arial" w:hAnsi="Arial"/>
          <w:sz w:val="21"/>
          <w:szCs w:val="21"/>
          <w:color w:val="auto"/>
        </w:rPr>
      </w:pPr>
    </w:p>
    <w:p>
      <w:pPr>
        <w:ind w:firstLine="656"/>
        <w:spacing w:after="0" w:line="269" w:lineRule="auto"/>
        <w:tabs>
          <w:tab w:leader="none" w:pos="1374" w:val="left"/>
        </w:tabs>
        <w:numPr>
          <w:ilvl w:val="0"/>
          <w:numId w:val="15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G Trigger Date</w:t>
      </w:r>
      <w:r>
        <w:rPr>
          <w:rFonts w:ascii="Arial" w:cs="Arial" w:eastAsia="Arial" w:hAnsi="Arial"/>
          <w:sz w:val="22"/>
          <w:szCs w:val="22"/>
          <w:color w:val="auto"/>
        </w:rPr>
        <w:t>” shall mean the four (4) year anniversary of the date that such Class G Preferred Share was issued pursuant to the Class G Purchase Agreement.</w:t>
      </w:r>
    </w:p>
    <w:p>
      <w:pPr>
        <w:spacing w:after="0" w:line="161" w:lineRule="exact"/>
        <w:rPr>
          <w:rFonts w:ascii="Arial" w:cs="Arial" w:eastAsia="Arial" w:hAnsi="Arial"/>
          <w:sz w:val="22"/>
          <w:szCs w:val="22"/>
          <w:color w:val="auto"/>
        </w:rPr>
      </w:pPr>
    </w:p>
    <w:p>
      <w:pPr>
        <w:ind w:firstLine="656"/>
        <w:spacing w:after="0" w:line="269" w:lineRule="auto"/>
        <w:tabs>
          <w:tab w:leader="none" w:pos="1345" w:val="left"/>
        </w:tabs>
        <w:numPr>
          <w:ilvl w:val="0"/>
          <w:numId w:val="15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H Member</w:t>
      </w:r>
      <w:r>
        <w:rPr>
          <w:rFonts w:ascii="Arial" w:cs="Arial" w:eastAsia="Arial" w:hAnsi="Arial"/>
          <w:sz w:val="22"/>
          <w:szCs w:val="22"/>
          <w:color w:val="auto"/>
        </w:rPr>
        <w:t>” shall mean each Person admitted to the Company as a Member and who holds Class H Common Shares.</w:t>
      </w:r>
    </w:p>
    <w:p>
      <w:pPr>
        <w:spacing w:after="0" w:line="161" w:lineRule="exact"/>
        <w:rPr>
          <w:rFonts w:ascii="Arial" w:cs="Arial" w:eastAsia="Arial" w:hAnsi="Arial"/>
          <w:sz w:val="22"/>
          <w:szCs w:val="22"/>
          <w:color w:val="auto"/>
        </w:rPr>
      </w:pPr>
    </w:p>
    <w:p>
      <w:pPr>
        <w:ind w:firstLine="656"/>
        <w:spacing w:after="0" w:line="269" w:lineRule="auto"/>
        <w:tabs>
          <w:tab w:leader="none" w:pos="1345" w:val="left"/>
        </w:tabs>
        <w:numPr>
          <w:ilvl w:val="0"/>
          <w:numId w:val="15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H Trigger Date</w:t>
      </w:r>
      <w:r>
        <w:rPr>
          <w:rFonts w:ascii="Arial" w:cs="Arial" w:eastAsia="Arial" w:hAnsi="Arial"/>
          <w:sz w:val="22"/>
          <w:szCs w:val="22"/>
          <w:color w:val="auto"/>
        </w:rPr>
        <w:t>” shall mean, with respect to a particular Class H Common Share, the seven (7) year anniversary of the date that such Class H Common Share was issued.</w:t>
      </w:r>
    </w:p>
    <w:p>
      <w:pPr>
        <w:spacing w:after="0" w:line="161" w:lineRule="exact"/>
        <w:rPr>
          <w:rFonts w:ascii="Arial" w:cs="Arial" w:eastAsia="Arial" w:hAnsi="Arial"/>
          <w:sz w:val="22"/>
          <w:szCs w:val="22"/>
          <w:color w:val="auto"/>
        </w:rPr>
      </w:pPr>
    </w:p>
    <w:p>
      <w:pPr>
        <w:ind w:left="1200" w:hanging="544"/>
        <w:spacing w:after="0"/>
        <w:tabs>
          <w:tab w:leader="none" w:pos="120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shall mean the Internal Revenue Code of 1986, as amended.</w:t>
      </w:r>
    </w:p>
    <w:p>
      <w:pPr>
        <w:spacing w:after="0" w:line="220" w:lineRule="exact"/>
        <w:rPr>
          <w:sz w:val="20"/>
          <w:szCs w:val="20"/>
          <w:color w:val="auto"/>
        </w:rPr>
      </w:pPr>
    </w:p>
    <w:p>
      <w:pPr>
        <w:ind w:left="1300" w:hanging="644"/>
        <w:spacing w:after="0"/>
        <w:tabs>
          <w:tab w:leader="none" w:pos="130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Commercial Agreements</w:t>
      </w:r>
      <w:r>
        <w:rPr>
          <w:rFonts w:ascii="Arial" w:cs="Arial" w:eastAsia="Arial" w:hAnsi="Arial"/>
          <w:sz w:val="19"/>
          <w:szCs w:val="19"/>
          <w:color w:val="auto"/>
        </w:rPr>
        <w:t>” shall have the meaning given to “Commercial Agreements” in the SoftBank Purchase</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195" w:lineRule="exact"/>
        <w:rPr>
          <w:rFonts w:ascii="Arial" w:cs="Arial" w:eastAsia="Arial" w:hAnsi="Arial"/>
          <w:sz w:val="19"/>
          <w:szCs w:val="19"/>
          <w:color w:val="auto"/>
        </w:rPr>
      </w:pPr>
    </w:p>
    <w:p>
      <w:pPr>
        <w:jc w:val="both"/>
        <w:ind w:firstLine="656"/>
        <w:spacing w:after="0" w:line="293" w:lineRule="auto"/>
        <w:tabs>
          <w:tab w:leader="none" w:pos="1453" w:val="left"/>
        </w:tabs>
        <w:numPr>
          <w:ilvl w:val="0"/>
          <w:numId w:val="1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Commitments</w:t>
      </w:r>
      <w:r>
        <w:rPr>
          <w:rFonts w:ascii="Arial" w:cs="Arial" w:eastAsia="Arial" w:hAnsi="Arial"/>
          <w:sz w:val="19"/>
          <w:szCs w:val="19"/>
          <w:color w:val="auto"/>
        </w:rPr>
        <w:t>” shall mean, collectively, the GM Commitment, the SoftBank Commitment, the Subsequent SoftBank Commitment, the Honda Commitment, the Class F Commitment, Class G Commitment, and any additional commitment from an existing or new investor (which, in each case, represents (or in the case of any additional commitments, will represent) the aggregate amount of Capital Contributions that such investor has committed (or in the case of any additional commitments, will commit) to make to the Company in exchange for the issuance of Shares and subject in all respects to the terms and conditions set forth in this Agreement and the SoftBank Purchase Agreement, Honda Purchase Agreement, the Class F Purchase Agreement, the Class G Purchase Agreement, or the applicable subscription agreement, as applicable).</w:t>
      </w:r>
    </w:p>
    <w:p>
      <w:pPr>
        <w:spacing w:after="0" w:line="144" w:lineRule="exact"/>
        <w:rPr>
          <w:rFonts w:ascii="Arial" w:cs="Arial" w:eastAsia="Arial" w:hAnsi="Arial"/>
          <w:sz w:val="19"/>
          <w:szCs w:val="19"/>
          <w:color w:val="auto"/>
        </w:rPr>
      </w:pPr>
    </w:p>
    <w:p>
      <w:pPr>
        <w:ind w:firstLine="656"/>
        <w:spacing w:after="0" w:line="269" w:lineRule="auto"/>
        <w:tabs>
          <w:tab w:leader="none" w:pos="139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Shares</w:t>
      </w:r>
      <w:r>
        <w:rPr>
          <w:rFonts w:ascii="Arial" w:cs="Arial" w:eastAsia="Arial" w:hAnsi="Arial"/>
          <w:sz w:val="22"/>
          <w:szCs w:val="22"/>
          <w:color w:val="auto"/>
        </w:rPr>
        <w:t>” shall mean, collectively, the Class B Common Shares, Class C Common Shares, Class D Common Shares, Class E Common Shares, and Class H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Appx. 6</w:t>
      </w:r>
    </w:p>
    <w:p>
      <w:pPr>
        <w:sectPr>
          <w:pgSz w:w="11900" w:h="16838" w:orient="portrait"/>
          <w:cols w:equalWidth="0" w:num="1">
            <w:col w:w="11240"/>
          </w:cols>
          <w:pgMar w:left="320" w:top="1422" w:right="339" w:bottom="1440" w:gutter="0" w:footer="0" w:header="0"/>
        </w:sectPr>
      </w:pPr>
    </w:p>
    <w:bookmarkStart w:id="155" w:name="page156"/>
    <w:bookmarkEnd w:id="155"/>
    <w:p>
      <w:pPr>
        <w:jc w:val="both"/>
        <w:ind w:firstLine="656"/>
        <w:spacing w:after="0" w:line="295" w:lineRule="auto"/>
        <w:tabs>
          <w:tab w:leader="none" w:pos="1345" w:val="left"/>
        </w:tabs>
        <w:numPr>
          <w:ilvl w:val="0"/>
          <w:numId w:val="15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Control Period</w:t>
      </w:r>
      <w:r>
        <w:rPr>
          <w:rFonts w:ascii="Arial" w:cs="Arial" w:eastAsia="Arial" w:hAnsi="Arial"/>
          <w:sz w:val="19"/>
          <w:szCs w:val="19"/>
          <w:color w:val="auto"/>
        </w:rPr>
        <w:t>” shall mean the period from the date of this Agreement until the earlier of (i) the consummation of an IPO, and (ii) the date on which the GM Investor holds less than fifty percent (50%) of the total number of Shares (on an as-converted basis as if all Non-A-1 Interests are deemed converted (on a Fully Diluted Basis) to Class D Common Shares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are deemed converted to Class D Common Shares pursuant to Section 2.10(b)).</w:t>
      </w:r>
    </w:p>
    <w:p>
      <w:pPr>
        <w:spacing w:after="0" w:line="143" w:lineRule="exact"/>
        <w:rPr>
          <w:rFonts w:ascii="Arial" w:cs="Arial" w:eastAsia="Arial" w:hAnsi="Arial"/>
          <w:sz w:val="19"/>
          <w:szCs w:val="19"/>
          <w:color w:val="auto"/>
        </w:rPr>
      </w:pPr>
    </w:p>
    <w:p>
      <w:pPr>
        <w:jc w:val="both"/>
        <w:ind w:firstLine="656"/>
        <w:spacing w:after="0" w:line="304" w:lineRule="auto"/>
        <w:tabs>
          <w:tab w:leader="none" w:pos="1336" w:val="left"/>
        </w:tabs>
        <w:numPr>
          <w:ilvl w:val="0"/>
          <w:numId w:val="15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Covered Person</w:t>
      </w:r>
      <w:r>
        <w:rPr>
          <w:rFonts w:ascii="Arial" w:cs="Arial" w:eastAsia="Arial" w:hAnsi="Arial"/>
          <w:sz w:val="19"/>
          <w:szCs w:val="19"/>
          <w:color w:val="auto"/>
        </w:rPr>
        <w:t>” shall mean a Person who is or was (i) a Member or a Director, Officer, director, shareholder, partner, member, trustee, investment adviser, fiduciary or beneficiary of the Company or any Subsidiary of the Company or of a Member, or (ii) a director, officer, shareholder, partner, trustee, fiduciary or beneficiary of another Person serving as such at the request of the Company or any Subsidiary of the Company, for the Company’s or any of its Subsidiary’s benefit.</w:t>
      </w:r>
    </w:p>
    <w:p>
      <w:pPr>
        <w:spacing w:after="0" w:line="135" w:lineRule="exact"/>
        <w:rPr>
          <w:rFonts w:ascii="Arial" w:cs="Arial" w:eastAsia="Arial" w:hAnsi="Arial"/>
          <w:sz w:val="19"/>
          <w:szCs w:val="19"/>
          <w:color w:val="auto"/>
        </w:rPr>
      </w:pPr>
    </w:p>
    <w:p>
      <w:pPr>
        <w:jc w:val="both"/>
        <w:ind w:firstLine="656"/>
        <w:spacing w:after="0" w:line="256" w:lineRule="auto"/>
        <w:tabs>
          <w:tab w:leader="none" w:pos="1283" w:val="left"/>
        </w:tabs>
        <w:numPr>
          <w:ilvl w:val="0"/>
          <w:numId w:val="1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Designated Matter</w:t>
      </w:r>
      <w:r>
        <w:rPr>
          <w:rFonts w:ascii="Arial" w:cs="Arial" w:eastAsia="Arial" w:hAnsi="Arial"/>
          <w:sz w:val="22"/>
          <w:szCs w:val="22"/>
          <w:color w:val="auto"/>
        </w:rPr>
        <w:t>” with respect to a Covered Person shall mean a matter that is or is claimed to be a matter related to his or her duties to the Company, any of its Subsidiaries or any related entity or the performance of (or failure to perform) duties for the Company or any of its Subsidiaries.</w:t>
      </w:r>
    </w:p>
    <w:p>
      <w:pPr>
        <w:spacing w:after="0" w:line="176" w:lineRule="exact"/>
        <w:rPr>
          <w:rFonts w:ascii="Arial" w:cs="Arial" w:eastAsia="Arial" w:hAnsi="Arial"/>
          <w:sz w:val="22"/>
          <w:szCs w:val="22"/>
          <w:color w:val="auto"/>
        </w:rPr>
      </w:pPr>
    </w:p>
    <w:p>
      <w:pPr>
        <w:ind w:left="1340" w:hanging="684"/>
        <w:spacing w:after="0"/>
        <w:tabs>
          <w:tab w:leader="none" w:pos="134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DGCL</w:t>
      </w:r>
      <w:r>
        <w:rPr>
          <w:rFonts w:ascii="Arial" w:cs="Arial" w:eastAsia="Arial" w:hAnsi="Arial"/>
          <w:sz w:val="22"/>
          <w:szCs w:val="22"/>
          <w:color w:val="auto"/>
        </w:rPr>
        <w:t>” shall mean the State of Delaware General Corporation Law, as amended from time to time.</w:t>
      </w:r>
    </w:p>
    <w:p>
      <w:pPr>
        <w:spacing w:after="0" w:line="219" w:lineRule="exact"/>
        <w:rPr>
          <w:rFonts w:ascii="Arial" w:cs="Arial" w:eastAsia="Arial" w:hAnsi="Arial"/>
          <w:sz w:val="22"/>
          <w:szCs w:val="22"/>
          <w:color w:val="auto"/>
        </w:rPr>
      </w:pPr>
    </w:p>
    <w:p>
      <w:pPr>
        <w:ind w:left="1340" w:hanging="684"/>
        <w:spacing w:after="0"/>
        <w:tabs>
          <w:tab w:leader="none" w:pos="134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Director</w:t>
      </w:r>
      <w:r>
        <w:rPr>
          <w:rFonts w:ascii="Arial" w:cs="Arial" w:eastAsia="Arial" w:hAnsi="Arial"/>
          <w:sz w:val="22"/>
          <w:szCs w:val="22"/>
          <w:color w:val="auto"/>
        </w:rPr>
        <w:t>” shall mean a Person designated to the Board of Directors pursuant to Section 6.03.</w:t>
      </w:r>
    </w:p>
    <w:p>
      <w:pPr>
        <w:spacing w:after="0" w:line="219" w:lineRule="exact"/>
        <w:rPr>
          <w:rFonts w:ascii="Arial" w:cs="Arial" w:eastAsia="Arial" w:hAnsi="Arial"/>
          <w:sz w:val="22"/>
          <w:szCs w:val="22"/>
          <w:color w:val="auto"/>
        </w:rPr>
      </w:pPr>
    </w:p>
    <w:p>
      <w:pPr>
        <w:jc w:val="both"/>
        <w:ind w:firstLine="656"/>
        <w:spacing w:after="0" w:line="247" w:lineRule="auto"/>
        <w:tabs>
          <w:tab w:leader="none" w:pos="1282" w:val="left"/>
        </w:tabs>
        <w:numPr>
          <w:ilvl w:val="0"/>
          <w:numId w:val="1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Distribution</w:t>
      </w:r>
      <w:r>
        <w:rPr>
          <w:rFonts w:ascii="Arial" w:cs="Arial" w:eastAsia="Arial" w:hAnsi="Arial"/>
          <w:sz w:val="22"/>
          <w:szCs w:val="22"/>
          <w:color w:val="auto"/>
        </w:rPr>
        <w:t xml:space="preserve">” shall mean each distribution made by the Company to a Member with respect to such Person’s Shares, whether in cash, property or securities of the Company and whether by dividend, redemption, repurchase or otherwise; </w:t>
      </w:r>
      <w:r>
        <w:rPr>
          <w:rFonts w:ascii="Arial" w:cs="Arial" w:eastAsia="Arial" w:hAnsi="Arial"/>
          <w:sz w:val="22"/>
          <w:szCs w:val="22"/>
          <w:u w:val="single" w:color="auto"/>
          <w:color w:val="auto"/>
        </w:rPr>
        <w:t>provided</w:t>
      </w:r>
      <w:r>
        <w:rPr>
          <w:rFonts w:ascii="Arial" w:cs="Arial" w:eastAsia="Arial" w:hAnsi="Arial"/>
          <w:sz w:val="22"/>
          <w:szCs w:val="22"/>
          <w:color w:val="auto"/>
        </w:rPr>
        <w:t>, that none of the following shall be deemed a Distribution: (i) any redemption or repurchase by the Company of any securities of the Company in connection with the termination of employment of an employee of the Company or any of its Subsidiaries or otherwise pursuant to a Share Grant Agreement and (ii) any recapitalization, exchange or conversion of Shares, and any subdivision (by share split or otherwise) or any combination (by reverse share split or otherwise) of any outstanding Shares.</w:t>
      </w:r>
    </w:p>
    <w:p>
      <w:pPr>
        <w:spacing w:after="0" w:line="189" w:lineRule="exact"/>
        <w:rPr>
          <w:rFonts w:ascii="Arial" w:cs="Arial" w:eastAsia="Arial" w:hAnsi="Arial"/>
          <w:sz w:val="22"/>
          <w:szCs w:val="22"/>
          <w:color w:val="auto"/>
        </w:rPr>
      </w:pPr>
    </w:p>
    <w:p>
      <w:pPr>
        <w:ind w:right="20" w:firstLine="656"/>
        <w:spacing w:after="0" w:line="269" w:lineRule="auto"/>
        <w:tabs>
          <w:tab w:leader="none" w:pos="1201" w:val="left"/>
        </w:tabs>
        <w:numPr>
          <w:ilvl w:val="0"/>
          <w:numId w:val="1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EDSA</w:t>
      </w:r>
      <w:r>
        <w:rPr>
          <w:rFonts w:ascii="Arial" w:cs="Arial" w:eastAsia="Arial" w:hAnsi="Arial"/>
          <w:sz w:val="22"/>
          <w:szCs w:val="22"/>
          <w:color w:val="auto"/>
        </w:rPr>
        <w:t>” shall mean the Engineering and Design Services Agreement entered into between GM Global Technology Operations LLC and the Company dated as of June 28, 2018.</w:t>
      </w:r>
    </w:p>
    <w:p>
      <w:pPr>
        <w:spacing w:after="0" w:line="161" w:lineRule="exact"/>
        <w:rPr>
          <w:rFonts w:ascii="Arial" w:cs="Arial" w:eastAsia="Arial" w:hAnsi="Arial"/>
          <w:sz w:val="22"/>
          <w:szCs w:val="22"/>
          <w:color w:val="auto"/>
        </w:rPr>
      </w:pPr>
    </w:p>
    <w:p>
      <w:pPr>
        <w:jc w:val="both"/>
        <w:ind w:firstLine="656"/>
        <w:spacing w:after="0" w:line="249" w:lineRule="auto"/>
        <w:tabs>
          <w:tab w:leader="none" w:pos="144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Employee Member</w:t>
      </w:r>
      <w:r>
        <w:rPr>
          <w:rFonts w:ascii="Arial" w:cs="Arial" w:eastAsia="Arial" w:hAnsi="Arial"/>
          <w:sz w:val="22"/>
          <w:szCs w:val="22"/>
          <w:color w:val="auto"/>
        </w:rPr>
        <w:t>” shall mean a Member who is or was an employee, officer, director, manager or other service provider of the Company or one of its Subsidiaries or who is wholly owned by or is a Family Trust or other similar entity of one or more of the current or former employees, officers, directors, managers or other services providers of the Company or one of its Subsidiaries. Any reference in this Agreement to an Employee Member shall mean, in the case of a Member who is wholly owned by or is a member of the Family Group of one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Appx. 7</w:t>
      </w:r>
    </w:p>
    <w:p>
      <w:pPr>
        <w:sectPr>
          <w:pgSz w:w="11900" w:h="16838" w:orient="portrait"/>
          <w:cols w:equalWidth="0" w:num="1">
            <w:col w:w="11240"/>
          </w:cols>
          <w:pgMar w:left="320" w:top="1422" w:right="339" w:bottom="1440" w:gutter="0" w:footer="0" w:header="0"/>
        </w:sectPr>
      </w:pPr>
    </w:p>
    <w:bookmarkStart w:id="156" w:name="page157"/>
    <w:bookmarkEnd w:id="156"/>
    <w:p>
      <w:pPr>
        <w:jc w:val="both"/>
        <w:spacing w:after="0" w:line="263" w:lineRule="auto"/>
        <w:rPr>
          <w:sz w:val="20"/>
          <w:szCs w:val="20"/>
          <w:color w:val="auto"/>
        </w:rPr>
      </w:pPr>
      <w:r>
        <w:rPr>
          <w:rFonts w:ascii="Arial" w:cs="Arial" w:eastAsia="Arial" w:hAnsi="Arial"/>
          <w:sz w:val="21"/>
          <w:szCs w:val="21"/>
          <w:color w:val="auto"/>
        </w:rPr>
        <w:t>more of the current or former employees, officers, directors, managers or other service providers of the Company or one of its Subsidiaries, the current or former employee, officer, director, manager or other service provider of the Company or one of its Subsidiaries, or such Member that is wholly owned or is a member of the Family Group or other similar entity of such Person (regardless of whether such current or former employee, officer, director, manager or other service provider or such wholly owned entity, member of the Family Group or other similar entity is a Member), as the context so requires.</w:t>
      </w:r>
    </w:p>
    <w:p>
      <w:pPr>
        <w:spacing w:after="0" w:line="169" w:lineRule="exact"/>
        <w:rPr>
          <w:sz w:val="20"/>
          <w:szCs w:val="20"/>
          <w:color w:val="auto"/>
        </w:rPr>
      </w:pPr>
    </w:p>
    <w:p>
      <w:pPr>
        <w:jc w:val="both"/>
        <w:ind w:firstLine="656"/>
        <w:spacing w:after="0" w:line="304" w:lineRule="auto"/>
        <w:tabs>
          <w:tab w:leader="none" w:pos="1242" w:val="left"/>
        </w:tabs>
        <w:numPr>
          <w:ilvl w:val="0"/>
          <w:numId w:val="16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Equity Securities</w:t>
      </w:r>
      <w:r>
        <w:rPr>
          <w:rFonts w:ascii="Arial" w:cs="Arial" w:eastAsia="Arial" w:hAnsi="Arial"/>
          <w:sz w:val="19"/>
          <w:szCs w:val="19"/>
          <w:color w:val="auto"/>
        </w:rPr>
        <w:t>” shall mean all forms of equity securities in the Company, its Subsidiaries or their successors (including Shares), all securities convertible into or exchangeable for equity securities in the Company, its Subsidiaries or their successors, and all options, warrants, and other rights to purchase or otherwise acquire equity securities, or securities convertible into or exchangeable for equity securities, from the Company, its Subsidiaries or their successors.</w:t>
      </w:r>
    </w:p>
    <w:p>
      <w:pPr>
        <w:spacing w:after="0" w:line="135" w:lineRule="exact"/>
        <w:rPr>
          <w:rFonts w:ascii="Arial" w:cs="Arial" w:eastAsia="Arial" w:hAnsi="Arial"/>
          <w:sz w:val="19"/>
          <w:szCs w:val="19"/>
          <w:color w:val="auto"/>
        </w:rPr>
      </w:pPr>
    </w:p>
    <w:p>
      <w:pPr>
        <w:jc w:val="both"/>
        <w:ind w:firstLine="656"/>
        <w:spacing w:after="0" w:line="298" w:lineRule="auto"/>
        <w:tabs>
          <w:tab w:leader="none" w:pos="1525" w:val="left"/>
        </w:tabs>
        <w:numPr>
          <w:ilvl w:val="0"/>
          <w:numId w:val="16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Equivalent Terms</w:t>
      </w:r>
      <w:r>
        <w:rPr>
          <w:rFonts w:ascii="Arial" w:cs="Arial" w:eastAsia="Arial" w:hAnsi="Arial"/>
          <w:sz w:val="19"/>
          <w:szCs w:val="19"/>
          <w:color w:val="auto"/>
        </w:rPr>
        <w:t>” shall mean a proposal on terms, including all legal, financial, regulatory and other aspects of such proposal, including termination fee and/or expense reimbursement provisions, conditionality, financing, antitrust, timing, indemnification and post-closing limitations of liability and such other factors, events or circumstances as the Board of Directors considers in good faith to be appropriate, that is (i) reasonably likely to be consummated in accordance with its terms and (ii) at least as favorable to the Transferor(s) pursuant to Section 9.01(a)(ix) as the terms set forth in the ROFR Sale Notice.</w:t>
      </w:r>
    </w:p>
    <w:p>
      <w:pPr>
        <w:spacing w:after="0" w:line="142" w:lineRule="exact"/>
        <w:rPr>
          <w:rFonts w:ascii="Arial" w:cs="Arial" w:eastAsia="Arial" w:hAnsi="Arial"/>
          <w:sz w:val="19"/>
          <w:szCs w:val="19"/>
          <w:color w:val="auto"/>
        </w:rPr>
      </w:pPr>
    </w:p>
    <w:p>
      <w:pPr>
        <w:ind w:firstLine="656"/>
        <w:spacing w:after="0" w:line="269" w:lineRule="auto"/>
        <w:tabs>
          <w:tab w:leader="none" w:pos="1332" w:val="left"/>
        </w:tabs>
        <w:numPr>
          <w:ilvl w:val="0"/>
          <w:numId w:val="1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Agreement</w:t>
      </w:r>
      <w:r>
        <w:rPr>
          <w:rFonts w:ascii="Arial" w:cs="Arial" w:eastAsia="Arial" w:hAnsi="Arial"/>
          <w:sz w:val="22"/>
          <w:szCs w:val="22"/>
          <w:color w:val="auto"/>
        </w:rPr>
        <w:t>” shall mean the Exchange Agreement in the form agreed to by the then existing Members and the Company on the date of the SoftBank Purchase Agreement.</w:t>
      </w:r>
    </w:p>
    <w:p>
      <w:pPr>
        <w:spacing w:after="0" w:line="161" w:lineRule="exact"/>
        <w:rPr>
          <w:rFonts w:ascii="Arial" w:cs="Arial" w:eastAsia="Arial" w:hAnsi="Arial"/>
          <w:sz w:val="22"/>
          <w:szCs w:val="22"/>
          <w:color w:val="auto"/>
        </w:rPr>
      </w:pPr>
    </w:p>
    <w:p>
      <w:pPr>
        <w:jc w:val="both"/>
        <w:ind w:firstLine="656"/>
        <w:spacing w:after="0" w:line="249" w:lineRule="auto"/>
        <w:tabs>
          <w:tab w:leader="none" w:pos="1359" w:val="left"/>
        </w:tabs>
        <w:numPr>
          <w:ilvl w:val="0"/>
          <w:numId w:val="1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Fair Market Value</w:t>
      </w:r>
      <w:r>
        <w:rPr>
          <w:rFonts w:ascii="Arial" w:cs="Arial" w:eastAsia="Arial" w:hAnsi="Arial"/>
          <w:sz w:val="22"/>
          <w:szCs w:val="22"/>
          <w:color w:val="auto"/>
        </w:rPr>
        <w:t>” with respect to securities traded on a stock exchange or over-the-counter market as of any date shall be the mean between the highest and lowest quoted selling prices, or if none, the mean between the bona fide bid and asked prices, on the valuation date, or if the foregoing is not applicable, otherwise determined in a manner not inconsistent with Treasury Regulation §20.2031-2. Fair Market Value of any other assets shall be their fair market value as determined in good faith by the Board of Directors.</w:t>
      </w:r>
    </w:p>
    <w:p>
      <w:pPr>
        <w:spacing w:after="0" w:line="186" w:lineRule="exact"/>
        <w:rPr>
          <w:rFonts w:ascii="Arial" w:cs="Arial" w:eastAsia="Arial" w:hAnsi="Arial"/>
          <w:sz w:val="22"/>
          <w:szCs w:val="22"/>
          <w:color w:val="auto"/>
        </w:rPr>
      </w:pPr>
    </w:p>
    <w:p>
      <w:pPr>
        <w:jc w:val="both"/>
        <w:ind w:firstLine="656"/>
        <w:spacing w:after="0" w:line="249" w:lineRule="auto"/>
        <w:tabs>
          <w:tab w:leader="none" w:pos="1453" w:val="left"/>
        </w:tabs>
        <w:numPr>
          <w:ilvl w:val="0"/>
          <w:numId w:val="1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Family Group</w:t>
      </w:r>
      <w:r>
        <w:rPr>
          <w:rFonts w:ascii="Arial" w:cs="Arial" w:eastAsia="Arial" w:hAnsi="Arial"/>
          <w:sz w:val="22"/>
          <w:szCs w:val="22"/>
          <w:color w:val="auto"/>
        </w:rPr>
        <w:t>” shall mean, for any individual, such individual’s current or former spouse, their respective parents, descendants of such parents (whether natural or adopted) and the spouses of such descendants, and any trust, limited partnership, corporation or limited liability company established solely for the benefit of such individual or such individual’s current or former spouse, their respective parents, descendants of such parents (whether natural or adopted) or the spouses of such descendants.</w:t>
      </w:r>
    </w:p>
    <w:p>
      <w:pPr>
        <w:spacing w:after="0" w:line="186" w:lineRule="exact"/>
        <w:rPr>
          <w:rFonts w:ascii="Arial" w:cs="Arial" w:eastAsia="Arial" w:hAnsi="Arial"/>
          <w:sz w:val="22"/>
          <w:szCs w:val="22"/>
          <w:color w:val="auto"/>
        </w:rPr>
      </w:pPr>
    </w:p>
    <w:p>
      <w:pPr>
        <w:ind w:left="1340" w:hanging="684"/>
        <w:spacing w:after="0"/>
        <w:tabs>
          <w:tab w:leader="none" w:pos="134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Year</w:t>
      </w:r>
      <w:r>
        <w:rPr>
          <w:rFonts w:ascii="Arial" w:cs="Arial" w:eastAsia="Arial" w:hAnsi="Arial"/>
          <w:sz w:val="22"/>
          <w:szCs w:val="22"/>
          <w:color w:val="auto"/>
        </w:rPr>
        <w:t>” shall mean the calendar year.</w:t>
      </w:r>
    </w:p>
    <w:p>
      <w:pPr>
        <w:spacing w:after="0" w:line="219" w:lineRule="exact"/>
        <w:rPr>
          <w:rFonts w:ascii="Arial" w:cs="Arial" w:eastAsia="Arial" w:hAnsi="Arial"/>
          <w:sz w:val="22"/>
          <w:szCs w:val="22"/>
          <w:color w:val="auto"/>
        </w:rPr>
      </w:pPr>
    </w:p>
    <w:p>
      <w:pPr>
        <w:jc w:val="both"/>
        <w:ind w:firstLine="656"/>
        <w:spacing w:after="0" w:line="256" w:lineRule="auto"/>
        <w:tabs>
          <w:tab w:leader="none" w:pos="1224" w:val="left"/>
        </w:tabs>
        <w:numPr>
          <w:ilvl w:val="0"/>
          <w:numId w:val="1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Fully Diluted Basis</w:t>
      </w:r>
      <w:r>
        <w:rPr>
          <w:rFonts w:ascii="Arial" w:cs="Arial" w:eastAsia="Arial" w:hAnsi="Arial"/>
          <w:sz w:val="22"/>
          <w:szCs w:val="22"/>
          <w:color w:val="auto"/>
        </w:rPr>
        <w:t>” shall mean the number of Shares which would be outstanding, as of the date of computation, if all convertible obligations, options, RSUs, warrants and like rights, and other instruments to acquire Shares had been converted or exercised (or,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Appx. 8</w:t>
      </w:r>
    </w:p>
    <w:p>
      <w:pPr>
        <w:sectPr>
          <w:pgSz w:w="11900" w:h="16838" w:orient="portrait"/>
          <w:cols w:equalWidth="0" w:num="1">
            <w:col w:w="11240"/>
          </w:cols>
          <w:pgMar w:left="320" w:top="1428" w:right="339" w:bottom="1440" w:gutter="0" w:footer="0" w:header="0"/>
        </w:sectPr>
      </w:pPr>
    </w:p>
    <w:bookmarkStart w:id="157" w:name="page158"/>
    <w:bookmarkEnd w:id="157"/>
    <w:p>
      <w:pPr>
        <w:spacing w:after="0" w:line="263" w:lineRule="auto"/>
        <w:rPr>
          <w:sz w:val="20"/>
          <w:szCs w:val="20"/>
          <w:color w:val="auto"/>
        </w:rPr>
      </w:pPr>
      <w:r>
        <w:rPr>
          <w:rFonts w:ascii="Arial" w:cs="Arial" w:eastAsia="Arial" w:hAnsi="Arial"/>
          <w:sz w:val="22"/>
          <w:szCs w:val="22"/>
          <w:color w:val="auto"/>
        </w:rPr>
        <w:t>not then granted and reserved for grant or issuance, all such obligations, options, RSUs, warrants and other instruments which are so reserved for grant or issuance, calculated in accordance with the treasury method).</w:t>
      </w:r>
    </w:p>
    <w:p>
      <w:pPr>
        <w:spacing w:after="0" w:line="169" w:lineRule="exact"/>
        <w:rPr>
          <w:sz w:val="20"/>
          <w:szCs w:val="20"/>
          <w:color w:val="auto"/>
        </w:rPr>
      </w:pPr>
    </w:p>
    <w:p>
      <w:pPr>
        <w:ind w:left="1260" w:hanging="604"/>
        <w:spacing w:after="0"/>
        <w:tabs>
          <w:tab w:leader="none" w:pos="126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shall mean generally accepted accounting principles applied in the United States.</w:t>
      </w:r>
    </w:p>
    <w:p>
      <w:pPr>
        <w:spacing w:after="0" w:line="219" w:lineRule="exact"/>
        <w:rPr>
          <w:rFonts w:ascii="Arial" w:cs="Arial" w:eastAsia="Arial" w:hAnsi="Arial"/>
          <w:sz w:val="22"/>
          <w:szCs w:val="22"/>
          <w:color w:val="auto"/>
        </w:rPr>
      </w:pPr>
    </w:p>
    <w:p>
      <w:pPr>
        <w:jc w:val="both"/>
        <w:ind w:firstLine="656"/>
        <w:spacing w:after="0" w:line="291" w:lineRule="auto"/>
        <w:tabs>
          <w:tab w:leader="none" w:pos="1188" w:val="left"/>
        </w:tabs>
        <w:numPr>
          <w:ilvl w:val="0"/>
          <w:numId w:val="16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General Floor Amount</w:t>
      </w:r>
      <w:r>
        <w:rPr>
          <w:rFonts w:ascii="Arial" w:cs="Arial" w:eastAsia="Arial" w:hAnsi="Arial"/>
          <w:sz w:val="19"/>
          <w:szCs w:val="19"/>
          <w:color w:val="auto"/>
        </w:rPr>
        <w:t>” shall mean, for each Class F New Member, such number of Class F Preferred Shares and Class G Preferred Shares equal to at least fifty percent (50%) of the originally issued Class F Preferred Shares to such Class F New Member (as adjusted, as necessary, to reflect appropriate and proportional adjustments to take into account any subdivision, reorganization, reclassification, recapitalization, stock split, reverse stock split, combination of shares or similar event), and for each Class G New Member (other than Microsoft), such number of Class G Preferred Shares equal to at least fifty percent (50%) of the originally issued Class G Preferred Shares to such Class G New Member (as adjusted, as necessary, to reflect appropriate and proportional adjustments to take into account any subdivision, reorganization, reclassification, recapitalization, stock split, reverse stock split, combination of shares or similar event).</w:t>
      </w:r>
    </w:p>
    <w:p>
      <w:pPr>
        <w:spacing w:after="0" w:line="148" w:lineRule="exact"/>
        <w:rPr>
          <w:rFonts w:ascii="Arial" w:cs="Arial" w:eastAsia="Arial" w:hAnsi="Arial"/>
          <w:sz w:val="19"/>
          <w:szCs w:val="19"/>
          <w:color w:val="auto"/>
        </w:rPr>
      </w:pPr>
    </w:p>
    <w:p>
      <w:pPr>
        <w:ind w:right="20" w:firstLine="656"/>
        <w:spacing w:after="0" w:line="269" w:lineRule="auto"/>
        <w:tabs>
          <w:tab w:leader="none" w:pos="1413" w:val="left"/>
        </w:tabs>
        <w:numPr>
          <w:ilvl w:val="0"/>
          <w:numId w:val="1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GM Affiliated Group</w:t>
      </w:r>
      <w:r>
        <w:rPr>
          <w:rFonts w:ascii="Arial" w:cs="Arial" w:eastAsia="Arial" w:hAnsi="Arial"/>
          <w:sz w:val="22"/>
          <w:szCs w:val="22"/>
          <w:color w:val="auto"/>
        </w:rPr>
        <w:t>” shall mean the affiliated group of corporations of which GM Parent is the “common parent,” within the meaning of Section 1504 of the Code.</w:t>
      </w:r>
    </w:p>
    <w:p>
      <w:pPr>
        <w:spacing w:after="0" w:line="161" w:lineRule="exact"/>
        <w:rPr>
          <w:rFonts w:ascii="Arial" w:cs="Arial" w:eastAsia="Arial" w:hAnsi="Arial"/>
          <w:sz w:val="22"/>
          <w:szCs w:val="22"/>
          <w:color w:val="auto"/>
        </w:rPr>
      </w:pPr>
    </w:p>
    <w:p>
      <w:pPr>
        <w:ind w:left="1340" w:hanging="684"/>
        <w:spacing w:after="0"/>
        <w:tabs>
          <w:tab w:leader="none" w:pos="134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GM Business</w:t>
      </w:r>
      <w:r>
        <w:rPr>
          <w:rFonts w:ascii="Arial" w:cs="Arial" w:eastAsia="Arial" w:hAnsi="Arial"/>
          <w:sz w:val="22"/>
          <w:szCs w:val="22"/>
          <w:color w:val="auto"/>
        </w:rPr>
        <w:t>” shall have the meaning given to it in the IPMA.</w:t>
      </w:r>
    </w:p>
    <w:p>
      <w:pPr>
        <w:spacing w:after="0" w:line="219" w:lineRule="exact"/>
        <w:rPr>
          <w:rFonts w:ascii="Arial" w:cs="Arial" w:eastAsia="Arial" w:hAnsi="Arial"/>
          <w:sz w:val="22"/>
          <w:szCs w:val="22"/>
          <w:color w:val="auto"/>
        </w:rPr>
      </w:pPr>
    </w:p>
    <w:p>
      <w:pPr>
        <w:ind w:right="20" w:firstLine="656"/>
        <w:spacing w:after="0" w:line="269" w:lineRule="auto"/>
        <w:tabs>
          <w:tab w:leader="none" w:pos="1557" w:val="left"/>
        </w:tabs>
        <w:numPr>
          <w:ilvl w:val="0"/>
          <w:numId w:val="1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GM Consolidated Return</w:t>
      </w:r>
      <w:r>
        <w:rPr>
          <w:rFonts w:ascii="Arial" w:cs="Arial" w:eastAsia="Arial" w:hAnsi="Arial"/>
          <w:sz w:val="22"/>
          <w:szCs w:val="22"/>
          <w:color w:val="auto"/>
        </w:rPr>
        <w:t>” shall mean the consolidated U.S. federal income tax return of GM Parent filed pursuant to Section 1501 of the Code.</w:t>
      </w:r>
    </w:p>
    <w:p>
      <w:pPr>
        <w:spacing w:after="0" w:line="161" w:lineRule="exact"/>
        <w:rPr>
          <w:rFonts w:ascii="Arial" w:cs="Arial" w:eastAsia="Arial" w:hAnsi="Arial"/>
          <w:sz w:val="22"/>
          <w:szCs w:val="22"/>
          <w:color w:val="auto"/>
        </w:rPr>
      </w:pPr>
    </w:p>
    <w:p>
      <w:pPr>
        <w:jc w:val="both"/>
        <w:ind w:firstLine="656"/>
        <w:spacing w:after="0" w:line="256" w:lineRule="auto"/>
        <w:tabs>
          <w:tab w:leader="none" w:pos="1332" w:val="left"/>
        </w:tabs>
        <w:numPr>
          <w:ilvl w:val="0"/>
          <w:numId w:val="1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GM Investor</w:t>
      </w:r>
      <w:r>
        <w:rPr>
          <w:rFonts w:ascii="Arial" w:cs="Arial" w:eastAsia="Arial" w:hAnsi="Arial"/>
          <w:sz w:val="22"/>
          <w:szCs w:val="22"/>
          <w:color w:val="auto"/>
        </w:rPr>
        <w:t>” shall mean (i) GM, (ii) to the extent they are Members, any of Affiliate of GM, and (iii) any other Person not an Affiliate of GM to whom GM or any of its Affiliates have transferred Shares and who has been admitted as a Member of the Company.</w:t>
      </w:r>
    </w:p>
    <w:p>
      <w:pPr>
        <w:spacing w:after="0" w:line="176" w:lineRule="exact"/>
        <w:rPr>
          <w:rFonts w:ascii="Arial" w:cs="Arial" w:eastAsia="Arial" w:hAnsi="Arial"/>
          <w:sz w:val="22"/>
          <w:szCs w:val="22"/>
          <w:color w:val="auto"/>
        </w:rPr>
      </w:pPr>
    </w:p>
    <w:p>
      <w:pPr>
        <w:jc w:val="both"/>
        <w:ind w:firstLine="656"/>
        <w:spacing w:after="0" w:line="256" w:lineRule="auto"/>
        <w:tabs>
          <w:tab w:leader="none" w:pos="1359" w:val="left"/>
        </w:tabs>
        <w:numPr>
          <w:ilvl w:val="0"/>
          <w:numId w:val="1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GM Parent</w:t>
      </w:r>
      <w:r>
        <w:rPr>
          <w:rFonts w:ascii="Arial" w:cs="Arial" w:eastAsia="Arial" w:hAnsi="Arial"/>
          <w:sz w:val="22"/>
          <w:szCs w:val="22"/>
          <w:color w:val="auto"/>
        </w:rPr>
        <w:t>” shall mean General Motors Company or, if General Motors Company has merged or consolidated into any other Person (or sold all or substantially all of its assets in any one or a series of related to transactions to such other Person), then the parent company of such other Person.</w:t>
      </w:r>
    </w:p>
    <w:p>
      <w:pPr>
        <w:spacing w:after="0" w:line="176" w:lineRule="exact"/>
        <w:rPr>
          <w:rFonts w:ascii="Arial" w:cs="Arial" w:eastAsia="Arial" w:hAnsi="Arial"/>
          <w:sz w:val="22"/>
          <w:szCs w:val="22"/>
          <w:color w:val="auto"/>
        </w:rPr>
      </w:pPr>
    </w:p>
    <w:p>
      <w:pPr>
        <w:ind w:right="20" w:firstLine="656"/>
        <w:spacing w:after="0" w:line="349" w:lineRule="auto"/>
        <w:tabs>
          <w:tab w:leader="none" w:pos="1322" w:val="left"/>
        </w:tabs>
        <w:numPr>
          <w:ilvl w:val="0"/>
          <w:numId w:val="16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shall mean any government or governmental or regulatory body thereof, or political subdivision thereof, whether foreign, federal, state, or local or any agency, instrumentality or authority thereof or any court.</w:t>
      </w:r>
    </w:p>
    <w:p>
      <w:pPr>
        <w:spacing w:after="0" w:line="94" w:lineRule="exact"/>
        <w:rPr>
          <w:sz w:val="20"/>
          <w:szCs w:val="20"/>
          <w:color w:val="auto"/>
        </w:rPr>
      </w:pPr>
    </w:p>
    <w:p>
      <w:pPr>
        <w:jc w:val="both"/>
        <w:ind w:firstLine="656"/>
        <w:spacing w:after="0" w:line="304" w:lineRule="auto"/>
        <w:tabs>
          <w:tab w:leader="none" w:pos="1459" w:val="left"/>
        </w:tabs>
        <w:numPr>
          <w:ilvl w:val="0"/>
          <w:numId w:val="16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Honda Call Trigger Date</w:t>
      </w:r>
      <w:r>
        <w:rPr>
          <w:rFonts w:ascii="Arial" w:cs="Arial" w:eastAsia="Arial" w:hAnsi="Arial"/>
          <w:sz w:val="19"/>
          <w:szCs w:val="19"/>
          <w:color w:val="auto"/>
        </w:rPr>
        <w:t>” shall mean the date on which (i) Honda terminates all of the Honda Commercial Agreements, excluding the Marketing and Network Access Fee Agreement, to which the Company is a party or (ii) the Company and/or GM terminate all of the Honda Commercial Agreements, excluding the Marketing and Network Access Fee Agreement, to which the Company is a party pursuant to the terms and conditions thereof due to a breach of such agreements by Honda.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Appx. 9</w:t>
      </w:r>
    </w:p>
    <w:p>
      <w:pPr>
        <w:sectPr>
          <w:pgSz w:w="11900" w:h="16838" w:orient="portrait"/>
          <w:cols w:equalWidth="0" w:num="1">
            <w:col w:w="11240"/>
          </w:cols>
          <w:pgMar w:left="320" w:top="1428" w:right="339" w:bottom="1440" w:gutter="0" w:footer="0" w:header="0"/>
        </w:sectPr>
      </w:pPr>
    </w:p>
    <w:bookmarkStart w:id="158" w:name="page159"/>
    <w:bookmarkEnd w:id="158"/>
    <w:p>
      <w:pPr>
        <w:jc w:val="both"/>
        <w:ind w:firstLine="656"/>
        <w:spacing w:after="0" w:line="258" w:lineRule="auto"/>
        <w:tabs>
          <w:tab w:leader="none" w:pos="1480" w:val="left"/>
        </w:tabs>
        <w:numPr>
          <w:ilvl w:val="0"/>
          <w:numId w:val="16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Honda CFIUS Approval</w:t>
      </w:r>
      <w:r>
        <w:rPr>
          <w:rFonts w:ascii="Arial" w:cs="Arial" w:eastAsia="Arial" w:hAnsi="Arial"/>
          <w:sz w:val="21"/>
          <w:szCs w:val="21"/>
          <w:color w:val="auto"/>
        </w:rPr>
        <w:t>” shall mean any of the following: (i) CFIUS shall have concluded that the relevant transaction does not constitute a “covered transaction” and are not subject to review under Section 721 of the U.S. Defense Production Act of 1950; (ii) CFIUS shall have issued a written notification that it has concluded its review (and, if applicable, any investigation) of the notice filed with it in connection with the relevant transaction and determined that there are no unresolved national security concerns with respect to such transactions; (iii) if CFIUS has sent a report to the President of the United States requesting the President’s decision with respect to the relevant transaction and either (A) the period under Section 721 of the Defense Production Act of 1950 during which the President may announce his decision to take action to suspend or prohibit the relevant transaction shall have expired without any such action being announced or taken, or (B) the President shall have announced a decision not to take any action to suspend or prohibit the relevant transaction; or (iv) Honda and GM, following consultation with CFIUS, shall have agreed to proceed without filing a formal notice to CFIUS. For the purpose of this definition, “relevant transaction” shall mean the grant to Honda of the rights and obligations granted to its hereunder for which CFIUS Approval is required.</w:t>
      </w:r>
    </w:p>
    <w:p>
      <w:pPr>
        <w:spacing w:after="0" w:line="178" w:lineRule="exact"/>
        <w:rPr>
          <w:rFonts w:ascii="Arial" w:cs="Arial" w:eastAsia="Arial" w:hAnsi="Arial"/>
          <w:sz w:val="21"/>
          <w:szCs w:val="21"/>
          <w:color w:val="auto"/>
        </w:rPr>
      </w:pPr>
    </w:p>
    <w:p>
      <w:pPr>
        <w:jc w:val="both"/>
        <w:ind w:firstLine="656"/>
        <w:spacing w:after="0" w:line="264" w:lineRule="auto"/>
        <w:tabs>
          <w:tab w:leader="none" w:pos="1580" w:val="left"/>
        </w:tabs>
        <w:numPr>
          <w:ilvl w:val="0"/>
          <w:numId w:val="16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Honda Commercial Agreements</w:t>
      </w:r>
      <w:r>
        <w:rPr>
          <w:rFonts w:ascii="Arial" w:cs="Arial" w:eastAsia="Arial" w:hAnsi="Arial"/>
          <w:sz w:val="21"/>
          <w:szCs w:val="21"/>
          <w:color w:val="auto"/>
        </w:rPr>
        <w:t>” shall mean, collectively, (i) that certain Shared Autonomous Vehicle Development Agreement, dated October 3, 2018, by and among the Company, GM, GM Global Technology Operations LLC, Honda and Honda R&amp;D Co, (ii) that certain ZEV Credit Agreement, dated October 3, 2018, by and between General Motors LLC and American Honda Motor Co., Inc., (iii) the Marketing and Network Access Fee Agreement and (iv) any other agreement that the Company and Honda agree will be a Honda Commercial Agreement.</w:t>
      </w:r>
    </w:p>
    <w:p>
      <w:pPr>
        <w:spacing w:after="0" w:line="170" w:lineRule="exact"/>
        <w:rPr>
          <w:rFonts w:ascii="Arial" w:cs="Arial" w:eastAsia="Arial" w:hAnsi="Arial"/>
          <w:sz w:val="21"/>
          <w:szCs w:val="21"/>
          <w:color w:val="auto"/>
        </w:rPr>
      </w:pPr>
    </w:p>
    <w:p>
      <w:pPr>
        <w:jc w:val="both"/>
        <w:ind w:firstLine="656"/>
        <w:spacing w:after="0" w:line="267" w:lineRule="auto"/>
        <w:tabs>
          <w:tab w:leader="none" w:pos="1548" w:val="left"/>
        </w:tabs>
        <w:numPr>
          <w:ilvl w:val="0"/>
          <w:numId w:val="16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Honda Competitively Sensitive Information</w:t>
      </w:r>
      <w:r>
        <w:rPr>
          <w:rFonts w:ascii="Arial" w:cs="Arial" w:eastAsia="Arial" w:hAnsi="Arial"/>
          <w:sz w:val="21"/>
          <w:szCs w:val="21"/>
          <w:color w:val="auto"/>
        </w:rPr>
        <w:t>” shall mean any information that is determined by the chief executive officer or the chief legal officer of the Company or the Board of Directors (in each case as determined in his, her or its reasonable judgment) to be competitively sensitive with respect to the AVCo Business (which shall include any information of the type identified to Honda prior to the execution of the Honda Purchase Agreement).</w:t>
      </w:r>
    </w:p>
    <w:p>
      <w:pPr>
        <w:spacing w:after="0" w:line="167" w:lineRule="exact"/>
        <w:rPr>
          <w:rFonts w:ascii="Arial" w:cs="Arial" w:eastAsia="Arial" w:hAnsi="Arial"/>
          <w:sz w:val="21"/>
          <w:szCs w:val="21"/>
          <w:color w:val="auto"/>
        </w:rPr>
      </w:pPr>
    </w:p>
    <w:p>
      <w:pPr>
        <w:jc w:val="both"/>
        <w:ind w:firstLine="656"/>
        <w:spacing w:after="0" w:line="256" w:lineRule="auto"/>
        <w:tabs>
          <w:tab w:leader="none" w:pos="1459" w:val="left"/>
        </w:tabs>
        <w:numPr>
          <w:ilvl w:val="0"/>
          <w:numId w:val="16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Honda Floor Amount</w:t>
      </w:r>
      <w:r>
        <w:rPr>
          <w:rFonts w:ascii="Arial" w:cs="Arial" w:eastAsia="Arial" w:hAnsi="Arial"/>
          <w:sz w:val="22"/>
          <w:szCs w:val="22"/>
          <w:color w:val="auto"/>
        </w:rPr>
        <w:t>” shall mean 49,500,000 Class E Common Shares (as adjusted, as necessary, to reflect appropriate and proportional adjustments to take into account any subdivision, reorganization, reclassification, recapitalization, stock split, reverse stock split, combination of shares or similar event).</w:t>
      </w:r>
    </w:p>
    <w:p>
      <w:pPr>
        <w:spacing w:after="0" w:line="176" w:lineRule="exact"/>
        <w:rPr>
          <w:rFonts w:ascii="Arial" w:cs="Arial" w:eastAsia="Arial" w:hAnsi="Arial"/>
          <w:sz w:val="22"/>
          <w:szCs w:val="22"/>
          <w:color w:val="auto"/>
        </w:rPr>
      </w:pPr>
    </w:p>
    <w:p>
      <w:pPr>
        <w:jc w:val="both"/>
        <w:ind w:firstLine="656"/>
        <w:spacing w:after="0" w:line="267" w:lineRule="auto"/>
        <w:tabs>
          <w:tab w:leader="none" w:pos="1297" w:val="left"/>
        </w:tabs>
        <w:numPr>
          <w:ilvl w:val="0"/>
          <w:numId w:val="16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Honda Trigger Date</w:t>
      </w:r>
      <w:r>
        <w:rPr>
          <w:rFonts w:ascii="Arial" w:cs="Arial" w:eastAsia="Arial" w:hAnsi="Arial"/>
          <w:sz w:val="21"/>
          <w:szCs w:val="21"/>
          <w:color w:val="auto"/>
        </w:rPr>
        <w:t xml:space="preserve">” shall mean the later of (i) October 3, 2025 and (ii) the termination (or expiration, pursuant to their terms) of all of the Honda Commercial Agreements to which the Company is a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any Honda Commercial Agreement was terminated by the Company or GM pursuant to the terms and conditions thereof due to breach by Honda of its obligations thereunder, the Honda Trigger Date will be October 3, 2025.</w:t>
      </w:r>
    </w:p>
    <w:p>
      <w:pPr>
        <w:spacing w:after="0" w:line="167" w:lineRule="exact"/>
        <w:rPr>
          <w:rFonts w:ascii="Arial" w:cs="Arial" w:eastAsia="Arial" w:hAnsi="Arial"/>
          <w:sz w:val="21"/>
          <w:szCs w:val="21"/>
          <w:color w:val="auto"/>
        </w:rPr>
      </w:pPr>
    </w:p>
    <w:p>
      <w:pPr>
        <w:ind w:firstLine="656"/>
        <w:spacing w:after="0" w:line="269" w:lineRule="auto"/>
        <w:tabs>
          <w:tab w:leader="none" w:pos="1494" w:val="left"/>
        </w:tabs>
        <w:numPr>
          <w:ilvl w:val="0"/>
          <w:numId w:val="16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HSR Act</w:t>
      </w:r>
      <w:r>
        <w:rPr>
          <w:rFonts w:ascii="Arial" w:cs="Arial" w:eastAsia="Arial" w:hAnsi="Arial"/>
          <w:sz w:val="22"/>
          <w:szCs w:val="22"/>
          <w:color w:val="auto"/>
        </w:rPr>
        <w:t>” means the Hart-Scott-Rodino Antitrust Improvements Act of 1976, as amended,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Appx. 10</w:t>
      </w:r>
    </w:p>
    <w:p>
      <w:pPr>
        <w:sectPr>
          <w:pgSz w:w="11900" w:h="16838" w:orient="portrait"/>
          <w:cols w:equalWidth="0" w:num="1">
            <w:col w:w="11240"/>
          </w:cols>
          <w:pgMar w:left="320" w:top="1422" w:right="339" w:bottom="1440" w:gutter="0" w:footer="0" w:header="0"/>
        </w:sectPr>
      </w:pPr>
    </w:p>
    <w:bookmarkStart w:id="159" w:name="page160"/>
    <w:bookmarkEnd w:id="159"/>
    <w:p>
      <w:pPr>
        <w:ind w:firstLine="656"/>
        <w:spacing w:after="0" w:line="269" w:lineRule="auto"/>
        <w:tabs>
          <w:tab w:leader="none" w:pos="1548" w:val="left"/>
        </w:tabs>
        <w:numPr>
          <w:ilvl w:val="0"/>
          <w:numId w:val="1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Indemnity Agreement</w:t>
      </w:r>
      <w:r>
        <w:rPr>
          <w:rFonts w:ascii="Arial" w:cs="Arial" w:eastAsia="Arial" w:hAnsi="Arial"/>
          <w:sz w:val="22"/>
          <w:szCs w:val="22"/>
          <w:color w:val="auto"/>
        </w:rPr>
        <w:t>” shall mean the Indemnity Agreement entered into between GM and the Company dated the date as of June 28, 2018.</w:t>
      </w:r>
    </w:p>
    <w:p>
      <w:pPr>
        <w:spacing w:after="0" w:line="161" w:lineRule="exact"/>
        <w:rPr>
          <w:rFonts w:ascii="Arial" w:cs="Arial" w:eastAsia="Arial" w:hAnsi="Arial"/>
          <w:sz w:val="22"/>
          <w:szCs w:val="22"/>
          <w:color w:val="auto"/>
        </w:rPr>
      </w:pPr>
    </w:p>
    <w:p>
      <w:pPr>
        <w:jc w:val="both"/>
        <w:ind w:firstLine="656"/>
        <w:spacing w:after="0" w:line="256" w:lineRule="auto"/>
        <w:tabs>
          <w:tab w:leader="none" w:pos="1288" w:val="left"/>
        </w:tabs>
        <w:numPr>
          <w:ilvl w:val="0"/>
          <w:numId w:val="1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Independent Director</w:t>
      </w:r>
      <w:r>
        <w:rPr>
          <w:rFonts w:ascii="Arial" w:cs="Arial" w:eastAsia="Arial" w:hAnsi="Arial"/>
          <w:sz w:val="22"/>
          <w:szCs w:val="22"/>
          <w:color w:val="auto"/>
        </w:rPr>
        <w:t>” shall mean a Director who is not an executive officer or employee of the Company and its Subsidiaries or the GM Investor and who has no relationship which would interfere with the exercise of independent judgment in carrying out the responsibilities of a director.</w:t>
      </w:r>
    </w:p>
    <w:p>
      <w:pPr>
        <w:spacing w:after="0" w:line="176" w:lineRule="exact"/>
        <w:rPr>
          <w:rFonts w:ascii="Arial" w:cs="Arial" w:eastAsia="Arial" w:hAnsi="Arial"/>
          <w:sz w:val="22"/>
          <w:szCs w:val="22"/>
          <w:color w:val="auto"/>
        </w:rPr>
      </w:pPr>
    </w:p>
    <w:p>
      <w:pPr>
        <w:jc w:val="both"/>
        <w:ind w:firstLine="656"/>
        <w:spacing w:after="0" w:line="274" w:lineRule="auto"/>
        <w:tabs>
          <w:tab w:leader="none" w:pos="1288" w:val="left"/>
        </w:tabs>
        <w:numPr>
          <w:ilvl w:val="0"/>
          <w:numId w:val="16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Independent Third Party</w:t>
      </w:r>
      <w:r>
        <w:rPr>
          <w:rFonts w:ascii="Arial" w:cs="Arial" w:eastAsia="Arial" w:hAnsi="Arial"/>
          <w:sz w:val="21"/>
          <w:szCs w:val="21"/>
          <w:color w:val="auto"/>
        </w:rPr>
        <w:t>” shall mean any Person who, immediately before the contemplated transaction, (i) is not a Member (ii) is not an Affiliate of any Member, (iii) is not the spouse or descendent (by birth or adoption) or the spouse of a descendant of any Member, and (iv) is not a trust for the benefit of any Member and/or such other Persons.</w:t>
      </w:r>
    </w:p>
    <w:p>
      <w:pPr>
        <w:spacing w:after="0" w:line="158" w:lineRule="exact"/>
        <w:rPr>
          <w:rFonts w:ascii="Arial" w:cs="Arial" w:eastAsia="Arial" w:hAnsi="Arial"/>
          <w:sz w:val="21"/>
          <w:szCs w:val="21"/>
          <w:color w:val="auto"/>
        </w:rPr>
      </w:pPr>
    </w:p>
    <w:p>
      <w:pPr>
        <w:ind w:firstLine="656"/>
        <w:spacing w:after="0" w:line="269" w:lineRule="auto"/>
        <w:tabs>
          <w:tab w:leader="none" w:pos="1507" w:val="left"/>
        </w:tabs>
        <w:numPr>
          <w:ilvl w:val="0"/>
          <w:numId w:val="1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IPMA</w:t>
      </w:r>
      <w:r>
        <w:rPr>
          <w:rFonts w:ascii="Arial" w:cs="Arial" w:eastAsia="Arial" w:hAnsi="Arial"/>
          <w:sz w:val="22"/>
          <w:szCs w:val="22"/>
          <w:color w:val="auto"/>
        </w:rPr>
        <w:t>” shall mean the Intellectual Property Matters Agreement entered into between GM and the Company dated June 28, 2018.</w:t>
      </w:r>
    </w:p>
    <w:p>
      <w:pPr>
        <w:spacing w:after="0" w:line="161" w:lineRule="exact"/>
        <w:rPr>
          <w:rFonts w:ascii="Arial" w:cs="Arial" w:eastAsia="Arial" w:hAnsi="Arial"/>
          <w:sz w:val="22"/>
          <w:szCs w:val="22"/>
          <w:color w:val="auto"/>
        </w:rPr>
      </w:pPr>
    </w:p>
    <w:p>
      <w:pPr>
        <w:jc w:val="both"/>
        <w:ind w:firstLine="656"/>
        <w:spacing w:after="0" w:line="248" w:lineRule="auto"/>
        <w:tabs>
          <w:tab w:leader="none" w:pos="1248" w:val="left"/>
        </w:tabs>
        <w:numPr>
          <w:ilvl w:val="0"/>
          <w:numId w:val="1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IPO</w:t>
      </w:r>
      <w:r>
        <w:rPr>
          <w:rFonts w:ascii="Arial" w:cs="Arial" w:eastAsia="Arial" w:hAnsi="Arial"/>
          <w:sz w:val="22"/>
          <w:szCs w:val="22"/>
          <w:color w:val="auto"/>
        </w:rPr>
        <w:t>” shall mean (i) an initial public offering of the Company’s, or any parent’s or successor entity’s, securities of any class (other than debt securities containing no equity features and not convertible into equity securities) in accordance with the provisions of the Securities Act, other than pursuant to a registration statement on Form S-4 or Form S-8 or any similar or successor form, (ii) a distribution of IPO Shares to the stockholders of GM’s ultimate parent company pursuant to a Form 10 (or successor form), or (iii) the registration of the resale of IPO Shares by certain Members of the Company pursuant to a Form S-1 (or successor form) filed by the Company.</w:t>
      </w:r>
    </w:p>
    <w:p>
      <w:pPr>
        <w:spacing w:after="0" w:line="186" w:lineRule="exact"/>
        <w:rPr>
          <w:rFonts w:ascii="Arial" w:cs="Arial" w:eastAsia="Arial" w:hAnsi="Arial"/>
          <w:sz w:val="22"/>
          <w:szCs w:val="22"/>
          <w:color w:val="auto"/>
        </w:rPr>
      </w:pPr>
    </w:p>
    <w:p>
      <w:pPr>
        <w:ind w:right="20" w:firstLine="656"/>
        <w:spacing w:after="0" w:line="269" w:lineRule="auto"/>
        <w:tabs>
          <w:tab w:leader="none" w:pos="172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a Committee</w:t>
      </w:r>
      <w:r>
        <w:rPr>
          <w:rFonts w:ascii="Arial" w:cs="Arial" w:eastAsia="Arial" w:hAnsi="Arial"/>
          <w:sz w:val="22"/>
          <w:szCs w:val="22"/>
          <w:color w:val="auto"/>
        </w:rPr>
        <w:t>” shall mean, with respect to any committee of the Board of Directors, as of any given time, the members of such committee having a majority of the votes of such committee.</w:t>
      </w:r>
    </w:p>
    <w:p>
      <w:pPr>
        <w:spacing w:after="0" w:line="161" w:lineRule="exact"/>
        <w:rPr>
          <w:rFonts w:ascii="Arial" w:cs="Arial" w:eastAsia="Arial" w:hAnsi="Arial"/>
          <w:sz w:val="22"/>
          <w:szCs w:val="22"/>
          <w:color w:val="auto"/>
        </w:rPr>
      </w:pPr>
    </w:p>
    <w:p>
      <w:pPr>
        <w:ind w:firstLine="656"/>
        <w:spacing w:after="0" w:line="269" w:lineRule="auto"/>
        <w:tabs>
          <w:tab w:leader="none" w:pos="144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Board</w:t>
      </w:r>
      <w:r>
        <w:rPr>
          <w:rFonts w:ascii="Arial" w:cs="Arial" w:eastAsia="Arial" w:hAnsi="Arial"/>
          <w:sz w:val="22"/>
          <w:szCs w:val="22"/>
          <w:color w:val="auto"/>
        </w:rPr>
        <w:t>” shall mean as of any given time, the Directors having the right to cast a majority of the votes of the Board of Directors.</w:t>
      </w:r>
    </w:p>
    <w:p>
      <w:pPr>
        <w:spacing w:after="0" w:line="161" w:lineRule="exact"/>
        <w:rPr>
          <w:rFonts w:ascii="Arial" w:cs="Arial" w:eastAsia="Arial" w:hAnsi="Arial"/>
          <w:sz w:val="22"/>
          <w:szCs w:val="22"/>
          <w:color w:val="auto"/>
        </w:rPr>
      </w:pPr>
    </w:p>
    <w:p>
      <w:pPr>
        <w:jc w:val="both"/>
        <w:ind w:firstLine="656"/>
        <w:spacing w:after="0" w:line="252" w:lineRule="auto"/>
        <w:tabs>
          <w:tab w:leader="none" w:pos="1521" w:val="left"/>
        </w:tabs>
        <w:numPr>
          <w:ilvl w:val="0"/>
          <w:numId w:val="1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Class A-1 Preferred</w:t>
      </w:r>
      <w:r>
        <w:rPr>
          <w:rFonts w:ascii="Arial" w:cs="Arial" w:eastAsia="Arial" w:hAnsi="Arial"/>
          <w:sz w:val="22"/>
          <w:szCs w:val="22"/>
          <w:color w:val="auto"/>
        </w:rPr>
        <w:t>” shall mean, as of any given time, the Class A-1 Preferred Members holding a majority of the then outstanding Class A-1 Preferred Shares. For clarity, a written consent, signed by Class A-1 Preferred Members holding a majority of the then outstanding Class A-1 Preferred Shares, shall constitute a Majority of the Class A-1 Preferred.</w:t>
      </w:r>
    </w:p>
    <w:p>
      <w:pPr>
        <w:spacing w:after="0" w:line="179" w:lineRule="exact"/>
        <w:rPr>
          <w:rFonts w:ascii="Arial" w:cs="Arial" w:eastAsia="Arial" w:hAnsi="Arial"/>
          <w:sz w:val="22"/>
          <w:szCs w:val="22"/>
          <w:color w:val="auto"/>
        </w:rPr>
      </w:pPr>
    </w:p>
    <w:p>
      <w:pPr>
        <w:jc w:val="both"/>
        <w:ind w:firstLine="656"/>
        <w:spacing w:after="0" w:line="252" w:lineRule="auto"/>
        <w:tabs>
          <w:tab w:leader="none" w:pos="1521" w:val="left"/>
        </w:tabs>
        <w:numPr>
          <w:ilvl w:val="0"/>
          <w:numId w:val="1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Class A-2 Preferred</w:t>
      </w:r>
      <w:r>
        <w:rPr>
          <w:rFonts w:ascii="Arial" w:cs="Arial" w:eastAsia="Arial" w:hAnsi="Arial"/>
          <w:sz w:val="22"/>
          <w:szCs w:val="22"/>
          <w:color w:val="auto"/>
        </w:rPr>
        <w:t>” shall mean, as of any given time, the Class A-2 Preferred Members holding a majority of the then outstanding Class A-2 Preferred Shares. For clarity, a written consent, signed by Class A-2 Preferred Members holding a majority of the then outstanding Class A-2 Preferred Shares, shall constitute a Majority of the Class A-2 Preferred.</w:t>
      </w:r>
    </w:p>
    <w:p>
      <w:pPr>
        <w:spacing w:after="0" w:line="179" w:lineRule="exact"/>
        <w:rPr>
          <w:rFonts w:ascii="Arial" w:cs="Arial" w:eastAsia="Arial" w:hAnsi="Arial"/>
          <w:sz w:val="22"/>
          <w:szCs w:val="22"/>
          <w:color w:val="auto"/>
        </w:rPr>
      </w:pPr>
    </w:p>
    <w:p>
      <w:pPr>
        <w:ind w:firstLine="656"/>
        <w:spacing w:after="0" w:line="269" w:lineRule="auto"/>
        <w:tabs>
          <w:tab w:leader="none" w:pos="148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Class C Common</w:t>
      </w:r>
      <w:r>
        <w:rPr>
          <w:rFonts w:ascii="Arial" w:cs="Arial" w:eastAsia="Arial" w:hAnsi="Arial"/>
          <w:sz w:val="22"/>
          <w:szCs w:val="22"/>
          <w:color w:val="auto"/>
        </w:rPr>
        <w:t>” shall mean, as of any given time, the Members holding a majority of the then outstanding Class C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Appx. 11</w:t>
      </w:r>
    </w:p>
    <w:p>
      <w:pPr>
        <w:sectPr>
          <w:pgSz w:w="11900" w:h="16838" w:orient="portrait"/>
          <w:cols w:equalWidth="0" w:num="1">
            <w:col w:w="11240"/>
          </w:cols>
          <w:pgMar w:left="320" w:top="1422" w:right="339" w:bottom="1440" w:gutter="0" w:footer="0" w:header="0"/>
        </w:sectPr>
      </w:pPr>
    </w:p>
    <w:bookmarkStart w:id="160" w:name="page161"/>
    <w:bookmarkEnd w:id="160"/>
    <w:p>
      <w:pPr>
        <w:jc w:val="both"/>
        <w:ind w:firstLine="656"/>
        <w:spacing w:after="0" w:line="256" w:lineRule="auto"/>
        <w:tabs>
          <w:tab w:leader="none" w:pos="1390" w:val="left"/>
        </w:tabs>
        <w:numPr>
          <w:ilvl w:val="1"/>
          <w:numId w:val="16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Class F Preferred</w:t>
      </w:r>
      <w:r>
        <w:rPr>
          <w:rFonts w:ascii="Arial" w:cs="Arial" w:eastAsia="Arial" w:hAnsi="Arial"/>
          <w:sz w:val="22"/>
          <w:szCs w:val="22"/>
          <w:color w:val="auto"/>
        </w:rPr>
        <w:t>” shall mean, as of any given time, the Members (other than GM and its Affiliates) holding a majority of the then outstanding Class F Preferred Shares (excluding Class F Preferred Shares held by GM and its Affiliates).</w:t>
      </w:r>
    </w:p>
    <w:p>
      <w:pPr>
        <w:spacing w:after="0" w:line="176" w:lineRule="exact"/>
        <w:rPr>
          <w:rFonts w:ascii="Arial" w:cs="Arial" w:eastAsia="Arial" w:hAnsi="Arial"/>
          <w:sz w:val="22"/>
          <w:szCs w:val="22"/>
          <w:color w:val="auto"/>
        </w:rPr>
      </w:pPr>
    </w:p>
    <w:p>
      <w:pPr>
        <w:jc w:val="both"/>
        <w:ind w:firstLine="656"/>
        <w:spacing w:after="0" w:line="256" w:lineRule="auto"/>
        <w:tabs>
          <w:tab w:leader="none" w:pos="1425" w:val="left"/>
        </w:tabs>
        <w:numPr>
          <w:ilvl w:val="1"/>
          <w:numId w:val="16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Class G Preferred</w:t>
      </w:r>
      <w:r>
        <w:rPr>
          <w:rFonts w:ascii="Arial" w:cs="Arial" w:eastAsia="Arial" w:hAnsi="Arial"/>
          <w:sz w:val="22"/>
          <w:szCs w:val="22"/>
          <w:color w:val="auto"/>
        </w:rPr>
        <w:t>” shall mean, as of any given time, the Members (other than GM and its Affiliates) holding a majority of the then outstanding Class G Preferred Shares (excluding Class G Preferred Shares held by GM and its Affiliates).</w:t>
      </w:r>
    </w:p>
    <w:p>
      <w:pPr>
        <w:spacing w:after="0" w:line="176" w:lineRule="exact"/>
        <w:rPr>
          <w:rFonts w:ascii="Arial" w:cs="Arial" w:eastAsia="Arial" w:hAnsi="Arial"/>
          <w:sz w:val="22"/>
          <w:szCs w:val="22"/>
          <w:color w:val="auto"/>
        </w:rPr>
      </w:pPr>
    </w:p>
    <w:p>
      <w:pPr>
        <w:jc w:val="both"/>
        <w:ind w:firstLine="656"/>
        <w:spacing w:after="0" w:line="285" w:lineRule="auto"/>
        <w:tabs>
          <w:tab w:leader="none" w:pos="1248" w:val="left"/>
        </w:tabs>
        <w:numPr>
          <w:ilvl w:val="1"/>
          <w:numId w:val="1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Majority of the Common Shares</w:t>
      </w:r>
      <w:r>
        <w:rPr>
          <w:rFonts w:ascii="Arial" w:cs="Arial" w:eastAsia="Arial" w:hAnsi="Arial"/>
          <w:sz w:val="19"/>
          <w:szCs w:val="19"/>
          <w:color w:val="auto"/>
        </w:rPr>
        <w:t>” shall mean, as of any given time, the Members holding a majority of the votes of the then outstanding Class G Preferred Shares, Class F Preferred Shares, Class E Common Shares, Class D Common Shares, Class C Common Shares, Class B Common Shares, and Class H Common Shares. For clarity, (i) a written consent, signed by Members holding a majority of the votes of the then outstanding Class G Preferred Shares, Class F Preferred Shares, Class E Common Shares, Class D Common Shares, Class C Common Shares, Class B Common Shares, and Class H Common Shares shall constitute a Majority of the Common Shares, and (ii) pursuant to Section 5.01, in determining the Majority of the Common Shares each Class B Common Share, Class D Common Share, Class E Common Share, Class H Common Share, Class F Preferred Share, and Class G Preferred Share will carry one (1) vote per Share and each Class C Common Share will carry ten</w:t>
      </w:r>
    </w:p>
    <w:p>
      <w:pPr>
        <w:ind w:left="420" w:hanging="412"/>
        <w:spacing w:after="0"/>
        <w:tabs>
          <w:tab w:leader="none" w:pos="42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votes per Share.</w:t>
      </w:r>
    </w:p>
    <w:p>
      <w:pPr>
        <w:spacing w:after="0" w:line="195" w:lineRule="exact"/>
        <w:rPr>
          <w:rFonts w:ascii="Arial" w:cs="Arial" w:eastAsia="Arial" w:hAnsi="Arial"/>
          <w:sz w:val="22"/>
          <w:szCs w:val="22"/>
          <w:color w:val="auto"/>
        </w:rPr>
      </w:pPr>
    </w:p>
    <w:p>
      <w:pPr>
        <w:ind w:firstLine="656"/>
        <w:spacing w:after="0" w:line="293" w:lineRule="auto"/>
        <w:tabs>
          <w:tab w:leader="none" w:pos="1467" w:val="left"/>
        </w:tabs>
        <w:numPr>
          <w:ilvl w:val="1"/>
          <w:numId w:val="16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Majority of the Members</w:t>
      </w:r>
      <w:r>
        <w:rPr>
          <w:rFonts w:ascii="Arial" w:cs="Arial" w:eastAsia="Arial" w:hAnsi="Arial"/>
          <w:sz w:val="21"/>
          <w:szCs w:val="21"/>
          <w:color w:val="auto"/>
        </w:rPr>
        <w:t>” shall mean, as of any given time, the Members holding the majority of the voting rights with respect to then outstanding Shares, as such voting rights are allocated pursuant to Section 5.01.</w:t>
      </w:r>
    </w:p>
    <w:p>
      <w:pPr>
        <w:spacing w:after="0" w:line="139" w:lineRule="exact"/>
        <w:rPr>
          <w:rFonts w:ascii="Arial" w:cs="Arial" w:eastAsia="Arial" w:hAnsi="Arial"/>
          <w:sz w:val="21"/>
          <w:szCs w:val="21"/>
          <w:color w:val="auto"/>
        </w:rPr>
      </w:pPr>
    </w:p>
    <w:p>
      <w:pPr>
        <w:ind w:right="20" w:firstLine="656"/>
        <w:spacing w:after="0" w:line="269" w:lineRule="auto"/>
        <w:tabs>
          <w:tab w:leader="none" w:pos="1453" w:val="left"/>
        </w:tabs>
        <w:numPr>
          <w:ilvl w:val="1"/>
          <w:numId w:val="16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Marketing and Network Access Fee Agreement</w:t>
      </w:r>
      <w:r>
        <w:rPr>
          <w:rFonts w:ascii="Arial" w:cs="Arial" w:eastAsia="Arial" w:hAnsi="Arial"/>
          <w:sz w:val="22"/>
          <w:szCs w:val="22"/>
          <w:color w:val="auto"/>
        </w:rPr>
        <w:t>” shall mean that certain Marketing and Network Access Fee Agreement, dated October 3, 2018, by and between the Company and Honda.</w:t>
      </w:r>
    </w:p>
    <w:p>
      <w:pPr>
        <w:spacing w:after="0" w:line="161" w:lineRule="exact"/>
        <w:rPr>
          <w:rFonts w:ascii="Arial" w:cs="Arial" w:eastAsia="Arial" w:hAnsi="Arial"/>
          <w:sz w:val="22"/>
          <w:szCs w:val="22"/>
          <w:color w:val="auto"/>
        </w:rPr>
      </w:pPr>
    </w:p>
    <w:p>
      <w:pPr>
        <w:ind w:firstLine="656"/>
        <w:spacing w:after="0" w:line="349" w:lineRule="auto"/>
        <w:tabs>
          <w:tab w:leader="none" w:pos="1672" w:val="left"/>
        </w:tabs>
        <w:numPr>
          <w:ilvl w:val="1"/>
          <w:numId w:val="16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Non-Public Information</w:t>
      </w:r>
      <w:r>
        <w:rPr>
          <w:rFonts w:ascii="Arial" w:cs="Arial" w:eastAsia="Arial" w:hAnsi="Arial"/>
          <w:sz w:val="19"/>
          <w:szCs w:val="19"/>
          <w:color w:val="auto"/>
        </w:rPr>
        <w:t>” shall mean any material non-public information (as the same relates to GM Parent), as determined in the discretion of the Company or GM Parent (each acting reasonably and in good faith).</w:t>
      </w:r>
    </w:p>
    <w:p>
      <w:pPr>
        <w:spacing w:after="0" w:line="93" w:lineRule="exact"/>
        <w:rPr>
          <w:rFonts w:ascii="Arial" w:cs="Arial" w:eastAsia="Arial" w:hAnsi="Arial"/>
          <w:sz w:val="19"/>
          <w:szCs w:val="19"/>
          <w:color w:val="auto"/>
        </w:rPr>
      </w:pPr>
    </w:p>
    <w:p>
      <w:pPr>
        <w:jc w:val="both"/>
        <w:ind w:firstLine="656"/>
        <w:spacing w:after="0" w:line="252" w:lineRule="auto"/>
        <w:tabs>
          <w:tab w:leader="none" w:pos="1588" w:val="left"/>
        </w:tabs>
        <w:numPr>
          <w:ilvl w:val="1"/>
          <w:numId w:val="16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Member</w:t>
      </w:r>
      <w:r>
        <w:rPr>
          <w:rFonts w:ascii="Arial" w:cs="Arial" w:eastAsia="Arial" w:hAnsi="Arial"/>
          <w:sz w:val="22"/>
          <w:szCs w:val="22"/>
          <w:color w:val="auto"/>
        </w:rPr>
        <w:t>” shall mean the GM Investor, SoftBank, Honda, the Class F New Members, the Class G New Members, and any other Person that is a Member as of the date hereof and each other Person admitted as a Substituted Member or Additional Member in accordance with this Agreement, but in each case only so long as such Person continually holds any Shares.</w:t>
      </w:r>
    </w:p>
    <w:p>
      <w:pPr>
        <w:spacing w:after="0" w:line="179" w:lineRule="exact"/>
        <w:rPr>
          <w:rFonts w:ascii="Arial" w:cs="Arial" w:eastAsia="Arial" w:hAnsi="Arial"/>
          <w:sz w:val="22"/>
          <w:szCs w:val="22"/>
          <w:color w:val="auto"/>
        </w:rPr>
      </w:pPr>
    </w:p>
    <w:p>
      <w:pPr>
        <w:ind w:right="20" w:firstLine="656"/>
        <w:spacing w:after="0" w:line="269" w:lineRule="auto"/>
        <w:tabs>
          <w:tab w:leader="none" w:pos="1521" w:val="left"/>
        </w:tabs>
        <w:numPr>
          <w:ilvl w:val="1"/>
          <w:numId w:val="16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Microsoft Commercial Agreement</w:t>
      </w:r>
      <w:r>
        <w:rPr>
          <w:rFonts w:ascii="Arial" w:cs="Arial" w:eastAsia="Arial" w:hAnsi="Arial"/>
          <w:sz w:val="22"/>
          <w:szCs w:val="22"/>
          <w:color w:val="auto"/>
        </w:rPr>
        <w:t>” shall mean that certain Three-Party Letter Agreement, dated on or about January 18, 2021, by and among Cruise LLC, Microsoft, and General Motors LLC.</w:t>
      </w:r>
    </w:p>
    <w:p>
      <w:pPr>
        <w:spacing w:after="0" w:line="161" w:lineRule="exact"/>
        <w:rPr>
          <w:rFonts w:ascii="Arial" w:cs="Arial" w:eastAsia="Arial" w:hAnsi="Arial"/>
          <w:sz w:val="22"/>
          <w:szCs w:val="22"/>
          <w:color w:val="auto"/>
        </w:rPr>
      </w:pPr>
    </w:p>
    <w:p>
      <w:pPr>
        <w:jc w:val="both"/>
        <w:ind w:firstLine="656"/>
        <w:spacing w:after="0" w:line="256" w:lineRule="auto"/>
        <w:tabs>
          <w:tab w:leader="none" w:pos="1499" w:val="left"/>
        </w:tabs>
        <w:numPr>
          <w:ilvl w:val="1"/>
          <w:numId w:val="16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Microsoft Competitively Sensitive Information</w:t>
      </w:r>
      <w:r>
        <w:rPr>
          <w:rFonts w:ascii="Arial" w:cs="Arial" w:eastAsia="Arial" w:hAnsi="Arial"/>
          <w:sz w:val="22"/>
          <w:szCs w:val="22"/>
          <w:color w:val="auto"/>
        </w:rPr>
        <w:t>” shall mean any information that is determined by the chief executive officer or the chief legal officer of the Company or the Board of Directors (in each case as determined in his, her or its reasonable judgment)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Appx. 12</w:t>
      </w:r>
    </w:p>
    <w:p>
      <w:pPr>
        <w:sectPr>
          <w:pgSz w:w="11900" w:h="16838" w:orient="portrait"/>
          <w:cols w:equalWidth="0" w:num="1">
            <w:col w:w="11240"/>
          </w:cols>
          <w:pgMar w:left="320" w:top="1422" w:right="339" w:bottom="1440" w:gutter="0" w:footer="0" w:header="0"/>
        </w:sectPr>
      </w:pPr>
    </w:p>
    <w:bookmarkStart w:id="161" w:name="page162"/>
    <w:bookmarkEnd w:id="161"/>
    <w:p>
      <w:pPr>
        <w:spacing w:after="0" w:line="263" w:lineRule="auto"/>
        <w:rPr>
          <w:sz w:val="20"/>
          <w:szCs w:val="20"/>
          <w:color w:val="auto"/>
        </w:rPr>
      </w:pPr>
      <w:r>
        <w:rPr>
          <w:rFonts w:ascii="Arial" w:cs="Arial" w:eastAsia="Arial" w:hAnsi="Arial"/>
          <w:sz w:val="22"/>
          <w:szCs w:val="22"/>
          <w:color w:val="auto"/>
        </w:rPr>
        <w:t>competitively sensitive with respect to the AVCo Business (which shall include any information of the type identified to Microsoft prior to the execution of the Class G Purchase Agreement).</w:t>
      </w:r>
    </w:p>
    <w:p>
      <w:pPr>
        <w:spacing w:after="0" w:line="169" w:lineRule="exact"/>
        <w:rPr>
          <w:sz w:val="20"/>
          <w:szCs w:val="20"/>
          <w:color w:val="auto"/>
        </w:rPr>
      </w:pPr>
    </w:p>
    <w:p>
      <w:pPr>
        <w:jc w:val="both"/>
        <w:ind w:firstLine="656"/>
        <w:spacing w:after="0" w:line="256" w:lineRule="auto"/>
        <w:tabs>
          <w:tab w:leader="none" w:pos="1595" w:val="left"/>
        </w:tabs>
        <w:numPr>
          <w:ilvl w:val="0"/>
          <w:numId w:val="16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Microsoft Floor Amount</w:t>
      </w:r>
      <w:r>
        <w:rPr>
          <w:rFonts w:ascii="Arial" w:cs="Arial" w:eastAsia="Arial" w:hAnsi="Arial"/>
          <w:sz w:val="22"/>
          <w:szCs w:val="22"/>
          <w:color w:val="auto"/>
        </w:rPr>
        <w:t>” shall mean 30,360,500 Class G Preferred Shares (as adjusted, as necessary, to reflect appropriate and proportional adjustments to take into account any subdivision, reorganization, reclassification, recapitalization, stock split, reverse stock split, combination of shares or similar event).</w:t>
      </w:r>
    </w:p>
    <w:p>
      <w:pPr>
        <w:spacing w:after="0" w:line="176" w:lineRule="exact"/>
        <w:rPr>
          <w:rFonts w:ascii="Arial" w:cs="Arial" w:eastAsia="Arial" w:hAnsi="Arial"/>
          <w:sz w:val="22"/>
          <w:szCs w:val="22"/>
          <w:color w:val="auto"/>
        </w:rPr>
      </w:pPr>
    </w:p>
    <w:p>
      <w:pPr>
        <w:jc w:val="both"/>
        <w:ind w:firstLine="656"/>
        <w:spacing w:after="0" w:line="315" w:lineRule="auto"/>
        <w:tabs>
          <w:tab w:leader="none" w:pos="1642" w:val="left"/>
        </w:tabs>
        <w:numPr>
          <w:ilvl w:val="0"/>
          <w:numId w:val="16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Non-A-1 Interests</w:t>
      </w:r>
      <w:r>
        <w:rPr>
          <w:rFonts w:ascii="Arial" w:cs="Arial" w:eastAsia="Arial" w:hAnsi="Arial"/>
          <w:sz w:val="19"/>
          <w:szCs w:val="19"/>
          <w:color w:val="auto"/>
        </w:rPr>
        <w:t>” shall mean the Class A-2 Preferred Shares, the Class B Common Shares, the Class C Common Shares, the Class D Common Shares, the Class E Common Shares, Class H Common Shares, the Class F Preferred Shares, the Class G Preferred Shares, and any other Equity Securities designated as Non-A-1 Interests by the Board of Directors.</w:t>
      </w:r>
    </w:p>
    <w:p>
      <w:pPr>
        <w:spacing w:after="0" w:line="125" w:lineRule="exact"/>
        <w:rPr>
          <w:rFonts w:ascii="Arial" w:cs="Arial" w:eastAsia="Arial" w:hAnsi="Arial"/>
          <w:sz w:val="19"/>
          <w:szCs w:val="19"/>
          <w:color w:val="auto"/>
        </w:rPr>
      </w:pPr>
    </w:p>
    <w:p>
      <w:pPr>
        <w:jc w:val="both"/>
        <w:ind w:firstLine="656"/>
        <w:spacing w:after="0" w:line="274" w:lineRule="auto"/>
        <w:tabs>
          <w:tab w:leader="none" w:pos="1663" w:val="left"/>
        </w:tabs>
        <w:numPr>
          <w:ilvl w:val="0"/>
          <w:numId w:val="16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Non-A-1 Members</w:t>
      </w:r>
      <w:r>
        <w:rPr>
          <w:rFonts w:ascii="Arial" w:cs="Arial" w:eastAsia="Arial" w:hAnsi="Arial"/>
          <w:sz w:val="21"/>
          <w:szCs w:val="21"/>
          <w:color w:val="auto"/>
        </w:rPr>
        <w:t>” shall mean the Class A-2 Preferred Members, the Class B Members, the Class C Members, the Class D Members, the Class E Members, the Class H Members, the Class F Preferred Members, Class G Preferred Members, and any other Members designated as Non-A-1 Members by the Board of Directors.</w:t>
      </w:r>
    </w:p>
    <w:p>
      <w:pPr>
        <w:spacing w:after="0" w:line="158" w:lineRule="exact"/>
        <w:rPr>
          <w:rFonts w:ascii="Arial" w:cs="Arial" w:eastAsia="Arial" w:hAnsi="Arial"/>
          <w:sz w:val="21"/>
          <w:szCs w:val="21"/>
          <w:color w:val="auto"/>
        </w:rPr>
      </w:pPr>
    </w:p>
    <w:p>
      <w:pPr>
        <w:ind w:firstLine="656"/>
        <w:spacing w:after="0" w:line="269" w:lineRule="auto"/>
        <w:tabs>
          <w:tab w:leader="none" w:pos="1575" w:val="left"/>
        </w:tabs>
        <w:numPr>
          <w:ilvl w:val="0"/>
          <w:numId w:val="16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NSA</w:t>
      </w:r>
      <w:r>
        <w:rPr>
          <w:rFonts w:ascii="Arial" w:cs="Arial" w:eastAsia="Arial" w:hAnsi="Arial"/>
          <w:sz w:val="22"/>
          <w:szCs w:val="22"/>
          <w:color w:val="auto"/>
        </w:rPr>
        <w:t>” shall mean the National Security Agreement entered into by and among GM, SoftBank, the Company, the U.S. Department of Defense, and the U.S. Department of Treasury, dated July 5, 2019.</w:t>
      </w:r>
    </w:p>
    <w:p>
      <w:pPr>
        <w:spacing w:after="0" w:line="161" w:lineRule="exact"/>
        <w:rPr>
          <w:rFonts w:ascii="Arial" w:cs="Arial" w:eastAsia="Arial" w:hAnsi="Arial"/>
          <w:sz w:val="22"/>
          <w:szCs w:val="22"/>
          <w:color w:val="auto"/>
        </w:rPr>
      </w:pPr>
    </w:p>
    <w:p>
      <w:pPr>
        <w:jc w:val="both"/>
        <w:ind w:firstLine="656"/>
        <w:spacing w:after="0" w:line="264" w:lineRule="auto"/>
        <w:tabs>
          <w:tab w:leader="none" w:pos="1555" w:val="left"/>
        </w:tabs>
        <w:numPr>
          <w:ilvl w:val="0"/>
          <w:numId w:val="16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OEM Acquisition</w:t>
      </w:r>
      <w:r>
        <w:rPr>
          <w:rFonts w:ascii="Arial" w:cs="Arial" w:eastAsia="Arial" w:hAnsi="Arial"/>
          <w:sz w:val="21"/>
          <w:szCs w:val="21"/>
          <w:color w:val="auto"/>
        </w:rPr>
        <w:t>” shall mean (i) the GM Investor, together with its Subsidiaries, becoming the “beneficial owner” (as defined in Rule 13d-3 under the Exchange Act), directly or indirectly, of more than fifty percent (50%) of the outstanding voting securities of an automotive OEM having the right to vote for the election of members of the board of directors (or equivalent body) of the automotive OEM or (ii) a sale, lease or other disposition to the GM Investor and its Subsidiaries (collectively) of all or substantially all of the assets of an automotive OEM.</w:t>
      </w:r>
    </w:p>
    <w:p>
      <w:pPr>
        <w:spacing w:after="0" w:line="170" w:lineRule="exact"/>
        <w:rPr>
          <w:rFonts w:ascii="Arial" w:cs="Arial" w:eastAsia="Arial" w:hAnsi="Arial"/>
          <w:sz w:val="21"/>
          <w:szCs w:val="21"/>
          <w:color w:val="auto"/>
        </w:rPr>
      </w:pPr>
    </w:p>
    <w:p>
      <w:pPr>
        <w:ind w:right="20" w:firstLine="656"/>
        <w:spacing w:after="0" w:line="269" w:lineRule="auto"/>
        <w:tabs>
          <w:tab w:leader="none" w:pos="150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OEM Investment</w:t>
      </w:r>
      <w:r>
        <w:rPr>
          <w:rFonts w:ascii="Arial" w:cs="Arial" w:eastAsia="Arial" w:hAnsi="Arial"/>
          <w:sz w:val="22"/>
          <w:szCs w:val="22"/>
          <w:color w:val="auto"/>
        </w:rPr>
        <w:t>” shall mean the acquisition of a material percentage of the outstanding Shares by any automotive OEM.</w:t>
      </w:r>
    </w:p>
    <w:p>
      <w:pPr>
        <w:spacing w:after="0" w:line="161" w:lineRule="exact"/>
        <w:rPr>
          <w:rFonts w:ascii="Arial" w:cs="Arial" w:eastAsia="Arial" w:hAnsi="Arial"/>
          <w:sz w:val="22"/>
          <w:szCs w:val="22"/>
          <w:color w:val="auto"/>
        </w:rPr>
      </w:pPr>
    </w:p>
    <w:p>
      <w:pPr>
        <w:jc w:val="both"/>
        <w:ind w:firstLine="656"/>
        <w:spacing w:after="0" w:line="267" w:lineRule="auto"/>
        <w:tabs>
          <w:tab w:leader="none" w:pos="1561" w:val="left"/>
        </w:tabs>
        <w:numPr>
          <w:ilvl w:val="0"/>
          <w:numId w:val="16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OEM Restricted Investment</w:t>
      </w:r>
      <w:r>
        <w:rPr>
          <w:rFonts w:ascii="Arial" w:cs="Arial" w:eastAsia="Arial" w:hAnsi="Arial"/>
          <w:sz w:val="21"/>
          <w:szCs w:val="21"/>
          <w:color w:val="auto"/>
        </w:rPr>
        <w:t>” shall mean the acquisition of a number of Shares of the Company greater than or equal to the lesser of (i) Honda’s fully diluted ownership, as of the date of the signing of the definitive agreement for such acquisition, and (ii) 5% of the Shares of the Company (on a Fully Diluted Basis), in each case by any automotive OEM previously identified to Honda prior to the execution of the Honda Purchase Agreement.</w:t>
      </w:r>
    </w:p>
    <w:p>
      <w:pPr>
        <w:spacing w:after="0" w:line="167" w:lineRule="exact"/>
        <w:rPr>
          <w:rFonts w:ascii="Arial" w:cs="Arial" w:eastAsia="Arial" w:hAnsi="Arial"/>
          <w:sz w:val="21"/>
          <w:szCs w:val="21"/>
          <w:color w:val="auto"/>
        </w:rPr>
      </w:pPr>
    </w:p>
    <w:p>
      <w:pPr>
        <w:ind w:firstLine="656"/>
        <w:spacing w:after="0" w:line="269" w:lineRule="auto"/>
        <w:tabs>
          <w:tab w:leader="none" w:pos="1548" w:val="left"/>
        </w:tabs>
        <w:numPr>
          <w:ilvl w:val="0"/>
          <w:numId w:val="16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Optional SoftBank Conversion Share Price</w:t>
      </w:r>
      <w:r>
        <w:rPr>
          <w:rFonts w:ascii="Arial" w:cs="Arial" w:eastAsia="Arial" w:hAnsi="Arial"/>
          <w:sz w:val="22"/>
          <w:szCs w:val="22"/>
          <w:color w:val="auto"/>
        </w:rPr>
        <w:t>” shall mean the value, per Class A-1 Preferred Share or Class D Common Share (as applicable), calculated as follows:</w:t>
      </w:r>
    </w:p>
    <w:p>
      <w:pPr>
        <w:spacing w:after="0" w:line="167" w:lineRule="exact"/>
        <w:rPr>
          <w:rFonts w:ascii="Arial" w:cs="Arial" w:eastAsia="Arial" w:hAnsi="Arial"/>
          <w:sz w:val="22"/>
          <w:szCs w:val="22"/>
          <w:color w:val="auto"/>
        </w:rPr>
      </w:pPr>
    </w:p>
    <w:p>
      <w:pPr>
        <w:jc w:val="both"/>
        <w:ind w:firstLine="1434"/>
        <w:spacing w:after="0" w:line="253" w:lineRule="auto"/>
        <w:tabs>
          <w:tab w:leader="none" w:pos="1953" w:val="left"/>
        </w:tabs>
        <w:numPr>
          <w:ilvl w:val="1"/>
          <w:numId w:val="167"/>
        </w:numPr>
        <w:rPr>
          <w:rFonts w:ascii="Arial" w:cs="Arial" w:eastAsia="Arial" w:hAnsi="Arial"/>
          <w:sz w:val="22"/>
          <w:szCs w:val="22"/>
          <w:color w:val="010000"/>
        </w:rPr>
      </w:pPr>
      <w:r>
        <w:rPr>
          <w:rFonts w:ascii="Arial" w:cs="Arial" w:eastAsia="Arial" w:hAnsi="Arial"/>
          <w:sz w:val="22"/>
          <w:szCs w:val="22"/>
          <w:u w:val="single" w:color="auto"/>
          <w:color w:val="auto"/>
        </w:rPr>
        <w:t>First</w:t>
      </w:r>
      <w:r>
        <w:rPr>
          <w:rFonts w:ascii="Arial" w:cs="Arial" w:eastAsia="Arial" w:hAnsi="Arial"/>
          <w:sz w:val="22"/>
          <w:szCs w:val="22"/>
          <w:color w:val="auto"/>
        </w:rPr>
        <w:t>, all Non-A-1 Interests shall be deemed converted (on a Fully Diluted Basis) to Class D Common Shares on a 1:1 basis (as adjusted, as necessary, to reflect appropriate and proportional adjustments to take into account any subdivision,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Appx. 13</w:t>
      </w:r>
    </w:p>
    <w:p>
      <w:pPr>
        <w:sectPr>
          <w:pgSz w:w="11900" w:h="16838" w:orient="portrait"/>
          <w:cols w:equalWidth="0" w:num="1">
            <w:col w:w="11240"/>
          </w:cols>
          <w:pgMar w:left="320" w:top="1428" w:right="339" w:bottom="1440" w:gutter="0" w:footer="0" w:header="0"/>
        </w:sectPr>
      </w:pPr>
    </w:p>
    <w:bookmarkStart w:id="162" w:name="page163"/>
    <w:bookmarkEnd w:id="162"/>
    <w:p>
      <w:pPr>
        <w:jc w:val="both"/>
        <w:spacing w:after="0" w:line="263" w:lineRule="auto"/>
        <w:rPr>
          <w:sz w:val="20"/>
          <w:szCs w:val="20"/>
          <w:color w:val="auto"/>
        </w:rPr>
      </w:pPr>
      <w:r>
        <w:rPr>
          <w:rFonts w:ascii="Arial" w:cs="Arial" w:eastAsia="Arial" w:hAnsi="Arial"/>
          <w:sz w:val="21"/>
          <w:szCs w:val="21"/>
          <w:color w:val="auto"/>
        </w:rPr>
        <w:t>reclassification, recapitalization, stock split, reverse stock split, combination of shares or similar event) and all Class A-1 Preferred Shares are deemed converted to Class D Common Shares pursuant to Section 2.10(b) (collectively the number of Class D Common Shares resulting from the deemed conversion, the “</w:t>
      </w:r>
      <w:r>
        <w:rPr>
          <w:rFonts w:ascii="Arial" w:cs="Arial" w:eastAsia="Arial" w:hAnsi="Arial"/>
          <w:sz w:val="21"/>
          <w:szCs w:val="21"/>
          <w:b w:val="1"/>
          <w:bCs w:val="1"/>
          <w:color w:val="auto"/>
        </w:rPr>
        <w:t>Total Optional Conversion Shares</w:t>
      </w:r>
      <w:r>
        <w:rPr>
          <w:rFonts w:ascii="Arial" w:cs="Arial" w:eastAsia="Arial" w:hAnsi="Arial"/>
          <w:sz w:val="21"/>
          <w:szCs w:val="21"/>
          <w:color w:val="auto"/>
        </w:rPr>
        <w:t>”). For clarity, such “deemed” conversion pursuant to this definition shall solely be for the purposes of calculating the Optional SoftBank Conversion Share Price, and no actual conversion shall occur pursuant to this definition.</w:t>
      </w:r>
    </w:p>
    <w:p>
      <w:pPr>
        <w:spacing w:after="0" w:line="175" w:lineRule="exact"/>
        <w:rPr>
          <w:sz w:val="20"/>
          <w:szCs w:val="20"/>
          <w:color w:val="auto"/>
        </w:rPr>
      </w:pPr>
    </w:p>
    <w:p>
      <w:pPr>
        <w:jc w:val="both"/>
        <w:ind w:firstLine="1434"/>
        <w:spacing w:after="0" w:line="286" w:lineRule="auto"/>
        <w:tabs>
          <w:tab w:leader="none" w:pos="1919" w:val="left"/>
        </w:tabs>
        <w:numPr>
          <w:ilvl w:val="2"/>
          <w:numId w:val="168"/>
        </w:numPr>
        <w:rPr>
          <w:rFonts w:ascii="Arial" w:cs="Arial" w:eastAsia="Arial" w:hAnsi="Arial"/>
          <w:sz w:val="19"/>
          <w:szCs w:val="19"/>
          <w:color w:val="010000"/>
        </w:rPr>
      </w:pP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the Optional SoftBank Conversion Share Price shall be: (A) for each Class A-1-A Preferred Share, the Call Notice/Optional SoftBank Conversion Notice Fair Market Value,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a fraction (1) the numerator of which is the number of Class D Common Shares into which each Class A-1-A Preferred Share of such Class A-1 Preferred Member was deemed converted pursuant to subsection (i) above, and (2) the denominator of which is the Total Optional Conversion Shares;</w:t>
      </w:r>
    </w:p>
    <w:p>
      <w:pPr>
        <w:spacing w:after="0" w:line="2" w:lineRule="exact"/>
        <w:rPr>
          <w:rFonts w:ascii="Arial" w:cs="Arial" w:eastAsia="Arial" w:hAnsi="Arial"/>
          <w:sz w:val="19"/>
          <w:szCs w:val="19"/>
          <w:color w:val="010000"/>
        </w:rPr>
      </w:pPr>
    </w:p>
    <w:p>
      <w:pPr>
        <w:jc w:val="both"/>
        <w:ind w:firstLine="8"/>
        <w:spacing w:after="0" w:line="257" w:lineRule="auto"/>
        <w:tabs>
          <w:tab w:leader="none" w:pos="358" w:val="left"/>
        </w:tabs>
        <w:numPr>
          <w:ilvl w:val="0"/>
          <w:numId w:val="169"/>
        </w:numPr>
        <w:rPr>
          <w:rFonts w:ascii="Arial" w:cs="Arial" w:eastAsia="Arial" w:hAnsi="Arial"/>
          <w:sz w:val="21"/>
          <w:szCs w:val="21"/>
          <w:color w:val="auto"/>
        </w:rPr>
      </w:pPr>
      <w:r>
        <w:rPr>
          <w:rFonts w:ascii="Arial" w:cs="Arial" w:eastAsia="Arial" w:hAnsi="Arial"/>
          <w:sz w:val="21"/>
          <w:szCs w:val="21"/>
          <w:color w:val="auto"/>
        </w:rPr>
        <w:t xml:space="preserve">for each Class A-1-B Preferred Share, the Call Notice/Optional SoftBank Conversion Notice Fair Market Value, </w:t>
      </w:r>
      <w:r>
        <w:rPr>
          <w:rFonts w:ascii="Arial" w:cs="Arial" w:eastAsia="Arial" w:hAnsi="Arial"/>
          <w:sz w:val="21"/>
          <w:szCs w:val="21"/>
          <w:u w:val="single" w:color="auto"/>
          <w:color w:val="auto"/>
        </w:rPr>
        <w:t>multiplied</w:t>
      </w:r>
      <w:r>
        <w:rPr>
          <w:rFonts w:ascii="Arial" w:cs="Arial" w:eastAsia="Arial" w:hAnsi="Arial"/>
          <w:sz w:val="21"/>
          <w:szCs w:val="21"/>
          <w:color w:val="auto"/>
        </w:rPr>
        <w:t xml:space="preserve"> </w:t>
      </w:r>
      <w:r>
        <w:rPr>
          <w:rFonts w:ascii="Arial" w:cs="Arial" w:eastAsia="Arial" w:hAnsi="Arial"/>
          <w:sz w:val="21"/>
          <w:szCs w:val="21"/>
          <w:u w:val="single" w:color="auto"/>
          <w:color w:val="auto"/>
        </w:rPr>
        <w:t>by</w:t>
      </w:r>
      <w:r>
        <w:rPr>
          <w:rFonts w:ascii="Arial" w:cs="Arial" w:eastAsia="Arial" w:hAnsi="Arial"/>
          <w:sz w:val="21"/>
          <w:szCs w:val="21"/>
          <w:color w:val="auto"/>
        </w:rPr>
        <w:t xml:space="preserve"> a fraction (1) the numerator of which is the number of Class D Common Shares into which each Class A-1-B Preferred Share of such Class A-1 Preferred Member was deemed converted pursuant to subsection (i) above, and (2) the denominator of which is the Total Optional Conversion Shares; and (C) for each Class D Common Share, the Call Notice/Optional SoftBank Conversion Notice Fair Market Value multiplied by a fraction (1) the numerator of which is such number of Class D Common Shares and (2) the denominator of which is the Total Optional Conversion Shares.</w:t>
      </w:r>
    </w:p>
    <w:p>
      <w:pPr>
        <w:spacing w:after="0" w:line="179" w:lineRule="exact"/>
        <w:rPr>
          <w:rFonts w:ascii="Arial" w:cs="Arial" w:eastAsia="Arial" w:hAnsi="Arial"/>
          <w:sz w:val="21"/>
          <w:szCs w:val="21"/>
          <w:color w:val="auto"/>
        </w:rPr>
      </w:pPr>
    </w:p>
    <w:p>
      <w:pPr>
        <w:ind w:firstLine="656"/>
        <w:spacing w:after="0" w:line="269" w:lineRule="auto"/>
        <w:tabs>
          <w:tab w:leader="none" w:pos="1375" w:val="left"/>
        </w:tabs>
        <w:numPr>
          <w:ilvl w:val="1"/>
          <w:numId w:val="1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Party</w:t>
      </w:r>
      <w:r>
        <w:rPr>
          <w:rFonts w:ascii="Arial" w:cs="Arial" w:eastAsia="Arial" w:hAnsi="Arial"/>
          <w:sz w:val="22"/>
          <w:szCs w:val="22"/>
          <w:color w:val="auto"/>
        </w:rPr>
        <w:t>” shall mean (i) with respect to the Company or any of its Subsidiaries, the GM Investor and (ii) with respect to the GM Investor, the Company.</w:t>
      </w:r>
    </w:p>
    <w:p>
      <w:pPr>
        <w:spacing w:after="0" w:line="161" w:lineRule="exact"/>
        <w:rPr>
          <w:rFonts w:ascii="Arial" w:cs="Arial" w:eastAsia="Arial" w:hAnsi="Arial"/>
          <w:sz w:val="22"/>
          <w:szCs w:val="22"/>
          <w:color w:val="auto"/>
        </w:rPr>
      </w:pPr>
    </w:p>
    <w:p>
      <w:pPr>
        <w:jc w:val="both"/>
        <w:ind w:firstLine="656"/>
        <w:spacing w:after="0" w:line="247" w:lineRule="auto"/>
        <w:tabs>
          <w:tab w:leader="none" w:pos="1402" w:val="left"/>
        </w:tabs>
        <w:numPr>
          <w:ilvl w:val="1"/>
          <w:numId w:val="1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Per Class A-1 Preferred Share FMV</w:t>
      </w:r>
      <w:r>
        <w:rPr>
          <w:rFonts w:ascii="Arial" w:cs="Arial" w:eastAsia="Arial" w:hAnsi="Arial"/>
          <w:sz w:val="22"/>
          <w:szCs w:val="22"/>
          <w:color w:val="auto"/>
        </w:rPr>
        <w:t xml:space="preserve">” shall mean the Standardized FMV (as defined in, and determined in accordance with, </w:t>
      </w:r>
      <w:r>
        <w:rPr>
          <w:rFonts w:ascii="Arial" w:cs="Arial" w:eastAsia="Arial" w:hAnsi="Arial"/>
          <w:sz w:val="22"/>
          <w:szCs w:val="22"/>
          <w:b w:val="1"/>
          <w:bCs w:val="1"/>
          <w:color w:val="auto"/>
        </w:rPr>
        <w:t>Exhibit II</w:t>
      </w:r>
      <w:r>
        <w:rPr>
          <w:rFonts w:ascii="Arial" w:cs="Arial" w:eastAsia="Arial" w:hAnsi="Arial"/>
          <w:sz w:val="22"/>
          <w:szCs w:val="22"/>
          <w:color w:val="auto"/>
        </w:rPr>
        <w:t xml:space="preserve">) </w:t>
      </w:r>
      <w:r>
        <w:rPr>
          <w:rFonts w:ascii="Arial" w:cs="Arial" w:eastAsia="Arial" w:hAnsi="Arial"/>
          <w:sz w:val="22"/>
          <w:szCs w:val="22"/>
          <w:u w:val="single" w:color="auto"/>
          <w:color w:val="auto"/>
        </w:rPr>
        <w:t>divided by</w:t>
      </w:r>
      <w:r>
        <w:rPr>
          <w:rFonts w:ascii="Arial" w:cs="Arial" w:eastAsia="Arial" w:hAnsi="Arial"/>
          <w:sz w:val="22"/>
          <w:szCs w:val="22"/>
          <w:color w:val="auto"/>
        </w:rPr>
        <w:t xml:space="preserve"> the total outstanding Shares as of the time of the determination of the Call Notice/Optional SoftBank Conversion Notice Fair Market Value as if each Share (on a Fully Diluted Basis) was converted into a Class D Common Share (with Non-A-1 Interests being converted on a 1:1 basis (as adjusted, as necessary, to reflect appropriate and proportional adjustments to take into account any subdivision, reorganization, reclassification, recapitalization, stock split, reverse stock split, combination of shares or similar event) and Class A-1 Preferred Shares being converted pursuant to Section 2.10(b)).</w:t>
      </w:r>
    </w:p>
    <w:p>
      <w:pPr>
        <w:spacing w:after="0" w:line="189" w:lineRule="exact"/>
        <w:rPr>
          <w:rFonts w:ascii="Arial" w:cs="Arial" w:eastAsia="Arial" w:hAnsi="Arial"/>
          <w:sz w:val="22"/>
          <w:szCs w:val="22"/>
          <w:color w:val="auto"/>
        </w:rPr>
      </w:pPr>
    </w:p>
    <w:p>
      <w:pPr>
        <w:jc w:val="both"/>
        <w:ind w:firstLine="656"/>
        <w:spacing w:after="0" w:line="295" w:lineRule="auto"/>
        <w:tabs>
          <w:tab w:leader="none" w:pos="1629" w:val="left"/>
        </w:tabs>
        <w:numPr>
          <w:ilvl w:val="1"/>
          <w:numId w:val="16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Per Class E FMV</w:t>
      </w:r>
      <w:r>
        <w:rPr>
          <w:rFonts w:ascii="Arial" w:cs="Arial" w:eastAsia="Arial" w:hAnsi="Arial"/>
          <w:sz w:val="19"/>
          <w:szCs w:val="19"/>
          <w:color w:val="auto"/>
        </w:rPr>
        <w:t xml:space="preserve">” shall mean the Standardized FMV (as defined in, and determined in accordance with, </w:t>
      </w:r>
      <w:r>
        <w:rPr>
          <w:rFonts w:ascii="Arial" w:cs="Arial" w:eastAsia="Arial" w:hAnsi="Arial"/>
          <w:sz w:val="19"/>
          <w:szCs w:val="19"/>
          <w:b w:val="1"/>
          <w:bCs w:val="1"/>
          <w:color w:val="auto"/>
        </w:rPr>
        <w:t>Exhibit II</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divided by</w:t>
      </w:r>
      <w:r>
        <w:rPr>
          <w:rFonts w:ascii="Arial" w:cs="Arial" w:eastAsia="Arial" w:hAnsi="Arial"/>
          <w:sz w:val="19"/>
          <w:szCs w:val="19"/>
          <w:b w:val="1"/>
          <w:bCs w:val="1"/>
          <w:color w:val="auto"/>
        </w:rPr>
        <w:t xml:space="preserve"> </w:t>
      </w:r>
      <w:r>
        <w:rPr>
          <w:rFonts w:ascii="Arial" w:cs="Arial" w:eastAsia="Arial" w:hAnsi="Arial"/>
          <w:sz w:val="19"/>
          <w:szCs w:val="19"/>
          <w:color w:val="auto"/>
        </w:rPr>
        <w:t>the total outstanding Shares as of the time of the determination of the Call Notice/Optional SoftBank</w:t>
      </w:r>
      <w:r>
        <w:rPr>
          <w:rFonts w:ascii="Arial" w:cs="Arial" w:eastAsia="Arial" w:hAnsi="Arial"/>
          <w:sz w:val="19"/>
          <w:szCs w:val="19"/>
          <w:b w:val="1"/>
          <w:bCs w:val="1"/>
          <w:color w:val="auto"/>
        </w:rPr>
        <w:t xml:space="preserve"> </w:t>
      </w:r>
      <w:r>
        <w:rPr>
          <w:rFonts w:ascii="Arial" w:cs="Arial" w:eastAsia="Arial" w:hAnsi="Arial"/>
          <w:sz w:val="19"/>
          <w:szCs w:val="19"/>
          <w:color w:val="auto"/>
        </w:rPr>
        <w:t>Conversion Notice Fair Market Value as if each Share (on a Fully Diluted Basis) was converted into a Class D Common Share (with Non-A-1 Interests being converted on a 1:1 basis (as adjusted, as necessary, to reflect appropriate and proportional adjustments to take into account any subdivision, reorganization, reclassification, recapitalization, stock split, reverse stock split, combination of shares or similar event) and Class A-1 Preferred Shares being converted pursuant to Section 2.10(b)).</w:t>
      </w:r>
    </w:p>
    <w:p>
      <w:pPr>
        <w:spacing w:after="0" w:line="143" w:lineRule="exact"/>
        <w:rPr>
          <w:rFonts w:ascii="Arial" w:cs="Arial" w:eastAsia="Arial" w:hAnsi="Arial"/>
          <w:sz w:val="19"/>
          <w:szCs w:val="19"/>
          <w:color w:val="auto"/>
        </w:rPr>
      </w:pPr>
    </w:p>
    <w:p>
      <w:pPr>
        <w:ind w:firstLine="656"/>
        <w:spacing w:after="0" w:line="269" w:lineRule="auto"/>
        <w:tabs>
          <w:tab w:leader="none" w:pos="1308" w:val="left"/>
        </w:tabs>
        <w:numPr>
          <w:ilvl w:val="1"/>
          <w:numId w:val="1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shall mean an individual, a partnership, a corporation, a limited liability company or limited partnership, an association, a joint stock company, a trust, a joint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Appx. 14</w:t>
      </w:r>
    </w:p>
    <w:p>
      <w:pPr>
        <w:sectPr>
          <w:pgSz w:w="11900" w:h="16838" w:orient="portrait"/>
          <w:cols w:equalWidth="0" w:num="1">
            <w:col w:w="11240"/>
          </w:cols>
          <w:pgMar w:left="320" w:top="1428" w:right="339" w:bottom="1440" w:gutter="0" w:footer="0" w:header="0"/>
        </w:sectPr>
      </w:pPr>
    </w:p>
    <w:bookmarkStart w:id="163" w:name="page164"/>
    <w:bookmarkEnd w:id="163"/>
    <w:p>
      <w:pPr>
        <w:jc w:val="both"/>
        <w:spacing w:after="0" w:line="343" w:lineRule="auto"/>
        <w:rPr>
          <w:sz w:val="20"/>
          <w:szCs w:val="20"/>
          <w:color w:val="auto"/>
        </w:rPr>
      </w:pPr>
      <w:r>
        <w:rPr>
          <w:rFonts w:ascii="Arial" w:cs="Arial" w:eastAsia="Arial" w:hAnsi="Arial"/>
          <w:sz w:val="19"/>
          <w:szCs w:val="19"/>
          <w:color w:val="auto"/>
        </w:rPr>
        <w:t>venture, an unincorporated organization, or the United States of America or any other nation, any state or other political subdivision thereof, or any entity exercising executive, legislative, judicial, regulatory or administrative functions of government.</w:t>
      </w:r>
    </w:p>
    <w:p>
      <w:pPr>
        <w:spacing w:after="0" w:line="98" w:lineRule="exact"/>
        <w:rPr>
          <w:sz w:val="20"/>
          <w:szCs w:val="20"/>
          <w:color w:val="auto"/>
        </w:rPr>
      </w:pPr>
    </w:p>
    <w:p>
      <w:pPr>
        <w:jc w:val="both"/>
        <w:ind w:firstLine="656"/>
        <w:spacing w:after="0" w:line="288" w:lineRule="auto"/>
        <w:tabs>
          <w:tab w:leader="none" w:pos="1875" w:val="left"/>
        </w:tabs>
        <w:numPr>
          <w:ilvl w:val="0"/>
          <w:numId w:val="17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Preemptive Proportion</w:t>
      </w:r>
      <w:r>
        <w:rPr>
          <w:rFonts w:ascii="Arial" w:cs="Arial" w:eastAsia="Arial" w:hAnsi="Arial"/>
          <w:sz w:val="19"/>
          <w:szCs w:val="19"/>
          <w:color w:val="auto"/>
        </w:rPr>
        <w:t xml:space="preserve">” shall mean, with respect to a holder of Preemptive Shares as of any given time, an amount, expressed as a decimal, equal to (i) the number of Class D Common Shares held by such Member as if all Non-A-1 Interests (excluding any Class B Common Shares issued or issuable and any outstanding Class H Common Shares) owned by such holder of Preemptive Shares are deemed converted (on a Fully Diluted Basis) to Class D Common Shares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held by such holder of Preemptive Shares are converted to Class D Common Shares pursuant to Section 2.10(b),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(ii) the Total Conversion Shares (excluding, for the purpose of calculating the Total Conversion Shares, any Class B Common Shares issued or issuable and any outstanding Class H Common Shares); provided, that, with respect to any Excess New Securities subject to a Supplemental Notice of Intention to Sell pursuant to Section 2.07(g)(ii), the Class F Preferred Shares and Class G Preferred Shares will not be taken into account in the determination of Preemptive Proportion (including the Total Conversion Shares used therefor).</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jc w:val="both"/>
        <w:ind w:firstLine="656"/>
        <w:spacing w:after="0" w:line="252" w:lineRule="auto"/>
        <w:tabs>
          <w:tab w:leader="none" w:pos="1629" w:val="left"/>
        </w:tabs>
        <w:numPr>
          <w:ilvl w:val="0"/>
          <w:numId w:val="1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Preemptive Shares</w:t>
      </w:r>
      <w:r>
        <w:rPr>
          <w:rFonts w:ascii="Arial" w:cs="Arial" w:eastAsia="Arial" w:hAnsi="Arial"/>
          <w:sz w:val="22"/>
          <w:szCs w:val="22"/>
          <w:color w:val="auto"/>
        </w:rPr>
        <w:t>” shall mean each class of Shares, excluding (i) all Class B Common Shares issued or issuable and (ii) all outstanding Class H Common Shares; provided, that, with respect to any Excess New Securities subject to a Supplemental Notice of Intention to Sell pursuant to Section 2.07(g)(ii), the Class F Preferred Shares and Class G Preferred Shares will not be Preemptive Shares.</w:t>
      </w:r>
    </w:p>
    <w:p>
      <w:pPr>
        <w:spacing w:after="0" w:line="179" w:lineRule="exact"/>
        <w:rPr>
          <w:rFonts w:ascii="Arial" w:cs="Arial" w:eastAsia="Arial" w:hAnsi="Arial"/>
          <w:sz w:val="22"/>
          <w:szCs w:val="22"/>
          <w:color w:val="auto"/>
        </w:rPr>
      </w:pPr>
    </w:p>
    <w:p>
      <w:pPr>
        <w:ind w:left="1560" w:hanging="904"/>
        <w:spacing w:after="0"/>
        <w:tabs>
          <w:tab w:leader="none" w:pos="156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Prime Rate</w:t>
      </w:r>
      <w:r>
        <w:rPr>
          <w:rFonts w:ascii="Arial" w:cs="Arial" w:eastAsia="Arial" w:hAnsi="Arial"/>
          <w:sz w:val="19"/>
          <w:szCs w:val="19"/>
          <w:color w:val="auto"/>
        </w:rPr>
        <w:t>” shall mean the prime rate in effect at the time at the New York City offices of Citibank, N.A.</w:t>
      </w:r>
    </w:p>
    <w:p>
      <w:pPr>
        <w:spacing w:after="0" w:line="254" w:lineRule="exact"/>
        <w:rPr>
          <w:rFonts w:ascii="Arial" w:cs="Arial" w:eastAsia="Arial" w:hAnsi="Arial"/>
          <w:sz w:val="19"/>
          <w:szCs w:val="19"/>
          <w:color w:val="auto"/>
        </w:rPr>
      </w:pPr>
    </w:p>
    <w:p>
      <w:pPr>
        <w:jc w:val="both"/>
        <w:ind w:firstLine="656"/>
        <w:spacing w:after="0" w:line="249" w:lineRule="auto"/>
        <w:tabs>
          <w:tab w:leader="none" w:pos="1615" w:val="left"/>
        </w:tabs>
        <w:numPr>
          <w:ilvl w:val="0"/>
          <w:numId w:val="1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Qualified Appraiser</w:t>
      </w:r>
      <w:r>
        <w:rPr>
          <w:rFonts w:ascii="Arial" w:cs="Arial" w:eastAsia="Arial" w:hAnsi="Arial"/>
          <w:sz w:val="22"/>
          <w:szCs w:val="22"/>
          <w:color w:val="auto"/>
        </w:rPr>
        <w:t xml:space="preserve">” shall mean a globally recognized investment banking firm;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if such firm is the third “Qualified Appraiser” referred to in </w:t>
      </w:r>
      <w:r>
        <w:rPr>
          <w:rFonts w:ascii="Arial" w:cs="Arial" w:eastAsia="Arial" w:hAnsi="Arial"/>
          <w:sz w:val="22"/>
          <w:szCs w:val="22"/>
          <w:b w:val="1"/>
          <w:bCs w:val="1"/>
          <w:color w:val="auto"/>
        </w:rPr>
        <w:t>Exhibit II</w:t>
      </w:r>
      <w:r>
        <w:rPr>
          <w:rFonts w:ascii="Arial" w:cs="Arial" w:eastAsia="Arial" w:hAnsi="Arial"/>
          <w:sz w:val="22"/>
          <w:szCs w:val="22"/>
          <w:color w:val="auto"/>
        </w:rPr>
        <w:t>, then it shall not have (i) been engaged for any merger and acquisition advisory or other similar services or (ii) served as a lead or co-lead “bookrunner” for a debt or equity issuance in excess of $500,000,000 by or for the GM Investor, SoftBank, SoftBank UK or any Affiliate of the foregoing during the three (3) year period preceding such firm’s appointment.</w:t>
      </w:r>
    </w:p>
    <w:p>
      <w:pPr>
        <w:spacing w:after="0" w:line="186" w:lineRule="exact"/>
        <w:rPr>
          <w:rFonts w:ascii="Arial" w:cs="Arial" w:eastAsia="Arial" w:hAnsi="Arial"/>
          <w:sz w:val="22"/>
          <w:szCs w:val="22"/>
          <w:color w:val="auto"/>
        </w:rPr>
      </w:pPr>
    </w:p>
    <w:p>
      <w:pPr>
        <w:ind w:left="1560" w:hanging="904"/>
        <w:spacing w:after="0"/>
        <w:tabs>
          <w:tab w:leader="none" w:pos="156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Quarter</w:t>
      </w:r>
      <w:r>
        <w:rPr>
          <w:rFonts w:ascii="Arial" w:cs="Arial" w:eastAsia="Arial" w:hAnsi="Arial"/>
          <w:sz w:val="22"/>
          <w:szCs w:val="22"/>
          <w:color w:val="auto"/>
        </w:rPr>
        <w:t>” shall mean each calendar quarter.</w:t>
      </w:r>
    </w:p>
    <w:p>
      <w:pPr>
        <w:spacing w:after="0" w:line="219" w:lineRule="exact"/>
        <w:rPr>
          <w:rFonts w:ascii="Arial" w:cs="Arial" w:eastAsia="Arial" w:hAnsi="Arial"/>
          <w:sz w:val="22"/>
          <w:szCs w:val="22"/>
          <w:color w:val="auto"/>
        </w:rPr>
      </w:pPr>
    </w:p>
    <w:p>
      <w:pPr>
        <w:jc w:val="both"/>
        <w:ind w:firstLine="656"/>
        <w:spacing w:after="0" w:line="248" w:lineRule="auto"/>
        <w:tabs>
          <w:tab w:leader="none" w:pos="1367" w:val="left"/>
        </w:tabs>
        <w:numPr>
          <w:ilvl w:val="0"/>
          <w:numId w:val="1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Registrable Equity Securities</w:t>
      </w:r>
      <w:r>
        <w:rPr>
          <w:rFonts w:ascii="Arial" w:cs="Arial" w:eastAsia="Arial" w:hAnsi="Arial"/>
          <w:sz w:val="22"/>
          <w:szCs w:val="22"/>
          <w:color w:val="auto"/>
        </w:rPr>
        <w:t>” shall mean, at any time, any Equity Securities of the Company, or any corporate successor to the Company by way of conversion, or any of their respective Subsidiaries which effects the IPO held by any Member until (i) a registration statement covering such Equity Securities has been declared effective by the SEC and such Equity Securities have been disposed of pursuant to such effective registration statement, (ii) such Equity Securities are sold under Rule 144 under the Securities Act or (iii) such Equity Securities are otherwise Transferred, the Company has delivered a new certificate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Appx. 15</w:t>
      </w:r>
    </w:p>
    <w:p>
      <w:pPr>
        <w:sectPr>
          <w:pgSz w:w="11900" w:h="16838" w:orient="portrait"/>
          <w:cols w:equalWidth="0" w:num="1">
            <w:col w:w="11240"/>
          </w:cols>
          <w:pgMar w:left="320" w:top="1428" w:right="339" w:bottom="1440" w:gutter="0" w:footer="0" w:header="0"/>
        </w:sectPr>
      </w:pPr>
    </w:p>
    <w:bookmarkStart w:id="164" w:name="page165"/>
    <w:bookmarkEnd w:id="164"/>
    <w:p>
      <w:pPr>
        <w:spacing w:after="0" w:line="263" w:lineRule="auto"/>
        <w:rPr>
          <w:sz w:val="20"/>
          <w:szCs w:val="20"/>
          <w:color w:val="auto"/>
        </w:rPr>
      </w:pPr>
      <w:r>
        <w:rPr>
          <w:rFonts w:ascii="Arial" w:cs="Arial" w:eastAsia="Arial" w:hAnsi="Arial"/>
          <w:sz w:val="22"/>
          <w:szCs w:val="22"/>
          <w:color w:val="auto"/>
        </w:rPr>
        <w:t>evidence of ownership for such Equity Securities not bearing the legend required pursuant to this Agreement and such Equity Securities may be resold without subsequent registration under the Securities Act.</w:t>
      </w:r>
    </w:p>
    <w:p>
      <w:pPr>
        <w:spacing w:after="0" w:line="169" w:lineRule="exact"/>
        <w:rPr>
          <w:sz w:val="20"/>
          <w:szCs w:val="20"/>
          <w:color w:val="auto"/>
        </w:rPr>
      </w:pPr>
    </w:p>
    <w:p>
      <w:pPr>
        <w:jc w:val="both"/>
        <w:ind w:firstLine="656"/>
        <w:spacing w:after="0" w:line="284" w:lineRule="auto"/>
        <w:tabs>
          <w:tab w:leader="none" w:pos="1428" w:val="left"/>
        </w:tabs>
        <w:numPr>
          <w:ilvl w:val="1"/>
          <w:numId w:val="17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Remaining Preemptive Proportion</w:t>
      </w:r>
      <w:r>
        <w:rPr>
          <w:rFonts w:ascii="Arial" w:cs="Arial" w:eastAsia="Arial" w:hAnsi="Arial"/>
          <w:sz w:val="19"/>
          <w:szCs w:val="19"/>
          <w:color w:val="auto"/>
        </w:rPr>
        <w:t xml:space="preserve">” shall mean an amount, expressed as a decimal, equal to (i) (a) the number of Class D Common Shares held by such Overallotment Investor (calculated as if all Non-A-1 Interests (excluding any Class B Common Shares issued or issuable and any outstanding Class H Common Shares) owned by such Overallotment Investor are deemed converted (on a Fully Diluted Basis) to Class D Common Shares on a 1:1 basis (as adjusted, as necessary, to reflect appropriate and proportional adjustments to take into account any subdivision, reorganization, reclassification, recapitalization, stock split, reverse stock split, combination of shares or similar event), </w:t>
      </w:r>
      <w:r>
        <w:rPr>
          <w:rFonts w:ascii="Arial" w:cs="Arial" w:eastAsia="Arial" w:hAnsi="Arial"/>
          <w:sz w:val="19"/>
          <w:szCs w:val="19"/>
          <w:i w:val="1"/>
          <w:iCs w:val="1"/>
          <w:color w:val="auto"/>
        </w:rPr>
        <w:t>minus</w:t>
      </w:r>
      <w:r>
        <w:rPr>
          <w:rFonts w:ascii="Arial" w:cs="Arial" w:eastAsia="Arial" w:hAnsi="Arial"/>
          <w:sz w:val="19"/>
          <w:szCs w:val="19"/>
          <w:color w:val="auto"/>
        </w:rPr>
        <w:t xml:space="preserve"> any Class D Common Shares issued or issuable upon conversion of any Class F Preferred Shares and Class G Preferred Shares) and (b) all Class A-1 Preferred Shares held by such holder of Preemptive Shares are converted to Class D Common Shares pursuant to Section 2.10(b), </w:t>
      </w:r>
      <w:r>
        <w:rPr>
          <w:rFonts w:ascii="Arial" w:cs="Arial" w:eastAsia="Arial" w:hAnsi="Arial"/>
          <w:sz w:val="19"/>
          <w:szCs w:val="19"/>
          <w:i w:val="1"/>
          <w:iCs w:val="1"/>
          <w:color w:val="auto"/>
        </w:rPr>
        <w:t>divided</w:t>
      </w:r>
      <w:r>
        <w:rPr>
          <w:rFonts w:ascii="Arial" w:cs="Arial" w:eastAsia="Arial" w:hAnsi="Arial"/>
          <w:sz w:val="19"/>
          <w:szCs w:val="19"/>
          <w:color w:val="auto"/>
        </w:rPr>
        <w:t xml:space="preserve"> by (ii) the Total Conversion Shares (excluding (a) any Class B Common Shares issued or issuable and any outstanding Class H Common Shares,</w:t>
      </w:r>
    </w:p>
    <w:p>
      <w:pPr>
        <w:spacing w:after="0" w:line="5" w:lineRule="exact"/>
        <w:rPr>
          <w:rFonts w:ascii="Arial" w:cs="Arial" w:eastAsia="Arial" w:hAnsi="Arial"/>
          <w:sz w:val="19"/>
          <w:szCs w:val="19"/>
          <w:color w:val="auto"/>
        </w:rPr>
      </w:pPr>
    </w:p>
    <w:p>
      <w:pPr>
        <w:ind w:right="20" w:firstLine="8"/>
        <w:spacing w:after="0" w:line="323" w:lineRule="auto"/>
        <w:tabs>
          <w:tab w:leader="none" w:pos="331" w:val="left"/>
        </w:tabs>
        <w:numPr>
          <w:ilvl w:val="0"/>
          <w:numId w:val="172"/>
        </w:numPr>
        <w:rPr>
          <w:rFonts w:ascii="Arial" w:cs="Arial" w:eastAsia="Arial" w:hAnsi="Arial"/>
          <w:sz w:val="19"/>
          <w:szCs w:val="19"/>
          <w:color w:val="auto"/>
        </w:rPr>
      </w:pPr>
      <w:r>
        <w:rPr>
          <w:rFonts w:ascii="Arial" w:cs="Arial" w:eastAsia="Arial" w:hAnsi="Arial"/>
          <w:sz w:val="19"/>
          <w:szCs w:val="19"/>
          <w:color w:val="auto"/>
        </w:rPr>
        <w:t>all Shares of each holder of Preemptive Shares who did not elect to purchase his, her or its entire proportion of the New Securities allocated to such holder pursuant to Section 2.07(a), (c) Class F Preferred Shares, and (d) Class G Preferred Shares).</w:t>
      </w:r>
    </w:p>
    <w:p>
      <w:pPr>
        <w:spacing w:after="0" w:line="116" w:lineRule="exact"/>
        <w:rPr>
          <w:rFonts w:ascii="Arial" w:cs="Arial" w:eastAsia="Arial" w:hAnsi="Arial"/>
          <w:sz w:val="19"/>
          <w:szCs w:val="19"/>
          <w:color w:val="auto"/>
        </w:rPr>
      </w:pPr>
    </w:p>
    <w:p>
      <w:pPr>
        <w:ind w:right="20" w:firstLine="656"/>
        <w:spacing w:after="0" w:line="269" w:lineRule="auto"/>
        <w:tabs>
          <w:tab w:leader="none" w:pos="1362" w:val="left"/>
        </w:tabs>
        <w:numPr>
          <w:ilvl w:val="1"/>
          <w:numId w:val="17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Business</w:t>
      </w:r>
      <w:r>
        <w:rPr>
          <w:rFonts w:ascii="Arial" w:cs="Arial" w:eastAsia="Arial" w:hAnsi="Arial"/>
          <w:sz w:val="22"/>
          <w:szCs w:val="22"/>
          <w:color w:val="auto"/>
        </w:rPr>
        <w:t>” shall mean, (i) with respect to the Company or any of its Subsidiaries, the GM Business and (ii) with respect to the GM Investor or any of its Subsidiaries, the AVCo Business.</w:t>
      </w:r>
    </w:p>
    <w:p>
      <w:pPr>
        <w:spacing w:after="0" w:line="161" w:lineRule="exact"/>
        <w:rPr>
          <w:rFonts w:ascii="Arial" w:cs="Arial" w:eastAsia="Arial" w:hAnsi="Arial"/>
          <w:sz w:val="22"/>
          <w:szCs w:val="22"/>
          <w:color w:val="auto"/>
        </w:rPr>
      </w:pPr>
    </w:p>
    <w:p>
      <w:pPr>
        <w:jc w:val="both"/>
        <w:ind w:firstLine="656"/>
        <w:spacing w:after="0" w:line="286" w:lineRule="auto"/>
        <w:tabs>
          <w:tab w:leader="none" w:pos="1656" w:val="left"/>
        </w:tabs>
        <w:numPr>
          <w:ilvl w:val="1"/>
          <w:numId w:val="1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Restricted Person</w:t>
      </w:r>
      <w:r>
        <w:rPr>
          <w:rFonts w:ascii="Arial" w:cs="Arial" w:eastAsia="Arial" w:hAnsi="Arial"/>
          <w:sz w:val="19"/>
          <w:szCs w:val="19"/>
          <w:color w:val="auto"/>
        </w:rPr>
        <w:t xml:space="preserve">” shall mean any Person who, either directly or indirectly or through an Affiliate, is a competitor of either (i) the Company or any of its Subsidiaries as reasonably determined by the Board of Directors, or (ii) the GM Investor or any of its Affiliates as reasonably determined by the GM Investor in good faith;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Person who is not otherwise (either directly or indirectly or through an Affiliate) a competitor shall not be deemed a Restricted Person solely as a result of owning, directly or indirectly, less than five percent (5%) of the outstanding capital stock of a publicly traded company that is a competitor of the Company, the GM Investor or any of their respective Affiliates. Restricted Persons includes</w:t>
      </w:r>
    </w:p>
    <w:p>
      <w:pPr>
        <w:jc w:val="both"/>
        <w:spacing w:after="0" w:line="262" w:lineRule="auto"/>
        <w:rPr>
          <w:rFonts w:ascii="Arial" w:cs="Arial" w:eastAsia="Arial" w:hAnsi="Arial"/>
          <w:sz w:val="19"/>
          <w:szCs w:val="19"/>
          <w:color w:val="auto"/>
        </w:rPr>
      </w:pPr>
      <w:r>
        <w:rPr>
          <w:rFonts w:ascii="Arial" w:cs="Arial" w:eastAsia="Arial" w:hAnsi="Arial"/>
          <w:sz w:val="21"/>
          <w:szCs w:val="21"/>
          <w:color w:val="auto"/>
        </w:rPr>
        <w:t>(A) any Persons on the list provided to each Member on or about the date of this Agreement and (B) any Person that is developing or commercializing or selling autonomous vehicles for any use. A list of Restricted Persons shall be maintained by the Company and made available to any Member from time to time upon the request of such Member.</w:t>
      </w:r>
    </w:p>
    <w:p>
      <w:pPr>
        <w:spacing w:after="0" w:line="170" w:lineRule="exact"/>
        <w:rPr>
          <w:rFonts w:ascii="Arial" w:cs="Arial" w:eastAsia="Arial" w:hAnsi="Arial"/>
          <w:sz w:val="19"/>
          <w:szCs w:val="19"/>
          <w:color w:val="auto"/>
        </w:rPr>
      </w:pPr>
    </w:p>
    <w:p>
      <w:pPr>
        <w:jc w:val="both"/>
        <w:ind w:firstLine="656"/>
        <w:spacing w:after="0" w:line="295" w:lineRule="auto"/>
        <w:tabs>
          <w:tab w:leader="none" w:pos="1561" w:val="left"/>
        </w:tabs>
        <w:numPr>
          <w:ilvl w:val="1"/>
          <w:numId w:val="1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Sale of GM Parent</w:t>
      </w:r>
      <w:r>
        <w:rPr>
          <w:rFonts w:ascii="Arial" w:cs="Arial" w:eastAsia="Arial" w:hAnsi="Arial"/>
          <w:sz w:val="19"/>
          <w:szCs w:val="19"/>
          <w:color w:val="auto"/>
        </w:rPr>
        <w:t>” shall mean a transaction with an Independent Third Party or group of Independent Third Parties acting in concert, pursuant to which such Person or Persons acquire (the “</w:t>
      </w:r>
      <w:r>
        <w:rPr>
          <w:rFonts w:ascii="Arial" w:cs="Arial" w:eastAsia="Arial" w:hAnsi="Arial"/>
          <w:sz w:val="19"/>
          <w:szCs w:val="19"/>
          <w:b w:val="1"/>
          <w:bCs w:val="1"/>
          <w:color w:val="auto"/>
        </w:rPr>
        <w:t>GM Acquirer</w:t>
      </w:r>
      <w:r>
        <w:rPr>
          <w:rFonts w:ascii="Arial" w:cs="Arial" w:eastAsia="Arial" w:hAnsi="Arial"/>
          <w:sz w:val="19"/>
          <w:szCs w:val="19"/>
          <w:color w:val="auto"/>
        </w:rPr>
        <w:t>”), in any single transaction or series of related transactions, (i) more than fifty percent (50%) of the issued and outstanding voting securities of GM Parent (or any surviving or resulting company) or (ii) all or substantially all of the GM Parent’s assets determined on a consolidated basis (in either case, whether by merger, consolidation, sale, exchange, issuance, Transfer or redemption of GM Parent’s equity securities, by sale, exchange or Transfer of the GM Parent’s consolidated assets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Appx. 16</w:t>
      </w:r>
    </w:p>
    <w:p>
      <w:pPr>
        <w:sectPr>
          <w:pgSz w:w="11900" w:h="16838" w:orient="portrait"/>
          <w:cols w:equalWidth="0" w:num="1">
            <w:col w:w="11240"/>
          </w:cols>
          <w:pgMar w:left="320" w:top="1428" w:right="339" w:bottom="1440" w:gutter="0" w:footer="0" w:header="0"/>
        </w:sectPr>
      </w:pPr>
    </w:p>
    <w:bookmarkStart w:id="165" w:name="page166"/>
    <w:bookmarkEnd w:id="165"/>
    <w:p>
      <w:pPr>
        <w:jc w:val="both"/>
        <w:ind w:firstLine="656"/>
        <w:spacing w:after="0" w:line="262" w:lineRule="auto"/>
        <w:tabs>
          <w:tab w:leader="none" w:pos="1869" w:val="left"/>
        </w:tabs>
        <w:numPr>
          <w:ilvl w:val="0"/>
          <w:numId w:val="17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Sale of the Company</w:t>
      </w:r>
      <w:r>
        <w:rPr>
          <w:rFonts w:ascii="Arial" w:cs="Arial" w:eastAsia="Arial" w:hAnsi="Arial"/>
          <w:sz w:val="21"/>
          <w:szCs w:val="21"/>
          <w:color w:val="auto"/>
        </w:rPr>
        <w:t>” shall mean any transaction or series of related transactions with an Independent Third Party or group of Independent Third Parties acting in concert, pursuant to which such Person or Persons acquire (i) more than fifty percent (50%) of the issued and outstanding Equity Securities or (ii) all or substantially all of the Company’s assets determined on a consolidated basis (in either case, whether by merger, consolidation, sale, exchange, issuance, Transfer or redemption of the Company’s Equity Securities, by sale, exchange or Transfer of the Company’s consolidated assets or otherwise). For clarity, an IPO will not be a Sale of the Company.</w:t>
      </w:r>
    </w:p>
    <w:p>
      <w:pPr>
        <w:spacing w:after="0" w:line="173" w:lineRule="exact"/>
        <w:rPr>
          <w:rFonts w:ascii="Arial" w:cs="Arial" w:eastAsia="Arial" w:hAnsi="Arial"/>
          <w:sz w:val="21"/>
          <w:szCs w:val="21"/>
          <w:color w:val="auto"/>
        </w:rPr>
      </w:pPr>
    </w:p>
    <w:p>
      <w:pPr>
        <w:jc w:val="both"/>
        <w:ind w:firstLine="656"/>
        <w:spacing w:after="0" w:line="293" w:lineRule="auto"/>
        <w:tabs>
          <w:tab w:leader="none" w:pos="1602" w:val="left"/>
        </w:tabs>
        <w:numPr>
          <w:ilvl w:val="0"/>
          <w:numId w:val="1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Sanctioned Person</w:t>
      </w:r>
      <w:r>
        <w:rPr>
          <w:rFonts w:ascii="Arial" w:cs="Arial" w:eastAsia="Arial" w:hAnsi="Arial"/>
          <w:sz w:val="19"/>
          <w:szCs w:val="19"/>
          <w:color w:val="auto"/>
        </w:rPr>
        <w:t>” shall mean (i) (A) any Persons identified in the List of Specially Designated Nationals and Blocked Persons, the Foreign Sanctions Evaders List, the E.O. 13599 List, or the Sectoral Sanctions Identifications List, in each case administered by OFAC, and any other sanctions or similar lists administered by any agency of the U.S. Government, including the U.S. Department of State and the U.S. Department of Commerce and (B) any Persons owned or controlled, directly or indirectly, by such Person or Persons; (ii) any Persons identified on any sanctions lists of the European Union, the United Kingdom or any other jurisdiction; (iii) Persons identified on any list of sanctioned parties identified in a resolution of the United Nations Security Council; and (iv) any Persons located, organized or a resident in a Sanctioned Territory.</w:t>
      </w:r>
    </w:p>
    <w:p>
      <w:pPr>
        <w:spacing w:after="0" w:line="144" w:lineRule="exact"/>
        <w:rPr>
          <w:rFonts w:ascii="Arial" w:cs="Arial" w:eastAsia="Arial" w:hAnsi="Arial"/>
          <w:sz w:val="19"/>
          <w:szCs w:val="19"/>
          <w:color w:val="auto"/>
        </w:rPr>
      </w:pPr>
    </w:p>
    <w:p>
      <w:pPr>
        <w:jc w:val="both"/>
        <w:ind w:firstLine="656"/>
        <w:spacing w:after="0" w:line="256" w:lineRule="auto"/>
        <w:tabs>
          <w:tab w:leader="none" w:pos="1629" w:val="left"/>
        </w:tabs>
        <w:numPr>
          <w:ilvl w:val="0"/>
          <w:numId w:val="1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Sanctioned Territory</w:t>
      </w:r>
      <w:r>
        <w:rPr>
          <w:rFonts w:ascii="Arial" w:cs="Arial" w:eastAsia="Arial" w:hAnsi="Arial"/>
          <w:sz w:val="22"/>
          <w:szCs w:val="22"/>
          <w:color w:val="auto"/>
        </w:rPr>
        <w:t>” shall mean, at any time, a country or geographic region that is itself the subject or target of any comprehensive Sanctions within the past five years, which includes: Crimea, Cuba, Iran, North Korea, Sudan, and Syria.</w:t>
      </w:r>
    </w:p>
    <w:p>
      <w:pPr>
        <w:spacing w:after="0" w:line="176" w:lineRule="exact"/>
        <w:rPr>
          <w:rFonts w:ascii="Arial" w:cs="Arial" w:eastAsia="Arial" w:hAnsi="Arial"/>
          <w:sz w:val="22"/>
          <w:szCs w:val="22"/>
          <w:color w:val="auto"/>
        </w:rPr>
      </w:pPr>
    </w:p>
    <w:p>
      <w:pPr>
        <w:jc w:val="both"/>
        <w:ind w:firstLine="656"/>
        <w:spacing w:after="0" w:line="248" w:lineRule="auto"/>
        <w:tabs>
          <w:tab w:leader="none" w:pos="1555" w:val="left"/>
        </w:tabs>
        <w:numPr>
          <w:ilvl w:val="0"/>
          <w:numId w:val="1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Sanctions</w:t>
      </w:r>
      <w:r>
        <w:rPr>
          <w:rFonts w:ascii="Arial" w:cs="Arial" w:eastAsia="Arial" w:hAnsi="Arial"/>
          <w:sz w:val="22"/>
          <w:szCs w:val="22"/>
          <w:color w:val="auto"/>
        </w:rPr>
        <w:t>” shall mean (i) the economic sanctions and trade embargo laws, rules, regulations, and executive orders of the United States, including those administered or enforced from time to time by OFAC or the U.S. Department of State, the International Emergency Economic Powers Act (50 U.S.C. §§1701 et seq.), and the Trading with the Enemy Act (50 App. U.S.C. §§1 et seq.); and (ii) any other similar and applicable economic sanctions and trade embargo laws, rules, or regulations of any foreign Governmental Authority, including but not limited to, the European Union, the United Kingdom, and the United Nations Security Council.</w:t>
      </w:r>
    </w:p>
    <w:p>
      <w:pPr>
        <w:spacing w:after="0" w:line="187" w:lineRule="exact"/>
        <w:rPr>
          <w:sz w:val="20"/>
          <w:szCs w:val="20"/>
          <w:color w:val="auto"/>
        </w:rPr>
      </w:pPr>
    </w:p>
    <w:p>
      <w:pPr>
        <w:ind w:left="1600" w:hanging="944"/>
        <w:spacing w:after="0"/>
        <w:tabs>
          <w:tab w:leader="none" w:pos="160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shall mean the United States Securities and Exchange Commission.</w:t>
      </w:r>
    </w:p>
    <w:p>
      <w:pPr>
        <w:spacing w:after="0" w:line="219" w:lineRule="exact"/>
        <w:rPr>
          <w:rFonts w:ascii="Arial" w:cs="Arial" w:eastAsia="Arial" w:hAnsi="Arial"/>
          <w:sz w:val="22"/>
          <w:szCs w:val="22"/>
          <w:color w:val="auto"/>
        </w:rPr>
      </w:pPr>
    </w:p>
    <w:p>
      <w:pPr>
        <w:jc w:val="both"/>
        <w:ind w:firstLine="656"/>
        <w:spacing w:after="0" w:line="259" w:lineRule="auto"/>
        <w:tabs>
          <w:tab w:leader="none" w:pos="1696" w:val="left"/>
        </w:tabs>
        <w:numPr>
          <w:ilvl w:val="0"/>
          <w:numId w:val="17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Second Preemptive Proportion</w:t>
      </w:r>
      <w:r>
        <w:rPr>
          <w:rFonts w:ascii="Arial" w:cs="Arial" w:eastAsia="Arial" w:hAnsi="Arial"/>
          <w:sz w:val="21"/>
          <w:szCs w:val="21"/>
          <w:color w:val="auto"/>
        </w:rPr>
        <w:t xml:space="preserve">” shall mean an amount, expressed as a decimal equal to (i) the number of Class F Preferred Shares and Class G Preferred Shares held by such Overallotment Investor as if all such Class F Preferred Shares and Class G Preferred Shares are deemed converted to Class D Common Shares on a 1:1 basis (as adjusted, as necessary, to reflect appropriate and proportional adjustments to take into account any subdivision, reorganization, reclassification, recapitalization, stock split, reverse stock split, combination of shares or similar event), </w:t>
      </w:r>
      <w:r>
        <w:rPr>
          <w:rFonts w:ascii="Arial" w:cs="Arial" w:eastAsia="Arial" w:hAnsi="Arial"/>
          <w:sz w:val="21"/>
          <w:szCs w:val="21"/>
          <w:u w:val="single" w:color="auto"/>
          <w:color w:val="auto"/>
        </w:rPr>
        <w:t>divided by</w:t>
      </w:r>
      <w:r>
        <w:rPr>
          <w:rFonts w:ascii="Arial" w:cs="Arial" w:eastAsia="Arial" w:hAnsi="Arial"/>
          <w:sz w:val="21"/>
          <w:szCs w:val="21"/>
          <w:color w:val="auto"/>
        </w:rPr>
        <w:t xml:space="preserve"> (ii) the total number of issued and outstanding Shares calculated on an as-converted basis as if all Non-A-1 Interests are converted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are converted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Appx. 17</w:t>
      </w:r>
    </w:p>
    <w:p>
      <w:pPr>
        <w:sectPr>
          <w:pgSz w:w="11900" w:h="16838" w:orient="portrait"/>
          <w:cols w:equalWidth="0" w:num="1">
            <w:col w:w="11240"/>
          </w:cols>
          <w:pgMar w:left="320" w:top="1422" w:right="339" w:bottom="1440" w:gutter="0" w:footer="0" w:header="0"/>
        </w:sectPr>
      </w:pPr>
    </w:p>
    <w:bookmarkStart w:id="166" w:name="page167"/>
    <w:bookmarkEnd w:id="166"/>
    <w:p>
      <w:pPr>
        <w:spacing w:after="0" w:line="287" w:lineRule="auto"/>
        <w:rPr>
          <w:sz w:val="20"/>
          <w:szCs w:val="20"/>
          <w:color w:val="auto"/>
        </w:rPr>
      </w:pPr>
      <w:r>
        <w:rPr>
          <w:rFonts w:ascii="Arial" w:cs="Arial" w:eastAsia="Arial" w:hAnsi="Arial"/>
          <w:sz w:val="21"/>
          <w:szCs w:val="21"/>
          <w:color w:val="auto"/>
        </w:rPr>
        <w:t>accordance with Section 2.10(b) (excluding, for the purpose of calculating the total number of issued and outstanding Shares, any Class B Common Shares issued or issuable and any outstanding Class H Common Shares).</w:t>
      </w:r>
    </w:p>
    <w:p>
      <w:pPr>
        <w:spacing w:after="0" w:line="145" w:lineRule="exact"/>
        <w:rPr>
          <w:sz w:val="20"/>
          <w:szCs w:val="20"/>
          <w:color w:val="auto"/>
        </w:rPr>
      </w:pPr>
    </w:p>
    <w:p>
      <w:pPr>
        <w:ind w:left="1640" w:hanging="984"/>
        <w:spacing w:after="0"/>
        <w:tabs>
          <w:tab w:leader="none" w:pos="1640" w:val="left"/>
        </w:tabs>
        <w:numPr>
          <w:ilvl w:val="1"/>
          <w:numId w:val="17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Second Tranche Conditions</w:t>
      </w:r>
      <w:r>
        <w:rPr>
          <w:rFonts w:ascii="Arial" w:cs="Arial" w:eastAsia="Arial" w:hAnsi="Arial"/>
          <w:sz w:val="19"/>
          <w:szCs w:val="19"/>
          <w:color w:val="auto"/>
        </w:rPr>
        <w:t>” shall mean the following conditions: (i) the SoftBank CFIUS Condition, and</w:t>
      </w:r>
    </w:p>
    <w:p>
      <w:pPr>
        <w:spacing w:after="0" w:line="61" w:lineRule="exact"/>
        <w:rPr>
          <w:rFonts w:ascii="Arial" w:cs="Arial" w:eastAsia="Arial" w:hAnsi="Arial"/>
          <w:sz w:val="19"/>
          <w:szCs w:val="19"/>
          <w:color w:val="auto"/>
        </w:rPr>
      </w:pPr>
    </w:p>
    <w:p>
      <w:pPr>
        <w:jc w:val="both"/>
        <w:ind w:firstLine="8"/>
        <w:spacing w:after="0" w:line="281" w:lineRule="auto"/>
        <w:tabs>
          <w:tab w:leader="none" w:pos="331" w:val="left"/>
        </w:tabs>
        <w:numPr>
          <w:ilvl w:val="0"/>
          <w:numId w:val="176"/>
        </w:numPr>
        <w:rPr>
          <w:rFonts w:ascii="Arial" w:cs="Arial" w:eastAsia="Arial" w:hAnsi="Arial"/>
          <w:sz w:val="19"/>
          <w:szCs w:val="19"/>
          <w:color w:val="auto"/>
        </w:rPr>
      </w:pPr>
      <w:r>
        <w:rPr>
          <w:rFonts w:ascii="Arial" w:cs="Arial" w:eastAsia="Arial" w:hAnsi="Arial"/>
          <w:sz w:val="19"/>
          <w:szCs w:val="19"/>
          <w:color w:val="auto"/>
        </w:rPr>
        <w:t>there shall not, at the time of consummation of the transactions contemplated by Section 2.02(c)(i), be in effect and Law or Order (each as defined in the SoftBank Purchase Agreement) enacted or entered by a Governmental Authority of competent jurisdiction restraining, enjoining or otherwise prohibiting the consummation of the transactions contemplated by Section 2.02(c)</w:t>
      </w:r>
    </w:p>
    <w:p>
      <w:pPr>
        <w:spacing w:after="0" w:line="2" w:lineRule="exact"/>
        <w:rPr>
          <w:rFonts w:ascii="Arial" w:cs="Arial" w:eastAsia="Arial" w:hAnsi="Arial"/>
          <w:sz w:val="19"/>
          <w:szCs w:val="19"/>
          <w:color w:val="auto"/>
        </w:rPr>
      </w:pPr>
    </w:p>
    <w:p>
      <w:pPr>
        <w:spacing w:after="0"/>
        <w:tabs>
          <w:tab w:leader="none" w:pos="0" w:val="left"/>
        </w:tabs>
        <w:numPr>
          <w:ilvl w:val="0"/>
          <w:numId w:val="177"/>
        </w:numPr>
        <w:rPr>
          <w:rFonts w:ascii="Arial" w:cs="Arial" w:eastAsia="Arial" w:hAnsi="Arial"/>
          <w:sz w:val="22"/>
          <w:szCs w:val="22"/>
          <w:color w:val="auto"/>
        </w:rPr>
      </w:pPr>
    </w:p>
    <w:p>
      <w:pPr>
        <w:spacing w:after="0" w:line="195" w:lineRule="exact"/>
        <w:rPr>
          <w:rFonts w:ascii="Arial" w:cs="Arial" w:eastAsia="Arial" w:hAnsi="Arial"/>
          <w:sz w:val="22"/>
          <w:szCs w:val="22"/>
          <w:color w:val="auto"/>
        </w:rPr>
      </w:pPr>
    </w:p>
    <w:p>
      <w:pPr>
        <w:ind w:left="1660" w:hanging="1004"/>
        <w:spacing w:after="0"/>
        <w:tabs>
          <w:tab w:leader="none" w:pos="1660" w:val="left"/>
        </w:tabs>
        <w:numPr>
          <w:ilvl w:val="1"/>
          <w:numId w:val="17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 Director</w:t>
      </w:r>
      <w:r>
        <w:rPr>
          <w:rFonts w:ascii="Arial" w:cs="Arial" w:eastAsia="Arial" w:hAnsi="Arial"/>
          <w:sz w:val="22"/>
          <w:szCs w:val="22"/>
          <w:color w:val="auto"/>
        </w:rPr>
        <w:t>” shall have the meaning given to it in the NSA.</w:t>
      </w:r>
    </w:p>
    <w:p>
      <w:pPr>
        <w:spacing w:after="0" w:line="219" w:lineRule="exact"/>
        <w:rPr>
          <w:rFonts w:ascii="Arial" w:cs="Arial" w:eastAsia="Arial" w:hAnsi="Arial"/>
          <w:sz w:val="22"/>
          <w:szCs w:val="22"/>
          <w:color w:val="auto"/>
        </w:rPr>
      </w:pPr>
    </w:p>
    <w:p>
      <w:pPr>
        <w:ind w:left="1600" w:hanging="944"/>
        <w:spacing w:after="0"/>
        <w:tabs>
          <w:tab w:leader="none" w:pos="1600" w:val="left"/>
        </w:tabs>
        <w:numPr>
          <w:ilvl w:val="1"/>
          <w:numId w:val="17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shall mean the Securities Act of 1933, as amended.</w:t>
      </w:r>
    </w:p>
    <w:p>
      <w:pPr>
        <w:spacing w:after="0" w:line="219" w:lineRule="exact"/>
        <w:rPr>
          <w:rFonts w:ascii="Arial" w:cs="Arial" w:eastAsia="Arial" w:hAnsi="Arial"/>
          <w:sz w:val="22"/>
          <w:szCs w:val="22"/>
          <w:color w:val="auto"/>
        </w:rPr>
      </w:pPr>
    </w:p>
    <w:p>
      <w:pPr>
        <w:ind w:firstLine="656"/>
        <w:spacing w:after="0" w:line="349" w:lineRule="auto"/>
        <w:tabs>
          <w:tab w:leader="none" w:pos="1541" w:val="left"/>
        </w:tabs>
        <w:numPr>
          <w:ilvl w:val="1"/>
          <w:numId w:val="17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Share Grant Agreements</w:t>
      </w:r>
      <w:r>
        <w:rPr>
          <w:rFonts w:ascii="Arial" w:cs="Arial" w:eastAsia="Arial" w:hAnsi="Arial"/>
          <w:sz w:val="19"/>
          <w:szCs w:val="19"/>
          <w:color w:val="auto"/>
        </w:rPr>
        <w:t>” shall mean any written agreement entered into between the Company and any Person issued Class B Common Shares, evidencing the terms and conditions of an individual grant of Class B Common Shares.</w:t>
      </w:r>
    </w:p>
    <w:p>
      <w:pPr>
        <w:spacing w:after="0" w:line="93" w:lineRule="exact"/>
        <w:rPr>
          <w:rFonts w:ascii="Arial" w:cs="Arial" w:eastAsia="Arial" w:hAnsi="Arial"/>
          <w:sz w:val="19"/>
          <w:szCs w:val="19"/>
          <w:color w:val="auto"/>
        </w:rPr>
      </w:pPr>
    </w:p>
    <w:p>
      <w:pPr>
        <w:jc w:val="both"/>
        <w:ind w:firstLine="656"/>
        <w:spacing w:after="0" w:line="258" w:lineRule="auto"/>
        <w:tabs>
          <w:tab w:leader="none" w:pos="1683" w:val="left"/>
        </w:tabs>
        <w:numPr>
          <w:ilvl w:val="1"/>
          <w:numId w:val="17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SoftBank CFIUS Approval</w:t>
      </w:r>
      <w:r>
        <w:rPr>
          <w:rFonts w:ascii="Arial" w:cs="Arial" w:eastAsia="Arial" w:hAnsi="Arial"/>
          <w:sz w:val="21"/>
          <w:szCs w:val="21"/>
          <w:color w:val="auto"/>
        </w:rPr>
        <w:t>” means any of the following: (i) CFIUS shall have concluded that the relevant transaction does not constitute a “covered transaction” and are not subject to review under Section 721 of the U.S. Defense Production Act of 1950; (ii) CFIUS shall have issued a written notification that it has concluded its review (and, if applicable, any investigation) of the notice filed with it in connection with the relevant transaction and determined that there are no unresolved national security concerns with respect to such transactions; or (iii) if CFIUS has sent a report to the President of the United States requesting the President’s decision with respect to the relevant transaction and either (A) the period under Section 721 of the Defense Production Act of 1950 during which the President may announce his decision to take action to suspend or prohibit the relevant transaction shall have expired without any such action being announced or taken, or (B) the President shall have announced a decision not to take any action to suspend or prohibit the relevant transaction. For the purpose of this definition, “relevant transaction” shall mean (i) the grant to SoftBank (and its Affiliates) of the rights and obligations granted to them hereunder for which CFIUS Approval is required, and (ii) the consummation of the transactions contemplated by Section 2.02(c)(i).</w:t>
      </w:r>
    </w:p>
    <w:p>
      <w:pPr>
        <w:spacing w:after="0" w:line="178" w:lineRule="exact"/>
        <w:rPr>
          <w:rFonts w:ascii="Arial" w:cs="Arial" w:eastAsia="Arial" w:hAnsi="Arial"/>
          <w:sz w:val="21"/>
          <w:szCs w:val="21"/>
          <w:color w:val="auto"/>
        </w:rPr>
      </w:pPr>
    </w:p>
    <w:p>
      <w:pPr>
        <w:jc w:val="both"/>
        <w:ind w:firstLine="656"/>
        <w:spacing w:after="0" w:line="256" w:lineRule="auto"/>
        <w:tabs>
          <w:tab w:leader="none" w:pos="1710" w:val="left"/>
        </w:tabs>
        <w:numPr>
          <w:ilvl w:val="1"/>
          <w:numId w:val="17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SoftBank CFIUS Condition</w:t>
      </w:r>
      <w:r>
        <w:rPr>
          <w:rFonts w:ascii="Arial" w:cs="Arial" w:eastAsia="Arial" w:hAnsi="Arial"/>
          <w:sz w:val="22"/>
          <w:szCs w:val="22"/>
          <w:color w:val="auto"/>
        </w:rPr>
        <w:t>” shall mean: (i) SoftBank CFIUS Approval has been received and (ii) unless waived by SoftBank, CFIUS shall not have required or imposed any Burdensome Conditions (as defined in the SoftBank Purchase Agreement).</w:t>
      </w:r>
    </w:p>
    <w:p>
      <w:pPr>
        <w:spacing w:after="0" w:line="176" w:lineRule="exact"/>
        <w:rPr>
          <w:rFonts w:ascii="Arial" w:cs="Arial" w:eastAsia="Arial" w:hAnsi="Arial"/>
          <w:sz w:val="22"/>
          <w:szCs w:val="22"/>
          <w:color w:val="auto"/>
        </w:rPr>
      </w:pPr>
    </w:p>
    <w:p>
      <w:pPr>
        <w:jc w:val="both"/>
        <w:ind w:firstLine="656"/>
        <w:spacing w:after="0" w:line="249" w:lineRule="auto"/>
        <w:tabs>
          <w:tab w:leader="none" w:pos="1435" w:val="left"/>
        </w:tabs>
        <w:numPr>
          <w:ilvl w:val="1"/>
          <w:numId w:val="17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SoftBank Competitively Sensitive Information</w:t>
      </w:r>
      <w:r>
        <w:rPr>
          <w:rFonts w:ascii="Arial" w:cs="Arial" w:eastAsia="Arial" w:hAnsi="Arial"/>
          <w:sz w:val="22"/>
          <w:szCs w:val="22"/>
          <w:color w:val="auto"/>
        </w:rPr>
        <w:t>” shall mean any information that is determined by the chief executive officer or the chief legal officer of the Company or the Board of Directors (in each case as determined in his, her or its reasonable judgment) to be competitively sensitive with respect to the AVCo Business (which shall include any information of the type identified to SoftBank UK prior to the execution of the SoftBank Purchase Agreement (and subsequently acknowledged and agreed to by SoftBank)).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Appx. 18</w:t>
      </w:r>
    </w:p>
    <w:p>
      <w:pPr>
        <w:sectPr>
          <w:pgSz w:w="11900" w:h="16838" w:orient="portrait"/>
          <w:cols w:equalWidth="0" w:num="1">
            <w:col w:w="11240"/>
          </w:cols>
          <w:pgMar w:left="320" w:top="1428" w:right="339" w:bottom="1440" w:gutter="0" w:footer="0" w:header="0"/>
        </w:sectPr>
      </w:pPr>
    </w:p>
    <w:bookmarkStart w:id="167" w:name="page168"/>
    <w:bookmarkEnd w:id="167"/>
    <w:p>
      <w:pPr>
        <w:jc w:val="both"/>
        <w:ind w:firstLine="656"/>
        <w:spacing w:after="0" w:line="247" w:lineRule="auto"/>
        <w:tabs>
          <w:tab w:leader="none" w:pos="1422" w:val="left"/>
        </w:tabs>
        <w:numPr>
          <w:ilvl w:val="0"/>
          <w:numId w:val="17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SoftBank Floor Amount</w:t>
      </w:r>
      <w:r>
        <w:rPr>
          <w:rFonts w:ascii="Arial" w:cs="Arial" w:eastAsia="Arial" w:hAnsi="Arial"/>
          <w:sz w:val="22"/>
          <w:szCs w:val="22"/>
          <w:color w:val="auto"/>
        </w:rPr>
        <w:t>” shall mean the lesser of (i) five percent (5%) of the total outstanding Shares in the Company as of the relevant date, and (ii) eighty percent (80%) of the total outstanding Shares in the Company held by SoftBank as at May 8, 2019 (as deemed adjusted for the Share Split), in each case of (i) and (ii) calculated as if each Share was converted into a Class D Common Share (with Non-A-1 Interests being converted on a 1:1 basis (as adjusted, as necessary, to reflect appropriate and proportional adjustments to take into account any subdivision, reorganization, reclassification, recapitalization, stock split, reverse stock split, combination of shares or similar event) and Class A-1 Preferred Shares being converted pursuant to Section 2.10).</w:t>
      </w:r>
    </w:p>
    <w:p>
      <w:pPr>
        <w:spacing w:after="0" w:line="189" w:lineRule="exact"/>
        <w:rPr>
          <w:rFonts w:ascii="Arial" w:cs="Arial" w:eastAsia="Arial" w:hAnsi="Arial"/>
          <w:sz w:val="22"/>
          <w:szCs w:val="22"/>
          <w:color w:val="auto"/>
        </w:rPr>
      </w:pPr>
    </w:p>
    <w:p>
      <w:pPr>
        <w:ind w:left="1740" w:hanging="1084"/>
        <w:spacing w:after="0"/>
        <w:tabs>
          <w:tab w:leader="none" w:pos="174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SoftBank Group Corp.</w:t>
      </w:r>
      <w:r>
        <w:rPr>
          <w:rFonts w:ascii="Arial" w:cs="Arial" w:eastAsia="Arial" w:hAnsi="Arial"/>
          <w:sz w:val="19"/>
          <w:szCs w:val="19"/>
          <w:color w:val="auto"/>
        </w:rPr>
        <w:t>” shall mean SoftBank Group Corp., a corporation incorporated under the laws of</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Japan.</w:t>
      </w:r>
    </w:p>
    <w:p>
      <w:pPr>
        <w:spacing w:after="0" w:line="195" w:lineRule="exact"/>
        <w:rPr>
          <w:rFonts w:ascii="Arial" w:cs="Arial" w:eastAsia="Arial" w:hAnsi="Arial"/>
          <w:sz w:val="19"/>
          <w:szCs w:val="19"/>
          <w:color w:val="auto"/>
        </w:rPr>
      </w:pPr>
    </w:p>
    <w:p>
      <w:pPr>
        <w:jc w:val="both"/>
        <w:ind w:firstLine="656"/>
        <w:spacing w:after="0" w:line="247" w:lineRule="auto"/>
        <w:tabs>
          <w:tab w:leader="none" w:pos="1449" w:val="left"/>
        </w:tabs>
        <w:numPr>
          <w:ilvl w:val="0"/>
          <w:numId w:val="17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SoftBank Party</w:t>
      </w:r>
      <w:r>
        <w:rPr>
          <w:rFonts w:ascii="Arial" w:cs="Arial" w:eastAsia="Arial" w:hAnsi="Arial"/>
          <w:sz w:val="22"/>
          <w:szCs w:val="22"/>
          <w:color w:val="auto"/>
        </w:rPr>
        <w:t>” shall mean (i) any investment fund, investment vehicle or other account that is, directly or indirectly, managed or advised by SB Investment Holdings (UK) Limited or any of its Affiliates, and shall include SoftBank Vision Fund (AIV M2) L.P., a Delaware limited partnership, and SoftBank Vision Fund (AIV S1) L.P., a Delaware limited partnership (each, a “</w:t>
      </w:r>
      <w:r>
        <w:rPr>
          <w:rFonts w:ascii="Arial" w:cs="Arial" w:eastAsia="Arial" w:hAnsi="Arial"/>
          <w:sz w:val="22"/>
          <w:szCs w:val="22"/>
          <w:b w:val="1"/>
          <w:bCs w:val="1"/>
          <w:color w:val="auto"/>
        </w:rPr>
        <w:t>SoftBank Fund</w:t>
      </w:r>
      <w:r>
        <w:rPr>
          <w:rFonts w:ascii="Arial" w:cs="Arial" w:eastAsia="Arial" w:hAnsi="Arial"/>
          <w:sz w:val="22"/>
          <w:szCs w:val="22"/>
          <w:color w:val="auto"/>
        </w:rPr>
        <w:t>”), (ii) each Affiliate of each SoftBank Fund, (iii) SoftBank Group Corp. and each Affiliate of SoftBank or SoftBank Group Corp., (iv) each portfolio company of any SoftBank Fund, SoftBank, SoftBank Group Corp. or any of their Affiliates and (v) any Person in which any SoftBank Fund, SoftBank, SoftBank Group Corp. or any of their Affiliates holds a non-controlling and minority position.</w:t>
      </w:r>
    </w:p>
    <w:p>
      <w:pPr>
        <w:spacing w:after="0" w:line="189" w:lineRule="exact"/>
        <w:rPr>
          <w:rFonts w:ascii="Arial" w:cs="Arial" w:eastAsia="Arial" w:hAnsi="Arial"/>
          <w:sz w:val="22"/>
          <w:szCs w:val="22"/>
          <w:color w:val="auto"/>
        </w:rPr>
      </w:pPr>
    </w:p>
    <w:p>
      <w:pPr>
        <w:ind w:firstLine="656"/>
        <w:spacing w:after="0" w:line="269" w:lineRule="auto"/>
        <w:tabs>
          <w:tab w:leader="none" w:pos="2137" w:val="left"/>
        </w:tabs>
        <w:numPr>
          <w:ilvl w:val="0"/>
          <w:numId w:val="17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SoftBank Purchase Agreement</w:t>
      </w:r>
      <w:r>
        <w:rPr>
          <w:rFonts w:ascii="Arial" w:cs="Arial" w:eastAsia="Arial" w:hAnsi="Arial"/>
          <w:sz w:val="22"/>
          <w:szCs w:val="22"/>
          <w:color w:val="auto"/>
        </w:rPr>
        <w:t>” shall mean that certain Purchase Agreement, dated as of May 31, 2018, by and among the Company, GM and SoftBank.</w:t>
      </w:r>
    </w:p>
    <w:p>
      <w:pPr>
        <w:spacing w:after="0" w:line="161" w:lineRule="exact"/>
        <w:rPr>
          <w:rFonts w:ascii="Arial" w:cs="Arial" w:eastAsia="Arial" w:hAnsi="Arial"/>
          <w:sz w:val="22"/>
          <w:szCs w:val="22"/>
          <w:color w:val="auto"/>
        </w:rPr>
      </w:pPr>
    </w:p>
    <w:p>
      <w:pPr>
        <w:ind w:left="1660" w:hanging="1004"/>
        <w:spacing w:after="0"/>
        <w:tabs>
          <w:tab w:leader="none" w:pos="166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SoftBank Trigger Date</w:t>
      </w:r>
      <w:r>
        <w:rPr>
          <w:rFonts w:ascii="Arial" w:cs="Arial" w:eastAsia="Arial" w:hAnsi="Arial"/>
          <w:sz w:val="22"/>
          <w:szCs w:val="22"/>
          <w:color w:val="auto"/>
        </w:rPr>
        <w:t>” shall mean June 28, 2025.</w:t>
      </w:r>
    </w:p>
    <w:p>
      <w:pPr>
        <w:spacing w:after="0" w:line="219" w:lineRule="exact"/>
        <w:rPr>
          <w:rFonts w:ascii="Arial" w:cs="Arial" w:eastAsia="Arial" w:hAnsi="Arial"/>
          <w:sz w:val="22"/>
          <w:szCs w:val="22"/>
          <w:color w:val="auto"/>
        </w:rPr>
      </w:pPr>
    </w:p>
    <w:p>
      <w:pPr>
        <w:jc w:val="both"/>
        <w:ind w:firstLine="656"/>
        <w:spacing w:after="0" w:line="288" w:lineRule="auto"/>
        <w:tabs>
          <w:tab w:leader="none" w:pos="1696" w:val="left"/>
        </w:tabs>
        <w:numPr>
          <w:ilvl w:val="0"/>
          <w:numId w:val="17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shall mean with respect to any Person, any corporation, partnership, limited liability company, association or other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partnership, limited liability company, association or other business entity, a majority of the partnership or other similar ownership interest thereof is at the time owned or controlled, directly or indirectly, by any Person or one or more Subsidiaries of that Person or a combination thereof. For the purposes hereof, a Person or Persons shall be deemed to have a majority ownership interest in a partnership, limited liability company, association or other business entity if such Person or Persons shall be allocated a majority of partnership, limited liability company, association or other business entity gains or losses or shall be or control or have the right to appoint, as the case may be, the managing director, manager, board of advisors, a company or other governing body of such partnership, limited liability company, association or other business entity by means of ownership interest, agreement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Appx. 19</w:t>
      </w:r>
    </w:p>
    <w:p>
      <w:pPr>
        <w:sectPr>
          <w:pgSz w:w="11900" w:h="16838" w:orient="portrait"/>
          <w:cols w:equalWidth="0" w:num="1">
            <w:col w:w="11240"/>
          </w:cols>
          <w:pgMar w:left="320" w:top="1422" w:right="339" w:bottom="1440" w:gutter="0" w:footer="0" w:header="0"/>
        </w:sectPr>
      </w:pPr>
    </w:p>
    <w:bookmarkStart w:id="168" w:name="page169"/>
    <w:bookmarkEnd w:id="168"/>
    <w:p>
      <w:pPr>
        <w:jc w:val="both"/>
        <w:ind w:right="20" w:firstLine="656"/>
        <w:spacing w:after="0" w:line="264" w:lineRule="auto"/>
        <w:tabs>
          <w:tab w:leader="none" w:pos="1723" w:val="left"/>
        </w:tabs>
        <w:numPr>
          <w:ilvl w:val="0"/>
          <w:numId w:val="17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Technical Information</w:t>
      </w:r>
      <w:r>
        <w:rPr>
          <w:rFonts w:ascii="Arial" w:cs="Arial" w:eastAsia="Arial" w:hAnsi="Arial"/>
          <w:sz w:val="21"/>
          <w:szCs w:val="21"/>
          <w:color w:val="auto"/>
        </w:rPr>
        <w:t xml:space="preserve">” shall mean all information of the Company or any of its Subsidiaries that is related to the technology, intellectual property, data, know-how, software, trade secrets, hardware, algorithms, technical processes, source code, and any other information that could reasonably enable a third party to reverse engineer any of the foregoing; </w:t>
      </w:r>
      <w:r>
        <w:rPr>
          <w:rFonts w:ascii="Arial" w:cs="Arial" w:eastAsia="Arial" w:hAnsi="Arial"/>
          <w:sz w:val="21"/>
          <w:szCs w:val="21"/>
          <w:u w:val="single" w:color="auto"/>
          <w:color w:val="auto"/>
        </w:rPr>
        <w:t>provided</w:t>
      </w:r>
      <w:r>
        <w:rPr>
          <w:rFonts w:ascii="Arial" w:cs="Arial" w:eastAsia="Arial" w:hAnsi="Arial"/>
          <w:sz w:val="21"/>
          <w:szCs w:val="21"/>
          <w:color w:val="auto"/>
        </w:rPr>
        <w:t>, that Technical Information shall not include information pertaining to the performance and general characteristics of the technology, software, and hardware of the Company or any of its Subsidiaries.</w:t>
      </w:r>
    </w:p>
    <w:p>
      <w:pPr>
        <w:spacing w:after="0" w:line="170" w:lineRule="exact"/>
        <w:rPr>
          <w:rFonts w:ascii="Arial" w:cs="Arial" w:eastAsia="Arial" w:hAnsi="Arial"/>
          <w:sz w:val="21"/>
          <w:szCs w:val="21"/>
          <w:color w:val="auto"/>
        </w:rPr>
      </w:pPr>
    </w:p>
    <w:p>
      <w:pPr>
        <w:ind w:right="20" w:firstLine="656"/>
        <w:spacing w:after="0" w:line="293" w:lineRule="auto"/>
        <w:tabs>
          <w:tab w:leader="none" w:pos="1750" w:val="left"/>
        </w:tabs>
        <w:numPr>
          <w:ilvl w:val="0"/>
          <w:numId w:val="17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Transaction Documents</w:t>
      </w:r>
      <w:r>
        <w:rPr>
          <w:rFonts w:ascii="Arial" w:cs="Arial" w:eastAsia="Arial" w:hAnsi="Arial"/>
          <w:sz w:val="21"/>
          <w:szCs w:val="21"/>
          <w:color w:val="auto"/>
        </w:rPr>
        <w:t>” shall mean this Agreement, the SoftBank Purchase Agreement, the IPMA, the EDSA, the AGSA, the Indemnity Agreement and the Share Grant Agreements entered into in connection herewith.</w:t>
      </w:r>
    </w:p>
    <w:p>
      <w:pPr>
        <w:spacing w:after="0" w:line="139" w:lineRule="exact"/>
        <w:rPr>
          <w:rFonts w:ascii="Arial" w:cs="Arial" w:eastAsia="Arial" w:hAnsi="Arial"/>
          <w:sz w:val="21"/>
          <w:szCs w:val="21"/>
          <w:color w:val="auto"/>
        </w:rPr>
      </w:pPr>
    </w:p>
    <w:p>
      <w:pPr>
        <w:jc w:val="both"/>
        <w:ind w:right="20" w:firstLine="656"/>
        <w:spacing w:after="0" w:line="252" w:lineRule="auto"/>
        <w:tabs>
          <w:tab w:leader="none" w:pos="1561" w:val="left"/>
        </w:tabs>
        <w:numPr>
          <w:ilvl w:val="0"/>
          <w:numId w:val="1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w:t>
      </w:r>
      <w:r>
        <w:rPr>
          <w:rFonts w:ascii="Arial" w:cs="Arial" w:eastAsia="Arial" w:hAnsi="Arial"/>
          <w:sz w:val="22"/>
          <w:szCs w:val="22"/>
          <w:color w:val="auto"/>
        </w:rPr>
        <w:t>” shall mean any transfer, sale, assignment, pledge, encumbrance or other disposition, directly or indirectly (including by merger or sale of equity in any direct or indirect holding company (including a corporation) or otherwise), irrespective of whether any of the foregoing are effected voluntarily or involuntarily, by operation of law or otherwise, or whether inter vivos or upon death.</w:t>
      </w:r>
    </w:p>
    <w:p>
      <w:pPr>
        <w:spacing w:after="0" w:line="179" w:lineRule="exact"/>
        <w:rPr>
          <w:rFonts w:ascii="Arial" w:cs="Arial" w:eastAsia="Arial" w:hAnsi="Arial"/>
          <w:sz w:val="22"/>
          <w:szCs w:val="22"/>
          <w:color w:val="auto"/>
        </w:rPr>
      </w:pPr>
    </w:p>
    <w:p>
      <w:pPr>
        <w:ind w:left="1540" w:hanging="884"/>
        <w:spacing w:after="0"/>
        <w:tabs>
          <w:tab w:leader="none" w:pos="154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Treasury Regulations</w:t>
      </w:r>
      <w:r>
        <w:rPr>
          <w:rFonts w:ascii="Arial" w:cs="Arial" w:eastAsia="Arial" w:hAnsi="Arial"/>
          <w:sz w:val="19"/>
          <w:szCs w:val="19"/>
          <w:color w:val="auto"/>
        </w:rPr>
        <w:t>” shall mean the income tax regulations promulgated under the Code and effective as of</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date hereof.</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Other defined terms are contained in the following sections of this Agreement:</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307"/>
        </w:trPr>
        <w:tc>
          <w:tcPr>
            <w:tcW w:w="8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Defined Term</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Section Where Found</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A-1-B Antitrust Approvals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2.02(b)(i)</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A-2 Preferred Directors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6.03(a)</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Acceptance Period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2.07(a)</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Accounting Firm</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4.03(f)</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Acquired Person</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11.02(b)(v)</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Act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1.02</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Additional Member</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9.04(b)</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Admission Date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9.03(c)</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Advance Notice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2.02(c)(i)</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Aggregate Company Hypothetical Pre-Deconsolidation Tax Amount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4.03(n)(i)</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Amended Tag Notice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9.07(c)</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Applicable FMV Parties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 xml:space="preserve">Exhibit </w:t>
            </w:r>
            <w:r>
              <w:rPr>
                <w:rFonts w:ascii="Arial" w:cs="Arial" w:eastAsia="Arial" w:hAnsi="Arial"/>
                <w:sz w:val="22"/>
                <w:szCs w:val="22"/>
                <w:color w:val="000000"/>
              </w:rPr>
              <w:t>II</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Assignee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9.03(a)</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Binding Transaction Agreement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9.01(a)(ix)</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Board Observers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6.04</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Board of Directors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6.01(a)</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Call Notice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9.12(b)</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Cash Election</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9.13(b)</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CD Notice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2.02(c)(i)</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60"/>
          </w:cols>
          <w:pgMar w:left="320" w:top="142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Appx. 20</w:t>
      </w:r>
    </w:p>
    <w:p>
      <w:pPr>
        <w:sectPr>
          <w:pgSz w:w="11900" w:h="16838" w:orient="portrait"/>
          <w:cols w:equalWidth="0" w:num="1">
            <w:col w:w="11260"/>
          </w:cols>
          <w:pgMar w:left="320" w:top="1422" w:right="319" w:bottom="1440" w:gutter="0" w:footer="0" w:header="0"/>
          <w:type w:val="continuous"/>
        </w:sectPr>
      </w:pPr>
    </w:p>
    <w:bookmarkStart w:id="169" w:name="page170"/>
    <w:bookmarkEnd w:id="169"/>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307"/>
        </w:trPr>
        <w:tc>
          <w:tcPr>
            <w:tcW w:w="8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Certificated Shares</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2.08</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Chairman</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6.03(b)</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A-1 Preferred Shares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2.01(a)</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A-1/D Purchase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9.12(a)</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A-1-A Liquidation Preference Amount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Appendix I</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A-1-A Preferred Shares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2.01(a)</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A-1-B Liquidation Preference Amount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Appendix I</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A-1-B Preferred Shares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2.01(a)</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A-2 Preferred Shares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2.01(a)</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B Common Shares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2.01(a)</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C Common Shares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2.01(a)</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D Common Shares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2.01(a)</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E Common Shares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2.01(a)</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E Purchase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9.12(b)</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F Commitment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2.04(b)</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F Preferred Shares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2.01(a)</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F Purchase Agreement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Recitals</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G Commitment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2.04(c)</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G Preferred Shares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2.01(a)</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G Purchase Agreement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Recitals</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H Call Notice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9.12(f)</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H Common Shares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2.01(a)</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Class H Purchase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9.12(f)</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Commercial Deployment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2.02(b)(i)</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Common Director</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6.03(a)</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Company</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Preamble; Section 12.03</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Company Hypothetical Pre-Deconsolidation Tax Amount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4.03(n)(ii)</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Company’s Notice of Intention to Sell</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2.07(a)</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Cure Period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2.02(c)(ii)</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Deconsolidation</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4.03(n)(iii)</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Deemed Liquidation Event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3.02(b)</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Drag Percentage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9.09(a)</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Drag-Along Notice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9.09(a)</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Drag-Along Sale Transaction</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9.09(a)</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Dragees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9.09(a)</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Emergency Meeting</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6.11</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Entity</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9.10(c)</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Equity Awards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2.03(a)</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Excess New Securities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2.07(a)</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Excess NOL Tax Increase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4.03(n)(iv)</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Excluded Transfer</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9.01(a)(v)</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990" w:orient="portrait"/>
          <w:cols w:equalWidth="0" w:num="1">
            <w:col w:w="11260"/>
          </w:cols>
          <w:pgMar w:left="320" w:top="1440"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Appx 21</w:t>
      </w:r>
    </w:p>
    <w:p>
      <w:pPr>
        <w:sectPr>
          <w:pgSz w:w="11900" w:h="16990" w:orient="portrait"/>
          <w:cols w:equalWidth="0" w:num="1">
            <w:col w:w="11260"/>
          </w:cols>
          <w:pgMar w:left="320" w:top="1440" w:right="319" w:bottom="0" w:gutter="0" w:footer="0" w:header="0"/>
          <w:type w:val="continuous"/>
        </w:sectPr>
      </w:pPr>
    </w:p>
    <w:bookmarkStart w:id="170" w:name="page171"/>
    <w:bookmarkEnd w:id="17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1" w:name="page172"/>
    <w:bookmarkEnd w:id="171"/>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307"/>
        </w:trPr>
        <w:tc>
          <w:tcPr>
            <w:tcW w:w="8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Exempt Class F Transfer</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9.02(a)</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Exempt Class G Transfer</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9.02(a)</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Exempt Class H Transfer</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9.02(a)</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Exempt Class H Affiliate Transfer</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9.02(a)</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Exempt Class H Family Transfer</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9.02(a)</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Exempt Employee Member Transfer</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9.02(a)</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Exempt Honda Transfer</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9.02(a)</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Exempt Microsoft Transfer</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9.02(a)</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Exempt SoftBank Transfer</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9.02(a)</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FAW-GM</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11.01(a)</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Fifth A&amp;R Agreement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Recitals</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First A&amp;R Agreement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Recitals</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First Overallotment Process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2.07(b)(i)</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Fourth A&amp;R Agreement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Recitals</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GM</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Preamble</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GM Acquirer</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Appendix I</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GM Commitment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2.02(e)</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GM Consolidated Group</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4.03(n)(v)</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GM Consolidated Return</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4.03(n)(v)</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GM Cruise Holdings LLC</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1.03</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GM ROFR Date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9.01(a)(ix)</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GM ROFR Notice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9.01(a)(ix)</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Holder Shares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 xml:space="preserve">Exhibit </w:t>
            </w:r>
            <w:r>
              <w:rPr>
                <w:rFonts w:ascii="Arial" w:cs="Arial" w:eastAsia="Arial" w:hAnsi="Arial"/>
                <w:sz w:val="22"/>
                <w:szCs w:val="22"/>
                <w:color w:val="000000"/>
              </w:rPr>
              <w:t>I</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Honda</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Preamble</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Honda Board Observer</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6.04</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Honda Call Notice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9.12(b)</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Honda Commitment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2.04</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Honda Purchase Agreement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Recitals</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Honda R&amp;D Co</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6.05</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Hypothetical Deconsolidated Company NOL Amount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4.03(n)(vii)</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Incremental GM Tax Amount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4.03(n)(viii)</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IP Upsized FMV</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 xml:space="preserve">Exhibit </w:t>
            </w:r>
            <w:r>
              <w:rPr>
                <w:rFonts w:ascii="Arial" w:cs="Arial" w:eastAsia="Arial" w:hAnsi="Arial"/>
                <w:sz w:val="22"/>
                <w:szCs w:val="22"/>
                <w:color w:val="000000"/>
              </w:rPr>
              <w:t>II</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IP Upsizing</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 xml:space="preserve">Exhibit </w:t>
            </w:r>
            <w:r>
              <w:rPr>
                <w:rFonts w:ascii="Arial" w:cs="Arial" w:eastAsia="Arial" w:hAnsi="Arial"/>
                <w:sz w:val="22"/>
                <w:szCs w:val="22"/>
                <w:color w:val="000000"/>
              </w:rPr>
              <w:t>II</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IPO Shares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9.10(a)</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IPO Shortfall</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6.13(d)</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IRS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4.02</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Joinder</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Exhibit I</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LLC Agreement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Section 12.03</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Member Group Persons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5.08(a)</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Members Schedule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2.01(b)</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Microsoft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Preamble</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990" w:orient="portrait"/>
          <w:cols w:equalWidth="0" w:num="1">
            <w:col w:w="11260"/>
          </w:cols>
          <w:pgMar w:left="320" w:top="1440"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Appx 22</w:t>
      </w:r>
    </w:p>
    <w:p>
      <w:pPr>
        <w:sectPr>
          <w:pgSz w:w="11900" w:h="16990" w:orient="portrait"/>
          <w:cols w:equalWidth="0" w:num="1">
            <w:col w:w="11260"/>
          </w:cols>
          <w:pgMar w:left="320" w:top="1440" w:right="319" w:bottom="0" w:gutter="0" w:footer="0" w:header="0"/>
          <w:type w:val="continuous"/>
        </w:sectPr>
      </w:pPr>
    </w:p>
    <w:bookmarkStart w:id="172" w:name="page173"/>
    <w:bookmarkEnd w:id="17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3" w:name="page174"/>
    <w:bookmarkEnd w:id="173"/>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307"/>
        </w:trPr>
        <w:tc>
          <w:tcPr>
            <w:tcW w:w="8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Microsoft Board Observer</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6.04</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New Securities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2.07(a)</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NOL Deficit Amount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4.03(n)(ix)</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Non-Compete Period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11.02(a)</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Officers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6.15</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Optional SoftBank Conversion Notice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9.13(a)</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Optional SoftBank Conversion Purchase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9.13(c)</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Options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2.03(a)</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Original Agreement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Recitals</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Original Closing Date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Recitals</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Other Business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5.08(a)</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Other Tax Credits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4.03(n)(x)</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Overallotment Investors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2.07(b)</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Par Securities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6.13(c)</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Participation Members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9.07(a)</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PATAC</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11.01(a)</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Payment Period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2.02(c)(i)</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Permitted Transferee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9.02(b)</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Proceeding</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7.02(a)</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R&amp;D Tax Credits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4.03(n)(xi)</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ROFR Notice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9.01(a)(ix)</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ROFR Offered Shares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9.01(a)(ix)</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RSUs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2.03(a)</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Second A&amp;R Agreement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Recitals</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Section 59(e) Benefit Amount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Section 4.03(n)(xii)</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Section 59(e) Detriment Amount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Section 4.03(n)(xiii)</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Section 59(e) Election</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4.03(d)</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Senior Securities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Section 2.02(d)(iv)</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SGM</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11.01(a)</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Share and/or Shares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2.01(a)</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Share Awards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2.03(a)</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SoftBank</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Recitals</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SoftBank Board Observer</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6.04</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SoftBank Call Notice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9.12(a)</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SoftBank Commitment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2.02(a)</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SoftBank Director</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6.03(a)</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SoftBank Fund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Appendix I</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Standardized FMV</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 xml:space="preserve">Exhibit </w:t>
            </w:r>
            <w:r>
              <w:rPr>
                <w:rFonts w:ascii="Arial" w:cs="Arial" w:eastAsia="Arial" w:hAnsi="Arial"/>
                <w:sz w:val="22"/>
                <w:szCs w:val="22"/>
                <w:color w:val="000000"/>
              </w:rPr>
              <w:t>II</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State Acts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Section 12.03</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Stock Election</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9.13(b)</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Subsequent SoftBank Commitment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2.02(c)(i)</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990" w:orient="portrait"/>
          <w:cols w:equalWidth="0" w:num="1">
            <w:col w:w="11260"/>
          </w:cols>
          <w:pgMar w:left="320" w:top="1440"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Appx 23</w:t>
      </w:r>
    </w:p>
    <w:p>
      <w:pPr>
        <w:sectPr>
          <w:pgSz w:w="11900" w:h="16990" w:orient="portrait"/>
          <w:cols w:equalWidth="0" w:num="1">
            <w:col w:w="11260"/>
          </w:cols>
          <w:pgMar w:left="320" w:top="1440" w:right="319" w:bottom="0" w:gutter="0" w:footer="0" w:header="0"/>
          <w:type w:val="continuous"/>
        </w:sectPr>
      </w:pPr>
    </w:p>
    <w:bookmarkStart w:id="174" w:name="page175"/>
    <w:bookmarkEnd w:id="17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5" w:name="page176"/>
    <w:bookmarkEnd w:id="17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07"/>
        </w:trPr>
        <w:tc>
          <w:tcPr>
            <w:tcW w:w="8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Subsequent SoftBank Commitment</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color w:val="010000"/>
              </w:rPr>
              <w:t>Section 2.02(c)(i)</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Substituted Member</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9.04(a)</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Supplemental Notice of Intention to Sell</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2.07(a)</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SoftBank</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Preamble</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Tag Notice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9.07(a)</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Tagged Shares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9.07(a)</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Target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Appendix I</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Tax Materials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4.03(m)</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Tax Period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4.03(n)(xiv)</w:t>
            </w:r>
          </w:p>
        </w:tc>
      </w:tr>
      <w:tr>
        <w:trPr>
          <w:trHeight w:val="30"/>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Third A&amp;R Agreement</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Recitals</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Total Optional Conversion Shares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Appendix I</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Total Conversion Shares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9.07(a)(i)</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Total Tagged Shares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9.07(a)(ii)</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Transferor</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9.01(a)(ix)</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87"/>
        </w:trPr>
        <w:tc>
          <w:tcPr>
            <w:tcW w:w="8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Transferring Holder</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010000"/>
              </w:rPr>
              <w:t>Section 9.07(a)</w:t>
            </w:r>
          </w:p>
        </w:tc>
      </w:tr>
      <w:tr>
        <w:trPr>
          <w:trHeight w:val="31"/>
        </w:trPr>
        <w:tc>
          <w:tcPr>
            <w:tcW w:w="81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Appx. 24</w:t>
      </w:r>
    </w:p>
    <w:p>
      <w:pPr>
        <w:sectPr>
          <w:pgSz w:w="11900" w:h="16838" w:orient="portrait"/>
          <w:cols w:equalWidth="0" w:num="1">
            <w:col w:w="11260"/>
          </w:cols>
          <w:pgMar w:left="320" w:top="1440" w:right="319" w:bottom="1440" w:gutter="0" w:footer="0" w:header="0"/>
        </w:sectPr>
      </w:pPr>
    </w:p>
    <w:bookmarkStart w:id="176" w:name="page177"/>
    <w:bookmarkEnd w:id="176"/>
    <w:p>
      <w:pPr>
        <w:ind w:left="5100"/>
        <w:spacing w:after="0"/>
        <w:rPr>
          <w:sz w:val="20"/>
          <w:szCs w:val="20"/>
          <w:color w:val="auto"/>
        </w:rPr>
      </w:pPr>
      <w:r>
        <w:rPr>
          <w:rFonts w:ascii="Arial" w:cs="Arial" w:eastAsia="Arial" w:hAnsi="Arial"/>
          <w:sz w:val="22"/>
          <w:szCs w:val="22"/>
          <w:b w:val="1"/>
          <w:bCs w:val="1"/>
          <w:u w:val="single" w:color="auto"/>
          <w:color w:val="auto"/>
        </w:rPr>
        <w:t>EXHIBIT I</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JOINDER TO THE SEVENTH AMENDED AND RESTATED LIMITED LIABILITY COMPANY AGREEMENT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GM CRUISE HOLDINGS LLC</w:t>
      </w:r>
    </w:p>
    <w:p>
      <w:pPr>
        <w:spacing w:after="0" w:line="19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THIS JOINDER (this “</w:t>
      </w:r>
      <w:r>
        <w:rPr>
          <w:rFonts w:ascii="Arial" w:cs="Arial" w:eastAsia="Arial" w:hAnsi="Arial"/>
          <w:sz w:val="22"/>
          <w:szCs w:val="22"/>
          <w:b w:val="1"/>
          <w:bCs w:val="1"/>
          <w:color w:val="auto"/>
        </w:rPr>
        <w:t>Joinder</w:t>
      </w:r>
      <w:r>
        <w:rPr>
          <w:rFonts w:ascii="Arial" w:cs="Arial" w:eastAsia="Arial" w:hAnsi="Arial"/>
          <w:sz w:val="22"/>
          <w:szCs w:val="22"/>
          <w:color w:val="auto"/>
        </w:rPr>
        <w:t>”) to that certain Seventh Amended and Restated Limited Liability Company Agreement, dated as of March 14, 2021, by and among GM Cruise Holdings LLC, a Delaware limited liability company (the “</w:t>
      </w:r>
      <w:r>
        <w:rPr>
          <w:rFonts w:ascii="Arial" w:cs="Arial" w:eastAsia="Arial" w:hAnsi="Arial"/>
          <w:sz w:val="22"/>
          <w:szCs w:val="22"/>
          <w:b w:val="1"/>
          <w:bCs w:val="1"/>
          <w:color w:val="auto"/>
        </w:rPr>
        <w:t>Company</w:t>
      </w:r>
      <w:r>
        <w:rPr>
          <w:rFonts w:ascii="Arial" w:cs="Arial" w:eastAsia="Arial" w:hAnsi="Arial"/>
          <w:sz w:val="22"/>
          <w:szCs w:val="22"/>
          <w:color w:val="auto"/>
        </w:rPr>
        <w:t>”), and certain Members of the Company (the “</w:t>
      </w:r>
      <w:r>
        <w:rPr>
          <w:rFonts w:ascii="Arial" w:cs="Arial" w:eastAsia="Arial" w:hAnsi="Arial"/>
          <w:sz w:val="22"/>
          <w:szCs w:val="22"/>
          <w:b w:val="1"/>
          <w:bCs w:val="1"/>
          <w:color w:val="auto"/>
        </w:rPr>
        <w:t>Limited Liability Company Agreement</w:t>
      </w:r>
      <w:r>
        <w:rPr>
          <w:rFonts w:ascii="Arial" w:cs="Arial" w:eastAsia="Arial" w:hAnsi="Arial"/>
          <w:sz w:val="22"/>
          <w:szCs w:val="22"/>
          <w:color w:val="auto"/>
        </w:rPr>
        <w:t>”), is made and entered into as of [●], by and between the Company and [●] (“</w:t>
      </w:r>
      <w:r>
        <w:rPr>
          <w:rFonts w:ascii="Arial" w:cs="Arial" w:eastAsia="Arial" w:hAnsi="Arial"/>
          <w:sz w:val="22"/>
          <w:szCs w:val="22"/>
          <w:b w:val="1"/>
          <w:bCs w:val="1"/>
          <w:color w:val="auto"/>
        </w:rPr>
        <w:t>Holder</w:t>
      </w:r>
      <w:r>
        <w:rPr>
          <w:rFonts w:ascii="Arial" w:cs="Arial" w:eastAsia="Arial" w:hAnsi="Arial"/>
          <w:sz w:val="22"/>
          <w:szCs w:val="22"/>
          <w:color w:val="auto"/>
        </w:rPr>
        <w:t>”). Capitalized terms used but not otherwise defined herein shall have the meanings set forth in the Limited Liability Company Agreement.</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WHEREAS, Holder has acquired certain [</w:t>
      </w:r>
      <w:r>
        <w:rPr>
          <w:rFonts w:ascii="Arial" w:cs="Arial" w:eastAsia="Arial" w:hAnsi="Arial"/>
          <w:sz w:val="22"/>
          <w:szCs w:val="22"/>
          <w:i w:val="1"/>
          <w:iCs w:val="1"/>
          <w:color w:val="auto"/>
        </w:rPr>
        <w:t>class</w:t>
      </w:r>
      <w:r>
        <w:rPr>
          <w:rFonts w:ascii="Arial" w:cs="Arial" w:eastAsia="Arial" w:hAnsi="Arial"/>
          <w:sz w:val="22"/>
          <w:szCs w:val="22"/>
          <w:color w:val="auto"/>
        </w:rPr>
        <w:t>] Shares of the Company (“</w:t>
      </w:r>
      <w:r>
        <w:rPr>
          <w:rFonts w:ascii="Arial" w:cs="Arial" w:eastAsia="Arial" w:hAnsi="Arial"/>
          <w:sz w:val="22"/>
          <w:szCs w:val="22"/>
          <w:b w:val="1"/>
          <w:bCs w:val="1"/>
          <w:color w:val="auto"/>
        </w:rPr>
        <w:t>Holder Shares</w:t>
      </w:r>
      <w:r>
        <w:rPr>
          <w:rFonts w:ascii="Arial" w:cs="Arial" w:eastAsia="Arial" w:hAnsi="Arial"/>
          <w:sz w:val="22"/>
          <w:szCs w:val="22"/>
          <w:color w:val="auto"/>
        </w:rPr>
        <w:t>”) and Holder is required, as a holder of the Holder Shares, to become a party to the Limited Liability Company Agreement, and Holder agrees to do so in accordance with the terms hereof.</w:t>
      </w:r>
    </w:p>
    <w:p>
      <w:pPr>
        <w:spacing w:after="0" w:line="182"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NOW, THEREFORE, in consideration of the mutual covenants contained herein and other good and valuable consideration, the receipt and sufficiency of which are hereby acknowledged, the parties to this Joinder hereby agree as follows:</w:t>
      </w:r>
    </w:p>
    <w:p>
      <w:pPr>
        <w:spacing w:after="0" w:line="104" w:lineRule="exact"/>
        <w:rPr>
          <w:sz w:val="20"/>
          <w:szCs w:val="20"/>
          <w:color w:val="auto"/>
        </w:rPr>
      </w:pPr>
    </w:p>
    <w:p>
      <w:pPr>
        <w:jc w:val="both"/>
        <w:ind w:firstLine="656"/>
        <w:spacing w:after="0" w:line="250" w:lineRule="auto"/>
        <w:tabs>
          <w:tab w:leader="none" w:pos="1107" w:val="left"/>
        </w:tabs>
        <w:numPr>
          <w:ilvl w:val="0"/>
          <w:numId w:val="180"/>
        </w:numPr>
        <w:rPr>
          <w:rFonts w:ascii="Arial" w:cs="Arial" w:eastAsia="Arial" w:hAnsi="Arial"/>
          <w:sz w:val="22"/>
          <w:szCs w:val="22"/>
          <w:color w:val="auto"/>
        </w:rPr>
      </w:pPr>
      <w:r>
        <w:rPr>
          <w:rFonts w:ascii="Arial" w:cs="Arial" w:eastAsia="Arial" w:hAnsi="Arial"/>
          <w:sz w:val="22"/>
          <w:szCs w:val="22"/>
          <w:u w:val="single" w:color="auto"/>
          <w:color w:val="auto"/>
        </w:rPr>
        <w:t>Agreement to be Bound</w:t>
      </w:r>
      <w:r>
        <w:rPr>
          <w:rFonts w:ascii="Arial" w:cs="Arial" w:eastAsia="Arial" w:hAnsi="Arial"/>
          <w:sz w:val="22"/>
          <w:szCs w:val="22"/>
          <w:color w:val="auto"/>
        </w:rPr>
        <w:t>. Holder hereby agrees that upon execution of this Joinder, it shall become a party to the Limited Liability Company Agreement as a [</w:t>
      </w:r>
      <w:r>
        <w:rPr>
          <w:rFonts w:ascii="Arial" w:cs="Arial" w:eastAsia="Arial" w:hAnsi="Arial"/>
          <w:sz w:val="22"/>
          <w:szCs w:val="22"/>
          <w:i w:val="1"/>
          <w:iCs w:val="1"/>
          <w:color w:val="auto"/>
        </w:rPr>
        <w:t>class</w:t>
      </w:r>
      <w:r>
        <w:rPr>
          <w:rFonts w:ascii="Arial" w:cs="Arial" w:eastAsia="Arial" w:hAnsi="Arial"/>
          <w:sz w:val="22"/>
          <w:szCs w:val="22"/>
          <w:color w:val="auto"/>
        </w:rPr>
        <w:t>] Member, and shall be fully bound by, and subject to, all of the covenants, terms and conditions of the Limited Liability Company Agreement as though an original party thereto and shall be deemed a holder of Shares of [</w:t>
      </w:r>
      <w:r>
        <w:rPr>
          <w:rFonts w:ascii="Arial" w:cs="Arial" w:eastAsia="Arial" w:hAnsi="Arial"/>
          <w:sz w:val="22"/>
          <w:szCs w:val="22"/>
          <w:i w:val="1"/>
          <w:iCs w:val="1"/>
          <w:color w:val="auto"/>
        </w:rPr>
        <w:t>class</w:t>
      </w:r>
      <w:r>
        <w:rPr>
          <w:rFonts w:ascii="Arial" w:cs="Arial" w:eastAsia="Arial" w:hAnsi="Arial"/>
          <w:sz w:val="22"/>
          <w:szCs w:val="22"/>
          <w:color w:val="auto"/>
        </w:rPr>
        <w:t>] and a Member for all purposes thereof.</w:t>
      </w:r>
    </w:p>
    <w:p>
      <w:pPr>
        <w:spacing w:after="0" w:line="187" w:lineRule="exact"/>
        <w:rPr>
          <w:rFonts w:ascii="Arial" w:cs="Arial" w:eastAsia="Arial" w:hAnsi="Arial"/>
          <w:sz w:val="22"/>
          <w:szCs w:val="22"/>
          <w:color w:val="auto"/>
        </w:rPr>
      </w:pPr>
    </w:p>
    <w:p>
      <w:pPr>
        <w:jc w:val="both"/>
        <w:ind w:firstLine="656"/>
        <w:spacing w:after="0" w:line="253" w:lineRule="auto"/>
        <w:tabs>
          <w:tab w:leader="none" w:pos="1066" w:val="left"/>
        </w:tabs>
        <w:numPr>
          <w:ilvl w:val="0"/>
          <w:numId w:val="180"/>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Joinder shall bind and inure to the benefit of and be enforceable by the Company and its successors and assigns and Holder and any subsequent holders of Shares and the respective successors and assigns of each of them, so long as they hold any Shares.</w:t>
      </w:r>
    </w:p>
    <w:p>
      <w:pPr>
        <w:spacing w:after="0" w:line="185" w:lineRule="exact"/>
        <w:rPr>
          <w:rFonts w:ascii="Arial" w:cs="Arial" w:eastAsia="Arial" w:hAnsi="Arial"/>
          <w:sz w:val="22"/>
          <w:szCs w:val="22"/>
          <w:color w:val="auto"/>
        </w:rPr>
      </w:pPr>
    </w:p>
    <w:p>
      <w:pPr>
        <w:ind w:firstLine="656"/>
        <w:spacing w:after="0" w:line="263" w:lineRule="auto"/>
        <w:tabs>
          <w:tab w:leader="none" w:pos="1093" w:val="left"/>
        </w:tabs>
        <w:numPr>
          <w:ilvl w:val="0"/>
          <w:numId w:val="18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Joinder may be executed in any number of counterparts (including by electronic copy), each of which shall be an original and all of which together shall constitute one and the same agreement.</w:t>
      </w:r>
    </w:p>
    <w:p>
      <w:pPr>
        <w:spacing w:after="0" w:line="174" w:lineRule="exact"/>
        <w:rPr>
          <w:rFonts w:ascii="Arial" w:cs="Arial" w:eastAsia="Arial" w:hAnsi="Arial"/>
          <w:sz w:val="22"/>
          <w:szCs w:val="22"/>
          <w:color w:val="auto"/>
        </w:rPr>
      </w:pPr>
    </w:p>
    <w:p>
      <w:pPr>
        <w:ind w:firstLine="656"/>
        <w:spacing w:after="0" w:line="343" w:lineRule="auto"/>
        <w:tabs>
          <w:tab w:leader="none" w:pos="1066"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For purposes of Section 12.06 of the Limited Liability Company Agreement, all notices, demands or other communications to the Holder shall be directed to the address set forth on the signature page hereto for such Holder.</w:t>
      </w:r>
    </w:p>
    <w:p>
      <w:pPr>
        <w:spacing w:after="0" w:line="104" w:lineRule="exact"/>
        <w:rPr>
          <w:rFonts w:ascii="Arial" w:cs="Arial" w:eastAsia="Arial" w:hAnsi="Arial"/>
          <w:sz w:val="19"/>
          <w:szCs w:val="19"/>
          <w:color w:val="auto"/>
        </w:rPr>
      </w:pPr>
    </w:p>
    <w:p>
      <w:pPr>
        <w:jc w:val="both"/>
        <w:ind w:firstLine="656"/>
        <w:spacing w:after="0" w:line="248" w:lineRule="auto"/>
        <w:tabs>
          <w:tab w:leader="none" w:pos="1053" w:val="left"/>
        </w:tabs>
        <w:numPr>
          <w:ilvl w:val="0"/>
          <w:numId w:val="18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All issues and questions concerning the construction, validity, enforcement and interpretation of the Limited Liability Company Agreement, including this Joinder,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 Any dispute relating hereto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I-1</w:t>
      </w:r>
    </w:p>
    <w:p>
      <w:pPr>
        <w:sectPr>
          <w:pgSz w:w="11900" w:h="16838" w:orient="portrait"/>
          <w:cols w:equalWidth="0" w:num="1">
            <w:col w:w="11240"/>
          </w:cols>
          <w:pgMar w:left="320" w:top="1422" w:right="339" w:bottom="1440" w:gutter="0" w:footer="0" w:header="0"/>
        </w:sectPr>
      </w:pPr>
    </w:p>
    <w:bookmarkStart w:id="177" w:name="page178"/>
    <w:bookmarkEnd w:id="177"/>
    <w:p>
      <w:pPr>
        <w:spacing w:after="0"/>
        <w:rPr>
          <w:sz w:val="20"/>
          <w:szCs w:val="20"/>
          <w:color w:val="auto"/>
        </w:rPr>
      </w:pPr>
      <w:r>
        <w:rPr>
          <w:rFonts w:ascii="Arial" w:cs="Arial" w:eastAsia="Arial" w:hAnsi="Arial"/>
          <w:sz w:val="22"/>
          <w:szCs w:val="22"/>
          <w:color w:val="auto"/>
        </w:rPr>
        <w:t>heard in the state or federal courts of Delaware, and the parties agree to jurisdiction and venue therein.</w:t>
      </w:r>
    </w:p>
    <w:p>
      <w:pPr>
        <w:spacing w:after="0" w:line="220" w:lineRule="exact"/>
        <w:rPr>
          <w:sz w:val="20"/>
          <w:szCs w:val="20"/>
          <w:color w:val="auto"/>
        </w:rPr>
      </w:pPr>
    </w:p>
    <w:p>
      <w:pPr>
        <w:ind w:firstLine="656"/>
        <w:spacing w:after="0" w:line="263" w:lineRule="auto"/>
        <w:tabs>
          <w:tab w:leader="none" w:pos="1201" w:val="left"/>
        </w:tabs>
        <w:numPr>
          <w:ilvl w:val="0"/>
          <w:numId w:val="181"/>
        </w:numPr>
        <w:rPr>
          <w:rFonts w:ascii="Arial" w:cs="Arial" w:eastAsia="Arial" w:hAnsi="Arial"/>
          <w:sz w:val="22"/>
          <w:szCs w:val="22"/>
          <w:color w:val="auto"/>
        </w:rPr>
      </w:pPr>
      <w:r>
        <w:rPr>
          <w:rFonts w:ascii="Arial" w:cs="Arial" w:eastAsia="Arial" w:hAnsi="Arial"/>
          <w:sz w:val="22"/>
          <w:szCs w:val="22"/>
          <w:u w:val="single" w:color="auto"/>
          <w:color w:val="auto"/>
        </w:rPr>
        <w:t>Descriptive Headings</w:t>
      </w:r>
      <w:r>
        <w:rPr>
          <w:rFonts w:ascii="Arial" w:cs="Arial" w:eastAsia="Arial" w:hAnsi="Arial"/>
          <w:sz w:val="22"/>
          <w:szCs w:val="22"/>
          <w:color w:val="auto"/>
        </w:rPr>
        <w:t>. The descriptive headings of this Joinder are inserted for convenience only and do not constitute a part of this Joinder.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parties hereto have executed this Joinder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 I-2</w:t>
      </w:r>
    </w:p>
    <w:p>
      <w:pPr>
        <w:sectPr>
          <w:pgSz w:w="11900" w:h="16838" w:orient="portrait"/>
          <w:cols w:equalWidth="0" w:num="1">
            <w:col w:w="11240"/>
          </w:cols>
          <w:pgMar w:left="320" w:top="1428" w:right="3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22"/>
          <w:szCs w:val="22"/>
          <w:b w:val="1"/>
          <w:bCs w:val="1"/>
          <w:u w:val="single" w:color="auto"/>
          <w:color w:val="auto"/>
        </w:rPr>
        <w:t>EXHIBIT 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Call Notice/Optional SoftBank Conversion Notice Fair Market Value of the Company</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Call Notice/Optional SoftBank Conversion Notice Fair Market Value of the Company will be the total value, in dollars, of the consideration that would be received by the Members in a sale of one hundred percent (100%) of the Shares (on a Fully Diluted Basis), calculated in accordance with the process, and consistent with the methodologies, set forth below. The calculation of Call Notice/Optional SoftBank Conversion Notice Fair Market Value will consist of two independent valuations, the Standardized FMV and the IP Upsized FMV each calculated, contemporaneously (using the same Qualified Appraisers), in accordance with the process below.</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Process</w:t>
      </w:r>
    </w:p>
    <w:p>
      <w:pPr>
        <w:spacing w:after="0" w:line="220" w:lineRule="exact"/>
        <w:rPr>
          <w:sz w:val="20"/>
          <w:szCs w:val="20"/>
          <w:color w:val="auto"/>
        </w:rPr>
      </w:pPr>
    </w:p>
    <w:p>
      <w:pPr>
        <w:ind w:firstLine="1304"/>
        <w:spacing w:after="0" w:line="263" w:lineRule="auto"/>
        <w:tabs>
          <w:tab w:leader="none" w:pos="1841" w:val="left"/>
        </w:tabs>
        <w:numPr>
          <w:ilvl w:val="0"/>
          <w:numId w:val="182"/>
        </w:numPr>
        <w:rPr>
          <w:rFonts w:ascii="Arial" w:cs="Arial" w:eastAsia="Arial" w:hAnsi="Arial"/>
          <w:sz w:val="22"/>
          <w:szCs w:val="22"/>
          <w:color w:val="auto"/>
        </w:rPr>
      </w:pPr>
      <w:r>
        <w:rPr>
          <w:rFonts w:ascii="Arial" w:cs="Arial" w:eastAsia="Arial" w:hAnsi="Arial"/>
          <w:sz w:val="22"/>
          <w:szCs w:val="22"/>
          <w:color w:val="auto"/>
        </w:rPr>
        <w:t>One Qualified Appraiser shall be selected by the GM Investor and the other Qualified Appraiser shall be selected by the Majority of the Class A-1 Preferred (such Members, the “</w:t>
      </w:r>
      <w:r>
        <w:rPr>
          <w:rFonts w:ascii="Arial" w:cs="Arial" w:eastAsia="Arial" w:hAnsi="Arial"/>
          <w:sz w:val="22"/>
          <w:szCs w:val="22"/>
          <w:b w:val="1"/>
          <w:bCs w:val="1"/>
          <w:color w:val="auto"/>
        </w:rPr>
        <w:t>Applicable FMV Parties</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1304"/>
        <w:spacing w:after="0" w:line="265" w:lineRule="auto"/>
        <w:tabs>
          <w:tab w:leader="none" w:pos="1918" w:val="left"/>
        </w:tabs>
        <w:numPr>
          <w:ilvl w:val="0"/>
          <w:numId w:val="182"/>
        </w:numPr>
        <w:rPr>
          <w:rFonts w:ascii="Arial" w:cs="Arial" w:eastAsia="Arial" w:hAnsi="Arial"/>
          <w:sz w:val="21"/>
          <w:szCs w:val="21"/>
          <w:color w:val="auto"/>
        </w:rPr>
      </w:pPr>
      <w:r>
        <w:rPr>
          <w:rFonts w:ascii="Arial" w:cs="Arial" w:eastAsia="Arial" w:hAnsi="Arial"/>
          <w:sz w:val="21"/>
          <w:szCs w:val="21"/>
          <w:color w:val="auto"/>
        </w:rPr>
        <w:t>Each of the Qualified Appraisers so selected by the Applicable FMV Parties must be engaged by the Applicable FMV Parties within fifteen (15) days of the delivery of the Call Notice or Optional SoftBank Conversion Notice (as applicable) and the Board of Directors shall, within one (1) Business Day of delivery of the Call Notice or Optional SoftBank Conversion Notice (as applicable), notify each of the Applicable FMV Parties of such event.</w:t>
      </w:r>
    </w:p>
    <w:p>
      <w:pPr>
        <w:spacing w:after="0" w:line="175" w:lineRule="exact"/>
        <w:rPr>
          <w:rFonts w:ascii="Arial" w:cs="Arial" w:eastAsia="Arial" w:hAnsi="Arial"/>
          <w:sz w:val="21"/>
          <w:szCs w:val="21"/>
          <w:color w:val="auto"/>
        </w:rPr>
      </w:pPr>
    </w:p>
    <w:p>
      <w:pPr>
        <w:jc w:val="both"/>
        <w:ind w:firstLine="1304"/>
        <w:spacing w:after="0" w:line="297" w:lineRule="auto"/>
        <w:tabs>
          <w:tab w:leader="none" w:pos="1818" w:val="left"/>
        </w:tabs>
        <w:numPr>
          <w:ilvl w:val="0"/>
          <w:numId w:val="182"/>
        </w:numPr>
        <w:rPr>
          <w:rFonts w:ascii="Arial" w:cs="Arial" w:eastAsia="Arial" w:hAnsi="Arial"/>
          <w:sz w:val="19"/>
          <w:szCs w:val="19"/>
          <w:color w:val="auto"/>
        </w:rPr>
      </w:pPr>
      <w:r>
        <w:rPr>
          <w:rFonts w:ascii="Arial" w:cs="Arial" w:eastAsia="Arial" w:hAnsi="Arial"/>
          <w:sz w:val="19"/>
          <w:szCs w:val="19"/>
          <w:color w:val="auto"/>
        </w:rPr>
        <w:t>Each Qualified Appraiser shall be (i) required to determine the Call Notice/Optional SoftBank Conversion Notice Fair Market Value within forty-five (45) days after being notified of its selection, (ii) provided with the same access to the management of the Company and its Subsidiaries and the same source documents, books and records (including financial and operating data) and information regarding the Company and its Subsidiaries and (iii) required to determine a single point estimate of Call Notice/Optional SoftBank Conversion Notice Fair Market Value and not a range of values.</w:t>
      </w:r>
    </w:p>
    <w:p>
      <w:pPr>
        <w:spacing w:after="0" w:line="146" w:lineRule="exact"/>
        <w:rPr>
          <w:rFonts w:ascii="Arial" w:cs="Arial" w:eastAsia="Arial" w:hAnsi="Arial"/>
          <w:sz w:val="19"/>
          <w:szCs w:val="19"/>
          <w:color w:val="auto"/>
        </w:rPr>
      </w:pPr>
    </w:p>
    <w:p>
      <w:pPr>
        <w:jc w:val="both"/>
        <w:ind w:firstLine="1304"/>
        <w:spacing w:after="0" w:line="258" w:lineRule="auto"/>
        <w:tabs>
          <w:tab w:leader="none" w:pos="1849" w:val="left"/>
        </w:tabs>
        <w:numPr>
          <w:ilvl w:val="0"/>
          <w:numId w:val="182"/>
        </w:numPr>
        <w:rPr>
          <w:rFonts w:ascii="Arial" w:cs="Arial" w:eastAsia="Arial" w:hAnsi="Arial"/>
          <w:sz w:val="21"/>
          <w:szCs w:val="21"/>
          <w:color w:val="auto"/>
        </w:rPr>
      </w:pPr>
      <w:r>
        <w:rPr>
          <w:rFonts w:ascii="Arial" w:cs="Arial" w:eastAsia="Arial" w:hAnsi="Arial"/>
          <w:sz w:val="21"/>
          <w:szCs w:val="21"/>
          <w:color w:val="auto"/>
        </w:rPr>
        <w:t>Following each Qualified Appraiser’s determination of Call Notice/Optional SoftBank Conversion Notice Fair Market Value (which determination shall be provided to each Applicable FMV Party together with a customary valuation report setting forth in reasonable detail such Qualified Appraiser’s calculation of Call Notice/Optional SoftBank Conversion Notice Fair Market Value prepared consistently with the methodologies set forth below), (i) if the lower of the two determinations by the two Qualified Appraisers is within ten percent (10%) of the higher of the determinations, then the Call Notice/Optional SoftBank Conversion Notice Fair Market Value shall be the average of the two determinations, and will be final and binding on the relevant parties or (ii) if the lower of the two determinations is not within ten percent (10%) of the higher of the determinations, then (A) the Applicable FMV Parties shall negotiate in good faith for a period of thirty (30) days (or such longer period as to which the Applicable FMV Parties may mutually agree) to agree upon the Call Notice/Optional SoftBank Conversion Notice Fair Market Value, any such agreement to be made by each Applicable FMV Party and to be set forth in writing signed by each of the Applicable FMV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II-1</w:t>
      </w:r>
    </w:p>
    <w:p>
      <w:pPr>
        <w:sectPr>
          <w:pgSz w:w="11900" w:h="16838" w:orient="portrait"/>
          <w:cols w:equalWidth="0" w:num="1">
            <w:col w:w="11240"/>
          </w:cols>
          <w:pgMar w:left="320" w:top="1422" w:right="339" w:bottom="1440" w:gutter="0" w:footer="0" w:header="0"/>
        </w:sectPr>
      </w:pPr>
    </w:p>
    <w:bookmarkStart w:id="179" w:name="page180"/>
    <w:bookmarkEnd w:id="179"/>
    <w:p>
      <w:pPr>
        <w:jc w:val="both"/>
        <w:spacing w:after="0" w:line="245" w:lineRule="auto"/>
        <w:rPr>
          <w:sz w:val="20"/>
          <w:szCs w:val="20"/>
          <w:color w:val="auto"/>
        </w:rPr>
      </w:pPr>
      <w:r>
        <w:rPr>
          <w:rFonts w:ascii="Arial" w:cs="Arial" w:eastAsia="Arial" w:hAnsi="Arial"/>
          <w:sz w:val="22"/>
          <w:szCs w:val="22"/>
          <w:color w:val="auto"/>
        </w:rPr>
        <w:t>Parties (and any such agreement will be final and binding on the relevant parties), and (B) if no such agreement is reached by the Applicable FMV Parties within such thirty (30)-day time period, then a third Qualified Appraiser (acting as expert and not arbitrator) that is selected (within fifteen (15) days following the expiration of the thirty (30)-day time period for good faith negotiations) by mutual agreement of the original two Qualified Appraisers will determine its own valuation of the Call Notice/Optional SoftBank Conversion Notice Fair Market Value in accordance with the methodologies set forth below within forty-five (45) days following its appointment and the Call Notice/Optional SoftBank Conversion Notice Fair Market Value will be the average of (1) such third Qualified Appraiser’s determination of the Call Notice/Optional SoftBank Conversion Notice Fair Market Value and (2) the valuation of the original Qualified Appraiser that is numerically closest to the third Qualified Appraiser’s valuation.</w:t>
      </w:r>
    </w:p>
    <w:p>
      <w:pPr>
        <w:spacing w:after="0" w:line="200" w:lineRule="exact"/>
        <w:rPr>
          <w:sz w:val="20"/>
          <w:szCs w:val="20"/>
          <w:color w:val="auto"/>
        </w:rPr>
      </w:pPr>
    </w:p>
    <w:p>
      <w:pPr>
        <w:jc w:val="both"/>
        <w:ind w:firstLine="1304"/>
        <w:spacing w:after="0" w:line="253" w:lineRule="auto"/>
        <w:tabs>
          <w:tab w:leader="none" w:pos="1796"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third Qualified Appraiser shall have the same access to the Company, its Subsidiaries, their employees and officers and the source documents, books and records (including financial and operating data) and information as the original Qualified Appraisers.</w:t>
      </w:r>
    </w:p>
    <w:p>
      <w:pPr>
        <w:spacing w:after="0" w:line="185" w:lineRule="exact"/>
        <w:rPr>
          <w:rFonts w:ascii="Arial" w:cs="Arial" w:eastAsia="Arial" w:hAnsi="Arial"/>
          <w:sz w:val="22"/>
          <w:szCs w:val="22"/>
          <w:color w:val="auto"/>
        </w:rPr>
      </w:pPr>
    </w:p>
    <w:p>
      <w:pPr>
        <w:jc w:val="both"/>
        <w:ind w:firstLine="1304"/>
        <w:spacing w:after="0" w:line="271" w:lineRule="auto"/>
        <w:tabs>
          <w:tab w:leader="none" w:pos="1779" w:val="left"/>
        </w:tabs>
        <w:numPr>
          <w:ilvl w:val="0"/>
          <w:numId w:val="183"/>
        </w:numPr>
        <w:rPr>
          <w:rFonts w:ascii="Arial" w:cs="Arial" w:eastAsia="Arial" w:hAnsi="Arial"/>
          <w:sz w:val="21"/>
          <w:szCs w:val="21"/>
          <w:color w:val="auto"/>
        </w:rPr>
      </w:pPr>
      <w:r>
        <w:rPr>
          <w:rFonts w:ascii="Arial" w:cs="Arial" w:eastAsia="Arial" w:hAnsi="Arial"/>
          <w:sz w:val="21"/>
          <w:szCs w:val="21"/>
          <w:color w:val="auto"/>
        </w:rPr>
        <w:t>Each Applicable FMV Party will bear the cost of the Qualified Appraiser selected by it and one-half of the cost of any third Qualified Appraiser that may be required in accordance with the preceding sentence (and, if an Applicable FMV Party consists of more than one Member, then such costs will be shared equally by such Members).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Methodologies</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calculating Call Notice/Optional SoftBank Conversion Notice Fair Market Value, each Qualified Appraiser will utilize customary valuation methodologies in their respective professional judgments, subject to such instructions mutually agreed by the Applicable FMV Parties within ten (10) days following the selection of the initial Qualified Appraisers, which shall include at a minimum the following:</w:t>
      </w:r>
    </w:p>
    <w:p>
      <w:pPr>
        <w:spacing w:after="0" w:line="188" w:lineRule="exact"/>
        <w:rPr>
          <w:sz w:val="20"/>
          <w:szCs w:val="20"/>
          <w:color w:val="auto"/>
        </w:rPr>
      </w:pPr>
    </w:p>
    <w:p>
      <w:pPr>
        <w:jc w:val="both"/>
        <w:ind w:firstLine="1304"/>
        <w:spacing w:after="0" w:line="247" w:lineRule="auto"/>
        <w:tabs>
          <w:tab w:leader="none" w:pos="1776"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The Qualified Appraisers shall take into consideration the Company’s and its Subsidiaries’ historic financial and operating results, current balance sheet, future business prospects and projected financial and operating results, public market and industry conditions, prior financing transactions and the valuation of the Company as of such transaction (if the same is considered relevant, and requested, by the Qualified Appraisers), the valuation and performance of comparable companies and such other factors as they may determine relevant to such determination, in each case as existing as of the date the appraisal process was initiated;</w:t>
      </w:r>
    </w:p>
    <w:p>
      <w:pPr>
        <w:spacing w:after="0" w:line="192" w:lineRule="exact"/>
        <w:rPr>
          <w:rFonts w:ascii="Arial" w:cs="Arial" w:eastAsia="Arial" w:hAnsi="Arial"/>
          <w:sz w:val="22"/>
          <w:szCs w:val="22"/>
          <w:color w:val="auto"/>
        </w:rPr>
      </w:pPr>
    </w:p>
    <w:p>
      <w:pPr>
        <w:jc w:val="both"/>
        <w:ind w:firstLine="1304"/>
        <w:spacing w:after="0" w:line="292" w:lineRule="auto"/>
        <w:tabs>
          <w:tab w:leader="none" w:pos="197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 xml:space="preserve">The future business prospects and projected financial and operating results of the Company and its Subsidiaries provided to the Qualified Appraisers shall (i) be prepared by the Company’s management in good faith based on assumptions consistent with those used in the Company’s ordinary course forecasting, (ii) if the projected financial and operating results of the Company and its Subsidiaries provided to the Qualified Appraisers cover a period of ten (10) years or less, and the Qualified Appraisers so request, be extended (in the case of the projected financial and operating results) for reasonable period exceeding ten (10) years, and (iii) take into account, consistent with the Company’s ordinary course forecasting and subject to the restrictions in Article XI (except as otherwise expressly stated in this </w:t>
      </w:r>
      <w:r>
        <w:rPr>
          <w:rFonts w:ascii="Arial" w:cs="Arial" w:eastAsia="Arial" w:hAnsi="Arial"/>
          <w:sz w:val="19"/>
          <w:szCs w:val="19"/>
          <w:b w:val="1"/>
          <w:bCs w:val="1"/>
          <w:color w:val="auto"/>
        </w:rPr>
        <w:t>Exhibit II</w:t>
      </w:r>
      <w:r>
        <w:rPr>
          <w:rFonts w:ascii="Arial" w:cs="Arial" w:eastAsia="Arial" w:hAnsi="Arial"/>
          <w:sz w:val="19"/>
          <w:szCs w:val="19"/>
          <w:color w:val="auto"/>
        </w:rPr>
        <w:t xml:space="preserve">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II-2</w:t>
      </w:r>
    </w:p>
    <w:p>
      <w:pPr>
        <w:sectPr>
          <w:pgSz w:w="11900" w:h="16838" w:orient="portrait"/>
          <w:cols w:equalWidth="0" w:num="1">
            <w:col w:w="11240"/>
          </w:cols>
          <w:pgMar w:left="320" w:top="1428" w:right="339" w:bottom="1440" w:gutter="0" w:footer="0" w:header="0"/>
        </w:sectPr>
      </w:pPr>
    </w:p>
    <w:bookmarkStart w:id="180" w:name="page181"/>
    <w:bookmarkEnd w:id="180"/>
    <w:p>
      <w:pPr>
        <w:jc w:val="both"/>
        <w:spacing w:after="0" w:line="250" w:lineRule="auto"/>
        <w:rPr>
          <w:sz w:val="20"/>
          <w:szCs w:val="20"/>
          <w:color w:val="auto"/>
        </w:rPr>
      </w:pPr>
      <w:r>
        <w:rPr>
          <w:rFonts w:ascii="Arial" w:cs="Arial" w:eastAsia="Arial" w:hAnsi="Arial"/>
          <w:sz w:val="22"/>
          <w:szCs w:val="22"/>
          <w:color w:val="auto"/>
        </w:rPr>
        <w:t>with the IP Upsizing), the scope of the intellectual property portfolio of the Company and its Subsidiaries. SoftBank will have opportunity to review the future business prospects and projected financial and operating results for a reasonable period of time (not to exceed ten (10) days) before such projections are submitted to the Qualified Appraisers and to discuss such projections with the Company.</w:t>
      </w:r>
    </w:p>
    <w:p>
      <w:pPr>
        <w:spacing w:after="0" w:line="188" w:lineRule="exact"/>
        <w:rPr>
          <w:sz w:val="20"/>
          <w:szCs w:val="20"/>
          <w:color w:val="auto"/>
        </w:rPr>
      </w:pPr>
    </w:p>
    <w:p>
      <w:pPr>
        <w:jc w:val="both"/>
        <w:ind w:firstLine="1304"/>
        <w:spacing w:after="0" w:line="271" w:lineRule="auto"/>
        <w:tabs>
          <w:tab w:leader="none" w:pos="1814" w:val="left"/>
        </w:tabs>
        <w:numPr>
          <w:ilvl w:val="0"/>
          <w:numId w:val="185"/>
        </w:numPr>
        <w:rPr>
          <w:rFonts w:ascii="Arial" w:cs="Arial" w:eastAsia="Arial" w:hAnsi="Arial"/>
          <w:sz w:val="21"/>
          <w:szCs w:val="21"/>
          <w:color w:val="auto"/>
        </w:rPr>
      </w:pPr>
      <w:r>
        <w:rPr>
          <w:rFonts w:ascii="Arial" w:cs="Arial" w:eastAsia="Arial" w:hAnsi="Arial"/>
          <w:sz w:val="21"/>
          <w:szCs w:val="21"/>
          <w:color w:val="auto"/>
        </w:rPr>
        <w:t>The Qualified Appraisers shall value the Company as a going concern, including taking into consideration the remainder of the term, if any, of the Commercial Agreements and any agreements that the Commercial Agreements require to be put into place upon termination or amendment of the Commercial Agreements;</w:t>
      </w:r>
    </w:p>
    <w:p>
      <w:pPr>
        <w:spacing w:after="0" w:line="167" w:lineRule="exact"/>
        <w:rPr>
          <w:rFonts w:ascii="Arial" w:cs="Arial" w:eastAsia="Arial" w:hAnsi="Arial"/>
          <w:sz w:val="21"/>
          <w:szCs w:val="21"/>
          <w:color w:val="auto"/>
        </w:rPr>
      </w:pPr>
    </w:p>
    <w:p>
      <w:pPr>
        <w:ind w:left="1760" w:hanging="456"/>
        <w:spacing w:after="0"/>
        <w:tabs>
          <w:tab w:leader="none" w:pos="176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The Qualified Appraisers shall assume an arms-length sale between a willing buyer and a willing seller;</w:t>
      </w:r>
    </w:p>
    <w:p>
      <w:pPr>
        <w:spacing w:after="0" w:line="254" w:lineRule="exact"/>
        <w:rPr>
          <w:rFonts w:ascii="Arial" w:cs="Arial" w:eastAsia="Arial" w:hAnsi="Arial"/>
          <w:sz w:val="19"/>
          <w:szCs w:val="19"/>
          <w:color w:val="auto"/>
        </w:rPr>
      </w:pPr>
    </w:p>
    <w:p>
      <w:pPr>
        <w:jc w:val="both"/>
        <w:ind w:firstLine="1304"/>
        <w:spacing w:after="0" w:line="250" w:lineRule="auto"/>
        <w:tabs>
          <w:tab w:leader="none" w:pos="188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Except as otherwise contemplated by section (a) under “Methodologies,” the Qualified Appraisers shall disregard any prior appraisals or valuations of the Company or its Subsidiaries, including any such appraisals or valuations conducted for the purpose of valuing any rights associated with or tied or indexed to the value of the Shares of the Company or its Subsidiaries;</w:t>
      </w:r>
    </w:p>
    <w:p>
      <w:pPr>
        <w:spacing w:after="0" w:line="187" w:lineRule="exact"/>
        <w:rPr>
          <w:rFonts w:ascii="Arial" w:cs="Arial" w:eastAsia="Arial" w:hAnsi="Arial"/>
          <w:sz w:val="22"/>
          <w:szCs w:val="22"/>
          <w:color w:val="auto"/>
        </w:rPr>
      </w:pPr>
    </w:p>
    <w:p>
      <w:pPr>
        <w:ind w:firstLine="1304"/>
        <w:spacing w:after="0" w:line="263" w:lineRule="auto"/>
        <w:tabs>
          <w:tab w:leader="none" w:pos="1778"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Qualified Appraisers shall value the Company as at the date of delivery of the Call Notice or Optional SoftBank Conversion Notice (as applicable); and</w:t>
      </w:r>
    </w:p>
    <w:p>
      <w:pPr>
        <w:spacing w:after="0" w:line="174" w:lineRule="exact"/>
        <w:rPr>
          <w:rFonts w:ascii="Arial" w:cs="Arial" w:eastAsia="Arial" w:hAnsi="Arial"/>
          <w:sz w:val="22"/>
          <w:szCs w:val="22"/>
          <w:color w:val="auto"/>
        </w:rPr>
      </w:pPr>
    </w:p>
    <w:p>
      <w:pPr>
        <w:ind w:firstLine="1304"/>
        <w:spacing w:after="0" w:line="263" w:lineRule="auto"/>
        <w:tabs>
          <w:tab w:leader="none" w:pos="1834"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Qualified Appraisers shall take into account only such tax depreciation and amortization as would be allowable to the Company in respect of the Company’s assets immediately prior to such deemed sale.</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 xml:space="preserve">The Qualified Appraisers shall contemporaneously calculate </w:t>
      </w:r>
      <w:r>
        <w:rPr>
          <w:rFonts w:ascii="Arial" w:cs="Arial" w:eastAsia="Arial" w:hAnsi="Arial"/>
          <w:sz w:val="21"/>
          <w:szCs w:val="21"/>
          <w:u w:val="single" w:color="auto"/>
          <w:color w:val="auto"/>
        </w:rPr>
        <w:t>two</w:t>
      </w:r>
      <w:r>
        <w:rPr>
          <w:rFonts w:ascii="Arial" w:cs="Arial" w:eastAsia="Arial" w:hAnsi="Arial"/>
          <w:sz w:val="21"/>
          <w:szCs w:val="21"/>
          <w:color w:val="auto"/>
        </w:rPr>
        <w:t xml:space="preserve"> valuations: (A) a valuation based on the Commercial Agreements as in force at the time (the “</w:t>
      </w:r>
      <w:r>
        <w:rPr>
          <w:rFonts w:ascii="Arial" w:cs="Arial" w:eastAsia="Arial" w:hAnsi="Arial"/>
          <w:sz w:val="21"/>
          <w:szCs w:val="21"/>
          <w:b w:val="1"/>
          <w:bCs w:val="1"/>
          <w:color w:val="auto"/>
        </w:rPr>
        <w:t>Standardized FMV</w:t>
      </w:r>
      <w:r>
        <w:rPr>
          <w:rFonts w:ascii="Arial" w:cs="Arial" w:eastAsia="Arial" w:hAnsi="Arial"/>
          <w:sz w:val="21"/>
          <w:szCs w:val="21"/>
          <w:color w:val="auto"/>
        </w:rPr>
        <w:t>”), and (B) a valuation (the “</w:t>
      </w:r>
      <w:r>
        <w:rPr>
          <w:rFonts w:ascii="Arial" w:cs="Arial" w:eastAsia="Arial" w:hAnsi="Arial"/>
          <w:sz w:val="21"/>
          <w:szCs w:val="21"/>
          <w:b w:val="1"/>
          <w:bCs w:val="1"/>
          <w:color w:val="auto"/>
        </w:rPr>
        <w:t>IP Upsized FMV</w:t>
      </w:r>
      <w:r>
        <w:rPr>
          <w:rFonts w:ascii="Arial" w:cs="Arial" w:eastAsia="Arial" w:hAnsi="Arial"/>
          <w:sz w:val="21"/>
          <w:szCs w:val="21"/>
          <w:color w:val="auto"/>
        </w:rPr>
        <w:t>”) as if the Transferred Assets (as defined in the IPMA) had been assigned, transferred, conveyed, and delivered to the Company (pursuant to Section 2.2 of the IPMA) immediately prior to the calculation of Call Notice/Optional SoftBank Conversion Notice Fair Market Value and Section 11.01 does not apply (the “</w:t>
      </w:r>
      <w:r>
        <w:rPr>
          <w:rFonts w:ascii="Arial" w:cs="Arial" w:eastAsia="Arial" w:hAnsi="Arial"/>
          <w:sz w:val="21"/>
          <w:szCs w:val="21"/>
          <w:b w:val="1"/>
          <w:bCs w:val="1"/>
          <w:color w:val="auto"/>
        </w:rPr>
        <w:t>IP Upsizing</w:t>
      </w:r>
      <w:r>
        <w:rPr>
          <w:rFonts w:ascii="Arial" w:cs="Arial" w:eastAsia="Arial" w:hAnsi="Arial"/>
          <w:sz w:val="21"/>
          <w:szCs w:val="21"/>
          <w:color w:val="auto"/>
        </w:rPr>
        <w:t>”). The Standardized FMV and the IP Upsized FMV shall be identical other than the value attributable to the IP Upsizing.</w:t>
      </w:r>
    </w:p>
    <w:p>
      <w:pPr>
        <w:spacing w:after="0" w:line="17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For purposes of the definition of Optional SoftBank Conversion Share Price, if the Standardized FMV is less than the Class A-1 Liquidation Preference Amount, then the Call Notice/Optional SoftBank Conversion Notice Fair Market Value will equal the IP Upsized FMV; </w:t>
      </w:r>
      <w:r>
        <w:rPr>
          <w:rFonts w:ascii="Arial" w:cs="Arial" w:eastAsia="Arial" w:hAnsi="Arial"/>
          <w:sz w:val="22"/>
          <w:szCs w:val="22"/>
          <w:u w:val="single" w:color="auto"/>
          <w:color w:val="auto"/>
        </w:rPr>
        <w:t>provided</w:t>
      </w:r>
      <w:r>
        <w:rPr>
          <w:rFonts w:ascii="Arial" w:cs="Arial" w:eastAsia="Arial" w:hAnsi="Arial"/>
          <w:sz w:val="22"/>
          <w:szCs w:val="22"/>
          <w:color w:val="auto"/>
        </w:rPr>
        <w:t>, that, following the application of the IP Upsized FMV, in no event will, with respect to each Class A-1-A Preferred Share and Class A-1-B Preferred Share, the Optional SoftBank Conversion Share Price be greater than the applicable Class A-1 Liquidation Preference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II-3</w:t>
      </w:r>
    </w:p>
    <w:p>
      <w:pPr>
        <w:sectPr>
          <w:pgSz w:w="11900" w:h="16838" w:orient="portrait"/>
          <w:cols w:equalWidth="0" w:num="1">
            <w:col w:w="11240"/>
          </w:cols>
          <w:pgMar w:left="320" w:top="1428" w:right="3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52" w:lineRule="exact"/>
        <w:rPr>
          <w:sz w:val="20"/>
          <w:szCs w:val="20"/>
          <w:color w:val="auto"/>
        </w:rPr>
      </w:pPr>
    </w:p>
    <w:p>
      <w:pPr>
        <w:ind w:left="400" w:hanging="190"/>
        <w:spacing w:after="0"/>
        <w:tabs>
          <w:tab w:leader="none" w:pos="4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52" w:lineRule="exact"/>
        <w:rPr>
          <w:rFonts w:ascii="Arial" w:cs="Arial" w:eastAsia="Arial" w:hAnsi="Arial"/>
          <w:sz w:val="18"/>
          <w:szCs w:val="18"/>
          <w:color w:val="auto"/>
        </w:rPr>
      </w:pPr>
    </w:p>
    <w:p>
      <w:pPr>
        <w:ind w:firstLine="210"/>
        <w:spacing w:after="0" w:line="342" w:lineRule="auto"/>
        <w:tabs>
          <w:tab w:leader="none" w:pos="396" w:val="left"/>
        </w:tabs>
        <w:numPr>
          <w:ilvl w:val="0"/>
          <w:numId w:val="18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210"/>
        <w:spacing w:after="0" w:line="277" w:lineRule="auto"/>
        <w:tabs>
          <w:tab w:leader="none" w:pos="39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210"/>
        <w:spacing w:after="0" w:line="263" w:lineRule="auto"/>
        <w:tabs>
          <w:tab w:leader="none" w:pos="41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380" w:firstLine="195"/>
        <w:spacing w:after="0" w:line="263" w:lineRule="auto"/>
        <w:tabs>
          <w:tab w:leader="none" w:pos="781" w:val="left"/>
        </w:tabs>
        <w:numPr>
          <w:ilvl w:val="1"/>
          <w:numId w:val="1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380" w:firstLine="195"/>
        <w:spacing w:after="0" w:line="263" w:lineRule="auto"/>
        <w:tabs>
          <w:tab w:leader="none" w:pos="81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380" w:firstLine="195"/>
        <w:spacing w:after="0" w:line="308" w:lineRule="auto"/>
        <w:tabs>
          <w:tab w:leader="none" w:pos="809" w:val="left"/>
        </w:tabs>
        <w:numPr>
          <w:ilvl w:val="1"/>
          <w:numId w:val="18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380" w:firstLine="195"/>
        <w:spacing w:after="0" w:line="263" w:lineRule="auto"/>
        <w:tabs>
          <w:tab w:leader="none" w:pos="791" w:val="left"/>
        </w:tabs>
        <w:numPr>
          <w:ilvl w:val="1"/>
          <w:numId w:val="1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210"/>
        <w:spacing w:after="0" w:line="308" w:lineRule="auto"/>
        <w:tabs>
          <w:tab w:leader="none" w:pos="395"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380" w:right="20" w:firstLine="195"/>
        <w:spacing w:after="0" w:line="277" w:lineRule="auto"/>
        <w:tabs>
          <w:tab w:leader="none" w:pos="775"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80" w:firstLine="195"/>
        <w:spacing w:after="0" w:line="277" w:lineRule="auto"/>
        <w:tabs>
          <w:tab w:leader="none" w:pos="784"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0429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Mary T. Barra</w:t>
      </w:r>
    </w:p>
    <w:p>
      <w:pPr>
        <w:ind w:left="5620"/>
        <w:spacing w:after="0"/>
        <w:rPr>
          <w:sz w:val="20"/>
          <w:szCs w:val="20"/>
          <w:color w:val="auto"/>
        </w:rPr>
      </w:pPr>
      <w:r>
        <w:rPr>
          <w:rFonts w:ascii="Arial" w:cs="Arial" w:eastAsia="Arial" w:hAnsi="Arial"/>
          <w:sz w:val="18"/>
          <w:szCs w:val="18"/>
          <w:color w:val="auto"/>
        </w:rPr>
        <w:t>Chairman and Chief Executive Officer</w:t>
      </w:r>
    </w:p>
    <w:p>
      <w:pPr>
        <w:spacing w:after="0" w:line="7"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May 5, 2021</w:t>
      </w:r>
    </w:p>
    <w:p>
      <w:pPr>
        <w:sectPr>
          <w:pgSz w:w="11900" w:h="16838" w:orient="portrait"/>
          <w:cols w:equalWidth="0" w:num="1">
            <w:col w:w="11240"/>
          </w:cols>
          <w:pgMar w:left="320" w:top="364" w:right="3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Paul A. Jacobson, certify that:</w:t>
      </w:r>
    </w:p>
    <w:p>
      <w:pPr>
        <w:spacing w:after="0" w:line="252" w:lineRule="exact"/>
        <w:rPr>
          <w:sz w:val="20"/>
          <w:szCs w:val="20"/>
          <w:color w:val="auto"/>
        </w:rPr>
      </w:pPr>
    </w:p>
    <w:p>
      <w:pPr>
        <w:ind w:left="400" w:hanging="190"/>
        <w:spacing w:after="0"/>
        <w:tabs>
          <w:tab w:leader="none" w:pos="4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52" w:lineRule="exact"/>
        <w:rPr>
          <w:rFonts w:ascii="Arial" w:cs="Arial" w:eastAsia="Arial" w:hAnsi="Arial"/>
          <w:sz w:val="18"/>
          <w:szCs w:val="18"/>
          <w:color w:val="auto"/>
        </w:rPr>
      </w:pPr>
    </w:p>
    <w:p>
      <w:pPr>
        <w:ind w:firstLine="210"/>
        <w:spacing w:after="0" w:line="342" w:lineRule="auto"/>
        <w:tabs>
          <w:tab w:leader="none" w:pos="396" w:val="left"/>
        </w:tabs>
        <w:numPr>
          <w:ilvl w:val="0"/>
          <w:numId w:val="18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210"/>
        <w:spacing w:after="0" w:line="277" w:lineRule="auto"/>
        <w:tabs>
          <w:tab w:leader="none" w:pos="39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210"/>
        <w:spacing w:after="0" w:line="263" w:lineRule="auto"/>
        <w:tabs>
          <w:tab w:leader="none" w:pos="41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380" w:firstLine="195"/>
        <w:spacing w:after="0" w:line="263" w:lineRule="auto"/>
        <w:tabs>
          <w:tab w:leader="none" w:pos="781"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380" w:firstLine="195"/>
        <w:spacing w:after="0" w:line="263" w:lineRule="auto"/>
        <w:tabs>
          <w:tab w:leader="none" w:pos="81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380" w:firstLine="195"/>
        <w:spacing w:after="0" w:line="308" w:lineRule="auto"/>
        <w:tabs>
          <w:tab w:leader="none" w:pos="809" w:val="left"/>
        </w:tabs>
        <w:numPr>
          <w:ilvl w:val="1"/>
          <w:numId w:val="18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380" w:firstLine="195"/>
        <w:spacing w:after="0" w:line="263" w:lineRule="auto"/>
        <w:tabs>
          <w:tab w:leader="none" w:pos="791"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210"/>
        <w:spacing w:after="0" w:line="308" w:lineRule="auto"/>
        <w:tabs>
          <w:tab w:leader="none" w:pos="395"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380" w:right="20" w:firstLine="195"/>
        <w:spacing w:after="0" w:line="277" w:lineRule="auto"/>
        <w:tabs>
          <w:tab w:leader="none" w:pos="775"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80" w:firstLine="195"/>
        <w:spacing w:after="0" w:line="277" w:lineRule="auto"/>
        <w:tabs>
          <w:tab w:leader="none" w:pos="784"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0429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Paul A. Jacobson</w:t>
      </w: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pacing w:after="0" w:line="7"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May 5, 2021</w:t>
      </w:r>
    </w:p>
    <w:p>
      <w:pPr>
        <w:sectPr>
          <w:pgSz w:w="11900" w:h="16838" w:orient="portrait"/>
          <w:cols w:equalWidth="0" w:num="1">
            <w:col w:w="11240"/>
          </w:cols>
          <w:pgMar w:left="320" w:top="364" w:right="3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firstLine="202"/>
        <w:spacing w:after="0" w:line="291" w:lineRule="auto"/>
        <w:rPr>
          <w:sz w:val="20"/>
          <w:szCs w:val="20"/>
          <w:color w:val="auto"/>
        </w:rPr>
      </w:pPr>
      <w:r>
        <w:rPr>
          <w:rFonts w:ascii="Arial" w:cs="Arial" w:eastAsia="Arial" w:hAnsi="Arial"/>
          <w:sz w:val="16"/>
          <w:szCs w:val="16"/>
          <w:color w:val="auto"/>
        </w:rPr>
        <w:t>In connection with the Quarterly Report of General Motors Company (the “Company”) on Form 10-Q for the period ended March 31, 2021 as filed with the Securities and Exchange Commission on the date hereof (the “Report”), each of the undersigned officers of the Company, certify, pursuant to 18 U.S.C.</w:t>
      </w:r>
    </w:p>
    <w:p>
      <w:pPr>
        <w:ind w:left="140" w:hanging="132"/>
        <w:spacing w:after="0"/>
        <w:tabs>
          <w:tab w:leader="none" w:pos="1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 to the best of such officer's knowledge:</w:t>
      </w:r>
    </w:p>
    <w:p>
      <w:pPr>
        <w:spacing w:after="0" w:line="237" w:lineRule="exact"/>
        <w:rPr>
          <w:rFonts w:ascii="Arial" w:cs="Arial" w:eastAsia="Arial" w:hAnsi="Arial"/>
          <w:sz w:val="18"/>
          <w:szCs w:val="18"/>
          <w:color w:val="auto"/>
        </w:rPr>
      </w:pPr>
    </w:p>
    <w:p>
      <w:pPr>
        <w:ind w:left="760" w:hanging="185"/>
        <w:spacing w:after="0"/>
        <w:tabs>
          <w:tab w:leader="none" w:pos="76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60" w:hanging="185"/>
        <w:spacing w:after="0"/>
        <w:tabs>
          <w:tab w:leader="none" w:pos="76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0429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Mary T. Barra</w:t>
      </w:r>
    </w:p>
    <w:p>
      <w:pPr>
        <w:ind w:left="562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0429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Paul A. Jacobson</w:t>
      </w: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pacing w:after="0" w:line="7"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May 5, 2021</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F324BA"/>
    <w:multiLevelType w:val="hybridMultilevel"/>
    <w:lvl w:ilvl="0">
      <w:lvlJc w:val="left"/>
      <w:lvlText w:val="☑"/>
      <w:numFmt w:val="bullet"/>
      <w:start w:val="1"/>
    </w:lvl>
  </w:abstractNum>
  <w:abstractNum w:abstractNumId="1">
    <w:nsid w:val="7F01579B"/>
    <w:multiLevelType w:val="hybridMultilevel"/>
    <w:lvl w:ilvl="0">
      <w:lvlJc w:val="left"/>
      <w:lvlText w:val="☐"/>
      <w:numFmt w:val="bullet"/>
      <w:start w:val="1"/>
    </w:lvl>
  </w:abstractNum>
  <w:abstractNum w:abstractNumId="2">
    <w:nsid w:val="49DA307D"/>
    <w:multiLevelType w:val="hybridMultilevel"/>
    <w:lvl w:ilvl="0">
      <w:lvlJc w:val="left"/>
      <w:lvlText w:val="(%1)"/>
      <w:numFmt w:val="lowerLetter"/>
      <w:start w:val="1"/>
    </w:lvl>
  </w:abstractNum>
  <w:abstractNum w:abstractNumId="3">
    <w:nsid w:val="7055A5F5"/>
    <w:multiLevelType w:val="hybridMultilevel"/>
    <w:lvl w:ilvl="0">
      <w:lvlJc w:val="left"/>
      <w:lvlText w:val="(%1)"/>
      <w:numFmt w:val="lowerLetter"/>
      <w:start w:val="1"/>
    </w:lvl>
  </w:abstractNum>
  <w:abstractNum w:abstractNumId="4">
    <w:nsid w:val="5FB8370B"/>
    <w:multiLevelType w:val="hybridMultilevel"/>
    <w:lvl w:ilvl="0">
      <w:lvlJc w:val="left"/>
      <w:lvlText w:val="(%1)"/>
      <w:numFmt w:val="lowerLetter"/>
      <w:start w:val="1"/>
    </w:lvl>
  </w:abstractNum>
  <w:abstractNum w:abstractNumId="5">
    <w:nsid w:val="50801EE1"/>
    <w:multiLevelType w:val="hybridMultilevel"/>
    <w:lvl w:ilvl="0">
      <w:lvlJc w:val="left"/>
      <w:lvlText w:val="(%1)"/>
      <w:numFmt w:val="lowerLetter"/>
      <w:start w:val="1"/>
    </w:lvl>
  </w:abstractNum>
  <w:abstractNum w:abstractNumId="6">
    <w:nsid w:val="488AC1A"/>
    <w:multiLevelType w:val="hybridMultilevel"/>
    <w:lvl w:ilvl="0">
      <w:lvlJc w:val="left"/>
      <w:lvlText w:val="(%1)"/>
      <w:numFmt w:val="lowerLetter"/>
      <w:start w:val="1"/>
    </w:lvl>
  </w:abstractNum>
  <w:abstractNum w:abstractNumId="7">
    <w:nsid w:val="5FB8011C"/>
    <w:multiLevelType w:val="hybridMultilevel"/>
    <w:lvl w:ilvl="0">
      <w:lvlJc w:val="left"/>
      <w:lvlText w:val="(%1)"/>
      <w:numFmt w:val="lowerLetter"/>
      <w:start w:val="1"/>
    </w:lvl>
  </w:abstractNum>
  <w:abstractNum w:abstractNumId="8">
    <w:nsid w:val="6AA78F7F"/>
    <w:multiLevelType w:val="hybridMultilevel"/>
    <w:lvl w:ilvl="0">
      <w:lvlJc w:val="left"/>
      <w:lvlText w:val="(%1)"/>
      <w:numFmt w:val="lowerLetter"/>
      <w:start w:val="1"/>
    </w:lvl>
  </w:abstractNum>
  <w:abstractNum w:abstractNumId="9">
    <w:nsid w:val="7672BD23"/>
    <w:multiLevelType w:val="hybridMultilevel"/>
    <w:lvl w:ilvl="0">
      <w:lvlJc w:val="left"/>
      <w:lvlText w:val="(%1)"/>
      <w:numFmt w:val="lowerLetter"/>
      <w:start w:val="1"/>
    </w:lvl>
  </w:abstractNum>
  <w:abstractNum w:abstractNumId="10">
    <w:nsid w:val="6FC75AF8"/>
    <w:multiLevelType w:val="hybridMultilevel"/>
    <w:lvl w:ilvl="0">
      <w:lvlJc w:val="left"/>
      <w:lvlText w:val="(%1)"/>
      <w:numFmt w:val="lowerLetter"/>
      <w:start w:val="1"/>
    </w:lvl>
  </w:abstractNum>
  <w:abstractNum w:abstractNumId="11">
    <w:nsid w:val="6A5F7029"/>
    <w:multiLevelType w:val="hybridMultilevel"/>
    <w:lvl w:ilvl="0">
      <w:lvlJc w:val="left"/>
      <w:lvlText w:val="(%1)"/>
      <w:numFmt w:val="lowerLetter"/>
      <w:start w:val="1"/>
    </w:lvl>
  </w:abstractNum>
  <w:abstractNum w:abstractNumId="12">
    <w:nsid w:val="7D5E18F8"/>
    <w:multiLevelType w:val="hybridMultilevel"/>
    <w:lvl w:ilvl="0">
      <w:lvlJc w:val="left"/>
      <w:lvlText w:val="(%1)"/>
      <w:numFmt w:val="lowerLetter"/>
      <w:start w:val="1"/>
    </w:lvl>
  </w:abstractNum>
  <w:abstractNum w:abstractNumId="13">
    <w:nsid w:val="5F3534A4"/>
    <w:multiLevelType w:val="hybridMultilevel"/>
    <w:lvl w:ilvl="0">
      <w:lvlJc w:val="left"/>
      <w:lvlText w:val="(%1)"/>
      <w:numFmt w:val="lowerLetter"/>
      <w:start w:val="1"/>
    </w:lvl>
  </w:abstractNum>
  <w:abstractNum w:abstractNumId="14">
    <w:nsid w:val="73A1821B"/>
    <w:multiLevelType w:val="hybridMultilevel"/>
    <w:lvl w:ilvl="0">
      <w:lvlJc w:val="left"/>
      <w:lvlText w:val="(%1)"/>
      <w:numFmt w:val="lowerLetter"/>
      <w:start w:val="1"/>
    </w:lvl>
  </w:abstractNum>
  <w:abstractNum w:abstractNumId="15">
    <w:nsid w:val="7DE67713"/>
    <w:multiLevelType w:val="hybridMultilevel"/>
    <w:lvl w:ilvl="0">
      <w:lvlJc w:val="left"/>
      <w:lvlText w:val="(%1)"/>
      <w:numFmt w:val="lowerLetter"/>
      <w:start w:val="1"/>
    </w:lvl>
  </w:abstractNum>
  <w:abstractNum w:abstractNumId="16">
    <w:nsid w:val="555C55B5"/>
    <w:multiLevelType w:val="hybridMultilevel"/>
    <w:lvl w:ilvl="0">
      <w:lvlJc w:val="left"/>
      <w:lvlText w:val="(%1)"/>
      <w:numFmt w:val="lowerLetter"/>
      <w:start w:val="1"/>
    </w:lvl>
  </w:abstractNum>
  <w:abstractNum w:abstractNumId="17">
    <w:nsid w:val="3FA62ACA"/>
    <w:multiLevelType w:val="hybridMultilevel"/>
    <w:lvl w:ilvl="0">
      <w:lvlJc w:val="left"/>
      <w:lvlText w:val="(%1)"/>
      <w:numFmt w:val="lowerLetter"/>
      <w:start w:val="1"/>
    </w:lvl>
  </w:abstractNum>
  <w:abstractNum w:abstractNumId="18">
    <w:nsid w:val="14FCE74E"/>
    <w:multiLevelType w:val="hybridMultilevel"/>
    <w:lvl w:ilvl="0">
      <w:lvlJc w:val="left"/>
      <w:lvlText w:val="(%1)"/>
      <w:numFmt w:val="lowerLetter"/>
      <w:start w:val="1"/>
    </w:lvl>
  </w:abstractNum>
  <w:abstractNum w:abstractNumId="19">
    <w:nsid w:val="6A3DD3E8"/>
    <w:multiLevelType w:val="hybridMultilevel"/>
    <w:lvl w:ilvl="0">
      <w:lvlJc w:val="left"/>
      <w:lvlText w:val="(%1)"/>
      <w:numFmt w:val="lowerLetter"/>
      <w:start w:val="1"/>
    </w:lvl>
  </w:abstractNum>
  <w:abstractNum w:abstractNumId="20">
    <w:nsid w:val="71C91298"/>
    <w:multiLevelType w:val="hybridMultilevel"/>
    <w:lvl w:ilvl="0">
      <w:lvlJc w:val="left"/>
      <w:lvlText w:val="(%1)"/>
      <w:numFmt w:val="lowerLetter"/>
      <w:start w:val="1"/>
    </w:lvl>
  </w:abstractNum>
  <w:abstractNum w:abstractNumId="21">
    <w:nsid w:val="9DAF632"/>
    <w:multiLevelType w:val="hybridMultilevel"/>
    <w:lvl w:ilvl="0">
      <w:lvlJc w:val="left"/>
      <w:lvlText w:val="(%1)"/>
      <w:numFmt w:val="lowerLetter"/>
      <w:start w:val="1"/>
    </w:lvl>
    <w:lvl w:ilvl="1">
      <w:lvlJc w:val="left"/>
      <w:lvlText w:val="*"/>
      <w:numFmt w:val="bullet"/>
      <w:start w:val="1"/>
    </w:lvl>
  </w:abstractNum>
  <w:abstractNum w:abstractNumId="22">
    <w:nsid w:val="53299938"/>
    <w:multiLevelType w:val="hybridMultilevel"/>
    <w:lvl w:ilvl="0">
      <w:lvlJc w:val="left"/>
      <w:lvlText w:val="•"/>
      <w:numFmt w:val="bullet"/>
      <w:start w:val="1"/>
    </w:lvl>
  </w:abstractNum>
  <w:abstractNum w:abstractNumId="23">
    <w:nsid w:val="1FBFE8E0"/>
    <w:multiLevelType w:val="hybridMultilevel"/>
    <w:lvl w:ilvl="0">
      <w:lvlJc w:val="left"/>
      <w:lvlText w:val="%1)"/>
      <w:numFmt w:val="lowerLetter"/>
      <w:start w:val="1"/>
    </w:lvl>
  </w:abstractNum>
  <w:abstractNum w:abstractNumId="24">
    <w:nsid w:val="5092CA79"/>
    <w:multiLevelType w:val="hybridMultilevel"/>
    <w:lvl w:ilvl="0">
      <w:lvlJc w:val="left"/>
      <w:lvlText w:val="%1)"/>
      <w:numFmt w:val="lowerLetter"/>
      <w:start w:val="6"/>
    </w:lvl>
  </w:abstractNum>
  <w:abstractNum w:abstractNumId="25">
    <w:nsid w:val="1D545C4D"/>
    <w:multiLevelType w:val="hybridMultilevel"/>
    <w:lvl w:ilvl="0">
      <w:lvlJc w:val="left"/>
      <w:lvlText w:val="%1)"/>
      <w:numFmt w:val="lowerLetter"/>
      <w:start w:val="1"/>
    </w:lvl>
  </w:abstractNum>
  <w:abstractNum w:abstractNumId="26">
    <w:nsid w:val="59ADEA3D"/>
    <w:multiLevelType w:val="hybridMultilevel"/>
    <w:lvl w:ilvl="0">
      <w:lvlJc w:val="left"/>
      <w:lvlText w:val="•"/>
      <w:numFmt w:val="bullet"/>
      <w:start w:val="1"/>
    </w:lvl>
  </w:abstractNum>
  <w:abstractNum w:abstractNumId="27">
    <w:nsid w:val="288F1A34"/>
    <w:multiLevelType w:val="hybridMultilevel"/>
    <w:lvl w:ilvl="0">
      <w:lvlJc w:val="left"/>
      <w:lvlText w:val="•"/>
      <w:numFmt w:val="bullet"/>
      <w:start w:val="1"/>
    </w:lvl>
  </w:abstractNum>
  <w:abstractNum w:abstractNumId="28">
    <w:nsid w:val="2A155DBC"/>
    <w:multiLevelType w:val="hybridMultilevel"/>
    <w:lvl w:ilvl="0">
      <w:lvlJc w:val="left"/>
      <w:lvlText w:val="•"/>
      <w:numFmt w:val="bullet"/>
      <w:start w:val="1"/>
    </w:lvl>
  </w:abstractNum>
  <w:abstractNum w:abstractNumId="29">
    <w:nsid w:val="1D9F6E5F"/>
    <w:multiLevelType w:val="hybridMultilevel"/>
    <w:lvl w:ilvl="0">
      <w:lvlJc w:val="left"/>
      <w:lvlText w:val="•"/>
      <w:numFmt w:val="bullet"/>
      <w:start w:val="1"/>
    </w:lvl>
  </w:abstractNum>
  <w:abstractNum w:abstractNumId="30">
    <w:nsid w:val="97E1B4E"/>
    <w:multiLevelType w:val="hybridMultilevel"/>
    <w:lvl w:ilvl="0">
      <w:lvlJc w:val="left"/>
      <w:lvlText w:val="•"/>
      <w:numFmt w:val="bullet"/>
      <w:start w:val="1"/>
    </w:lvl>
  </w:abstractNum>
  <w:abstractNum w:abstractNumId="31">
    <w:nsid w:val="51088277"/>
    <w:multiLevelType w:val="hybridMultilevel"/>
    <w:lvl w:ilvl="0">
      <w:lvlJc w:val="left"/>
      <w:lvlText w:val="•"/>
      <w:numFmt w:val="bullet"/>
      <w:start w:val="1"/>
    </w:lvl>
  </w:abstractNum>
  <w:abstractNum w:abstractNumId="32">
    <w:nsid w:val="1CA0C5FA"/>
    <w:multiLevelType w:val="hybridMultilevel"/>
    <w:lvl w:ilvl="0">
      <w:lvlJc w:val="left"/>
      <w:lvlText w:val="%1)"/>
      <w:numFmt w:val="lowerLetter"/>
      <w:start w:val="1"/>
    </w:lvl>
  </w:abstractNum>
  <w:abstractNum w:abstractNumId="33">
    <w:nsid w:val="53584BCB"/>
    <w:multiLevelType w:val="hybridMultilevel"/>
    <w:lvl w:ilvl="0">
      <w:lvlJc w:val="left"/>
      <w:lvlText w:val="%1)"/>
      <w:numFmt w:val="lowerLetter"/>
      <w:start w:val="7"/>
    </w:lvl>
  </w:abstractNum>
  <w:abstractNum w:abstractNumId="34">
    <w:nsid w:val="415E286C"/>
    <w:multiLevelType w:val="hybridMultilevel"/>
    <w:lvl w:ilvl="0">
      <w:lvlJc w:val="left"/>
      <w:lvlText w:val="%1)"/>
      <w:numFmt w:val="lowerLetter"/>
      <w:start w:val="1"/>
    </w:lvl>
  </w:abstractNum>
  <w:abstractNum w:abstractNumId="35">
    <w:nsid w:val="7C58FD05"/>
    <w:multiLevelType w:val="hybridMultilevel"/>
    <w:lvl w:ilvl="0">
      <w:lvlJc w:val="left"/>
      <w:lvlText w:val="%1."/>
      <w:numFmt w:val="upperLetter"/>
      <w:start w:val="1"/>
    </w:lvl>
  </w:abstractNum>
  <w:abstractNum w:abstractNumId="36">
    <w:nsid w:val="23D86AAC"/>
    <w:multiLevelType w:val="hybridMultilevel"/>
    <w:lvl w:ilvl="0">
      <w:lvlJc w:val="left"/>
      <w:lvlText w:val="%1."/>
      <w:numFmt w:val="upperLetter"/>
      <w:start w:val="9"/>
    </w:lvl>
  </w:abstractNum>
  <w:abstractNum w:abstractNumId="37">
    <w:nsid w:val="45E6D486"/>
    <w:multiLevelType w:val="hybridMultilevel"/>
    <w:lvl w:ilvl="0">
      <w:lvlJc w:val="left"/>
      <w:lvlText w:val="(%1)"/>
      <w:numFmt w:val="lowerLetter"/>
      <w:start w:val="1"/>
    </w:lvl>
  </w:abstractNum>
  <w:abstractNum w:abstractNumId="38">
    <w:nsid w:val="5C10FE21"/>
    <w:multiLevelType w:val="hybridMultilevel"/>
    <w:lvl w:ilvl="0">
      <w:lvlJc w:val="left"/>
      <w:lvlText w:val="(%1)"/>
      <w:numFmt w:val="lowerLetter"/>
      <w:start w:val="1"/>
    </w:lvl>
  </w:abstractNum>
  <w:abstractNum w:abstractNumId="39">
    <w:nsid w:val="E7FFA2B"/>
    <w:multiLevelType w:val="hybridMultilevel"/>
    <w:lvl w:ilvl="0">
      <w:lvlJc w:val="left"/>
      <w:lvlText w:val="(%1)"/>
      <w:numFmt w:val="lowerLetter"/>
      <w:start w:val="2"/>
    </w:lvl>
  </w:abstractNum>
  <w:abstractNum w:abstractNumId="40">
    <w:nsid w:val="3C5991AA"/>
    <w:multiLevelType w:val="hybridMultilevel"/>
    <w:lvl w:ilvl="0">
      <w:lvlJc w:val="left"/>
      <w:lvlText w:val="(%1)"/>
      <w:numFmt w:val="lowerLetter"/>
      <w:start w:val="1"/>
    </w:lvl>
  </w:abstractNum>
  <w:abstractNum w:abstractNumId="41">
    <w:nsid w:val="4BD8591A"/>
    <w:multiLevelType w:val="hybridMultilevel"/>
    <w:lvl w:ilvl="0">
      <w:lvlJc w:val="left"/>
      <w:lvlText w:val="(%1)"/>
      <w:numFmt w:val="lowerRoman"/>
      <w:start w:val="1"/>
    </w:lvl>
  </w:abstractNum>
  <w:abstractNum w:abstractNumId="42">
    <w:nsid w:val="78DF6A55"/>
    <w:multiLevelType w:val="hybridMultilevel"/>
    <w:lvl w:ilvl="0">
      <w:lvlJc w:val="left"/>
      <w:lvlText w:val="(%1)"/>
      <w:numFmt w:val="lowerRoman"/>
      <w:start w:val="1"/>
    </w:lvl>
  </w:abstractNum>
  <w:abstractNum w:abstractNumId="43">
    <w:nsid w:val="39B7AAA2"/>
    <w:multiLevelType w:val="hybridMultilevel"/>
    <w:lvl w:ilvl="0">
      <w:lvlJc w:val="left"/>
      <w:lvlText w:val="(%1)"/>
      <w:numFmt w:val="lowerLetter"/>
      <w:start w:val="4"/>
    </w:lvl>
    <w:lvl w:ilvl="1">
      <w:lvlJc w:val="left"/>
      <w:lvlText w:val="(%2)"/>
      <w:numFmt w:val="lowerRoman"/>
      <w:start w:val="1"/>
    </w:lvl>
  </w:abstractNum>
  <w:abstractNum w:abstractNumId="44">
    <w:nsid w:val="2B0D8DBE"/>
    <w:multiLevelType w:val="hybridMultilevel"/>
    <w:lvl w:ilvl="0">
      <w:lvlJc w:val="left"/>
      <w:lvlText w:val="(%1)"/>
      <w:numFmt w:val="lowerLetter"/>
      <w:start w:val="5"/>
    </w:lvl>
  </w:abstractNum>
  <w:abstractNum w:abstractNumId="45">
    <w:nsid w:val="6C80EC70"/>
    <w:multiLevelType w:val="hybridMultilevel"/>
    <w:lvl w:ilvl="0">
      <w:lvlJc w:val="left"/>
      <w:lvlText w:val="(%1)"/>
      <w:numFmt w:val="lowerLetter"/>
      <w:start w:val="6"/>
    </w:lvl>
  </w:abstractNum>
  <w:abstractNum w:abstractNumId="46">
    <w:nsid w:val="379E21B5"/>
    <w:multiLevelType w:val="hybridMultilevel"/>
    <w:lvl w:ilvl="0">
      <w:lvlJc w:val="left"/>
      <w:lvlText w:val="(%1)"/>
      <w:numFmt w:val="lowerLetter"/>
      <w:start w:val="1"/>
    </w:lvl>
  </w:abstractNum>
  <w:abstractNum w:abstractNumId="47">
    <w:nsid w:val="69E373"/>
    <w:multiLevelType w:val="hybridMultilevel"/>
    <w:lvl w:ilvl="0">
      <w:lvlJc w:val="left"/>
      <w:lvlText w:val="(%1)"/>
      <w:numFmt w:val="lowerLetter"/>
      <w:start w:val="1"/>
    </w:lvl>
  </w:abstractNum>
  <w:abstractNum w:abstractNumId="48">
    <w:nsid w:val="2C27173B"/>
    <w:multiLevelType w:val="hybridMultilevel"/>
    <w:lvl w:ilvl="0">
      <w:lvlJc w:val="left"/>
      <w:lvlText w:val="(%1)"/>
      <w:numFmt w:val="lowerLetter"/>
      <w:start w:val="3"/>
    </w:lvl>
  </w:abstractNum>
  <w:abstractNum w:abstractNumId="49">
    <w:nsid w:val="4C9B0904"/>
    <w:multiLevelType w:val="hybridMultilevel"/>
    <w:lvl w:ilvl="0">
      <w:lvlJc w:val="left"/>
      <w:lvlText w:val="(%1)"/>
      <w:numFmt w:val="lowerLetter"/>
      <w:start w:val="1"/>
    </w:lvl>
  </w:abstractNum>
  <w:abstractNum w:abstractNumId="50">
    <w:nsid w:val="6AA7B75C"/>
    <w:multiLevelType w:val="hybridMultilevel"/>
    <w:lvl w:ilvl="0">
      <w:lvlJc w:val="left"/>
      <w:lvlText w:val="(%1)"/>
      <w:numFmt w:val="lowerLetter"/>
      <w:start w:val="2"/>
    </w:lvl>
    <w:lvl w:ilvl="1">
      <w:lvlJc w:val="left"/>
      <w:lvlText w:val="(%2)"/>
      <w:numFmt w:val="lowerRoman"/>
      <w:start w:val="1"/>
    </w:lvl>
  </w:abstractNum>
  <w:abstractNum w:abstractNumId="51">
    <w:nsid w:val="1DF029D3"/>
    <w:multiLevelType w:val="hybridMultilevel"/>
    <w:lvl w:ilvl="0">
      <w:lvlJc w:val="left"/>
      <w:lvlText w:val="(%1)"/>
      <w:numFmt w:val="lowerLetter"/>
      <w:start w:val="5"/>
    </w:lvl>
    <w:lvl w:ilvl="1">
      <w:lvlJc w:val="left"/>
      <w:lvlText w:val="(%2)"/>
      <w:numFmt w:val="lowerRoman"/>
      <w:start w:val="1"/>
    </w:lvl>
  </w:abstractNum>
  <w:abstractNum w:abstractNumId="52">
    <w:nsid w:val="5675FF36"/>
    <w:multiLevelType w:val="hybridMultilevel"/>
    <w:lvl w:ilvl="0">
      <w:lvlJc w:val="left"/>
      <w:lvlText w:val="(%1)"/>
      <w:numFmt w:val="lowerRoman"/>
      <w:start w:val="6"/>
    </w:lvl>
  </w:abstractNum>
  <w:abstractNum w:abstractNumId="53">
    <w:nsid w:val="3DD15094"/>
    <w:multiLevelType w:val="hybridMultilevel"/>
    <w:lvl w:ilvl="0">
      <w:lvlJc w:val="left"/>
      <w:lvlText w:val="(%1)"/>
      <w:numFmt w:val="lowerLetter"/>
      <w:start w:val="1"/>
    </w:lvl>
  </w:abstractNum>
  <w:abstractNum w:abstractNumId="54">
    <w:nsid w:val="3DB012B3"/>
    <w:multiLevelType w:val="hybridMultilevel"/>
    <w:lvl w:ilvl="0">
      <w:lvlJc w:val="left"/>
      <w:lvlText w:val="(%1)"/>
      <w:numFmt w:val="lowerLetter"/>
      <w:start w:val="1"/>
    </w:lvl>
  </w:abstractNum>
  <w:abstractNum w:abstractNumId="55">
    <w:nsid w:val="2708C9AF"/>
    <w:multiLevelType w:val="hybridMultilevel"/>
    <w:lvl w:ilvl="0">
      <w:lvlJc w:val="left"/>
      <w:lvlText w:val="(%1)"/>
      <w:numFmt w:val="lowerLetter"/>
      <w:start w:val="1"/>
    </w:lvl>
    <w:lvl w:ilvl="1">
      <w:lvlJc w:val="left"/>
      <w:lvlText w:val="(%2)"/>
      <w:numFmt w:val="lowerLetter"/>
      <w:start w:val="9"/>
    </w:lvl>
  </w:abstractNum>
  <w:abstractNum w:abstractNumId="56">
    <w:nsid w:val="5B25ACE2"/>
    <w:multiLevelType w:val="hybridMultilevel"/>
    <w:lvl w:ilvl="0">
      <w:lvlJc w:val="left"/>
      <w:lvlText w:val="%1"/>
      <w:numFmt w:val="lowerLetter"/>
      <w:start w:val="1"/>
    </w:lvl>
    <w:lvl w:ilvl="1">
      <w:lvlJc w:val="left"/>
      <w:lvlText w:val="(%2)"/>
      <w:numFmt w:val="lowerRoman"/>
      <w:start w:val="2"/>
    </w:lvl>
  </w:abstractNum>
  <w:abstractNum w:abstractNumId="57">
    <w:nsid w:val="175DFCF0"/>
    <w:multiLevelType w:val="hybridMultilevel"/>
    <w:lvl w:ilvl="0">
      <w:lvlJc w:val="left"/>
      <w:lvlText w:val="(%1)"/>
      <w:numFmt w:val="lowerLetter"/>
      <w:start w:val="3"/>
    </w:lvl>
    <w:lvl w:ilvl="1">
      <w:lvlJc w:val="left"/>
      <w:lvlText w:val="%2"/>
      <w:numFmt w:val="lowerRoman"/>
      <w:start w:val="1"/>
    </w:lvl>
  </w:abstractNum>
  <w:abstractNum w:abstractNumId="58">
    <w:nsid w:val="4F97E3E4"/>
    <w:multiLevelType w:val="hybridMultilevel"/>
    <w:lvl w:ilvl="0">
      <w:lvlJc w:val="left"/>
      <w:lvlText w:val="(%1)"/>
      <w:numFmt w:val="lowerLetter"/>
      <w:start w:val="4"/>
    </w:lvl>
  </w:abstractNum>
  <w:abstractNum w:abstractNumId="59">
    <w:nsid w:val="53B0A9E"/>
    <w:multiLevelType w:val="hybridMultilevel"/>
    <w:lvl w:ilvl="0">
      <w:lvlJc w:val="left"/>
      <w:lvlText w:val="(%1)"/>
      <w:numFmt w:val="lowerLetter"/>
      <w:start w:val="1"/>
    </w:lvl>
    <w:lvl w:ilvl="1">
      <w:lvlJc w:val="left"/>
      <w:lvlText w:val="(%2)"/>
      <w:numFmt w:val="lowerRoman"/>
      <w:start w:val="1"/>
    </w:lvl>
  </w:abstractNum>
  <w:abstractNum w:abstractNumId="60">
    <w:nsid w:val="34FD6B4F"/>
    <w:multiLevelType w:val="hybridMultilevel"/>
    <w:lvl w:ilvl="0">
      <w:lvlJc w:val="left"/>
      <w:lvlText w:val="%1"/>
      <w:numFmt w:val="lowerLetter"/>
      <w:start w:val="1"/>
    </w:lvl>
    <w:lvl w:ilvl="1">
      <w:lvlJc w:val="left"/>
      <w:lvlText w:val="(%2)"/>
      <w:numFmt w:val="lowerLetter"/>
      <w:start w:val="61"/>
    </w:lvl>
  </w:abstractNum>
  <w:abstractNum w:abstractNumId="61">
    <w:nsid w:val="5915FF32"/>
    <w:multiLevelType w:val="hybridMultilevel"/>
    <w:lvl w:ilvl="0">
      <w:lvlJc w:val="left"/>
      <w:lvlText w:val="(%1)"/>
      <w:numFmt w:val="lowerLetter"/>
      <w:start w:val="2"/>
    </w:lvl>
    <w:lvl w:ilvl="1">
      <w:lvlJc w:val="left"/>
      <w:lvlText w:val="%2"/>
      <w:numFmt w:val="lowerLetter"/>
      <w:start w:val="1"/>
    </w:lvl>
  </w:abstractNum>
  <w:abstractNum w:abstractNumId="62">
    <w:nsid w:val="56438D15"/>
    <w:multiLevelType w:val="hybridMultilevel"/>
    <w:lvl w:ilvl="0">
      <w:lvlJc w:val="left"/>
      <w:lvlText w:val="(%1)"/>
      <w:numFmt w:val="lowerLetter"/>
      <w:start w:val="1"/>
    </w:lvl>
    <w:lvl w:ilvl="1">
      <w:lvlJc w:val="left"/>
      <w:lvlText w:val="(%2)"/>
      <w:numFmt w:val="lowerLetter"/>
      <w:start w:val="9"/>
    </w:lvl>
  </w:abstractNum>
  <w:abstractNum w:abstractNumId="63">
    <w:nsid w:val="519E3149"/>
    <w:multiLevelType w:val="hybridMultilevel"/>
    <w:lvl w:ilvl="0">
      <w:lvlJc w:val="left"/>
      <w:lvlText w:val="%1"/>
      <w:numFmt w:val="lowerLetter"/>
      <w:start w:val="1"/>
    </w:lvl>
    <w:lvl w:ilvl="1">
      <w:lvlJc w:val="left"/>
      <w:lvlText w:val="(%2)"/>
      <w:numFmt w:val="lowerRoman"/>
      <w:start w:val="2"/>
    </w:lvl>
  </w:abstractNum>
  <w:abstractNum w:abstractNumId="64">
    <w:nsid w:val="2C6E4AFD"/>
    <w:multiLevelType w:val="hybridMultilevel"/>
    <w:lvl w:ilvl="0">
      <w:lvlJc w:val="left"/>
      <w:lvlText w:val="(%1)"/>
      <w:numFmt w:val="lowerLetter"/>
      <w:start w:val="3"/>
    </w:lvl>
    <w:lvl w:ilvl="1">
      <w:lvlJc w:val="left"/>
      <w:lvlText w:val="(%2)"/>
      <w:numFmt w:val="lowerRoman"/>
      <w:start w:val="1"/>
    </w:lvl>
  </w:abstractNum>
  <w:abstractNum w:abstractNumId="65">
    <w:nsid w:val="17A1B58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66">
    <w:nsid w:val="4DF72E4E"/>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67">
    <w:nsid w:val="5046B5A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68">
    <w:nsid w:val="5D888A0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9">
    <w:nsid w:val="2A082C70"/>
    <w:multiLevelType w:val="hybridMultilevel"/>
    <w:lvl w:ilvl="0">
      <w:lvlJc w:val="left"/>
      <w:lvlText w:val="(%1)"/>
      <w:numFmt w:val="lowerLetter"/>
      <w:start w:val="5"/>
    </w:lvl>
  </w:abstractNum>
  <w:abstractNum w:abstractNumId="70">
    <w:nsid w:val="5EC6AFD4"/>
    <w:multiLevelType w:val="hybridMultilevel"/>
    <w:lvl w:ilvl="0">
      <w:lvlJc w:val="left"/>
      <w:lvlText w:val="(%1)"/>
      <w:numFmt w:val="lowerLetter"/>
      <w:start w:val="10"/>
    </w:lvl>
    <w:lvl w:ilvl="1">
      <w:lvlJc w:val="left"/>
      <w:lvlText w:val="(%2)"/>
      <w:numFmt w:val="lowerRoman"/>
      <w:start w:val="1"/>
    </w:lvl>
  </w:abstractNum>
  <w:abstractNum w:abstractNumId="71">
    <w:nsid w:val="19E21BB2"/>
    <w:multiLevelType w:val="hybridMultilevel"/>
    <w:lvl w:ilvl="0">
      <w:lvlJc w:val="left"/>
      <w:lvlText w:val="(%1)"/>
      <w:numFmt w:val="lowerRoman"/>
      <w:start w:val="2"/>
    </w:lvl>
  </w:abstractNum>
  <w:abstractNum w:abstractNumId="72">
    <w:nsid w:val="75E0858A"/>
    <w:multiLevelType w:val="hybridMultilevel"/>
    <w:lvl w:ilvl="0">
      <w:lvlJc w:val="left"/>
      <w:lvlText w:val="(%1)"/>
      <w:numFmt w:val="lowerRoman"/>
      <w:start w:val="9"/>
    </w:lvl>
  </w:abstractNum>
  <w:abstractNum w:abstractNumId="73">
    <w:nsid w:val="57A61A29"/>
    <w:multiLevelType w:val="hybridMultilevel"/>
    <w:lvl w:ilvl="0">
      <w:lvlJc w:val="left"/>
      <w:lvlText w:val="(%1)"/>
      <w:numFmt w:val="lowerLetter"/>
      <w:start w:val="1"/>
    </w:lvl>
  </w:abstractNum>
  <w:abstractNum w:abstractNumId="74">
    <w:nsid w:val="5399C654"/>
    <w:multiLevelType w:val="hybridMultilevel"/>
    <w:lvl w:ilvl="0">
      <w:lvlJc w:val="left"/>
      <w:lvlText w:val="(%1)"/>
      <w:numFmt w:val="lowerLetter"/>
      <w:start w:val="9"/>
    </w:lvl>
  </w:abstractNum>
  <w:abstractNum w:abstractNumId="75">
    <w:nsid w:val="20EE1348"/>
    <w:multiLevelType w:val="hybridMultilevel"/>
    <w:lvl w:ilvl="0">
      <w:lvlJc w:val="left"/>
      <w:lvlText w:val="(%1)"/>
      <w:numFmt w:val="lowerLetter"/>
      <w:start w:val="1"/>
    </w:lvl>
    <w:lvl w:ilvl="1">
      <w:lvlJc w:val="left"/>
      <w:lvlText w:val="(%2)"/>
      <w:numFmt w:val="lowerLetter"/>
      <w:start w:val="9"/>
    </w:lvl>
  </w:abstractNum>
  <w:abstractNum w:abstractNumId="76">
    <w:nsid w:val="4427069A"/>
    <w:multiLevelType w:val="hybridMultilevel"/>
    <w:lvl w:ilvl="0">
      <w:lvlJc w:val="left"/>
      <w:lvlText w:val="%1"/>
      <w:numFmt w:val="lowerRoman"/>
      <w:start w:val="1"/>
    </w:lvl>
    <w:lvl w:ilvl="1">
      <w:lvlJc w:val="left"/>
      <w:lvlText w:val="(%2)"/>
      <w:numFmt w:val="upperLetter"/>
      <w:start w:val="1"/>
    </w:lvl>
  </w:abstractNum>
  <w:abstractNum w:abstractNumId="77">
    <w:nsid w:val="B37E80A"/>
    <w:multiLevelType w:val="hybridMultilevel"/>
    <w:lvl w:ilvl="0">
      <w:lvlJc w:val="left"/>
      <w:lvlText w:val="(%1)"/>
      <w:numFmt w:val="lowerRoman"/>
      <w:start w:val="2"/>
    </w:lvl>
    <w:lvl w:ilvl="1">
      <w:lvlJc w:val="left"/>
      <w:lvlText w:val="%2"/>
      <w:numFmt w:val="upperLetter"/>
      <w:start w:val="1"/>
    </w:lvl>
  </w:abstractNum>
  <w:abstractNum w:abstractNumId="78">
    <w:nsid w:val="2157F6BC"/>
    <w:multiLevelType w:val="hybridMultilevel"/>
    <w:lvl w:ilvl="0">
      <w:lvlJc w:val="left"/>
      <w:lvlText w:val="(%1)"/>
      <w:numFmt w:val="lowerLetter"/>
      <w:start w:val="3"/>
    </w:lvl>
  </w:abstractNum>
  <w:abstractNum w:abstractNumId="79">
    <w:nsid w:val="704E1DD5"/>
    <w:multiLevelType w:val="hybridMultilevel"/>
    <w:lvl w:ilvl="0">
      <w:lvlJc w:val="left"/>
      <w:lvlText w:val="(%1)"/>
      <w:numFmt w:val="lowerLetter"/>
      <w:start w:val="1"/>
    </w:lvl>
  </w:abstractNum>
  <w:abstractNum w:abstractNumId="80">
    <w:nsid w:val="57D2F10E"/>
    <w:multiLevelType w:val="hybridMultilevel"/>
    <w:lvl w:ilvl="0">
      <w:lvlJc w:val="left"/>
      <w:lvlText w:val="(%1)"/>
      <w:numFmt w:val="lowerLetter"/>
      <w:start w:val="2"/>
    </w:lvl>
  </w:abstractNum>
  <w:abstractNum w:abstractNumId="81">
    <w:nsid w:val="BFFAE18"/>
    <w:multiLevelType w:val="hybridMultilevel"/>
    <w:lvl w:ilvl="0">
      <w:lvlJc w:val="left"/>
      <w:lvlText w:val="(%1)"/>
      <w:numFmt w:val="lowerLetter"/>
      <w:start w:val="1"/>
    </w:lvl>
  </w:abstractNum>
  <w:abstractNum w:abstractNumId="82">
    <w:nsid w:val="E3E47A8"/>
    <w:multiLevelType w:val="hybridMultilevel"/>
    <w:lvl w:ilvl="0">
      <w:lvlJc w:val="left"/>
      <w:lvlText w:val="(%1)"/>
      <w:numFmt w:val="lowerLetter"/>
      <w:start w:val="2"/>
    </w:lvl>
  </w:abstractNum>
  <w:abstractNum w:abstractNumId="83">
    <w:nsid w:val="2E48F044"/>
    <w:multiLevelType w:val="hybridMultilevel"/>
    <w:lvl w:ilvl="0">
      <w:lvlJc w:val="left"/>
      <w:lvlText w:val="(%1)"/>
      <w:numFmt w:val="lowerRoman"/>
      <w:start w:val="1"/>
    </w:lvl>
  </w:abstractNum>
  <w:abstractNum w:abstractNumId="84">
    <w:nsid w:val="49D0FEAC"/>
    <w:multiLevelType w:val="hybridMultilevel"/>
    <w:lvl w:ilvl="0">
      <w:lvlJc w:val="left"/>
      <w:lvlText w:val="(%1)"/>
      <w:numFmt w:val="lowerLetter"/>
      <w:start w:val="1"/>
    </w:lvl>
  </w:abstractNum>
  <w:abstractNum w:abstractNumId="85">
    <w:nsid w:val="4BEE5A5B"/>
    <w:multiLevelType w:val="hybridMultilevel"/>
    <w:lvl w:ilvl="0">
      <w:lvlJc w:val="left"/>
      <w:lvlText w:val="(%1)"/>
      <w:numFmt w:val="lowerLetter"/>
      <w:start w:val="61"/>
    </w:lvl>
    <w:lvl w:ilvl="1">
      <w:lvlJc w:val="left"/>
      <w:lvlText w:val="(%2)"/>
      <w:numFmt w:val="lowerLetter"/>
      <w:start w:val="2"/>
    </w:lvl>
  </w:abstractNum>
  <w:abstractNum w:abstractNumId="86">
    <w:nsid w:val="5551B9F3"/>
    <w:multiLevelType w:val="hybridMultilevel"/>
    <w:lvl w:ilvl="0">
      <w:lvlJc w:val="left"/>
      <w:lvlText w:val="(%1)"/>
      <w:numFmt w:val="lowerLetter"/>
      <w:start w:val="9"/>
    </w:lvl>
  </w:abstractNum>
  <w:abstractNum w:abstractNumId="87">
    <w:nsid w:val="24F6AB8E"/>
    <w:multiLevelType w:val="hybridMultilevel"/>
    <w:lvl w:ilvl="0">
      <w:lvlJc w:val="left"/>
      <w:lvlText w:val="(%1)"/>
      <w:numFmt w:val="lowerLetter"/>
      <w:start w:val="1"/>
    </w:lvl>
  </w:abstractNum>
  <w:abstractNum w:abstractNumId="88">
    <w:nsid w:val="634C574C"/>
    <w:multiLevelType w:val="hybridMultilevel"/>
    <w:lvl w:ilvl="0">
      <w:lvlJc w:val="left"/>
      <w:lvlText w:val="(%1)"/>
      <w:numFmt w:val="lowerLetter"/>
      <w:start w:val="1"/>
    </w:lvl>
  </w:abstractNum>
  <w:abstractNum w:abstractNumId="89">
    <w:nsid w:val="24E99DD7"/>
    <w:multiLevelType w:val="hybridMultilevel"/>
    <w:lvl w:ilvl="0">
      <w:lvlJc w:val="left"/>
      <w:lvlText w:val="(%1)"/>
      <w:numFmt w:val="lowerLetter"/>
      <w:start w:val="3"/>
    </w:lvl>
    <w:lvl w:ilvl="1">
      <w:lvlJc w:val="left"/>
      <w:lvlText w:val="(%2)"/>
      <w:numFmt w:val="lowerRoman"/>
      <w:start w:val="1"/>
    </w:lvl>
  </w:abstractNum>
  <w:abstractNum w:abstractNumId="90">
    <w:nsid w:val="2A31B62D"/>
    <w:multiLevelType w:val="hybridMultilevel"/>
    <w:lvl w:ilvl="0">
      <w:lvlJc w:val="left"/>
      <w:lvlText w:val="(%1)"/>
      <w:numFmt w:val="lowerLetter"/>
      <w:start w:val="1"/>
    </w:lvl>
  </w:abstractNum>
  <w:abstractNum w:abstractNumId="91">
    <w:nsid w:val="1849C29B"/>
    <w:multiLevelType w:val="hybridMultilevel"/>
    <w:lvl w:ilvl="0">
      <w:lvlJc w:val="left"/>
      <w:lvlText w:val="(%1)"/>
      <w:numFmt w:val="lowerLetter"/>
      <w:start w:val="1"/>
    </w:lvl>
  </w:abstractNum>
  <w:abstractNum w:abstractNumId="92">
    <w:nsid w:val="7DFF9D09"/>
    <w:multiLevelType w:val="hybridMultilevel"/>
    <w:lvl w:ilvl="0">
      <w:lvlJc w:val="left"/>
      <w:lvlText w:val="(%1)"/>
      <w:numFmt w:val="lowerLetter"/>
      <w:start w:val="2"/>
    </w:lvl>
  </w:abstractNum>
  <w:abstractNum w:abstractNumId="93">
    <w:nsid w:val="754342"/>
    <w:multiLevelType w:val="hybridMultilevel"/>
    <w:lvl w:ilvl="0">
      <w:lvlJc w:val="left"/>
      <w:lvlText w:val="(%1)"/>
      <w:numFmt w:val="lowerLetter"/>
      <w:start w:val="3"/>
    </w:lvl>
  </w:abstractNum>
  <w:abstractNum w:abstractNumId="94">
    <w:nsid w:val="69E7F3E5"/>
    <w:multiLevelType w:val="hybridMultilevel"/>
    <w:lvl w:ilvl="0">
      <w:lvlJc w:val="left"/>
      <w:lvlText w:val="(%1)"/>
      <w:numFmt w:val="lowerLetter"/>
      <w:start w:val="1"/>
    </w:lvl>
    <w:lvl w:ilvl="1">
      <w:lvlJc w:val="left"/>
      <w:lvlText w:val="(%2)"/>
      <w:numFmt w:val="lowerRoman"/>
      <w:start w:val="1"/>
    </w:lvl>
  </w:abstractNum>
  <w:abstractNum w:abstractNumId="95">
    <w:nsid w:val="2A6DE806"/>
    <w:multiLevelType w:val="hybridMultilevel"/>
    <w:lvl w:ilvl="0">
      <w:lvlJc w:val="left"/>
      <w:lvlText w:val="(%1)"/>
      <w:numFmt w:val="lowerRoman"/>
      <w:start w:val="4"/>
    </w:lvl>
  </w:abstractNum>
  <w:abstractNum w:abstractNumId="96">
    <w:nsid w:val="1816F8C4"/>
    <w:multiLevelType w:val="hybridMultilevel"/>
    <w:lvl w:ilvl="0">
      <w:lvlJc w:val="left"/>
      <w:lvlText w:val="(%1)"/>
      <w:numFmt w:val="lowerLetter"/>
      <w:start w:val="1"/>
    </w:lvl>
  </w:abstractNum>
  <w:abstractNum w:abstractNumId="97">
    <w:nsid w:val="37DF2233"/>
    <w:multiLevelType w:val="hybridMultilevel"/>
    <w:lvl w:ilvl="0">
      <w:lvlJc w:val="left"/>
      <w:lvlText w:val="(%1)"/>
      <w:numFmt w:val="lowerLetter"/>
      <w:start w:val="5"/>
    </w:lvl>
  </w:abstractNum>
  <w:abstractNum w:abstractNumId="98">
    <w:nsid w:val="7AB49DAF"/>
    <w:multiLevelType w:val="hybridMultilevel"/>
    <w:lvl w:ilvl="0">
      <w:lvlJc w:val="left"/>
      <w:lvlText w:val="(%1)"/>
      <w:numFmt w:val="lowerRoman"/>
      <w:start w:val="1"/>
    </w:lvl>
  </w:abstractNum>
  <w:abstractNum w:abstractNumId="99">
    <w:nsid w:val="759F82CD"/>
    <w:multiLevelType w:val="hybridMultilevel"/>
    <w:lvl w:ilvl="0">
      <w:lvlJc w:val="left"/>
      <w:lvlText w:val="%1"/>
      <w:numFmt w:val="upperLetter"/>
      <w:start w:val="1"/>
    </w:lvl>
    <w:lvl w:ilvl="1">
      <w:lvlJc w:val="left"/>
      <w:lvlText w:val="(%2)"/>
      <w:numFmt w:val="lowerRoman"/>
      <w:start w:val="2"/>
    </w:lvl>
  </w:abstractNum>
  <w:abstractNum w:abstractNumId="100">
    <w:nsid w:val="61E74EA3"/>
    <w:multiLevelType w:val="hybridMultilevel"/>
    <w:lvl w:ilvl="0">
      <w:lvlJc w:val="left"/>
      <w:lvlText w:val="(%1)"/>
      <w:numFmt w:val="upperLetter"/>
      <w:start w:val="2"/>
    </w:lvl>
    <w:lvl w:ilvl="1">
      <w:lvlJc w:val="left"/>
      <w:lvlText w:val="(%2)"/>
      <w:numFmt w:val="lowerRoman"/>
      <w:start w:val="6"/>
    </w:lvl>
  </w:abstractNum>
  <w:abstractNum w:abstractNumId="101">
    <w:nsid w:val="597B4D84"/>
    <w:multiLevelType w:val="hybridMultilevel"/>
    <w:lvl w:ilvl="0">
      <w:lvlJc w:val="left"/>
      <w:lvlText w:val="(%1)"/>
      <w:numFmt w:val="lowerRoman"/>
      <w:start w:val="8"/>
    </w:lvl>
  </w:abstractNum>
  <w:abstractNum w:abstractNumId="102">
    <w:nsid w:val="F819E7F"/>
    <w:multiLevelType w:val="hybridMultilevel"/>
    <w:lvl w:ilvl="0">
      <w:lvlJc w:val="left"/>
      <w:lvlText w:val="(%1)"/>
      <w:numFmt w:val="lowerLetter"/>
      <w:start w:val="2"/>
    </w:lvl>
  </w:abstractNum>
  <w:abstractNum w:abstractNumId="103">
    <w:nsid w:val="57C7D42D"/>
    <w:multiLevelType w:val="hybridMultilevel"/>
    <w:lvl w:ilvl="0">
      <w:lvlJc w:val="left"/>
      <w:lvlText w:val="(%1)"/>
      <w:numFmt w:val="lowerLetter"/>
      <w:start w:val="4"/>
    </w:lvl>
  </w:abstractNum>
  <w:abstractNum w:abstractNumId="104">
    <w:nsid w:val="312167AD"/>
    <w:multiLevelType w:val="hybridMultilevel"/>
    <w:lvl w:ilvl="0">
      <w:lvlJc w:val="left"/>
      <w:lvlText w:val="(%1)"/>
      <w:numFmt w:val="lowerLetter"/>
      <w:start w:val="1"/>
    </w:lvl>
    <w:lvl w:ilvl="1">
      <w:lvlJc w:val="left"/>
      <w:lvlText w:val="(%2)"/>
      <w:numFmt w:val="lowerRoman"/>
      <w:start w:val="1"/>
    </w:lvl>
  </w:abstractNum>
  <w:abstractNum w:abstractNumId="105">
    <w:nsid w:val="631B64D4"/>
    <w:multiLevelType w:val="hybridMultilevel"/>
    <w:lvl w:ilvl="0">
      <w:lvlJc w:val="left"/>
      <w:lvlText w:val="(%1)"/>
      <w:numFmt w:val="lowerLetter"/>
      <w:start w:val="2"/>
    </w:lvl>
  </w:abstractNum>
  <w:abstractNum w:abstractNumId="106">
    <w:nsid w:val="78B5E776"/>
    <w:multiLevelType w:val="hybridMultilevel"/>
    <w:lvl w:ilvl="0">
      <w:lvlJc w:val="left"/>
      <w:lvlText w:val="(%1)"/>
      <w:numFmt w:val="lowerLetter"/>
      <w:start w:val="1"/>
    </w:lvl>
  </w:abstractNum>
  <w:abstractNum w:abstractNumId="107">
    <w:nsid w:val="75486E47"/>
    <w:multiLevelType w:val="hybridMultilevel"/>
    <w:lvl w:ilvl="0">
      <w:lvlJc w:val="left"/>
      <w:lvlText w:val="(%1)"/>
      <w:numFmt w:val="lowerLetter"/>
      <w:start w:val="4"/>
    </w:lvl>
  </w:abstractNum>
  <w:abstractNum w:abstractNumId="108">
    <w:nsid w:val="6E534CDE"/>
    <w:multiLevelType w:val="hybridMultilevel"/>
    <w:lvl w:ilvl="0">
      <w:lvlJc w:val="left"/>
      <w:lvlText w:val="(%1)"/>
      <w:numFmt w:val="lowerLetter"/>
      <w:start w:val="1"/>
    </w:lvl>
  </w:abstractNum>
  <w:abstractNum w:abstractNumId="109">
    <w:nsid w:val="1A0DDE32"/>
    <w:multiLevelType w:val="hybridMultilevel"/>
    <w:lvl w:ilvl="0">
      <w:lvlJc w:val="left"/>
      <w:lvlText w:val="(%1)"/>
      <w:numFmt w:val="lowerLetter"/>
      <w:start w:val="1"/>
    </w:lvl>
  </w:abstractNum>
  <w:abstractNum w:abstractNumId="110">
    <w:nsid w:val="65968C1C"/>
    <w:multiLevelType w:val="hybridMultilevel"/>
    <w:lvl w:ilvl="0">
      <w:lvlJc w:val="left"/>
      <w:lvlText w:val="(%1)"/>
      <w:numFmt w:val="lowerRoman"/>
      <w:start w:val="1"/>
    </w:lvl>
  </w:abstractNum>
  <w:abstractNum w:abstractNumId="111">
    <w:nsid w:val="46263DEC"/>
    <w:multiLevelType w:val="hybridMultilevel"/>
    <w:lvl w:ilvl="0">
      <w:lvlJc w:val="left"/>
      <w:lvlText w:val="(%1)"/>
      <w:numFmt w:val="lowerRoman"/>
      <w:start w:val="2"/>
    </w:lvl>
  </w:abstractNum>
  <w:abstractNum w:abstractNumId="112">
    <w:nsid w:val="260D8C4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upperLetter"/>
      <w:start w:val="1"/>
    </w:lvl>
  </w:abstractNum>
  <w:abstractNum w:abstractNumId="113">
    <w:nsid w:val="73D4D3C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4"/>
    </w:lvl>
  </w:abstractNum>
  <w:abstractNum w:abstractNumId="114">
    <w:nsid w:val="746F2E3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5"/>
    </w:lvl>
  </w:abstractNum>
  <w:abstractNum w:abstractNumId="115">
    <w:nsid w:val="6FDE8AF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6"/>
    </w:lvl>
  </w:abstractNum>
  <w:abstractNum w:abstractNumId="116">
    <w:nsid w:val="3FC32E20"/>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upperLetter"/>
      <w:start w:val="1"/>
    </w:lvl>
  </w:abstractNum>
  <w:abstractNum w:abstractNumId="117">
    <w:nsid w:val="49C0E823"/>
    <w:multiLevelType w:val="hybridMultilevel"/>
    <w:lvl w:ilvl="0">
      <w:lvlJc w:val="left"/>
      <w:lvlText w:val="(%1)"/>
      <w:numFmt w:val="lowerLetter"/>
      <w:start w:val="3"/>
    </w:lvl>
  </w:abstractNum>
  <w:abstractNum w:abstractNumId="118">
    <w:nsid w:val="14D53685"/>
    <w:multiLevelType w:val="hybridMultilevel"/>
    <w:lvl w:ilvl="0">
      <w:lvlJc w:val="left"/>
      <w:lvlText w:val="(%1)"/>
      <w:numFmt w:val="lowerLetter"/>
      <w:start w:val="1"/>
    </w:lvl>
  </w:abstractNum>
  <w:abstractNum w:abstractNumId="119">
    <w:nsid w:val="230F856C"/>
    <w:multiLevelType w:val="hybridMultilevel"/>
    <w:lvl w:ilvl="0">
      <w:lvlJc w:val="left"/>
      <w:lvlText w:val="(%1)"/>
      <w:numFmt w:val="lowerLetter"/>
      <w:start w:val="2"/>
    </w:lvl>
  </w:abstractNum>
  <w:abstractNum w:abstractNumId="120">
    <w:nsid w:val="6EAA85FB"/>
    <w:multiLevelType w:val="hybridMultilevel"/>
    <w:lvl w:ilvl="0">
      <w:lvlJc w:val="left"/>
      <w:lvlText w:val="(%1)"/>
      <w:numFmt w:val="lowerLetter"/>
      <w:start w:val="4"/>
    </w:lvl>
  </w:abstractNum>
  <w:abstractNum w:abstractNumId="121">
    <w:nsid w:val="3F06ECB2"/>
    <w:multiLevelType w:val="hybridMultilevel"/>
    <w:lvl w:ilvl="0">
      <w:lvlJc w:val="left"/>
      <w:lvlText w:val="(%1)"/>
      <w:numFmt w:val="lowerLetter"/>
      <w:start w:val="6"/>
    </w:lvl>
  </w:abstractNum>
  <w:abstractNum w:abstractNumId="122">
    <w:nsid w:val="3B594807"/>
    <w:multiLevelType w:val="hybridMultilevel"/>
    <w:lvl w:ilvl="0">
      <w:lvlJc w:val="left"/>
      <w:lvlText w:val="(%1)"/>
      <w:numFmt w:val="lowerLetter"/>
      <w:start w:val="1"/>
    </w:lvl>
  </w:abstractNum>
  <w:abstractNum w:abstractNumId="123">
    <w:nsid w:val="6CAA2304"/>
    <w:multiLevelType w:val="hybridMultilevel"/>
    <w:lvl w:ilvl="0">
      <w:lvlJc w:val="left"/>
      <w:lvlText w:val="(%1)"/>
      <w:numFmt w:val="lowerLetter"/>
      <w:start w:val="2"/>
    </w:lvl>
  </w:abstractNum>
  <w:abstractNum w:abstractNumId="124">
    <w:nsid w:val="3F7C2FF4"/>
    <w:multiLevelType w:val="hybridMultilevel"/>
    <w:lvl w:ilvl="0">
      <w:lvlJc w:val="left"/>
      <w:lvlText w:val="(%1)"/>
      <w:numFmt w:val="lowerLetter"/>
      <w:start w:val="4"/>
    </w:lvl>
  </w:abstractNum>
  <w:abstractNum w:abstractNumId="125">
    <w:nsid w:val="25413BEC"/>
    <w:multiLevelType w:val="hybridMultilevel"/>
    <w:lvl w:ilvl="0">
      <w:lvlJc w:val="left"/>
      <w:lvlText w:val="(%1)"/>
      <w:numFmt w:val="lowerLetter"/>
      <w:start w:val="1"/>
    </w:lvl>
  </w:abstractNum>
  <w:abstractNum w:abstractNumId="126">
    <w:nsid w:val="17180B0B"/>
    <w:multiLevelType w:val="hybridMultilevel"/>
    <w:lvl w:ilvl="0">
      <w:lvlJc w:val="left"/>
      <w:lvlText w:val="%1"/>
      <w:numFmt w:val="upperLetter"/>
      <w:start w:val="1"/>
    </w:lvl>
    <w:lvl w:ilvl="1">
      <w:lvlJc w:val="left"/>
      <w:lvlText w:val="(%2)"/>
      <w:numFmt w:val="lowerLetter"/>
      <w:start w:val="3"/>
    </w:lvl>
  </w:abstractNum>
  <w:abstractNum w:abstractNumId="127">
    <w:nsid w:val="579328B9"/>
    <w:multiLevelType w:val="hybridMultilevel"/>
    <w:lvl w:ilvl="0">
      <w:lvlJc w:val="left"/>
      <w:lvlText w:val="(%1)"/>
      <w:numFmt w:val="upperLetter"/>
      <w:start w:val="3"/>
    </w:lvl>
    <w:lvl w:ilvl="1">
      <w:lvlJc w:val="left"/>
      <w:lvlText w:val="%2"/>
      <w:numFmt w:val="lowerLetter"/>
      <w:start w:val="1"/>
    </w:lvl>
  </w:abstractNum>
  <w:abstractNum w:abstractNumId="128">
    <w:nsid w:val="5D205E20"/>
    <w:multiLevelType w:val="hybridMultilevel"/>
    <w:lvl w:ilvl="0">
      <w:lvlJc w:val="left"/>
      <w:lvlText w:val="%1"/>
      <w:numFmt w:val="upperLetter"/>
      <w:start w:val="1"/>
    </w:lvl>
    <w:lvl w:ilvl="1">
      <w:lvlJc w:val="left"/>
      <w:lvlText w:val="(%2)"/>
      <w:numFmt w:val="lowerLetter"/>
      <w:start w:val="1"/>
    </w:lvl>
  </w:abstractNum>
  <w:abstractNum w:abstractNumId="129">
    <w:nsid w:val="11CCA8BA"/>
    <w:multiLevelType w:val="hybridMultilevel"/>
    <w:lvl w:ilvl="0">
      <w:lvlJc w:val="left"/>
      <w:lvlText w:val="(%1)"/>
      <w:numFmt w:val="upperLetter"/>
      <w:start w:val="2"/>
    </w:lvl>
    <w:lvl w:ilvl="1">
      <w:lvlJc w:val="left"/>
      <w:lvlText w:val="%2"/>
      <w:numFmt w:val="lowerLetter"/>
      <w:start w:val="1"/>
    </w:lvl>
  </w:abstractNum>
  <w:abstractNum w:abstractNumId="130">
    <w:nsid w:val="4D32AB86"/>
    <w:multiLevelType w:val="hybridMultilevel"/>
    <w:lvl w:ilvl="0">
      <w:lvlJc w:val="left"/>
      <w:lvlText w:val="(%1)"/>
      <w:numFmt w:val="lowerLetter"/>
      <w:start w:val="2"/>
    </w:lvl>
  </w:abstractNum>
  <w:abstractNum w:abstractNumId="131">
    <w:nsid w:val="3F07ACC3"/>
    <w:multiLevelType w:val="hybridMultilevel"/>
    <w:lvl w:ilvl="0">
      <w:lvlJc w:val="left"/>
      <w:lvlText w:val="(%1)"/>
      <w:numFmt w:val="lowerLetter"/>
      <w:start w:val="1"/>
    </w:lvl>
  </w:abstractNum>
  <w:abstractNum w:abstractNumId="132">
    <w:nsid w:val="6B47F63E"/>
    <w:multiLevelType w:val="hybridMultilevel"/>
    <w:lvl w:ilvl="0">
      <w:lvlJc w:val="left"/>
      <w:lvlText w:val="(%1)"/>
      <w:numFmt w:val="lowerLetter"/>
      <w:start w:val="3"/>
    </w:lvl>
  </w:abstractNum>
  <w:abstractNum w:abstractNumId="133">
    <w:nsid w:val="5CB44A05"/>
    <w:multiLevelType w:val="hybridMultilevel"/>
    <w:lvl w:ilvl="0">
      <w:lvlJc w:val="left"/>
      <w:lvlText w:val="(%1)"/>
      <w:numFmt w:val="lowerLetter"/>
      <w:start w:val="1"/>
    </w:lvl>
  </w:abstractNum>
  <w:abstractNum w:abstractNumId="134">
    <w:nsid w:val="16CF80F1"/>
    <w:multiLevelType w:val="hybridMultilevel"/>
    <w:lvl w:ilvl="0">
      <w:lvlJc w:val="left"/>
      <w:lvlText w:val="(%1)"/>
      <w:numFmt w:val="lowerLetter"/>
      <w:start w:val="4"/>
    </w:lvl>
  </w:abstractNum>
  <w:abstractNum w:abstractNumId="135">
    <w:nsid w:val="1C695DEC"/>
    <w:multiLevelType w:val="hybridMultilevel"/>
    <w:lvl w:ilvl="0">
      <w:lvlJc w:val="left"/>
      <w:lvlText w:val="(%1)"/>
      <w:numFmt w:val="lowerLetter"/>
      <w:start w:val="1"/>
    </w:lvl>
  </w:abstractNum>
  <w:abstractNum w:abstractNumId="136">
    <w:nsid w:val="3FCFAED9"/>
    <w:multiLevelType w:val="hybridMultilevel"/>
    <w:lvl w:ilvl="0">
      <w:lvlJc w:val="left"/>
      <w:lvlText w:val="(%1)"/>
      <w:numFmt w:val="lowerLetter"/>
      <w:start w:val="1"/>
    </w:lvl>
  </w:abstractNum>
  <w:abstractNum w:abstractNumId="137">
    <w:nsid w:val="F856867"/>
    <w:multiLevelType w:val="hybridMultilevel"/>
    <w:lvl w:ilvl="0">
      <w:lvlJc w:val="left"/>
      <w:lvlText w:val="(%1)"/>
      <w:numFmt w:val="lowerLetter"/>
      <w:start w:val="7"/>
    </w:lvl>
  </w:abstractNum>
  <w:abstractNum w:abstractNumId="138">
    <w:nsid w:val="11B1CC33"/>
    <w:multiLevelType w:val="hybridMultilevel"/>
    <w:lvl w:ilvl="0">
      <w:lvlJc w:val="left"/>
      <w:lvlText w:val="(%1)"/>
      <w:numFmt w:val="lowerLetter"/>
      <w:start w:val="1"/>
    </w:lvl>
  </w:abstractNum>
  <w:abstractNum w:abstractNumId="139">
    <w:nsid w:val="2E22FBB7"/>
    <w:multiLevelType w:val="hybridMultilevel"/>
    <w:lvl w:ilvl="0">
      <w:lvlJc w:val="left"/>
      <w:lvlText w:val="(%1)"/>
      <w:numFmt w:val="lowerLetter"/>
      <w:start w:val="3"/>
    </w:lvl>
  </w:abstractNum>
  <w:abstractNum w:abstractNumId="140">
    <w:nsid w:val="29934699"/>
    <w:multiLevelType w:val="hybridMultilevel"/>
    <w:lvl w:ilvl="0">
      <w:lvlJc w:val="left"/>
      <w:lvlText w:val="(%1)"/>
      <w:numFmt w:val="lowerLetter"/>
      <w:start w:val="1"/>
    </w:lvl>
    <w:lvl w:ilvl="1">
      <w:lvlJc w:val="left"/>
      <w:lvlText w:val="(%2)"/>
      <w:numFmt w:val="lowerRoman"/>
      <w:start w:val="1"/>
    </w:lvl>
  </w:abstractNum>
  <w:abstractNum w:abstractNumId="141">
    <w:nsid w:val="77485850"/>
    <w:multiLevelType w:val="hybridMultilevel"/>
    <w:lvl w:ilvl="0">
      <w:lvlJc w:val="left"/>
      <w:lvlText w:val="%1"/>
      <w:numFmt w:val="lowerLetter"/>
      <w:start w:val="1"/>
    </w:lvl>
    <w:lvl w:ilvl="1">
      <w:lvlJc w:val="left"/>
      <w:lvlText w:val="(%2)"/>
      <w:numFmt w:val="lowerRoman"/>
      <w:start w:val="6"/>
    </w:lvl>
  </w:abstractNum>
  <w:abstractNum w:abstractNumId="142">
    <w:nsid w:val="744939A3"/>
    <w:multiLevelType w:val="hybridMultilevel"/>
    <w:lvl w:ilvl="0">
      <w:lvlJc w:val="left"/>
      <w:lvlText w:val="(%1)"/>
      <w:numFmt w:val="lowerLetter"/>
      <w:start w:val="3"/>
    </w:lvl>
    <w:lvl w:ilvl="1">
      <w:lvlJc w:val="left"/>
      <w:lvlText w:val="%2"/>
      <w:numFmt w:val="lowerRoman"/>
      <w:start w:val="1"/>
    </w:lvl>
  </w:abstractNum>
  <w:abstractNum w:abstractNumId="143">
    <w:nsid w:val="4FA0D2E3"/>
    <w:multiLevelType w:val="hybridMultilevel"/>
    <w:lvl w:ilvl="0">
      <w:lvlJc w:val="left"/>
      <w:lvlText w:val="(%1)"/>
      <w:numFmt w:val="lowerLetter"/>
      <w:start w:val="1"/>
    </w:lvl>
  </w:abstractNum>
  <w:abstractNum w:abstractNumId="144">
    <w:nsid w:val="6B1D2C14"/>
    <w:multiLevelType w:val="hybridMultilevel"/>
    <w:lvl w:ilvl="0">
      <w:lvlJc w:val="left"/>
      <w:lvlText w:val="(%1)"/>
      <w:numFmt w:val="lowerLetter"/>
      <w:start w:val="2"/>
    </w:lvl>
  </w:abstractNum>
  <w:abstractNum w:abstractNumId="145">
    <w:nsid w:val="68B867D3"/>
    <w:multiLevelType w:val="hybridMultilevel"/>
    <w:lvl w:ilvl="0">
      <w:lvlJc w:val="left"/>
      <w:lvlText w:val="(%1)"/>
      <w:numFmt w:val="lowerLetter"/>
      <w:start w:val="1"/>
    </w:lvl>
  </w:abstractNum>
  <w:abstractNum w:abstractNumId="146">
    <w:nsid w:val="3F7F5DD9"/>
    <w:multiLevelType w:val="hybridMultilevel"/>
    <w:lvl w:ilvl="0">
      <w:lvlJc w:val="left"/>
      <w:lvlText w:val="(%1)"/>
      <w:numFmt w:val="lowerLetter"/>
      <w:start w:val="2"/>
    </w:lvl>
  </w:abstractNum>
  <w:abstractNum w:abstractNumId="147">
    <w:nsid w:val="2AE05A34"/>
    <w:multiLevelType w:val="hybridMultilevel"/>
    <w:lvl w:ilvl="0">
      <w:lvlJc w:val="left"/>
      <w:lvlText w:val="(%1)"/>
      <w:numFmt w:val="lowerLetter"/>
      <w:start w:val="1"/>
    </w:lvl>
  </w:abstractNum>
  <w:abstractNum w:abstractNumId="148">
    <w:nsid w:val="32794FF7"/>
    <w:multiLevelType w:val="hybridMultilevel"/>
    <w:lvl w:ilvl="0">
      <w:lvlJc w:val="left"/>
      <w:lvlText w:val="(%1)"/>
      <w:numFmt w:val="lowerLetter"/>
      <w:start w:val="5"/>
    </w:lvl>
  </w:abstractNum>
  <w:abstractNum w:abstractNumId="149">
    <w:nsid w:val="5454945E"/>
    <w:multiLevelType w:val="hybridMultilevel"/>
    <w:lvl w:ilvl="0">
      <w:lvlJc w:val="left"/>
      <w:lvlText w:val="(%1)"/>
      <w:numFmt w:val="lowerLetter"/>
      <w:start w:val="9"/>
    </w:lvl>
  </w:abstractNum>
  <w:abstractNum w:abstractNumId="150">
    <w:nsid w:val="4DEFDFA0"/>
    <w:multiLevelType w:val="hybridMultilevel"/>
    <w:lvl w:ilvl="0">
      <w:lvlJc w:val="left"/>
      <w:lvlText w:val="(%1)"/>
      <w:numFmt w:val="lowerLetter"/>
      <w:start w:val="1"/>
    </w:lvl>
  </w:abstractNum>
  <w:abstractNum w:abstractNumId="151">
    <w:nsid w:val="2123D5F2"/>
    <w:multiLevelType w:val="hybridMultilevel"/>
    <w:lvl w:ilvl="0">
      <w:lvlJc w:val="left"/>
      <w:lvlText w:val="(%1)"/>
      <w:numFmt w:val="lowerLetter"/>
      <w:start w:val="8"/>
    </w:lvl>
  </w:abstractNum>
  <w:abstractNum w:abstractNumId="152">
    <w:nsid w:val="135B8110"/>
    <w:multiLevelType w:val="hybridMultilevel"/>
    <w:lvl w:ilvl="0">
      <w:lvlJc w:val="left"/>
      <w:lvlText w:val="(%1)"/>
      <w:numFmt w:val="lowerLetter"/>
      <w:start w:val="20"/>
    </w:lvl>
  </w:abstractNum>
  <w:abstractNum w:abstractNumId="153">
    <w:nsid w:val="94927A8"/>
    <w:multiLevelType w:val="hybridMultilevel"/>
    <w:lvl w:ilvl="0">
      <w:lvlJc w:val="left"/>
      <w:lvlText w:val="(%1)"/>
      <w:numFmt w:val="lowerLetter"/>
      <w:start w:val="27"/>
    </w:lvl>
  </w:abstractNum>
  <w:abstractNum w:abstractNumId="154">
    <w:nsid w:val="DCDF8F6"/>
    <w:multiLevelType w:val="hybridMultilevel"/>
    <w:lvl w:ilvl="0">
      <w:lvlJc w:val="left"/>
      <w:lvlText w:val="(%1)"/>
      <w:numFmt w:val="lowerLetter"/>
      <w:start w:val="28"/>
    </w:lvl>
  </w:abstractNum>
  <w:abstractNum w:abstractNumId="155">
    <w:nsid w:val="52D7B105"/>
    <w:multiLevelType w:val="hybridMultilevel"/>
    <w:lvl w:ilvl="0">
      <w:lvlJc w:val="left"/>
      <w:lvlText w:val="(%1)"/>
      <w:numFmt w:val="lowerLetter"/>
      <w:start w:val="39"/>
    </w:lvl>
  </w:abstractNum>
  <w:abstractNum w:abstractNumId="156">
    <w:nsid w:val="2E8A6394"/>
    <w:multiLevelType w:val="hybridMultilevel"/>
    <w:lvl w:ilvl="0">
      <w:lvlJc w:val="left"/>
      <w:lvlText w:val="(%1)"/>
      <w:numFmt w:val="lowerLetter"/>
      <w:start w:val="45"/>
    </w:lvl>
  </w:abstractNum>
  <w:abstractNum w:abstractNumId="157">
    <w:nsid w:val="24E60401"/>
    <w:multiLevelType w:val="hybridMultilevel"/>
    <w:lvl w:ilvl="0">
      <w:lvlJc w:val="left"/>
      <w:lvlText w:val="(%1)"/>
      <w:numFmt w:val="lowerLetter"/>
      <w:start w:val="53"/>
    </w:lvl>
  </w:abstractNum>
  <w:abstractNum w:abstractNumId="158">
    <w:nsid w:val="2A6AD9BE"/>
    <w:multiLevelType w:val="hybridMultilevel"/>
    <w:lvl w:ilvl="0">
      <w:lvlJc w:val="left"/>
      <w:lvlText w:val="(%1)"/>
      <w:numFmt w:val="lowerLetter"/>
      <w:start w:val="56"/>
    </w:lvl>
  </w:abstractNum>
  <w:abstractNum w:abstractNumId="159">
    <w:nsid w:val="BAAC1B4"/>
    <w:multiLevelType w:val="hybridMultilevel"/>
    <w:lvl w:ilvl="0">
      <w:lvlJc w:val="left"/>
      <w:lvlText w:val="(%1)"/>
      <w:numFmt w:val="lowerLetter"/>
      <w:start w:val="64"/>
    </w:lvl>
  </w:abstractNum>
  <w:abstractNum w:abstractNumId="160">
    <w:nsid w:val="36B2ACBC"/>
    <w:multiLevelType w:val="hybridMultilevel"/>
    <w:lvl w:ilvl="0">
      <w:lvlJc w:val="left"/>
      <w:lvlText w:val="(%1)"/>
      <w:numFmt w:val="lowerLetter"/>
      <w:start w:val="71"/>
    </w:lvl>
  </w:abstractNum>
  <w:abstractNum w:abstractNumId="161">
    <w:nsid w:val="779D8544"/>
    <w:multiLevelType w:val="hybridMultilevel"/>
    <w:lvl w:ilvl="0">
      <w:lvlJc w:val="left"/>
      <w:lvlText w:val="(%1)"/>
      <w:numFmt w:val="lowerLetter"/>
      <w:start w:val="79"/>
    </w:lvl>
  </w:abstractNum>
  <w:abstractNum w:abstractNumId="162">
    <w:nsid w:val="4AB26E78"/>
    <w:multiLevelType w:val="hybridMultilevel"/>
    <w:lvl w:ilvl="0">
      <w:lvlJc w:val="left"/>
      <w:lvlText w:val="(%1)"/>
      <w:numFmt w:val="lowerLetter"/>
      <w:start w:val="80"/>
    </w:lvl>
  </w:abstractNum>
  <w:abstractNum w:abstractNumId="163">
    <w:nsid w:val="21FAA2FA"/>
    <w:multiLevelType w:val="hybridMultilevel"/>
    <w:lvl w:ilvl="0">
      <w:lvlJc w:val="left"/>
      <w:lvlText w:val="(%1)"/>
      <w:numFmt w:val="lowerLetter"/>
      <w:start w:val="86"/>
    </w:lvl>
  </w:abstractNum>
  <w:abstractNum w:abstractNumId="164">
    <w:nsid w:val="5451CF49"/>
    <w:multiLevelType w:val="hybridMultilevel"/>
    <w:lvl w:ilvl="0">
      <w:lvlJc w:val="left"/>
      <w:lvlText w:val="%1"/>
      <w:numFmt w:val="decimal"/>
      <w:start w:val="1"/>
    </w:lvl>
    <w:lvl w:ilvl="1">
      <w:lvlJc w:val="left"/>
      <w:lvlText w:val="(%2)"/>
      <w:numFmt w:val="lowerLetter"/>
      <w:start w:val="96"/>
    </w:lvl>
  </w:abstractNum>
  <w:abstractNum w:abstractNumId="165">
    <w:nsid w:val="6181EF69"/>
    <w:multiLevelType w:val="hybridMultilevel"/>
    <w:lvl w:ilvl="0">
      <w:lvlJc w:val="left"/>
      <w:lvlText w:val="(%1)"/>
      <w:numFmt w:val="decimal"/>
      <w:start w:val="10"/>
    </w:lvl>
    <w:lvl w:ilvl="1">
      <w:lvlJc w:val="left"/>
      <w:lvlText w:val="(%2)"/>
      <w:numFmt w:val="lowerLetter"/>
      <w:start w:val="99"/>
    </w:lvl>
  </w:abstractNum>
  <w:abstractNum w:abstractNumId="166">
    <w:nsid w:val="3E6400E6"/>
    <w:multiLevelType w:val="hybridMultilevel"/>
    <w:lvl w:ilvl="0">
      <w:lvlJc w:val="left"/>
      <w:lvlText w:val="(%1)"/>
      <w:numFmt w:val="lowerLetter"/>
      <w:start w:val="105"/>
    </w:lvl>
    <w:lvl w:ilvl="1">
      <w:lvlJc w:val="left"/>
      <w:lvlText w:val="(%2)"/>
      <w:numFmt w:val="lowerLetter"/>
      <w:start w:val="9"/>
    </w:lvl>
  </w:abstractNum>
  <w:abstractNum w:abstractNumId="167">
    <w:nsid w:val="14217E2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68">
    <w:nsid w:val="710757D0"/>
    <w:multiLevelType w:val="hybridMultilevel"/>
    <w:lvl w:ilvl="0">
      <w:lvlJc w:val="left"/>
      <w:lvlText w:val="(%1)"/>
      <w:numFmt w:val="upperLetter"/>
      <w:start w:val="2"/>
    </w:lvl>
    <w:lvl w:ilvl="1">
      <w:lvlJc w:val="left"/>
      <w:lvlText w:val="(%2)"/>
      <w:numFmt w:val="lowerLetter"/>
      <w:start w:val="113"/>
    </w:lvl>
    <w:lvl w:ilvl="2">
      <w:lvlJc w:val="left"/>
      <w:lvlText w:val="%3"/>
      <w:numFmt w:val="lowerLetter"/>
      <w:start w:val="1"/>
    </w:lvl>
  </w:abstractNum>
  <w:abstractNum w:abstractNumId="169">
    <w:nsid w:val="5015CD1A"/>
    <w:multiLevelType w:val="hybridMultilevel"/>
    <w:lvl w:ilvl="0">
      <w:lvlJc w:val="left"/>
      <w:lvlText w:val="(%1)"/>
      <w:numFmt w:val="lowerLetter"/>
      <w:start w:val="117"/>
    </w:lvl>
  </w:abstractNum>
  <w:abstractNum w:abstractNumId="170">
    <w:nsid w:val="424479DA"/>
    <w:multiLevelType w:val="hybridMultilevel"/>
    <w:lvl w:ilvl="0">
      <w:lvlJc w:val="left"/>
      <w:lvlText w:val="%1"/>
      <w:numFmt w:val="lowerLetter"/>
      <w:start w:val="1"/>
    </w:lvl>
    <w:lvl w:ilvl="1">
      <w:lvlJc w:val="left"/>
      <w:lvlText w:val="(%2)"/>
      <w:numFmt w:val="lowerLetter"/>
      <w:start w:val="123"/>
    </w:lvl>
  </w:abstractNum>
  <w:abstractNum w:abstractNumId="171">
    <w:nsid w:val="1A9A9E69"/>
    <w:multiLevelType w:val="hybridMultilevel"/>
    <w:lvl w:ilvl="0">
      <w:lvlJc w:val="left"/>
      <w:lvlText w:val="(%1)"/>
      <w:numFmt w:val="lowerLetter"/>
      <w:start w:val="2"/>
    </w:lvl>
    <w:lvl w:ilvl="1">
      <w:lvlJc w:val="left"/>
      <w:lvlText w:val="(%2)"/>
      <w:numFmt w:val="lowerLetter"/>
      <w:start w:val="124"/>
    </w:lvl>
  </w:abstractNum>
  <w:abstractNum w:abstractNumId="172">
    <w:nsid w:val="475E256A"/>
    <w:multiLevelType w:val="hybridMultilevel"/>
    <w:lvl w:ilvl="0">
      <w:lvlJc w:val="left"/>
      <w:lvlText w:val="(%1)"/>
      <w:numFmt w:val="lowerLetter"/>
      <w:start w:val="127"/>
    </w:lvl>
  </w:abstractNum>
  <w:abstractNum w:abstractNumId="173">
    <w:nsid w:val="368DB37E"/>
    <w:multiLevelType w:val="hybridMultilevel"/>
    <w:lvl w:ilvl="0">
      <w:lvlJc w:val="left"/>
      <w:lvlText w:val="(%1)"/>
      <w:numFmt w:val="lowerLetter"/>
      <w:start w:val="131"/>
    </w:lvl>
  </w:abstractNum>
  <w:abstractNum w:abstractNumId="174">
    <w:nsid w:val="6A3B714C"/>
    <w:multiLevelType w:val="hybridMultilevel"/>
    <w:lvl w:ilvl="0">
      <w:lvlJc w:val="left"/>
      <w:lvlText w:val="%1"/>
      <w:numFmt w:val="lowerLetter"/>
      <w:start w:val="1"/>
    </w:lvl>
    <w:lvl w:ilvl="1">
      <w:lvlJc w:val="left"/>
      <w:lvlText w:val="(%2)"/>
      <w:numFmt w:val="lowerLetter"/>
      <w:start w:val="133"/>
    </w:lvl>
  </w:abstractNum>
  <w:abstractNum w:abstractNumId="175">
    <w:nsid w:val="327B517E"/>
    <w:multiLevelType w:val="hybridMultilevel"/>
    <w:lvl w:ilvl="0">
      <w:lvlJc w:val="left"/>
      <w:lvlText w:val="(%1)"/>
      <w:numFmt w:val="lowerLetter"/>
      <w:start w:val="35"/>
    </w:lvl>
    <w:lvl w:ilvl="1">
      <w:lvlJc w:val="left"/>
      <w:lvlText w:val="%2"/>
      <w:numFmt w:val="lowerLetter"/>
      <w:start w:val="1"/>
    </w:lvl>
  </w:abstractNum>
  <w:abstractNum w:abstractNumId="176">
    <w:nsid w:val="1F461B51"/>
    <w:multiLevelType w:val="hybridMultilevel"/>
    <w:lvl w:ilvl="0">
      <w:lvlJc w:val="left"/>
      <w:lvlText w:val="(%1)."/>
      <w:numFmt w:val="lowerLetter"/>
      <w:start w:val="9"/>
    </w:lvl>
    <w:lvl w:ilvl="1">
      <w:lvlJc w:val="left"/>
      <w:lvlText w:val="(%2)"/>
      <w:numFmt w:val="lowerLetter"/>
      <w:start w:val="134"/>
    </w:lvl>
  </w:abstractNum>
  <w:abstractNum w:abstractNumId="177">
    <w:nsid w:val="29BACF25"/>
    <w:multiLevelType w:val="hybridMultilevel"/>
    <w:lvl w:ilvl="0">
      <w:lvlJc w:val="left"/>
      <w:lvlText w:val="(%1)"/>
      <w:numFmt w:val="lowerLetter"/>
      <w:start w:val="140"/>
    </w:lvl>
  </w:abstractNum>
  <w:abstractNum w:abstractNumId="178">
    <w:nsid w:val="5D5BABB3"/>
    <w:multiLevelType w:val="hybridMultilevel"/>
    <w:lvl w:ilvl="0">
      <w:lvlJc w:val="left"/>
      <w:lvlText w:val="(%1)"/>
      <w:numFmt w:val="lowerLetter"/>
      <w:start w:val="146"/>
    </w:lvl>
  </w:abstractNum>
  <w:abstractNum w:abstractNumId="179">
    <w:nsid w:val="51BF6B48"/>
    <w:multiLevelType w:val="hybridMultilevel"/>
    <w:lvl w:ilvl="0">
      <w:lvlJc w:val="left"/>
      <w:lvlText w:val="%1."/>
      <w:numFmt w:val="decimal"/>
      <w:start w:val="1"/>
    </w:lvl>
  </w:abstractNum>
  <w:abstractNum w:abstractNumId="180">
    <w:nsid w:val="7E0F6384"/>
    <w:multiLevelType w:val="hybridMultilevel"/>
    <w:lvl w:ilvl="0">
      <w:lvlJc w:val="left"/>
      <w:lvlText w:val="%1."/>
      <w:numFmt w:val="decimal"/>
      <w:start w:val="6"/>
    </w:lvl>
  </w:abstractNum>
  <w:abstractNum w:abstractNumId="181">
    <w:nsid w:val="2B4B8B53"/>
    <w:multiLevelType w:val="hybridMultilevel"/>
    <w:lvl w:ilvl="0">
      <w:lvlJc w:val="left"/>
      <w:lvlText w:val="(%1)"/>
      <w:numFmt w:val="lowerLetter"/>
      <w:start w:val="1"/>
    </w:lvl>
  </w:abstractNum>
  <w:abstractNum w:abstractNumId="182">
    <w:nsid w:val="72E3413A"/>
    <w:multiLevelType w:val="hybridMultilevel"/>
    <w:lvl w:ilvl="0">
      <w:lvlJc w:val="left"/>
      <w:lvlText w:val="(%1)"/>
      <w:numFmt w:val="lowerLetter"/>
      <w:start w:val="5"/>
    </w:lvl>
  </w:abstractNum>
  <w:abstractNum w:abstractNumId="183">
    <w:nsid w:val="116AE494"/>
    <w:multiLevelType w:val="hybridMultilevel"/>
    <w:lvl w:ilvl="0">
      <w:lvlJc w:val="left"/>
      <w:lvlText w:val="(%1)"/>
      <w:numFmt w:val="lowerLetter"/>
      <w:start w:val="1"/>
    </w:lvl>
  </w:abstractNum>
  <w:abstractNum w:abstractNumId="184">
    <w:nsid w:val="3494B2FB"/>
    <w:multiLevelType w:val="hybridMultilevel"/>
    <w:lvl w:ilvl="0">
      <w:lvlJc w:val="left"/>
      <w:lvlText w:val="(%1)"/>
      <w:numFmt w:val="lowerLetter"/>
      <w:start w:val="3"/>
    </w:lvl>
  </w:abstractNum>
  <w:abstractNum w:abstractNumId="185">
    <w:nsid w:val="B13A31"/>
    <w:multiLevelType w:val="hybridMultilevel"/>
    <w:lvl w:ilvl="0">
      <w:lvlJc w:val="left"/>
      <w:lvlText w:val="%1."/>
      <w:numFmt w:val="decimal"/>
      <w:start w:val="1"/>
    </w:lvl>
    <w:lvl w:ilvl="1">
      <w:lvlJc w:val="left"/>
      <w:lvlText w:val="%2)"/>
      <w:numFmt w:val="lowerLetter"/>
      <w:start w:val="1"/>
    </w:lvl>
  </w:abstractNum>
  <w:abstractNum w:abstractNumId="186">
    <w:nsid w:val="64429599"/>
    <w:multiLevelType w:val="hybridMultilevel"/>
    <w:lvl w:ilvl="0">
      <w:lvlJc w:val="left"/>
      <w:lvlText w:val="%1."/>
      <w:numFmt w:val="decimal"/>
      <w:start w:val="1"/>
    </w:lvl>
    <w:lvl w:ilvl="1">
      <w:lvlJc w:val="left"/>
      <w:lvlText w:val="%2)"/>
      <w:numFmt w:val="lowerLetter"/>
      <w:start w:val="1"/>
    </w:lvl>
  </w:abstractNum>
  <w:abstractNum w:abstractNumId="187">
    <w:nsid w:val="631F1690"/>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67" Type="http://schemas.openxmlformats.org/officeDocument/2006/relationships/hyperlink" Target="http://www.sec.gov/Archives/edgar/data/1467858/000119312510279214/dex32.htm" TargetMode="External"/><Relationship Id="rId68" Type="http://schemas.openxmlformats.org/officeDocument/2006/relationships/hyperlink" Target="http://www.sec.gov/Archives/edgar/data/1467858/000119312518252892/d595623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2021-05-05T12:15:04Z</dcterms:created>
  <dcterms:modified xsi:type="dcterms:W3CDTF">2021-05-05T12:15:04Z</dcterms:modified>
</cp:coreProperties>
</file>