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August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000-53930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000"/>
          </w:cols>
          <w:pgMar w:left="240" w:top="314" w:right="659" w:bottom="1440" w:gutter="0" w:footer="0" w:header="0"/>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314"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2" w:lineRule="exact"/>
        <w:rPr>
          <w:sz w:val="20"/>
          <w:szCs w:val="20"/>
          <w:color w:val="auto"/>
        </w:rPr>
      </w:pPr>
    </w:p>
    <w:p>
      <w:pPr>
        <w:ind w:left="1040" w:right="3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Kent Kresa retired from the Board of Directors of General Motors Company (“GM”) on August 3, 2010. During the preceding year, Mr. Kresa turned 72 years old; GM’s corporate governance guidelines state the Board’s general policy that directors will not stand for re-election after reaching the age of 72.</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Kresa’s retirement is described in the press release attached to this Form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GM Board of Directors approved the following amendments to its bylaws at the Board’s meeting on August 3, 2010, effective immediately:</w:t>
      </w:r>
    </w:p>
    <w:p>
      <w:pPr>
        <w:spacing w:after="0" w:line="113" w:lineRule="exact"/>
        <w:rPr>
          <w:sz w:val="20"/>
          <w:szCs w:val="20"/>
          <w:color w:val="auto"/>
        </w:rPr>
      </w:pPr>
    </w:p>
    <w:p>
      <w:pPr>
        <w:ind w:left="4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1.2 was amended to increase the minimum stock ownership required to qualify a stockholder or group of stockholders to call a special stockholder meeting from 15 percent to 25 percent.</w:t>
      </w:r>
    </w:p>
    <w:p>
      <w:pPr>
        <w:spacing w:after="0" w:line="50" w:lineRule="exact"/>
        <w:rPr>
          <w:rFonts w:ascii="Arial" w:cs="Arial" w:eastAsia="Arial" w:hAnsi="Arial"/>
          <w:sz w:val="18"/>
          <w:szCs w:val="18"/>
          <w:color w:val="auto"/>
        </w:rPr>
      </w:pPr>
    </w:p>
    <w:p>
      <w:pPr>
        <w:ind w:left="440" w:right="6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2.3 was amended to delete the specific description of how the dates of the Board’s regular meeting should be set and to authorize the Chairman of the Board to designate the dates of regular meetings.</w:t>
      </w:r>
    </w:p>
    <w:p>
      <w:pPr>
        <w:spacing w:after="0" w:line="50" w:lineRule="exact"/>
        <w:rPr>
          <w:rFonts w:ascii="Arial" w:cs="Arial" w:eastAsia="Arial" w:hAnsi="Arial"/>
          <w:sz w:val="18"/>
          <w:szCs w:val="18"/>
          <w:color w:val="auto"/>
        </w:rPr>
      </w:pPr>
    </w:p>
    <w:p>
      <w:pPr>
        <w:ind w:left="440" w:right="92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2.4 was amended to permit notice of a special meeting of the Board to be given less than 24 hours in advance as reasonable under the circumstances.</w:t>
      </w:r>
    </w:p>
    <w:p>
      <w:pPr>
        <w:spacing w:after="0" w:line="5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3.4 was amended to delete the title and description of the Board’s Investment Funds Committee, which is now dissolved, and to insert a new title and description of the newly formed Finance and Risk Policy Committee.</w:t>
      </w:r>
    </w:p>
    <w:p>
      <w:pPr>
        <w:spacing w:after="0" w:line="5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Sections 3.1 and 6.5 were amended to delete references to the Investment Funds Committee and to insert references to the Finance and Risk Policy Committee in those places.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complete copy of the bylaws as amended is attached to this Form as Exhibit 3.1.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of the stockholders of GM was held on August 3, 2010. No proxies were solicited in connection with this meeting.</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Stockholders voted on the election of directors for the following year. The following individuals were elected: Daniel F. Akerson, David Bonderman, Erroll B. Davis, Jr., Stephen Girsky, E. Neville Isdell, Robert D. Krebs, Philip A. Laskawy, Kathryn V. Marinello, Patricia F. Russo, Carol M. Stephenson, Cynthia A. Telles, and Edward E. Whitacre, Jr. These individuals comprised the GM Board of Directors as previously reported to the Securities and Exchange Commission, except for Mr. Kresa, who retired from the Board on the date of the meeting.</w:t>
      </w:r>
    </w:p>
    <w:p>
      <w:pPr>
        <w:sectPr>
          <w:pgSz w:w="11900" w:h="16838" w:orient="portrait"/>
          <w:cols w:equalWidth="0" w:num="1">
            <w:col w:w="11300"/>
          </w:cols>
          <w:pgMar w:left="240" w:top="27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abstentions or broker non-votes. The final voting results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2740" w:type="dxa"/>
            <w:vAlign w:val="bottom"/>
          </w:tcPr>
          <w:p>
            <w:pPr>
              <w:spacing w:after="0"/>
              <w:rPr>
                <w:sz w:val="20"/>
                <w:szCs w:val="20"/>
                <w:color w:val="auto"/>
              </w:rPr>
            </w:pPr>
            <w:r>
              <w:rPr>
                <w:rFonts w:ascii="Arial" w:cs="Arial" w:eastAsia="Arial" w:hAnsi="Arial"/>
                <w:sz w:val="14"/>
                <w:szCs w:val="14"/>
                <w:b w:val="1"/>
                <w:bCs w:val="1"/>
                <w:color w:val="auto"/>
              </w:rPr>
              <w:t>Votes For</w:t>
            </w:r>
          </w:p>
        </w:tc>
        <w:tc>
          <w:tcPr>
            <w:tcW w:w="2960" w:type="dxa"/>
            <w:vAlign w:val="bottom"/>
            <w:gridSpan w:val="2"/>
          </w:tcPr>
          <w:p>
            <w:pPr>
              <w:ind w:left="120"/>
              <w:spacing w:after="0"/>
              <w:rPr>
                <w:sz w:val="20"/>
                <w:szCs w:val="20"/>
                <w:color w:val="auto"/>
              </w:rPr>
            </w:pPr>
            <w:r>
              <w:rPr>
                <w:rFonts w:ascii="Arial" w:cs="Arial" w:eastAsia="Arial" w:hAnsi="Arial"/>
                <w:sz w:val="14"/>
                <w:szCs w:val="14"/>
                <w:b w:val="1"/>
                <w:bCs w:val="1"/>
                <w:color w:val="auto"/>
              </w:rPr>
              <w:t>Votes Against</w:t>
            </w:r>
          </w:p>
        </w:tc>
        <w:tc>
          <w:tcPr>
            <w:tcW w:w="120" w:type="dxa"/>
            <w:vAlign w:val="bottom"/>
          </w:tcPr>
          <w:p>
            <w:pPr>
              <w:spacing w:after="0"/>
              <w:rPr>
                <w:sz w:val="15"/>
                <w:szCs w:val="15"/>
                <w:color w:val="auto"/>
              </w:rPr>
            </w:pPr>
          </w:p>
        </w:tc>
        <w:tc>
          <w:tcPr>
            <w:tcW w:w="2720" w:type="dxa"/>
            <w:vAlign w:val="bottom"/>
          </w:tcPr>
          <w:p>
            <w:pPr>
              <w:jc w:val="right"/>
              <w:ind w:right="1768"/>
              <w:spacing w:after="0"/>
              <w:rPr>
                <w:sz w:val="20"/>
                <w:szCs w:val="20"/>
                <w:color w:val="auto"/>
              </w:rPr>
            </w:pPr>
            <w:r>
              <w:rPr>
                <w:rFonts w:ascii="Arial" w:cs="Arial" w:eastAsia="Arial" w:hAnsi="Arial"/>
                <w:sz w:val="14"/>
                <w:szCs w:val="14"/>
                <w:b w:val="1"/>
                <w:bCs w:val="1"/>
                <w:color w:val="auto"/>
                <w:w w:val="84"/>
              </w:rPr>
              <w:t>Votes Withheld</w:t>
            </w:r>
          </w:p>
        </w:tc>
      </w:tr>
      <w:tr>
        <w:trPr>
          <w:trHeight w:val="201"/>
        </w:trPr>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Daniel</w:t>
            </w: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F. Akerson</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500,000,000</w:t>
            </w: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2720" w:type="dxa"/>
            <w:vAlign w:val="bottom"/>
            <w:tcBorders>
              <w:top w:val="single" w:sz="8" w:color="auto"/>
            </w:tcBorders>
          </w:tcPr>
          <w:p>
            <w:pPr>
              <w:jc w:val="right"/>
              <w:ind w:right="2568"/>
              <w:spacing w:after="0"/>
              <w:rPr>
                <w:sz w:val="20"/>
                <w:szCs w:val="20"/>
                <w:color w:val="auto"/>
              </w:rPr>
            </w:pPr>
            <w:r>
              <w:rPr>
                <w:rFonts w:ascii="Arial" w:cs="Arial" w:eastAsia="Arial" w:hAnsi="Arial"/>
                <w:sz w:val="15"/>
                <w:szCs w:val="15"/>
                <w:color w:val="auto"/>
                <w:w w:val="71"/>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Erroll B. Davis, Jr.</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Stephen J. Girsky</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 Neville Isdell</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Robert D. Krebs</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Philip A. Laskawy</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Kathryn V. Marinello</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Patricia F. Russo</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Carol M. Stephenson</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Cynthia A. Telles</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Edward E. Whitacre, Jr.</w:t>
            </w:r>
          </w:p>
        </w:tc>
        <w:tc>
          <w:tcPr>
            <w:tcW w:w="2740" w:type="dxa"/>
            <w:vAlign w:val="bottom"/>
          </w:tcPr>
          <w:p>
            <w:pPr>
              <w:spacing w:after="0"/>
              <w:rPr>
                <w:sz w:val="20"/>
                <w:szCs w:val="20"/>
                <w:color w:val="auto"/>
              </w:rPr>
            </w:pPr>
            <w:r>
              <w:rPr>
                <w:rFonts w:ascii="Arial" w:cs="Arial" w:eastAsia="Arial" w:hAnsi="Arial"/>
                <w:sz w:val="18"/>
                <w:szCs w:val="18"/>
                <w:color w:val="auto"/>
              </w:rPr>
              <w:t>500,000,000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0</w:t>
            </w:r>
          </w:p>
        </w:tc>
        <w:tc>
          <w:tcPr>
            <w:tcW w:w="2840" w:type="dxa"/>
            <w:vAlign w:val="bottom"/>
            <w:gridSpan w:val="2"/>
          </w:tcPr>
          <w:p>
            <w:pPr>
              <w:jc w:val="right"/>
              <w:ind w:right="2568"/>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 other matters were submitted to a vote of the stockholders.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00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32"/>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120" w:type="dxa"/>
            <w:vAlign w:val="bottom"/>
          </w:tcPr>
          <w:p>
            <w:pPr>
              <w:spacing w:after="0"/>
              <w:rPr>
                <w:sz w:val="20"/>
                <w:szCs w:val="20"/>
                <w:color w:val="auto"/>
              </w:rPr>
            </w:pPr>
          </w:p>
        </w:tc>
      </w:tr>
      <w:tr>
        <w:trPr>
          <w:trHeight w:val="316"/>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87"/>
              </w:rPr>
              <w:t>The bylaws of General Motors Company, as amended.</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News release dated August 3, 2010</w:t>
            </w: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August 9, 2010</w:t>
      </w:r>
      <w:r>
        <w:rPr>
          <w:sz w:val="20"/>
          <w:szCs w:val="20"/>
          <w:color w:val="auto"/>
        </w:rPr>
        <w:tab/>
      </w:r>
      <w:r>
        <w:rPr>
          <w:rFonts w:ascii="Arial" w:cs="Arial" w:eastAsia="Arial" w:hAnsi="Arial"/>
          <w:sz w:val="16"/>
          <w:szCs w:val="16"/>
          <w:u w:val="single" w:color="auto"/>
          <w:color w:val="auto"/>
        </w:rPr>
        <w:t xml:space="preserve">By: </w:t>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680" w:type="dxa"/>
            <w:vAlign w:val="bottom"/>
            <w:gridSpan w:val="5"/>
          </w:tcPr>
          <w:p>
            <w:pPr>
              <w:ind w:left="540"/>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9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Method of Filing</w:t>
            </w:r>
          </w:p>
        </w:tc>
        <w:tc>
          <w:tcPr>
            <w:tcW w:w="360" w:type="dxa"/>
            <w:vAlign w:val="bottom"/>
          </w:tcPr>
          <w:p>
            <w:pPr>
              <w:spacing w:after="0"/>
              <w:rPr>
                <w:sz w:val="24"/>
                <w:szCs w:val="24"/>
                <w:color w:val="auto"/>
              </w:rPr>
            </w:pPr>
          </w:p>
        </w:tc>
      </w:tr>
      <w:tr>
        <w:trPr>
          <w:trHeight w:val="316"/>
        </w:trPr>
        <w:tc>
          <w:tcPr>
            <w:tcW w:w="136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3140" w:type="dxa"/>
            <w:vAlign w:val="bottom"/>
            <w:gridSpan w:val="2"/>
          </w:tcPr>
          <w:p>
            <w:pPr>
              <w:spacing w:after="0"/>
              <w:rPr>
                <w:sz w:val="20"/>
                <w:szCs w:val="20"/>
                <w:color w:val="auto"/>
              </w:rPr>
            </w:pPr>
            <w:r>
              <w:rPr>
                <w:rFonts w:ascii="Arial" w:cs="Arial" w:eastAsia="Arial" w:hAnsi="Arial"/>
                <w:sz w:val="18"/>
                <w:szCs w:val="18"/>
                <w:color w:val="auto"/>
              </w:rPr>
              <w:t>Bylaws of General Motors Company</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780" w:type="dxa"/>
            <w:vAlign w:val="bottom"/>
            <w:gridSpan w:val="3"/>
          </w:tcPr>
          <w:p>
            <w:pPr>
              <w:ind w:left="3380"/>
              <w:spacing w:after="0"/>
              <w:rPr>
                <w:sz w:val="20"/>
                <w:szCs w:val="20"/>
                <w:color w:val="auto"/>
              </w:rPr>
            </w:pPr>
            <w:r>
              <w:rPr>
                <w:rFonts w:ascii="Arial" w:cs="Arial" w:eastAsia="Arial" w:hAnsi="Arial"/>
                <w:sz w:val="18"/>
                <w:szCs w:val="18"/>
                <w:color w:val="auto"/>
                <w:w w:val="89"/>
              </w:rPr>
              <w:t>Attached as Exhibit</w:t>
            </w:r>
          </w:p>
        </w:tc>
      </w:tr>
      <w:tr>
        <w:trPr>
          <w:trHeight w:val="324"/>
        </w:trPr>
        <w:tc>
          <w:tcPr>
            <w:tcW w:w="13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140" w:type="dxa"/>
            <w:vAlign w:val="bottom"/>
            <w:gridSpan w:val="2"/>
          </w:tcPr>
          <w:p>
            <w:pPr>
              <w:spacing w:after="0"/>
              <w:rPr>
                <w:sz w:val="20"/>
                <w:szCs w:val="20"/>
                <w:color w:val="auto"/>
              </w:rPr>
            </w:pPr>
            <w:r>
              <w:rPr>
                <w:rFonts w:ascii="Arial" w:cs="Arial" w:eastAsia="Arial" w:hAnsi="Arial"/>
                <w:sz w:val="18"/>
                <w:szCs w:val="18"/>
                <w:color w:val="auto"/>
              </w:rPr>
              <w:t>News release dated August 3, 2010</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780" w:type="dxa"/>
            <w:vAlign w:val="bottom"/>
            <w:gridSpan w:val="3"/>
          </w:tcPr>
          <w:p>
            <w:pPr>
              <w:ind w:left="3380"/>
              <w:spacing w:after="0"/>
              <w:rPr>
                <w:sz w:val="20"/>
                <w:szCs w:val="20"/>
                <w:color w:val="auto"/>
              </w:rPr>
            </w:pPr>
            <w:r>
              <w:rPr>
                <w:rFonts w:ascii="Arial" w:cs="Arial" w:eastAsia="Arial" w:hAnsi="Arial"/>
                <w:sz w:val="18"/>
                <w:szCs w:val="18"/>
                <w:color w:val="auto"/>
                <w:w w:val="89"/>
              </w:rPr>
              <w:t>Attached as Exhibit</w:t>
            </w:r>
          </w:p>
        </w:tc>
      </w:tr>
    </w:tbl>
    <w:p>
      <w:pPr>
        <w:ind w:left="3380"/>
        <w:spacing w:after="0"/>
        <w:rPr>
          <w:sz w:val="20"/>
          <w:szCs w:val="20"/>
          <w:color w:val="auto"/>
        </w:rPr>
        <w:sectPr>
          <w:pgSz w:w="11900" w:h="16838" w:orient="portrait"/>
          <w:cols w:equalWidth="0" w:num="1">
            <w:col w:w="11180"/>
          </w:cols>
          <w:pgMar w:left="2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177"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i w:val="1"/>
          <w:iCs w:val="1"/>
          <w:color w:val="auto"/>
        </w:rPr>
        <w:t>AMENDED AND RESTATED BYLAWS</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As of August 3, 2010</w:t>
      </w:r>
    </w:p>
    <w:p>
      <w:pPr>
        <w:sectPr>
          <w:pgSz w:w="11900" w:h="16838" w:orient="portrait"/>
          <w:cols w:equalWidth="0" w:num="1">
            <w:col w:w="10220"/>
          </w:cols>
          <w:pgMar w:left="14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814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419"/>
        </w:trPr>
        <w:tc>
          <w:tcPr>
            <w:tcW w:w="800" w:type="dxa"/>
            <w:vAlign w:val="bottom"/>
          </w:tcPr>
          <w:p>
            <w:pPr>
              <w:spacing w:after="0"/>
              <w:rPr>
                <w:sz w:val="20"/>
                <w:szCs w:val="20"/>
                <w:color w:val="auto"/>
              </w:rPr>
            </w:pPr>
            <w:r>
              <w:rPr>
                <w:rFonts w:ascii="Arial" w:cs="Arial" w:eastAsia="Arial" w:hAnsi="Arial"/>
                <w:sz w:val="18"/>
                <w:szCs w:val="18"/>
                <w:b w:val="1"/>
                <w:bCs w:val="1"/>
                <w:color w:val="auto"/>
              </w:rPr>
              <w:t>Article I</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MEETINGS OF STOCKHOLDERS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1.1</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Annual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1.2</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1.3</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Notice of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1.4</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List of Stockholders Entitled to Vote.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1.5</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Quorum.</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1.6</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Conduct of Meeting.</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1.7</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Voting; Proxies.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1.8</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Fixing Date for Determination of Stockholders of Record.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1.9</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Adjournments.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1.10</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Judges.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1.11</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Notice of Stockholder Nomination and Stockholder Business.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1.12</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Stockholder Action by Written Consent.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800" w:type="dxa"/>
            <w:vAlign w:val="bottom"/>
          </w:tcPr>
          <w:p>
            <w:pPr>
              <w:spacing w:after="0"/>
              <w:rPr>
                <w:sz w:val="20"/>
                <w:szCs w:val="20"/>
                <w:color w:val="auto"/>
              </w:rPr>
            </w:pPr>
            <w:r>
              <w:rPr>
                <w:rFonts w:ascii="Arial" w:cs="Arial" w:eastAsia="Arial" w:hAnsi="Arial"/>
                <w:sz w:val="18"/>
                <w:szCs w:val="18"/>
                <w:b w:val="1"/>
                <w:bCs w:val="1"/>
                <w:color w:val="auto"/>
              </w:rPr>
              <w:t>Article II</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BOARD OF DIRECTORS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2.1</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Responsibility and Number.</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2.2</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Election; Resignation; Vacancies.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2.3</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Regular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2.4</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2.5</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Quorum; Vote Required for Action.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2.6</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Election of Chairman; Conduct of Board Meetings.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2.7</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Ratification.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2.8</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Written Action by Directors.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2.9</w:t>
            </w:r>
          </w:p>
        </w:tc>
        <w:tc>
          <w:tcPr>
            <w:tcW w:w="8140" w:type="dxa"/>
            <w:vAlign w:val="bottom"/>
          </w:tcPr>
          <w:p>
            <w:pPr>
              <w:ind w:left="100"/>
              <w:spacing w:after="0"/>
              <w:rPr>
                <w:sz w:val="20"/>
                <w:szCs w:val="20"/>
                <w:color w:val="auto"/>
              </w:rPr>
            </w:pPr>
            <w:r>
              <w:rPr>
                <w:rFonts w:ascii="Arial" w:cs="Arial" w:eastAsia="Arial" w:hAnsi="Arial"/>
                <w:sz w:val="18"/>
                <w:szCs w:val="18"/>
                <w:b w:val="1"/>
                <w:bCs w:val="1"/>
                <w:color w:val="auto"/>
              </w:rPr>
              <w:t>Telephonic Meetings Permitted.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2.10</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Independent Directors.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2.11</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Access to Books and Records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III</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COMMITTEES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3.1</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Committees of the Board of Directors.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3.2</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Election; Vacancies.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3.3</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Procedure; Quorum.</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3.4</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Finance and Risk Policy Committee.</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3.5</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Audit Committee.</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3.6</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Executive Compensation Committee.</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3.7</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Public Policy Committee.</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3.8</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Directors and Corporate Governance Committee.</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Article IV</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OFFICERS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4.1</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Election of Officers.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4.2</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Chief Executive Officer.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4.3</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President.</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4.4</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Vice Chairman of the Corporation.</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4.5</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Chief Financial Officer.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4.6</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Treasurer.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4.7</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Secretary.</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4.8</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Controller.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4.9</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General Counsel.</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4.10</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General Auditor.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4.11</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Chief Tax Officer.</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4.12</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Subordinate Officers.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4.13</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Resignation; Removal; Suspension; Vacancies.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Article V</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INDEMNIFICATION</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5.1</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Right to Indemnification of Directors and Officers.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5.2</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Advancement of Expenses of Directors and Officers.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5.3</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Claims by Officers or Directors.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5.4</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Indemnification of Employees.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5.5</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Advancement of Expenses of Employees.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5.6</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Claims by Employees.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5.7</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Non Exclusivity of Rights.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5.8</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Other Indemnification.</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5.9</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Insurance.</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5.10</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Nature of Rights; Amendment or Repeal.</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spacing w:after="0"/>
              <w:rPr>
                <w:sz w:val="20"/>
                <w:szCs w:val="20"/>
                <w:color w:val="auto"/>
              </w:rPr>
            </w:pPr>
            <w:r>
              <w:rPr>
                <w:rFonts w:ascii="Arial" w:cs="Arial" w:eastAsia="Arial" w:hAnsi="Arial"/>
                <w:sz w:val="18"/>
                <w:szCs w:val="18"/>
                <w:b w:val="1"/>
                <w:bCs w:val="1"/>
                <w:color w:val="auto"/>
              </w:rPr>
              <w:t>Article VI</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MISCELLANEOUS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6.1</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Seal.</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6.2</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Fiscal Year.</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6.3</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Notice.</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6.4</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Waiver of Notice.</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6.5</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Voting of Stock Owned by the Corporation.</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6.6</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Form of Records.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6.7</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Offices.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6.8</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Amendment of Bylaws.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880" w:type="dxa"/>
            <w:vAlign w:val="bottom"/>
          </w:tcPr>
          <w:p>
            <w:pPr>
              <w:ind w:left="220"/>
              <w:spacing w:after="0"/>
              <w:rPr>
                <w:sz w:val="20"/>
                <w:szCs w:val="20"/>
                <w:color w:val="auto"/>
              </w:rPr>
            </w:pPr>
            <w:r>
              <w:rPr>
                <w:rFonts w:ascii="Arial" w:cs="Arial" w:eastAsia="Arial" w:hAnsi="Arial"/>
                <w:sz w:val="18"/>
                <w:szCs w:val="18"/>
                <w:b w:val="1"/>
                <w:bCs w:val="1"/>
                <w:color w:val="auto"/>
              </w:rPr>
              <w:t>6.9</w:t>
            </w:r>
          </w:p>
        </w:tc>
        <w:tc>
          <w:tcPr>
            <w:tcW w:w="7200" w:type="dxa"/>
            <w:vAlign w:val="bottom"/>
          </w:tcPr>
          <w:p>
            <w:pPr>
              <w:ind w:left="120"/>
              <w:spacing w:after="0"/>
              <w:rPr>
                <w:sz w:val="20"/>
                <w:szCs w:val="20"/>
                <w:color w:val="auto"/>
              </w:rPr>
            </w:pPr>
            <w:r>
              <w:rPr>
                <w:rFonts w:ascii="Arial" w:cs="Arial" w:eastAsia="Arial" w:hAnsi="Arial"/>
                <w:sz w:val="18"/>
                <w:szCs w:val="18"/>
                <w:b w:val="1"/>
                <w:bCs w:val="1"/>
                <w:color w:val="auto"/>
              </w:rPr>
              <w:t>Gender Pronouns.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82"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i w:val="1"/>
          <w:iCs w:val="1"/>
          <w:color w:val="auto"/>
        </w:rPr>
        <w:t>Annual Meetings.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annual meeting of stockholders for the election of directors, ratification or rejection of the selection of auditors, and the transaction of such other business as may properly be brought before the meeting shall be held on the first Tuesday in June in each year, or on such other date and at such place and time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i w:val="1"/>
          <w:iCs w:val="1"/>
          <w:color w:val="auto"/>
        </w:rPr>
        <w:t>Special Meetings.</w:t>
      </w:r>
    </w:p>
    <w:p>
      <w:pPr>
        <w:spacing w:after="0" w:line="96" w:lineRule="exact"/>
        <w:rPr>
          <w:sz w:val="20"/>
          <w:szCs w:val="20"/>
          <w:color w:val="auto"/>
        </w:rPr>
      </w:pPr>
    </w:p>
    <w:p>
      <w:pPr>
        <w:ind w:firstLine="464"/>
        <w:spacing w:after="0" w:line="310" w:lineRule="auto"/>
        <w:tabs>
          <w:tab w:leader="none" w:pos="695"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Call of Special Meeting</w:t>
      </w:r>
      <w:r>
        <w:rPr>
          <w:rFonts w:ascii="Arial" w:cs="Arial" w:eastAsia="Arial" w:hAnsi="Arial"/>
          <w:sz w:val="15"/>
          <w:szCs w:val="15"/>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108" w:lineRule="exact"/>
        <w:rPr>
          <w:rFonts w:ascii="Arial" w:cs="Arial" w:eastAsia="Arial" w:hAnsi="Arial"/>
          <w:sz w:val="15"/>
          <w:szCs w:val="15"/>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Stockholder Request for Special Meeting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90" w:lineRule="auto"/>
        <w:tabs>
          <w:tab w:leader="none" w:pos="1162"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0" w:name="page11"/>
    <w:bookmarkEnd w:id="10"/>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 any other matter before a stockholder meeting. A stockholder may revoke its request for a special meeting at any time by written revocation delivered to the secretary of the Corporation.</w:t>
      </w:r>
    </w:p>
    <w:p>
      <w:pPr>
        <w:spacing w:after="0" w:line="113" w:lineRule="exact"/>
        <w:rPr>
          <w:sz w:val="20"/>
          <w:szCs w:val="20"/>
          <w:color w:val="auto"/>
        </w:rPr>
      </w:pPr>
    </w:p>
    <w:p>
      <w:pPr>
        <w:ind w:firstLine="921"/>
        <w:spacing w:after="0" w:line="253" w:lineRule="auto"/>
        <w:tabs>
          <w:tab w:leader="none" w:pos="116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board shall have the authority to determine not to call a special meeting requested by stockholders if (A) 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47" w:lineRule="exact"/>
        <w:rPr>
          <w:rFonts w:ascii="Arial" w:cs="Arial" w:eastAsia="Arial" w:hAnsi="Arial"/>
          <w:sz w:val="18"/>
          <w:szCs w:val="18"/>
          <w:color w:val="auto"/>
        </w:rPr>
      </w:pPr>
    </w:p>
    <w:p>
      <w:pPr>
        <w:ind w:right="260" w:firstLine="464"/>
        <w:spacing w:after="0" w:line="332"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Conduct of Special Meeting</w:t>
      </w:r>
      <w:r>
        <w:rPr>
          <w:rFonts w:ascii="Arial" w:cs="Arial" w:eastAsia="Arial" w:hAnsi="Arial"/>
          <w:sz w:val="16"/>
          <w:szCs w:val="16"/>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85" w:lineRule="exact"/>
        <w:rPr>
          <w:rFonts w:ascii="Arial" w:cs="Arial" w:eastAsia="Arial" w:hAnsi="Arial"/>
          <w:sz w:val="16"/>
          <w:szCs w:val="16"/>
          <w:color w:val="auto"/>
        </w:rPr>
      </w:pPr>
    </w:p>
    <w:p>
      <w:pPr>
        <w:ind w:right="40" w:firstLine="464"/>
        <w:spacing w:after="0" w:line="294"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Pre-IPO Special Meetings</w:t>
      </w:r>
      <w:r>
        <w:rPr>
          <w:rFonts w:ascii="Arial" w:cs="Arial" w:eastAsia="Arial" w:hAnsi="Arial"/>
          <w:sz w:val="16"/>
          <w:szCs w:val="16"/>
          <w:color w:val="auto"/>
        </w:rPr>
        <w:t>. Notwithstanding the foregoing provisions of this section 1.2, prior to an Initial Public Offering (as defined below) of the Corporation, the board shall call a special meeting at the request of the record holders of at least 15 percent of the voting power of the outstanding shares of all classes of stock entitled to vote at such a meeting. Such request shall state the purpose or purposes of the proposed meeting. The time of any such special meeting shall be stated in the notice of such meeting, which notice shall specify the purpose or purposes thereof. Business transacted at any special meeting shall be confined to the purposes stated in the notice of meeting and matters germane thereto.</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“Initial Public Offering” means the earlier to occur of (i) the initial public offering of the Common Stock, (whether such offering is primary or secondary) that is underwritten by a nationally recognized investment bank, pursuant to an effective registration statement filed under the Securities Act of 1933, as amended (other than a registration effected solely to implement an employee benefit plan or a transaction to which Rule 145 under the Securities Act of 1933, as amended, is applicable, or a registration statement on Form S-4, Form S-8 or a successor to one of those forms) or (ii) the later of (x) the date on which a Corporation registration statement filed under Section 12(b) or 12(g) of the Exchange Act shall have been declared effective by the Securities and Exchange Commission or otherwise became effective under the Exchange Act and (y) the date of distribution of the shares of Common Stock beneficially owned (within the meaning given in Rule 13d-3 of the Exchange Act) by Motors Liquidation Company (formerly known as General Motors Corporation), a Delaware corporation pursuant to its plan of reorganization.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5"/>
          <w:szCs w:val="15"/>
          <w:b w:val="1"/>
          <w:bCs w:val="1"/>
          <w:i w:val="1"/>
          <w:iCs w:val="1"/>
          <w:color w:val="auto"/>
        </w:rPr>
        <w:t>Notice of Meetings.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Written notice of each meeting of stockholders shall be given by the chairman of the board and/or the secretary in compliance with the provisions of Delaware law and these bylaws.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i w:val="1"/>
          <w:iCs w:val="1"/>
          <w:color w:val="auto"/>
        </w:rPr>
        <w:t>List of Stockholders Entitled to Vote.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i w:val="1"/>
          <w:iCs w:val="1"/>
          <w:color w:val="auto"/>
        </w:rPr>
        <w:t>Quorum.</w:t>
      </w:r>
    </w:p>
    <w:p>
      <w:pPr>
        <w:spacing w:after="0" w:line="96" w:lineRule="exact"/>
        <w:rPr>
          <w:sz w:val="20"/>
          <w:szCs w:val="20"/>
          <w:color w:val="auto"/>
        </w:rPr>
      </w:pPr>
    </w:p>
    <w:p>
      <w:pPr>
        <w:ind w:right="60" w:firstLine="464"/>
        <w:spacing w:after="0" w:line="323" w:lineRule="auto"/>
        <w:tabs>
          <w:tab w:leader="none" w:pos="695"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97" w:lineRule="exact"/>
        <w:rPr>
          <w:rFonts w:ascii="Arial" w:cs="Arial" w:eastAsia="Arial" w:hAnsi="Arial"/>
          <w:sz w:val="15"/>
          <w:szCs w:val="15"/>
          <w:color w:val="auto"/>
        </w:rPr>
      </w:pPr>
    </w:p>
    <w:p>
      <w:pPr>
        <w:jc w:val="both"/>
        <w:ind w:right="6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140" w:lineRule="exact"/>
        <w:rPr>
          <w:rFonts w:ascii="Arial" w:cs="Arial" w:eastAsia="Arial" w:hAnsi="Arial"/>
          <w:sz w:val="18"/>
          <w:szCs w:val="18"/>
          <w:color w:val="auto"/>
        </w:rPr>
      </w:pPr>
    </w:p>
    <w:p>
      <w:pPr>
        <w:ind w:right="240" w:firstLine="464"/>
        <w:spacing w:after="0" w:line="306"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i w:val="1"/>
          <w:iCs w:val="1"/>
          <w:color w:val="auto"/>
        </w:rPr>
        <w:t>Conduct of Meeting.</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 w:name="page13"/>
    <w:bookmarkEnd w:id="12"/>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w:t>
      </w:r>
      <w:r>
        <w:rPr>
          <w:sz w:val="20"/>
          <w:szCs w:val="20"/>
          <w:color w:val="auto"/>
        </w:rPr>
        <w:tab/>
      </w:r>
      <w:r>
        <w:rPr>
          <w:rFonts w:ascii="Arial" w:cs="Arial" w:eastAsia="Arial" w:hAnsi="Arial"/>
          <w:sz w:val="15"/>
          <w:szCs w:val="15"/>
          <w:b w:val="1"/>
          <w:bCs w:val="1"/>
          <w:i w:val="1"/>
          <w:iCs w:val="1"/>
          <w:color w:val="auto"/>
        </w:rPr>
        <w:t>Voting; Proxies.</w:t>
      </w:r>
    </w:p>
    <w:p>
      <w:pPr>
        <w:spacing w:after="0" w:line="9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i w:val="1"/>
          <w:iCs w:val="1"/>
          <w:color w:val="auto"/>
        </w:rPr>
        <w:t>Fixing Date for Determination of Stockholders of Record.</w:t>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i w:val="1"/>
          <w:iCs w:val="1"/>
          <w:color w:val="auto"/>
        </w:rPr>
        <w:t>Adjournments.</w:t>
      </w:r>
    </w:p>
    <w:p>
      <w:pPr>
        <w:spacing w:after="0" w:line="9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1.10  </w:t>
      </w:r>
      <w:r>
        <w:rPr>
          <w:rFonts w:ascii="Arial" w:cs="Arial" w:eastAsia="Arial" w:hAnsi="Arial"/>
          <w:sz w:val="18"/>
          <w:szCs w:val="18"/>
          <w:b w:val="1"/>
          <w:bCs w:val="1"/>
          <w:i w:val="1"/>
          <w:iCs w:val="1"/>
          <w:color w:val="auto"/>
        </w:rPr>
        <w:t>Judges.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i w:val="1"/>
          <w:iCs w:val="1"/>
          <w:color w:val="auto"/>
        </w:rPr>
        <w:t>Notice of Stockholder Nomination and Stockholder Business.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a meeting of the stockholders, only such business shall be conducted as shall have been properly brought before the meeting. Prior to the Initial Public Offering, nominations for the election of directors may be made only by the board of directors, which nominations shall be consistent with the Stockholders Agreement dated October 15, 2009 among the Corporation, the United States Department of the Treasury, 7176384 Canada Inc., and UAW Retiree Medical Benefits Trust and, for the limited purposes set forth therein, General Motors LLC (the “Stockholders Agreement”). Following the Initial Public Offering, nominations for the election of directors may be made by the board of directors in accordance with the Stockholders Agreement or by any stockholder entitled to vote for the election of directors who complies with the notice requirements set forth in this section. Other matters to be properly brought before the meeting (whether prior to or following the Initial Public Offering)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Prior to the Initial Public Offering, a stockholder need not give notice of his intent to bring any matter before a meeting of stockholders. Following the Initial Public Offering, 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to matters sought to be included in any proxy statement of the Corporation, stockholders shall comply with Rule 14a-8 under the Exchange Act, if applicable, rather than this section 1.11.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to matters not sought to be included in any proxy statement of the Corporation, a stockholder’s notice (if required) shall state:</w:t>
      </w:r>
    </w:p>
    <w:p>
      <w:pPr>
        <w:spacing w:after="0" w:line="171" w:lineRule="exact"/>
        <w:rPr>
          <w:sz w:val="20"/>
          <w:szCs w:val="20"/>
          <w:color w:val="auto"/>
        </w:rPr>
      </w:pPr>
    </w:p>
    <w:p>
      <w:pPr>
        <w:ind w:right="20" w:firstLine="464"/>
        <w:spacing w:after="0" w:line="268"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and address of the stockholder of the Corporation who intends to make a nomination or bring up any other matter and the name and address of any Stockholder Associated Person covered by clauses (c), (d), or (e)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4" w:name="page15"/>
    <w:bookmarkEnd w:id="14"/>
    <w:p>
      <w:pPr>
        <w:ind w:left="-20" w:firstLine="464"/>
        <w:spacing w:after="0" w:line="268"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representation that the stockholder is a holder of the Corporation’s voting stock and intends to appear in person or by proxy at the meeting to make the nomination or bring up the matter specified in the notice;</w:t>
      </w:r>
    </w:p>
    <w:p>
      <w:pPr>
        <w:spacing w:after="0" w:line="131" w:lineRule="exact"/>
        <w:rPr>
          <w:rFonts w:ascii="Arial" w:cs="Arial" w:eastAsia="Arial" w:hAnsi="Arial"/>
          <w:sz w:val="18"/>
          <w:szCs w:val="18"/>
          <w:color w:val="auto"/>
        </w:rPr>
      </w:pPr>
    </w:p>
    <w:p>
      <w:pPr>
        <w:ind w:left="680" w:hanging="23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the stockholder and any Stockholder Associated Person of the stockholder,</w:t>
      </w:r>
    </w:p>
    <w:p>
      <w:pPr>
        <w:spacing w:after="0" w:line="90" w:lineRule="exact"/>
        <w:rPr>
          <w:rFonts w:ascii="Arial" w:cs="Arial" w:eastAsia="Arial" w:hAnsi="Arial"/>
          <w:sz w:val="18"/>
          <w:szCs w:val="18"/>
          <w:color w:val="auto"/>
        </w:rPr>
      </w:pPr>
    </w:p>
    <w:p>
      <w:pPr>
        <w:ind w:left="440" w:right="160" w:firstLine="443"/>
        <w:spacing w:after="0" w:line="268" w:lineRule="auto"/>
        <w:tabs>
          <w:tab w:leader="none" w:pos="1088"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all securities of the Corporation which are owned of record by such stockholder or by any such Stockholder Associated Person as of the date of the notice,</w:t>
      </w:r>
    </w:p>
    <w:p>
      <w:pPr>
        <w:spacing w:after="0" w:line="50" w:lineRule="exact"/>
        <w:rPr>
          <w:rFonts w:ascii="Arial" w:cs="Arial" w:eastAsia="Arial" w:hAnsi="Arial"/>
          <w:sz w:val="18"/>
          <w:szCs w:val="18"/>
          <w:color w:val="auto"/>
        </w:rPr>
      </w:pPr>
    </w:p>
    <w:p>
      <w:pPr>
        <w:ind w:left="440" w:right="80" w:firstLine="443"/>
        <w:spacing w:after="0" w:line="268" w:lineRule="auto"/>
        <w:tabs>
          <w:tab w:leader="none" w:pos="113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50" w:lineRule="exact"/>
        <w:rPr>
          <w:rFonts w:ascii="Arial" w:cs="Arial" w:eastAsia="Arial" w:hAnsi="Arial"/>
          <w:sz w:val="18"/>
          <w:szCs w:val="18"/>
          <w:color w:val="auto"/>
        </w:rPr>
      </w:pPr>
    </w:p>
    <w:p>
      <w:pPr>
        <w:ind w:left="440" w:right="40" w:firstLine="443"/>
        <w:spacing w:after="0" w:line="256" w:lineRule="auto"/>
        <w:tabs>
          <w:tab w:leader="none" w:pos="1185"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143" w:lineRule="exact"/>
        <w:rPr>
          <w:rFonts w:ascii="Arial" w:cs="Arial" w:eastAsia="Arial" w:hAnsi="Arial"/>
          <w:sz w:val="18"/>
          <w:szCs w:val="18"/>
          <w:color w:val="auto"/>
        </w:rPr>
      </w:pPr>
    </w:p>
    <w:p>
      <w:pPr>
        <w:ind w:left="700" w:hanging="2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stockholder intends to make a nomination for the election of directors,</w:t>
      </w:r>
    </w:p>
    <w:p>
      <w:pPr>
        <w:spacing w:after="0" w:line="90" w:lineRule="exact"/>
        <w:rPr>
          <w:rFonts w:ascii="Arial" w:cs="Arial" w:eastAsia="Arial" w:hAnsi="Arial"/>
          <w:sz w:val="18"/>
          <w:szCs w:val="18"/>
          <w:color w:val="auto"/>
        </w:rPr>
      </w:pPr>
    </w:p>
    <w:p>
      <w:pPr>
        <w:ind w:left="440" w:right="100" w:firstLine="443"/>
        <w:spacing w:after="0" w:line="332" w:lineRule="auto"/>
        <w:tabs>
          <w:tab w:leader="none" w:pos="108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of each nominee proposed by such stockholder (a “Proposed Nominee”) and the name and address of any Proposed Nominee Associated Person covered by any of subclauses (ii) through (v) of this paragraph,</w:t>
      </w:r>
    </w:p>
    <w:p>
      <w:pPr>
        <w:spacing w:after="0" w:line="4" w:lineRule="exact"/>
        <w:rPr>
          <w:rFonts w:ascii="Arial" w:cs="Arial" w:eastAsia="Arial" w:hAnsi="Arial"/>
          <w:sz w:val="16"/>
          <w:szCs w:val="16"/>
          <w:color w:val="auto"/>
        </w:rPr>
      </w:pPr>
    </w:p>
    <w:p>
      <w:pPr>
        <w:ind w:left="440" w:right="160" w:firstLine="443"/>
        <w:spacing w:after="0" w:line="268" w:lineRule="auto"/>
        <w:tabs>
          <w:tab w:leader="none" w:pos="113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50" w:lineRule="exact"/>
        <w:rPr>
          <w:rFonts w:ascii="Arial" w:cs="Arial" w:eastAsia="Arial" w:hAnsi="Arial"/>
          <w:sz w:val="18"/>
          <w:szCs w:val="18"/>
          <w:color w:val="auto"/>
        </w:rPr>
      </w:pPr>
    </w:p>
    <w:p>
      <w:pPr>
        <w:ind w:left="440" w:firstLine="443"/>
        <w:spacing w:after="0" w:line="256" w:lineRule="auto"/>
        <w:tabs>
          <w:tab w:leader="none" w:pos="1185"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62" w:lineRule="exact"/>
        <w:rPr>
          <w:rFonts w:ascii="Arial" w:cs="Arial" w:eastAsia="Arial" w:hAnsi="Arial"/>
          <w:sz w:val="18"/>
          <w:szCs w:val="18"/>
          <w:color w:val="auto"/>
        </w:rPr>
      </w:pPr>
    </w:p>
    <w:p>
      <w:pPr>
        <w:ind w:left="440" w:right="220" w:firstLine="443"/>
        <w:spacing w:after="0" w:line="259" w:lineRule="auto"/>
        <w:tabs>
          <w:tab w:leader="none" w:pos="1176"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5" w:name="page16"/>
    <w:bookmarkEnd w:id="15"/>
    <w:p>
      <w:pPr>
        <w:ind w:left="460" w:right="120" w:firstLine="443"/>
        <w:spacing w:after="0" w:line="298" w:lineRule="auto"/>
        <w:tabs>
          <w:tab w:leader="none" w:pos="1147"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stockholder intends to make a proposal other than a nomination,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the matter,</w:t>
      </w:r>
    </w:p>
    <w:p>
      <w:pPr>
        <w:spacing w:after="0" w:line="90" w:lineRule="exact"/>
        <w:rPr>
          <w:sz w:val="20"/>
          <w:szCs w:val="20"/>
          <w:color w:val="auto"/>
        </w:rPr>
      </w:pPr>
    </w:p>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reasons for proposing such matter at the meeting,</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50" w:lineRule="exact"/>
        <w:rPr>
          <w:rFonts w:ascii="Arial" w:cs="Arial" w:eastAsia="Arial" w:hAnsi="Arial"/>
          <w:sz w:val="18"/>
          <w:szCs w:val="18"/>
          <w:color w:val="auto"/>
        </w:rPr>
      </w:pPr>
    </w:p>
    <w:p>
      <w:pPr>
        <w:ind w:left="460" w:right="260" w:firstLine="443"/>
        <w:spacing w:after="0" w:line="256"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 and</w:t>
      </w:r>
    </w:p>
    <w:p>
      <w:pPr>
        <w:spacing w:after="0" w:line="143" w:lineRule="exact"/>
        <w:rPr>
          <w:sz w:val="20"/>
          <w:szCs w:val="20"/>
          <w:color w:val="auto"/>
        </w:rPr>
      </w:pPr>
    </w:p>
    <w:p>
      <w:pPr>
        <w:ind w:right="240" w:firstLine="464"/>
        <w:spacing w:after="0" w:line="332" w:lineRule="auto"/>
        <w:tabs>
          <w:tab w:leader="none" w:pos="6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the extent known by the stockholder, the name and address of any other securityholder of the Corporation who owns, beneficially or of record, any securities of the Corporation and who supports any nominee proposed by such stockholder or any other matter such stockholder intends to propose.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Notice of intent to make a nomination shall be accompanied by the written consent of each Proposed Nominee to serve as director of the Corporation if elected.</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after the submission of a stockholder’s notice, any material change occurs in the information set forth in the stockholder’s notice to the Corporation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the meeting of stockholders, the presiding officer may declare out of order and disregard any nomination or other matter not presented in accordance with this section.</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1.11:</w:t>
      </w:r>
    </w:p>
    <w:p>
      <w:pPr>
        <w:spacing w:after="0" w:line="171" w:lineRule="exact"/>
        <w:rPr>
          <w:sz w:val="20"/>
          <w:szCs w:val="20"/>
          <w:color w:val="auto"/>
        </w:rPr>
      </w:pPr>
    </w:p>
    <w:p>
      <w:pPr>
        <w:jc w:val="both"/>
        <w:ind w:right="120" w:firstLine="921"/>
        <w:spacing w:after="0" w:line="259" w:lineRule="auto"/>
        <w:tabs>
          <w:tab w:leader="none" w:pos="11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“Proposed Nominee Associated Person” of any Proposed Nominee shall mean (i) any person acting in concert with such Proposed Nominee,</w:t>
      </w:r>
    </w:p>
    <w:p>
      <w:pPr>
        <w:spacing w:after="0" w:line="38" w:lineRule="exact"/>
        <w:rPr>
          <w:rFonts w:ascii="Arial" w:cs="Arial" w:eastAsia="Arial" w:hAnsi="Arial"/>
          <w:sz w:val="16"/>
          <w:szCs w:val="16"/>
          <w:color w:val="auto"/>
        </w:rPr>
      </w:pPr>
    </w:p>
    <w:p>
      <w:pPr>
        <w:ind w:right="300" w:firstLine="8"/>
        <w:spacing w:after="0" w:line="323"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92" w:lineRule="exact"/>
        <w:rPr>
          <w:rFonts w:ascii="Arial" w:cs="Arial" w:eastAsia="Arial" w:hAnsi="Arial"/>
          <w:sz w:val="16"/>
          <w:szCs w:val="16"/>
          <w:color w:val="auto"/>
        </w:rPr>
      </w:pPr>
    </w:p>
    <w:p>
      <w:pPr>
        <w:ind w:right="20" w:firstLine="921"/>
        <w:spacing w:after="0" w:line="290" w:lineRule="auto"/>
        <w:tabs>
          <w:tab w:leader="none" w:pos="116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 w:name="page18"/>
    <w:bookmarkEnd w:id="1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is or will be entitled to vote or direct the vote, in any case whether or not it is subject to settlement in any security of the Corporation or otherwise; provided, however, that Derivative Interests shall not include: (a) rights of a pledgee under a bona fide pledge 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i w:val="1"/>
          <w:iCs w:val="1"/>
          <w:color w:val="auto"/>
        </w:rPr>
        <w:t>Stockholder Action by Written Consent.</w:t>
      </w:r>
    </w:p>
    <w:p>
      <w:pPr>
        <w:spacing w:after="0" w:line="96" w:lineRule="exact"/>
        <w:rPr>
          <w:sz w:val="20"/>
          <w:szCs w:val="20"/>
          <w:color w:val="auto"/>
        </w:rPr>
      </w:pPr>
    </w:p>
    <w:p>
      <w:pPr>
        <w:ind w:firstLine="464"/>
        <w:spacing w:after="0" w:line="287"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Request for Record Date</w:t>
      </w:r>
      <w:r>
        <w:rPr>
          <w:rFonts w:ascii="Arial" w:cs="Arial" w:eastAsia="Arial" w:hAnsi="Arial"/>
          <w:sz w:val="16"/>
          <w:szCs w:val="16"/>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122" w:lineRule="exact"/>
        <w:rPr>
          <w:rFonts w:ascii="Arial" w:cs="Arial" w:eastAsia="Arial" w:hAnsi="Arial"/>
          <w:sz w:val="16"/>
          <w:szCs w:val="16"/>
          <w:color w:val="auto"/>
        </w:rPr>
      </w:pPr>
    </w:p>
    <w:p>
      <w:pPr>
        <w:ind w:right="80" w:firstLine="464"/>
        <w:spacing w:after="0" w:line="294"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Notice Requirements</w:t>
      </w:r>
      <w:r>
        <w:rPr>
          <w:rFonts w:ascii="Arial" w:cs="Arial" w:eastAsia="Arial" w:hAnsi="Arial"/>
          <w:sz w:val="16"/>
          <w:szCs w:val="16"/>
          <w:color w:val="auto"/>
        </w:rPr>
        <w:t>. Any stockholder’s notice required by paragraph (a) of this section must describe the action that the stockholder proposes to take by consent. Following the Initial Public Offering,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120" w:lineRule="exact"/>
        <w:rPr>
          <w:sz w:val="20"/>
          <w:szCs w:val="20"/>
          <w:color w:val="auto"/>
        </w:rPr>
      </w:pPr>
    </w:p>
    <w:p>
      <w:pPr>
        <w:ind w:right="80" w:firstLine="464"/>
        <w:spacing w:after="0" w:line="298"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Date of Consent</w:t>
      </w:r>
      <w:r>
        <w:rPr>
          <w:rFonts w:ascii="Arial" w:cs="Arial" w:eastAsia="Arial" w:hAnsi="Arial"/>
          <w:sz w:val="16"/>
          <w:szCs w:val="16"/>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112"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Delivery of Consent</w:t>
      </w:r>
      <w:r>
        <w:rPr>
          <w:rFonts w:ascii="Arial" w:cs="Arial" w:eastAsia="Arial" w:hAnsi="Arial"/>
          <w:sz w:val="18"/>
          <w:szCs w:val="18"/>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9" w:name="page20"/>
    <w:bookmarkEnd w:id="19"/>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88" w:lineRule="exact"/>
        <w:rPr>
          <w:sz w:val="20"/>
          <w:szCs w:val="20"/>
          <w:color w:val="auto"/>
        </w:rPr>
      </w:pPr>
    </w:p>
    <w:p>
      <w:pPr>
        <w:ind w:firstLine="464"/>
        <w:spacing w:after="0" w:line="255"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Effectiveness of Consent</w:t>
      </w:r>
      <w:r>
        <w:rPr>
          <w:rFonts w:ascii="Arial" w:cs="Arial" w:eastAsia="Arial" w:hAnsi="Arial"/>
          <w:sz w:val="18"/>
          <w:szCs w:val="18"/>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following an Initial Public Offering, will be all the outstanding shares entitled to vote thereon.</w:t>
      </w:r>
    </w:p>
    <w:p>
      <w:pPr>
        <w:spacing w:after="0" w:line="142" w:lineRule="exact"/>
        <w:rPr>
          <w:rFonts w:ascii="Arial" w:cs="Arial" w:eastAsia="Arial" w:hAnsi="Arial"/>
          <w:sz w:val="18"/>
          <w:szCs w:val="18"/>
          <w:color w:val="auto"/>
        </w:rPr>
      </w:pPr>
    </w:p>
    <w:p>
      <w:pPr>
        <w:ind w:right="40" w:firstLine="464"/>
        <w:spacing w:after="0" w:line="255" w:lineRule="auto"/>
        <w:tabs>
          <w:tab w:leader="none" w:pos="6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Challenge to Validity of Consent</w:t>
      </w:r>
      <w:r>
        <w:rPr>
          <w:rFonts w:ascii="Arial" w:cs="Arial" w:eastAsia="Arial" w:hAnsi="Arial"/>
          <w:sz w:val="18"/>
          <w:szCs w:val="18"/>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i w:val="1"/>
          <w:iCs w:val="1"/>
          <w:color w:val="auto"/>
        </w:rPr>
        <w:t>Responsibility and Number.</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color w:val="auto"/>
        </w:rPr>
        <w:t>Election; Resignation; Vacancies.</w:t>
      </w:r>
    </w:p>
    <w:p>
      <w:pPr>
        <w:spacing w:after="0" w:line="96" w:lineRule="exact"/>
        <w:rPr>
          <w:sz w:val="20"/>
          <w:szCs w:val="20"/>
          <w:color w:val="auto"/>
        </w:rPr>
      </w:pPr>
    </w:p>
    <w:p>
      <w:pPr>
        <w:ind w:right="40" w:firstLine="464"/>
        <w:spacing w:after="0" w:line="30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At each annual meeting of stockholders, each nominee elected by the stockholders to serve as a director shall hold office for a term commencing on the date of the annual meeting, or such later date as shall be determined by the board of directors, and ending on the next annual meeting of stockholders. Each elected director shall hold office until his successor is elected and qualified or until such director’s earlier death, resignation or removal.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 w:name="page21"/>
    <w:bookmarkEnd w:id="20"/>
    <w:p>
      <w:pPr>
        <w:ind w:left="-8" w:right="100" w:firstLine="464"/>
        <w:spacing w:after="0" w:line="298" w:lineRule="auto"/>
        <w:tabs>
          <w:tab w:leader="none" w:pos="697"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Voting</w:t>
      </w:r>
      <w:r>
        <w:rPr>
          <w:rFonts w:ascii="Arial" w:cs="Arial" w:eastAsia="Arial" w:hAnsi="Arial"/>
          <w:sz w:val="16"/>
          <w:szCs w:val="16"/>
          <w:color w:val="auto"/>
        </w:rPr>
        <w:t>. Except as provided in paragraph (d) below, each nominee shall be elected a director by the vote of the majority of the votes cast by holders of shares entitled to vote with respect to that director’s election at any meeting for the election of directors at which a quorum is present. For purposes of this section 2.2, a majority of votes cast means that the number of votes “for” a director must exceed 50 percent of the votes cast with respect to that director. Votes “against” will count as a vote cast with respect to that director, but “abstentions” will not count as a vote cast with respect to that director.</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Nominations of candidates for election as directors at any stockholder meeting at which directors will be elected may be made</w:t>
      </w:r>
    </w:p>
    <w:p>
      <w:pPr>
        <w:spacing w:after="0" w:line="38" w:lineRule="exact"/>
        <w:rPr>
          <w:rFonts w:ascii="Arial" w:cs="Arial" w:eastAsia="Arial" w:hAnsi="Arial"/>
          <w:sz w:val="16"/>
          <w:szCs w:val="16"/>
          <w:color w:val="auto"/>
        </w:rPr>
      </w:pPr>
    </w:p>
    <w:p>
      <w:pPr>
        <w:ind w:left="212" w:hanging="212"/>
        <w:spacing w:after="0"/>
        <w:tabs>
          <w:tab w:leader="none" w:pos="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board, or (ii) by any stockholder entitled to vote at such meeting only in accordance with the procedures established by section 1.11.</w:t>
      </w:r>
    </w:p>
    <w:p>
      <w:pPr>
        <w:spacing w:after="0" w:line="164" w:lineRule="exact"/>
        <w:rPr>
          <w:rFonts w:ascii="Arial" w:cs="Arial" w:eastAsia="Arial" w:hAnsi="Arial"/>
          <w:sz w:val="18"/>
          <w:szCs w:val="18"/>
          <w:color w:val="auto"/>
        </w:rPr>
      </w:pPr>
    </w:p>
    <w:p>
      <w:pPr>
        <w:ind w:left="-8" w:right="20" w:firstLine="464"/>
        <w:spacing w:after="0" w:line="290" w:lineRule="auto"/>
        <w:tabs>
          <w:tab w:leader="none" w:pos="69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Contested Elections</w:t>
      </w:r>
      <w:r>
        <w:rPr>
          <w:rFonts w:ascii="Arial" w:cs="Arial" w:eastAsia="Arial" w:hAnsi="Arial"/>
          <w:sz w:val="16"/>
          <w:szCs w:val="16"/>
          <w:color w:val="auto"/>
        </w:rPr>
        <w:t>. If with respect to any stockholder meeting at which directors will be elected, the secretary receives proper notice under section 1.11 that a stockholder intends to make a nomination at such meeting such that the number of nominees would exceed the number of directors to be elected and such notice has not been withdrawn on or prior to the fourteenth day before the date that the Corporation begins mailing its notice of such meeting to the stockholders, the nominees who receive a plurality of the votes cast by holders of shares entitled to vote in the election at a meeting at which a quorum is present shall be elected. This provision shall not apply, however, if the stockholder providing notice of an intended nomination under section 1.11 nominated one or more candidates for election at a stockholder meeting within the last 18 months, and no candidate nominated pursuant to such notice received 0.01 percent or more of the votes cast at such meeting.</w:t>
      </w:r>
    </w:p>
    <w:p>
      <w:pPr>
        <w:spacing w:after="0" w:line="118" w:lineRule="exact"/>
        <w:rPr>
          <w:rFonts w:ascii="Arial" w:cs="Arial" w:eastAsia="Arial" w:hAnsi="Arial"/>
          <w:sz w:val="16"/>
          <w:szCs w:val="16"/>
          <w:color w:val="auto"/>
        </w:rPr>
      </w:pPr>
    </w:p>
    <w:p>
      <w:pPr>
        <w:ind w:left="692" w:hanging="236"/>
        <w:spacing w:after="0"/>
        <w:tabs>
          <w:tab w:leader="none" w:pos="6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Resignation and Replacement of Unsuccessful Incumbents</w:t>
      </w:r>
      <w:r>
        <w:rPr>
          <w:rFonts w:ascii="Arial" w:cs="Arial" w:eastAsia="Arial" w:hAnsi="Arial"/>
          <w:sz w:val="18"/>
          <w:szCs w:val="18"/>
          <w:color w:val="auto"/>
        </w:rPr>
        <w:t>. Following an Initial Public Offering:</w:t>
      </w:r>
    </w:p>
    <w:p>
      <w:pPr>
        <w:spacing w:after="0" w:line="90" w:lineRule="exact"/>
        <w:rPr>
          <w:rFonts w:ascii="Arial" w:cs="Arial" w:eastAsia="Arial" w:hAnsi="Arial"/>
          <w:sz w:val="18"/>
          <w:szCs w:val="18"/>
          <w:color w:val="auto"/>
        </w:rPr>
      </w:pPr>
    </w:p>
    <w:p>
      <w:pPr>
        <w:ind w:left="452" w:right="120" w:firstLine="443"/>
        <w:spacing w:after="0" w:line="259" w:lineRule="auto"/>
        <w:tabs>
          <w:tab w:leader="none" w:pos="11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In order for any incumbent director to become a nominee of the board for further service on the board, such person must submit an irrevocable resignation, contingent (i) on that person not receiving more than 50% of the votes cast, and (ii) acceptance of that resignation by the board in accordance with policies and procedures adopted by the board for such purposes.</w:t>
      </w:r>
    </w:p>
    <w:p>
      <w:pPr>
        <w:spacing w:after="0" w:line="59" w:lineRule="exact"/>
        <w:rPr>
          <w:rFonts w:ascii="Arial" w:cs="Arial" w:eastAsia="Arial" w:hAnsi="Arial"/>
          <w:sz w:val="18"/>
          <w:szCs w:val="18"/>
          <w:color w:val="auto"/>
        </w:rPr>
      </w:pPr>
    </w:p>
    <w:p>
      <w:pPr>
        <w:ind w:left="452" w:right="200" w:firstLine="443"/>
        <w:spacing w:after="0" w:line="268" w:lineRule="auto"/>
        <w:tabs>
          <w:tab w:leader="none" w:pos="114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resignation that becomes effective if and when the director fails to receive a specified vote for re-election as a director shall provide that it is irrevocable.</w:t>
      </w:r>
    </w:p>
    <w:p>
      <w:pPr>
        <w:spacing w:after="0" w:line="50" w:lineRule="exact"/>
        <w:rPr>
          <w:rFonts w:ascii="Arial" w:cs="Arial" w:eastAsia="Arial" w:hAnsi="Arial"/>
          <w:sz w:val="18"/>
          <w:szCs w:val="18"/>
          <w:color w:val="auto"/>
        </w:rPr>
      </w:pPr>
    </w:p>
    <w:p>
      <w:pPr>
        <w:ind w:left="452" w:firstLine="443"/>
        <w:spacing w:after="0" w:line="298" w:lineRule="auto"/>
        <w:tabs>
          <w:tab w:leader="none" w:pos="1197"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board of directors, acting on the recommendation of the directors and corporate governance committee, shall within 90 days of receiving the certified vote pertaining to such election, determine whether to accept the resignation of the unsuccessful incumbent. Absent a determination by the board of directors that a compelling reason exists for concluding that it is in the best interests of the Corporation for an unsuccessful incumbent to remain as a director, no such person shall be elected by the board to serve as a director, and the board shall accept that person’s resignation.</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80" w:right="279" w:bottom="1440" w:gutter="0" w:footer="0" w:header="0"/>
        </w:sectPr>
      </w:pPr>
    </w:p>
    <w:bookmarkStart w:id="21" w:name="page22"/>
    <w:bookmarkEnd w:id="21"/>
    <w:p>
      <w:pPr>
        <w:ind w:left="440" w:right="20" w:firstLine="443"/>
        <w:spacing w:after="0" w:line="268" w:lineRule="auto"/>
        <w:tabs>
          <w:tab w:leader="none" w:pos="1176"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board determines to accept the resignation of an unsuccessful incumbent, the directors and corporate governance committee shall promptly recommend a candidate to the board of directors to fill the office formerly held by the unsuccessful incumbent.</w:t>
      </w:r>
    </w:p>
    <w:p>
      <w:pPr>
        <w:spacing w:after="0" w:line="50" w:lineRule="exact"/>
        <w:rPr>
          <w:rFonts w:ascii="Arial" w:cs="Arial" w:eastAsia="Arial" w:hAnsi="Arial"/>
          <w:sz w:val="18"/>
          <w:szCs w:val="18"/>
          <w:color w:val="auto"/>
        </w:rPr>
      </w:pPr>
    </w:p>
    <w:p>
      <w:pPr>
        <w:ind w:left="440" w:right="400" w:firstLine="443"/>
        <w:spacing w:after="0" w:line="259" w:lineRule="auto"/>
        <w:tabs>
          <w:tab w:leader="none" w:pos="11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board of directors shall promptly consider and act upon the directors and corporate governance committee’s recommendation. The committee, in making this recommendation and the board, in acting on such recommendation, may consider any factors or other information that they determine appropriate and relevant.</w:t>
      </w:r>
    </w:p>
    <w:p>
      <w:pPr>
        <w:spacing w:after="0" w:line="59" w:lineRule="exact"/>
        <w:rPr>
          <w:rFonts w:ascii="Arial" w:cs="Arial" w:eastAsia="Arial" w:hAnsi="Arial"/>
          <w:sz w:val="18"/>
          <w:szCs w:val="18"/>
          <w:color w:val="auto"/>
        </w:rPr>
      </w:pPr>
    </w:p>
    <w:p>
      <w:pPr>
        <w:ind w:left="440" w:right="80" w:firstLine="443"/>
        <w:spacing w:after="0" w:line="268" w:lineRule="auto"/>
        <w:tabs>
          <w:tab w:leader="none" w:pos="11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directors and corporate governance committee and the board of directors shall take the actions required under this paragraph (e) without the participation of any unsuccessful incumbent except that:</w:t>
      </w:r>
    </w:p>
    <w:p>
      <w:pPr>
        <w:spacing w:after="0" w:line="131" w:lineRule="exact"/>
        <w:rPr>
          <w:rFonts w:ascii="Arial" w:cs="Arial" w:eastAsia="Arial" w:hAnsi="Arial"/>
          <w:sz w:val="18"/>
          <w:szCs w:val="18"/>
          <w:color w:val="auto"/>
        </w:rPr>
      </w:pPr>
    </w:p>
    <w:p>
      <w:pPr>
        <w:ind w:left="-20" w:firstLine="1492"/>
        <w:spacing w:after="0" w:line="259" w:lineRule="auto"/>
        <w:tabs>
          <w:tab w:leader="none" w:pos="1629"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every member of the directors and corporate governance committee is an unsuccessful incumbent, the Independent Directors (as defined in section 2.10) who are not unsuccessful incumbents shall name a committee comprised of some or all of the Independent Directors to make recommendations under this subsection to the board; and</w:t>
      </w:r>
    </w:p>
    <w:p>
      <w:pPr>
        <w:spacing w:after="0" w:line="140" w:lineRule="exact"/>
        <w:rPr>
          <w:rFonts w:ascii="Arial" w:cs="Arial" w:eastAsia="Arial" w:hAnsi="Arial"/>
          <w:sz w:val="18"/>
          <w:szCs w:val="18"/>
          <w:color w:val="auto"/>
        </w:rPr>
      </w:pPr>
    </w:p>
    <w:p>
      <w:pPr>
        <w:ind w:left="-20" w:right="640" w:firstLine="1492"/>
        <w:spacing w:after="0" w:line="268" w:lineRule="auto"/>
        <w:tabs>
          <w:tab w:leader="none" w:pos="1639"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the number of Independent Directors who are not unsuccessful incumbents is three or fewer, all directors may participate in the decisions under this paragraph (e).</w:t>
      </w:r>
    </w:p>
    <w:p>
      <w:pPr>
        <w:spacing w:after="0" w:line="131" w:lineRule="exact"/>
        <w:rPr>
          <w:rFonts w:ascii="Arial" w:cs="Arial" w:eastAsia="Arial" w:hAnsi="Arial"/>
          <w:sz w:val="18"/>
          <w:szCs w:val="18"/>
          <w:color w:val="auto"/>
        </w:rPr>
      </w:pPr>
    </w:p>
    <w:p>
      <w:pPr>
        <w:ind w:left="-20" w:right="80" w:firstLine="464"/>
        <w:spacing w:after="0" w:line="256"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Acceptance of a Director’s Resignation</w:t>
      </w:r>
      <w:r>
        <w:rPr>
          <w:rFonts w:ascii="Arial" w:cs="Arial" w:eastAsia="Arial" w:hAnsi="Arial"/>
          <w:sz w:val="18"/>
          <w:szCs w:val="18"/>
          <w:color w:val="auto"/>
        </w:rPr>
        <w:t>. If the board of directors accepts the resignation of a director who is an unsuccessful incumbent pursuant to this bylaw, or if a nominee for director who is not an incumbent director does not receive more than 50 percent of the votes cast, then subject to the certificate of incorporation and any certificate of designations for preferred stock, the board of directors at its discretion may decrease the size of the board of directors pursuant to the provisions of section 2.1.</w:t>
      </w:r>
    </w:p>
    <w:p>
      <w:pPr>
        <w:spacing w:after="0" w:line="143" w:lineRule="exact"/>
        <w:rPr>
          <w:rFonts w:ascii="Arial" w:cs="Arial" w:eastAsia="Arial" w:hAnsi="Arial"/>
          <w:sz w:val="18"/>
          <w:szCs w:val="18"/>
          <w:color w:val="auto"/>
        </w:rPr>
      </w:pPr>
    </w:p>
    <w:p>
      <w:pPr>
        <w:ind w:left="-20" w:right="160" w:firstLine="464"/>
        <w:spacing w:after="0" w:line="259"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happening of an event or events.</w:t>
      </w:r>
    </w:p>
    <w:p>
      <w:pPr>
        <w:spacing w:after="0" w:line="140" w:lineRule="exact"/>
        <w:rPr>
          <w:rFonts w:ascii="Arial" w:cs="Arial" w:eastAsia="Arial" w:hAnsi="Arial"/>
          <w:sz w:val="18"/>
          <w:szCs w:val="18"/>
          <w:color w:val="auto"/>
        </w:rPr>
      </w:pPr>
    </w:p>
    <w:p>
      <w:pPr>
        <w:ind w:left="-20" w:right="20" w:firstLine="464"/>
        <w:spacing w:after="0" w:line="253"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Prior to the Initial Public Offering, any director may be removed from office, with or without cause, by the affirmative vote of the holders of at least a majority of the voting power of the outstanding shares of all classes of stock entitled to vote at the election of directors, except as otherwise provided by the General Corporation Law of Delaware. Following the Initial Public Offering, any director may be removed from office, only with cause, by the affirmative vote of the holders of at least a majority of the voting power of the outstanding shares of all classes of stock entitled to vote at the election of directors. Prior to an Initial Public Offering, if any Required Director (as defined in section 2.5) is removed from office pursuant to this section 2.2(h), the stockholder who had the right to nominate such director shall have the right to nominate a director to replace such removed director, subject to, and in accordance with, the terms set forth in the Stockholders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22" w:name="page23"/>
    <w:bookmarkEnd w:id="22"/>
    <w:p>
      <w:pPr>
        <w:ind w:right="60" w:firstLine="464"/>
        <w:spacing w:after="0" w:line="256"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Filling a Vacancy</w:t>
      </w:r>
      <w:r>
        <w:rPr>
          <w:rFonts w:ascii="Arial" w:cs="Arial" w:eastAsia="Arial" w:hAnsi="Arial"/>
          <w:sz w:val="18"/>
          <w:szCs w:val="18"/>
          <w:color w:val="auto"/>
        </w:rPr>
        <w:t>. Subject to section 2.2(e) and the last sentence of section 2.2(h), any vacancy occurring in the board for any reason may be filled by a majority of the members of the board then in office, even if such majority is less than a quorum. Each director so elected shall hold office for a term expiring at the time of the expiration of the term of the other directors. Each such director shall hold office until his successor is elected and qualified or until such director’s earlier death, resignation or removal.</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i w:val="1"/>
          <w:iCs w:val="1"/>
          <w:color w:val="auto"/>
        </w:rPr>
        <w:t>Regular Meetings.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i w:val="1"/>
          <w:iCs w:val="1"/>
          <w:color w:val="auto"/>
        </w:rPr>
        <w:t>Special Meetings.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i w:val="1"/>
          <w:iCs w:val="1"/>
          <w:color w:val="auto"/>
        </w:rPr>
        <w:t>Quorum; Vote Required for Action.</w:t>
      </w:r>
    </w:p>
    <w:p>
      <w:pPr>
        <w:spacing w:after="0" w:line="96" w:lineRule="exact"/>
        <w:rPr>
          <w:sz w:val="20"/>
          <w:szCs w:val="20"/>
          <w:color w:val="auto"/>
        </w:rPr>
      </w:pPr>
    </w:p>
    <w:p>
      <w:pPr>
        <w:jc w:val="both"/>
        <w:ind w:firstLine="464"/>
        <w:spacing w:after="0" w:line="30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Following an Initial Public Offering, 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06" w:lineRule="exact"/>
        <w:rPr>
          <w:rFonts w:ascii="Arial" w:cs="Arial" w:eastAsia="Arial" w:hAnsi="Arial"/>
          <w:sz w:val="16"/>
          <w:szCs w:val="16"/>
          <w:color w:val="auto"/>
        </w:rPr>
      </w:pPr>
    </w:p>
    <w:p>
      <w:pPr>
        <w:ind w:right="140" w:firstLine="464"/>
        <w:spacing w:after="0" w:line="254"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an Initial Public Offering, at all meetings of the board of directors, one-third of the total number of directors then in office, including the Required Directors, shall be necessary to constitute a quorum for the transaction of business. If such quorum is not present within 60 minutes after the time appointed for such meeting, such meeting shall be adjourned and the chairman of the board shall reschedule the meeting to be held not fewer than two nor more than 10 Business Days thereafter. If such meeting is rescheduled and one-third of the total number of directors then in office, including the Required Directors, are not present at the rescheduled meeting, then those directors who are present or represented by proxy at the rescheduled meeting shall constitute a valid quorum for all purposes hereunder; provided that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notice by overnight mail, courier service, electronic transmission, or hand delivery of any rescheduled meeting shall have been delivered to all directors at least one Business Day prior to the date of such rescheduled meeting; and provided further, that the directors present determine, in good faith, that any absent Required Director’s absence was motivated by an intention to delay or impede the meeting. Except in cases in which applicable law, the certificate of incorporation, or these bylaws provide otherwise, the vote of a majority of the directors present at a meeting at which a quorum is present shall be the act of the board.</w:t>
      </w:r>
    </w:p>
    <w:p>
      <w:pPr>
        <w:spacing w:after="0" w:line="14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term “Required Director” shall mean, with respect to any stockholder who has a then-current right to designate for nomination, and has designated for nomination, one or more directors pursuant to the Stockholders Agreement, one director so designated for nomination by such stockholder.</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i w:val="1"/>
          <w:iCs w:val="1"/>
          <w:color w:val="auto"/>
        </w:rPr>
        <w:t>Election of Chairman; Conduct of Board Meetings.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one of its Independent Directors to be lead director, with such responsibilities as the board may determine.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 shall preside at meetings of the board and lead the board in fulfilling its responsibilities as defined in section 2.1.</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i w:val="1"/>
          <w:iCs w:val="1"/>
          <w:color w:val="auto"/>
        </w:rPr>
        <w:t>Ratification.</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4" w:name="page25"/>
    <w:bookmarkEnd w:id="24"/>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w:t>
      </w:r>
      <w:r>
        <w:rPr>
          <w:sz w:val="20"/>
          <w:szCs w:val="20"/>
          <w:color w:val="auto"/>
        </w:rPr>
        <w:tab/>
      </w:r>
      <w:r>
        <w:rPr>
          <w:rFonts w:ascii="Arial" w:cs="Arial" w:eastAsia="Arial" w:hAnsi="Arial"/>
          <w:sz w:val="15"/>
          <w:szCs w:val="15"/>
          <w:b w:val="1"/>
          <w:bCs w:val="1"/>
          <w:i w:val="1"/>
          <w:iCs w:val="1"/>
          <w:color w:val="auto"/>
        </w:rPr>
        <w:t>Written Action by Directors.</w:t>
      </w:r>
    </w:p>
    <w:p>
      <w:pPr>
        <w:spacing w:after="0" w:line="9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i w:val="1"/>
          <w:iCs w:val="1"/>
          <w:color w:val="auto"/>
        </w:rPr>
        <w:t>Telephonic Meetings Permitted.</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i w:val="1"/>
          <w:iCs w:val="1"/>
          <w:color w:val="auto"/>
        </w:rPr>
        <w:t>Independent Directors.</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If the board elects directors between annual meetings of stockholders, two-thirds of all directors holding office immediately after such election shall be Independent Directors.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section 2.10, the term “Independent Director” shall mean a director who qualifies as independent within the meaning of Rule 303A.02 of the New York Stock Exchange’s Listed Company Manual (or any successor provision), whether or not any of the shares of Common Stock are then listed on the New York Stock Exchange.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4"/>
          <w:szCs w:val="14"/>
          <w:b w:val="1"/>
          <w:bCs w:val="1"/>
          <w:i w:val="1"/>
          <w:iCs w:val="1"/>
          <w:color w:val="auto"/>
        </w:rPr>
        <w:t>Access to Books and Records</w:t>
      </w:r>
    </w:p>
    <w:p>
      <w:pPr>
        <w:spacing w:after="0" w:line="9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i w:val="1"/>
          <w:iCs w:val="1"/>
          <w:color w:val="auto"/>
        </w:rPr>
        <w:t>Committees of the Board of Directors.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 w:name="page26"/>
    <w:bookmarkEnd w:id="2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standing committees of the board shall include the audit committee, the directors and corporate governance committee, the executive compensation committee, the finance and risk policy committee, and the public policy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i w:val="1"/>
          <w:iCs w:val="1"/>
          <w:color w:val="auto"/>
        </w:rPr>
        <w:t>Election; Vacancies.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i w:val="1"/>
          <w:iCs w:val="1"/>
          <w:color w:val="auto"/>
        </w:rPr>
        <w:t>Procedure; Quorum.</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Except to the extent otherwise provided in these bylaws or any resolution of the board of directors, each committee of the board may fix its own rules and procedures.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i w:val="1"/>
          <w:iCs w:val="1"/>
          <w:color w:val="auto"/>
        </w:rPr>
        <w:t>Finance and Risk Policy Committee.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finance and risk policy committee shall be responsible for assisting the board of directors in its oversight of the Corporation’s financial policies and strategies, including its capital structure. The committee shall also be responsible for assisting the board of directors in its oversight of the Corporation’s risk management strategies and policies, including overseeing management of market, credit, liquidity and funding risks.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6" w:name="page27"/>
    <w:bookmarkEnd w:id="26"/>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r>
        <w:rPr>
          <w:sz w:val="20"/>
          <w:szCs w:val="20"/>
          <w:color w:val="auto"/>
        </w:rPr>
        <w:tab/>
      </w:r>
      <w:r>
        <w:rPr>
          <w:rFonts w:ascii="Arial" w:cs="Arial" w:eastAsia="Arial" w:hAnsi="Arial"/>
          <w:sz w:val="15"/>
          <w:szCs w:val="15"/>
          <w:b w:val="1"/>
          <w:bCs w:val="1"/>
          <w:i w:val="1"/>
          <w:iCs w:val="1"/>
          <w:color w:val="auto"/>
        </w:rPr>
        <w:t>Audit Committee.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i w:val="1"/>
          <w:iCs w:val="1"/>
          <w:color w:val="auto"/>
        </w:rPr>
        <w:t>Executive Compensation Committee.</w:t>
      </w:r>
    </w:p>
    <w:p>
      <w:pPr>
        <w:spacing w:after="0" w:line="96"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w:t>
      </w:r>
    </w:p>
    <w:p>
      <w:pPr>
        <w:ind w:right="40" w:firstLine="8"/>
        <w:spacing w:after="0" w:line="253"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i w:val="1"/>
          <w:iCs w:val="1"/>
          <w:color w:val="auto"/>
        </w:rPr>
        <w:t>Public Policy Committee.</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i w:val="1"/>
          <w:iCs w:val="1"/>
          <w:color w:val="auto"/>
        </w:rPr>
        <w:t>Directors and Corporate Governance Committee.</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7" w:name="page28"/>
    <w:bookmarkEnd w:id="27"/>
    <w:p>
      <w:pPr>
        <w:ind w:left="5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OFFICERS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i w:val="1"/>
          <w:iCs w:val="1"/>
          <w:color w:val="auto"/>
        </w:rPr>
        <w:t>Election of Officers.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group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i w:val="1"/>
          <w:iCs w:val="1"/>
          <w:color w:val="auto"/>
        </w:rPr>
        <w:t>Chief Executive Officer.</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4"/>
          <w:szCs w:val="14"/>
          <w:b w:val="1"/>
          <w:bCs w:val="1"/>
          <w:i w:val="1"/>
          <w:iCs w:val="1"/>
          <w:color w:val="auto"/>
        </w:rPr>
        <w:t>President.</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i w:val="1"/>
          <w:iCs w:val="1"/>
          <w:color w:val="auto"/>
        </w:rPr>
        <w:t>Vice Chairman of the Corporation.</w:t>
      </w:r>
    </w:p>
    <w:p>
      <w:pPr>
        <w:spacing w:after="0" w:line="96"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i w:val="1"/>
          <w:iCs w:val="1"/>
          <w:color w:val="auto"/>
        </w:rPr>
        <w:t>Chief Financial Officer.</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8" w:name="page29"/>
    <w:bookmarkEnd w:id="28"/>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Arial" w:cs="Arial" w:eastAsia="Arial" w:hAnsi="Arial"/>
          <w:sz w:val="15"/>
          <w:szCs w:val="15"/>
          <w:b w:val="1"/>
          <w:bCs w:val="1"/>
          <w:i w:val="1"/>
          <w:iCs w:val="1"/>
          <w:color w:val="auto"/>
        </w:rPr>
        <w:t>Treasurer.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treasurer shall have direct or indirect custody of all funds and securities of the Corporation and shall perform all duties incident to the position of treasurer.</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4"/>
          <w:szCs w:val="14"/>
          <w:b w:val="1"/>
          <w:bCs w:val="1"/>
          <w:i w:val="1"/>
          <w:iCs w:val="1"/>
          <w:color w:val="auto"/>
        </w:rPr>
        <w:t>Secretary.</w:t>
      </w:r>
    </w:p>
    <w:p>
      <w:pPr>
        <w:spacing w:after="0" w:line="9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i w:val="1"/>
          <w:iCs w:val="1"/>
          <w:color w:val="auto"/>
        </w:rPr>
        <w:t>Controller.</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5"/>
          <w:szCs w:val="15"/>
          <w:b w:val="1"/>
          <w:bCs w:val="1"/>
          <w:i w:val="1"/>
          <w:iCs w:val="1"/>
          <w:color w:val="auto"/>
        </w:rPr>
        <w:t>General Counsel.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i w:val="1"/>
          <w:iCs w:val="1"/>
          <w:color w:val="auto"/>
        </w:rPr>
        <w:t>General Auditor.</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general auditor shall have such duties as are incident to the position of general auditor in the performance of an internal audit activity of the Corporation and shall have direct access to the audit committee.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i w:val="1"/>
          <w:iCs w:val="1"/>
          <w:color w:val="auto"/>
        </w:rPr>
        <w:t>Chief Tax Officer.</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b w:val="1"/>
          <w:bCs w:val="1"/>
          <w:i w:val="1"/>
          <w:iCs w:val="1"/>
          <w:color w:val="auto"/>
        </w:rPr>
        <w:t>Subordinate Officers.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4.13  </w:t>
      </w:r>
      <w:r>
        <w:rPr>
          <w:rFonts w:ascii="Arial" w:cs="Arial" w:eastAsia="Arial" w:hAnsi="Arial"/>
          <w:sz w:val="18"/>
          <w:szCs w:val="18"/>
          <w:b w:val="1"/>
          <w:bCs w:val="1"/>
          <w:i w:val="1"/>
          <w:iCs w:val="1"/>
          <w:color w:val="auto"/>
        </w:rPr>
        <w:t>Resignation; Removal; Suspension; Vacancies.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Any officer elected by the board of directors may be suspended or removed at any time by the affirmative vote of a majority of the board. Any subordinate officer of the Corporation appointed by the board, a committee of the board, or the chief executive officer may be suspended or removed at any time by the board, the committee that appointed such subordinate officer, the chief executive officer or any other officer to whom such subordinate officer reports.</w:t>
      </w:r>
    </w:p>
    <w:p>
      <w:pPr>
        <w:spacing w:after="0" w:line="107"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i w:val="1"/>
          <w:iCs w:val="1"/>
          <w:color w:val="auto"/>
        </w:rPr>
        <w:t>Right to Indemnification of Directors and Officers.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i w:val="1"/>
          <w:iCs w:val="1"/>
          <w:color w:val="auto"/>
        </w:rPr>
        <w:t>Advancement of Expenses of Directors and Officers.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i w:val="1"/>
          <w:iCs w:val="1"/>
          <w:color w:val="auto"/>
        </w:rPr>
        <w:t>Claims by Officers or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i w:val="1"/>
          <w:iCs w:val="1"/>
          <w:color w:val="auto"/>
        </w:rPr>
        <w:t>Indemnification of Employees.</w:t>
      </w:r>
    </w:p>
    <w:p>
      <w:pPr>
        <w:spacing w:after="0" w:line="96" w:lineRule="exact"/>
        <w:rPr>
          <w:sz w:val="20"/>
          <w:szCs w:val="20"/>
          <w:color w:val="auto"/>
        </w:rPr>
      </w:pPr>
    </w:p>
    <w:p>
      <w:pPr>
        <w:ind w:right="60" w:firstLine="464"/>
        <w:spacing w:after="0" w:line="283" w:lineRule="auto"/>
        <w:tabs>
          <w:tab w:leader="none" w:pos="6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w:t>
      </w:r>
    </w:p>
    <w:p>
      <w:pPr>
        <w:spacing w:after="0" w:line="2" w:lineRule="exact"/>
        <w:rPr>
          <w:rFonts w:ascii="Arial" w:cs="Arial" w:eastAsia="Arial" w:hAnsi="Arial"/>
          <w:sz w:val="16"/>
          <w:szCs w:val="16"/>
          <w:color w:val="auto"/>
        </w:rPr>
      </w:pPr>
    </w:p>
    <w:p>
      <w:pPr>
        <w:ind w:right="60" w:firstLine="8"/>
        <w:spacing w:after="0" w:line="255"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144" w:lineRule="exact"/>
        <w:rPr>
          <w:rFonts w:ascii="Arial" w:cs="Arial" w:eastAsia="Arial" w:hAnsi="Arial"/>
          <w:sz w:val="18"/>
          <w:szCs w:val="18"/>
          <w:color w:val="auto"/>
        </w:rPr>
      </w:pPr>
    </w:p>
    <w:p>
      <w:pPr>
        <w:ind w:firstLine="464"/>
        <w:spacing w:after="0" w:line="288" w:lineRule="auto"/>
        <w:tabs>
          <w:tab w:leader="none" w:pos="705"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1" w:name="page32"/>
    <w:bookmarkEnd w:id="3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r>
        <w:rPr>
          <w:sz w:val="20"/>
          <w:szCs w:val="20"/>
          <w:color w:val="auto"/>
        </w:rPr>
        <w:tab/>
      </w:r>
      <w:r>
        <w:rPr>
          <w:rFonts w:ascii="Arial" w:cs="Arial" w:eastAsia="Arial" w:hAnsi="Arial"/>
          <w:sz w:val="14"/>
          <w:szCs w:val="14"/>
          <w:b w:val="1"/>
          <w:bCs w:val="1"/>
          <w:i w:val="1"/>
          <w:iCs w:val="1"/>
          <w:color w:val="auto"/>
        </w:rPr>
        <w:t>Advancement of Expenses of Employees.</w:t>
      </w:r>
    </w:p>
    <w:p>
      <w:pPr>
        <w:spacing w:after="0" w:line="9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w:t>
      </w:r>
    </w:p>
    <w:p>
      <w:pPr>
        <w:spacing w:after="0" w:line="1" w:lineRule="exact"/>
        <w:rPr>
          <w:sz w:val="20"/>
          <w:szCs w:val="20"/>
          <w:color w:val="auto"/>
        </w:rPr>
      </w:pPr>
    </w:p>
    <w:p>
      <w:pPr>
        <w:ind w:right="140" w:firstLine="8"/>
        <w:spacing w:after="0" w:line="255"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2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4"/>
          <w:szCs w:val="14"/>
          <w:b w:val="1"/>
          <w:bCs w:val="1"/>
          <w:i w:val="1"/>
          <w:iCs w:val="1"/>
          <w:color w:val="auto"/>
        </w:rPr>
        <w:t>Claims by Employees.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i w:val="1"/>
          <w:iCs w:val="1"/>
          <w:color w:val="auto"/>
        </w:rPr>
        <w:t>Non Exclusivity of Rights.</w:t>
      </w:r>
    </w:p>
    <w:p>
      <w:pPr>
        <w:spacing w:after="0" w:line="9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i w:val="1"/>
          <w:iCs w:val="1"/>
          <w:color w:val="auto"/>
        </w:rPr>
        <w:t>Other Indemnification.</w:t>
      </w:r>
    </w:p>
    <w:p>
      <w:pPr>
        <w:spacing w:after="0" w:line="9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i w:val="1"/>
          <w:iCs w:val="1"/>
          <w:color w:val="auto"/>
        </w:rPr>
        <w:t>Insurance.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2" w:name="page33"/>
    <w:bookmarkEnd w:id="3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i w:val="1"/>
          <w:iCs w:val="1"/>
          <w:color w:val="auto"/>
        </w:rPr>
        <w:t>Nature of Rights; Amendment or Repeal.</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ARTICLE VI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MISCELLANEOUS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4"/>
          <w:szCs w:val="14"/>
          <w:b w:val="1"/>
          <w:bCs w:val="1"/>
          <w:i w:val="1"/>
          <w:iCs w:val="1"/>
          <w:color w:val="auto"/>
        </w:rPr>
        <w:t>Seal.</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i w:val="1"/>
          <w:iCs w:val="1"/>
          <w:color w:val="auto"/>
        </w:rPr>
        <w:t>Fiscal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begin on January 1 and end on December 31 of each year.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4"/>
          <w:szCs w:val="14"/>
          <w:b w:val="1"/>
          <w:bCs w:val="1"/>
          <w:i w:val="1"/>
          <w:iCs w:val="1"/>
          <w:color w:val="auto"/>
        </w:rPr>
        <w:t>Notice.</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 followed by a paper copy of such notice delivered by overnight mail or courier service.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i w:val="1"/>
          <w:iCs w:val="1"/>
          <w:color w:val="auto"/>
        </w:rPr>
        <w:t>Waiver of Notice.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33" w:name="page34"/>
    <w:bookmarkEnd w:id="33"/>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w:t>
      </w:r>
      <w:r>
        <w:rPr>
          <w:sz w:val="20"/>
          <w:szCs w:val="20"/>
          <w:color w:val="auto"/>
        </w:rPr>
        <w:tab/>
      </w:r>
      <w:r>
        <w:rPr>
          <w:rFonts w:ascii="Arial" w:cs="Arial" w:eastAsia="Arial" w:hAnsi="Arial"/>
          <w:sz w:val="15"/>
          <w:szCs w:val="15"/>
          <w:b w:val="1"/>
          <w:bCs w:val="1"/>
          <w:i w:val="1"/>
          <w:iCs w:val="1"/>
          <w:color w:val="auto"/>
        </w:rPr>
        <w:t>Voting of Stock Owned by the Corporation.</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board of directors, the finance and risk policy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b w:val="1"/>
          <w:bCs w:val="1"/>
          <w:i w:val="1"/>
          <w:iCs w:val="1"/>
          <w:color w:val="auto"/>
        </w:rPr>
        <w:t>Form of Records.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i w:val="1"/>
          <w:iCs w:val="1"/>
          <w:color w:val="auto"/>
        </w:rPr>
        <w:t>Offices.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i w:val="1"/>
          <w:iCs w:val="1"/>
          <w:color w:val="auto"/>
        </w:rPr>
        <w:t>Amendment of Bylaws.</w:t>
      </w:r>
    </w:p>
    <w:p>
      <w:pPr>
        <w:spacing w:after="0" w:line="9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Unless otherwise provided in the certificate of incorporation or these bylaws, (with the consent of the Required Directors with respect to any amendment to section 2.5(b) of these bylaws (or any successor provision)), the board of directors shall have power to adopt, amend, or repeal the bylaws at any regular or special meeting of the board. The stockholders shall also have power to adopt, amend, or repeal the bylaws at any annual or special meeting, subject to compliance with the notice provisions provided in section 1.11 of these bylaws.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i w:val="1"/>
          <w:iCs w:val="1"/>
          <w:color w:val="auto"/>
        </w:rPr>
        <w:t>Gender Pronouns.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Whenever the masculine pronoun is used in these bylaws, it shall be deemed to refer to either the masculine or the feminine gender.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Statement on the Retirement of Kent Kresa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release August 3, 2010</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General Motors Co. today announced that Kent Kresa has retired from the company’s board of directors. In accordance with company guidelines, members are ineligible for re-election after the age of 72.</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Kresa, 72, was appointed to the board of the old GM in October 2003, after retiring as chairman of Northrop Grumman Corp. He served on the board of old GM through July 9, 2009, and was then elected to the board of the new GM on July 10, 2009. During his tenure, he has served on the Investment Fund, Director and Corporate Governance and Audit committees.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“Drawing from his experiences at Northrop, one of the world’s leading aeronautics companies, Kent was adamant that GM keep up with or lead key technological advances for the industry. And that’s one of our biggest strengths today,” said GM Chairman and CEO, Ed E. Whitacre, Jr.</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“Having led Northrop through crisis and renewal, Kent provided calm leadership and sensible guidance as the GM’s interim Chairman during what was a period of intense change, challenge and uncertainty for the company,” Whitacre said. “We thank Kent with enormous gratitude for his dedicated service and many contributions to GM.”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Reneé Rashid-Merem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Phone 313-665-3128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313-701-8560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Renee.rashid-merem@gm.com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lvl w:ilvl="1">
      <w:lvlJc w:val="left"/>
      <w:lvlText w:val="(%2)"/>
      <w:numFmt w:val="decimal"/>
      <w:start w:val="1"/>
    </w:lvl>
  </w:abstractNum>
  <w:abstractNum w:abstractNumId="3">
    <w:nsid w:val="6B68079A"/>
    <w:multiLevelType w:val="hybridMultilevel"/>
    <w:lvl w:ilvl="0">
      <w:lvlJc w:val="left"/>
      <w:lvlText w:val="%1"/>
      <w:numFmt w:val="lowerLetter"/>
      <w:start w:val="1"/>
    </w:lvl>
    <w:lvl w:ilvl="1">
      <w:lvlJc w:val="left"/>
      <w:lvlText w:val="(%2)"/>
      <w:numFmt w:val="decimal"/>
      <w:start w:val="2"/>
    </w:lvl>
  </w:abstractNum>
  <w:abstractNum w:abstractNumId="4">
    <w:nsid w:val="4E6AFB66"/>
    <w:multiLevelType w:val="hybridMultilevel"/>
    <w:lvl w:ilvl="0">
      <w:lvlJc w:val="left"/>
      <w:lvlText w:val="(%1)"/>
      <w:numFmt w:val="lowerLetter"/>
      <w:start w:val="3"/>
    </w:lvl>
    <w:lvl w:ilvl="1">
      <w:lvlJc w:val="left"/>
      <w:lvlText w:val="%2"/>
      <w:numFmt w:val="decimal"/>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2"/>
    </w:lvl>
    <w:lvl w:ilvl="1">
      <w:lvlJc w:val="left"/>
      <w:lvlText w:val="(%2)"/>
      <w:numFmt w:val="lowerRoman"/>
      <w:start w:val="1"/>
    </w:lvl>
  </w:abstractNum>
  <w:abstractNum w:abstractNumId="8">
    <w:nsid w:val="3F2DBA31"/>
    <w:multiLevelType w:val="hybridMultilevel"/>
    <w:lvl w:ilvl="0">
      <w:lvlJc w:val="left"/>
      <w:lvlText w:val="%1"/>
      <w:numFmt w:val="lowerLetter"/>
      <w:start w:val="1"/>
    </w:lvl>
    <w:lvl w:ilvl="1">
      <w:lvlJc w:val="left"/>
      <w:lvlText w:val="(%2)"/>
      <w:numFmt w:val="lowerLetter"/>
      <w:start w:val="22"/>
    </w:lvl>
  </w:abstractNum>
  <w:abstractNum w:abstractNumId="9">
    <w:nsid w:val="7C83E458"/>
    <w:multiLevelType w:val="hybridMultilevel"/>
    <w:lvl w:ilvl="0">
      <w:lvlJc w:val="left"/>
      <w:lvlText w:val="(%1)"/>
      <w:numFmt w:val="lowerLetter"/>
      <w:start w:val="5"/>
    </w:lvl>
    <w:lvl w:ilvl="1">
      <w:lvlJc w:val="left"/>
      <w:lvlText w:val="(%2)"/>
      <w:numFmt w:val="lowerLetter"/>
      <w:start w:val="9"/>
    </w:lvl>
  </w:abstractNum>
  <w:abstractNum w:abstractNumId="10">
    <w:nsid w:val="257130A3"/>
    <w:multiLevelType w:val="hybridMultilevel"/>
    <w:lvl w:ilvl="0">
      <w:lvlJc w:val="left"/>
      <w:lvlText w:val="(%1)"/>
      <w:numFmt w:val="lowerRoman"/>
      <w:start w:val="2"/>
    </w:lvl>
  </w:abstractNum>
  <w:abstractNum w:abstractNumId="11">
    <w:nsid w:val="62BBD95A"/>
    <w:multiLevelType w:val="hybridMultilevel"/>
    <w:lvl w:ilvl="0">
      <w:lvlJc w:val="left"/>
      <w:lvlText w:val="(%1)"/>
      <w:numFmt w:val="lowerLetter"/>
      <w:start w:val="6"/>
    </w:lvl>
  </w:abstractNum>
  <w:abstractNum w:abstractNumId="12">
    <w:nsid w:val="436C6125"/>
    <w:multiLevelType w:val="hybridMultilevel"/>
    <w:lvl w:ilvl="0">
      <w:lvlJc w:val="left"/>
      <w:lvlText w:val="%1"/>
      <w:numFmt w:val="lowerRoman"/>
      <w:start w:val="1"/>
    </w:lvl>
    <w:lvl w:ilvl="1">
      <w:lvlJc w:val="left"/>
      <w:lvlText w:val="(%2)"/>
      <w:numFmt w:val="decimal"/>
      <w:start w:val="1"/>
    </w:lvl>
  </w:abstractNum>
  <w:abstractNum w:abstractNumId="13">
    <w:nsid w:val="628C895D"/>
    <w:multiLevelType w:val="hybridMultilevel"/>
    <w:lvl w:ilvl="0">
      <w:lvlJc w:val="left"/>
      <w:lvlText w:val="(%1)"/>
      <w:numFmt w:val="lowerRoman"/>
      <w:start w:val="2"/>
    </w:lvl>
    <w:lvl w:ilvl="1">
      <w:lvlJc w:val="left"/>
      <w:lvlText w:val="(%2)"/>
      <w:numFmt w:val="decimal"/>
      <w:start w:val="3"/>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1)"/>
      <w:numFmt w:val="lowerLetter"/>
      <w:start w:val="5"/>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
    <w:nsid w:val="75A2A8D4"/>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20">
    <w:nsid w:val="8EDBDAB"/>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21">
    <w:nsid w:val="79838CB2"/>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2">
    <w:nsid w:val="4353D0CD"/>
    <w:multiLevelType w:val="hybridMultilevel"/>
    <w:lvl w:ilvl="0">
      <w:lvlJc w:val="left"/>
      <w:lvlText w:val="(%1)"/>
      <w:numFmt w:val="lowerRoman"/>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2"/>
    </w:lvl>
  </w:abstractNum>
  <w:abstractNum w:abstractNumId="25">
    <w:nsid w:val="54E49EB4"/>
    <w:multiLevelType w:val="hybridMultilevel"/>
    <w:lvl w:ilvl="0">
      <w:lvlJc w:val="left"/>
      <w:lvlText w:val="%1"/>
      <w:numFmt w:val="lowerLetter"/>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2"/>
    </w:lvl>
    <w:lvl w:ilvl="1">
      <w:lvlJc w:val="left"/>
      <w:lvlText w:val="(%2)"/>
      <w:numFmt w:val="lowerLetter"/>
      <w:start w:val="2"/>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2019-12-11T06:40:52Z</dcterms:created>
  <dcterms:modified xsi:type="dcterms:W3CDTF">2019-12-11T06:40:52Z</dcterms:modified>
</cp:coreProperties>
</file>