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137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3740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Girsky Stephen J</w:t>
              </w:r>
            </w:hyperlink>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300 RENAISSANCE CENTER</w:t>
            </w:r>
          </w:p>
        </w:tc>
        <w:tc>
          <w:tcPr>
            <w:tcW w:w="1120" w:type="dxa"/>
            <w:vAlign w:val="bottom"/>
          </w:tcPr>
          <w:p>
            <w:pPr>
              <w:spacing w:after="0"/>
              <w:rPr>
                <w:sz w:val="19"/>
                <w:szCs w:val="19"/>
                <w:color w:val="auto"/>
              </w:rPr>
            </w:pPr>
          </w:p>
        </w:tc>
        <w:tc>
          <w:tcPr>
            <w:tcW w:w="1300" w:type="dxa"/>
            <w:vAlign w:val="bottom"/>
            <w:gridSpan w:val="6"/>
          </w:tcPr>
          <w:p>
            <w:pPr>
              <w:ind w:left="300"/>
              <w:spacing w:after="0"/>
              <w:rPr>
                <w:sz w:val="20"/>
                <w:szCs w:val="20"/>
                <w:color w:val="auto"/>
              </w:rPr>
            </w:pPr>
            <w:r>
              <w:rPr>
                <w:rFonts w:ascii="Arial" w:cs="Arial" w:eastAsia="Arial" w:hAnsi="Arial"/>
                <w:sz w:val="17"/>
                <w:szCs w:val="17"/>
                <w:color w:val="0000FF"/>
              </w:rPr>
              <w:t>12/31/2015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7"/>
                <w:szCs w:val="17"/>
                <w:color w:val="0000FF"/>
              </w:rPr>
              <w:t>M/C: 482-C25-A36</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vMerge w:val="restart"/>
          </w:tcPr>
          <w:p>
            <w:pPr>
              <w:jc w:val="center"/>
              <w:ind w:right="151"/>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9"/>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220" w:type="dxa"/>
            <w:vAlign w:val="bottom"/>
            <w:gridSpan w:val="2"/>
          </w:tcPr>
          <w:p>
            <w:pPr>
              <w:spacing w:after="0"/>
              <w:rPr>
                <w:sz w:val="20"/>
                <w:szCs w:val="20"/>
                <w:color w:val="auto"/>
              </w:rPr>
            </w:pPr>
            <w:r>
              <w:rPr>
                <w:rFonts w:ascii="Arial" w:cs="Arial" w:eastAsia="Arial" w:hAnsi="Arial"/>
                <w:sz w:val="17"/>
                <w:szCs w:val="17"/>
                <w:color w:val="0000FF"/>
              </w:rPr>
              <w:t>MI</w:t>
            </w: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5"/>
          </w:tcPr>
          <w:p>
            <w:pPr>
              <w:spacing w:after="0"/>
              <w:rPr>
                <w:sz w:val="11"/>
                <w:szCs w:val="11"/>
                <w:color w:val="auto"/>
              </w:rPr>
            </w:pPr>
          </w:p>
        </w:tc>
        <w:tc>
          <w:tcPr>
            <w:tcW w:w="2260" w:type="dxa"/>
            <w:vAlign w:val="bottom"/>
            <w:tcBorders>
              <w:bottom w:val="single" w:sz="8" w:color="2C2C2C"/>
            </w:tcBorders>
            <w:gridSpan w:val="4"/>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7"/>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5"/>
          </w:tcPr>
          <w:p>
            <w:pPr>
              <w:jc w:val="center"/>
              <w:ind w:left="52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12/31/2015</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93"/>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8,679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center"/>
              <w:ind w:left="7"/>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111,705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12/31/2015</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3"/>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5,366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34.15</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106,339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12/31/2015</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3"/>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3,313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34.15</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103,026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12/31/2015</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93"/>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9,731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center"/>
              <w:ind w:left="7"/>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112,757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12/31/2015</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3"/>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5,854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34.15</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106,903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12/31/2015</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3"/>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3,877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34.15</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103,026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7"/>
          </w:tcPr>
          <w:p>
            <w:pPr>
              <w:jc w:val="center"/>
              <w:ind w:left="75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0" w:type="dxa"/>
            <w:vAlign w:val="bottom"/>
            <w:gridSpan w:val="15"/>
          </w:tcPr>
          <w:p>
            <w:pPr>
              <w:jc w:val="center"/>
              <w:ind w:left="34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8,679</w:t>
            </w:r>
          </w:p>
        </w:tc>
        <w:tc>
          <w:tcPr>
            <w:tcW w:w="16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vMerge w:val="restart"/>
          </w:tcPr>
          <w:p>
            <w:pPr>
              <w:jc w:val="center"/>
              <w:ind w:right="11"/>
              <w:spacing w:after="0" w:line="144" w:lineRule="exact"/>
              <w:rPr>
                <w:sz w:val="20"/>
                <w:szCs w:val="20"/>
                <w:color w:val="auto"/>
              </w:rPr>
            </w:pPr>
            <w:r>
              <w:rPr>
                <w:rFonts w:ascii="Arial" w:cs="Arial" w:eastAsia="Arial" w:hAnsi="Arial"/>
                <w:sz w:val="13"/>
                <w:szCs w:val="13"/>
                <w:color w:val="0000FF"/>
                <w:w w:val="92"/>
              </w:rPr>
              <w:t>12/31/2015</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8,679</w:t>
            </w: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3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8,678</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9,731</w:t>
            </w:r>
          </w:p>
        </w:tc>
        <w:tc>
          <w:tcPr>
            <w:tcW w:w="16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vMerge w:val="restart"/>
          </w:tcPr>
          <w:p>
            <w:pPr>
              <w:jc w:val="center"/>
              <w:ind w:right="11"/>
              <w:spacing w:after="0" w:line="144" w:lineRule="exact"/>
              <w:rPr>
                <w:sz w:val="20"/>
                <w:szCs w:val="20"/>
                <w:color w:val="auto"/>
              </w:rPr>
            </w:pPr>
            <w:r>
              <w:rPr>
                <w:rFonts w:ascii="Arial" w:cs="Arial" w:eastAsia="Arial" w:hAnsi="Arial"/>
                <w:sz w:val="13"/>
                <w:szCs w:val="13"/>
                <w:color w:val="0000FF"/>
                <w:w w:val="92"/>
              </w:rPr>
              <w:t>12/31/2015</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9,731</w:t>
            </w: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3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(2)(3)</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(5)</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3,643</w:t>
            </w:r>
          </w:p>
        </w:tc>
        <w:tc>
          <w:tcPr>
            <w:tcW w:w="16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(5)</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vMerge w:val="restart"/>
          </w:tcPr>
          <w:p>
            <w:pPr>
              <w:jc w:val="center"/>
              <w:ind w:right="11"/>
              <w:spacing w:after="0" w:line="144" w:lineRule="exact"/>
              <w:rPr>
                <w:sz w:val="20"/>
                <w:szCs w:val="20"/>
                <w:color w:val="auto"/>
              </w:rPr>
            </w:pPr>
            <w:r>
              <w:rPr>
                <w:rFonts w:ascii="Arial" w:cs="Arial" w:eastAsia="Arial" w:hAnsi="Arial"/>
                <w:sz w:val="13"/>
                <w:szCs w:val="13"/>
                <w:color w:val="0000FF"/>
                <w:w w:val="92"/>
              </w:rPr>
              <w:t>12/31/2015</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jc w:val="right"/>
              <w:ind w:right="19"/>
              <w:spacing w:after="0" w:line="144" w:lineRule="exact"/>
              <w:rPr>
                <w:sz w:val="20"/>
                <w:szCs w:val="20"/>
                <w:color w:val="auto"/>
              </w:rPr>
            </w:pPr>
            <w:r>
              <w:rPr>
                <w:rFonts w:ascii="Arial" w:cs="Arial" w:eastAsia="Arial" w:hAnsi="Arial"/>
                <w:sz w:val="13"/>
                <w:szCs w:val="13"/>
                <w:color w:val="0000FF"/>
              </w:rPr>
              <w:t>3,643</w:t>
            </w:r>
          </w:p>
        </w:tc>
        <w:tc>
          <w:tcPr>
            <w:tcW w:w="460" w:type="dxa"/>
            <w:vAlign w:val="bottom"/>
          </w:tcPr>
          <w:p>
            <w:pPr>
              <w:spacing w:after="0"/>
              <w:rPr>
                <w:sz w:val="6"/>
                <w:szCs w:val="6"/>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right"/>
              <w:ind w:right="23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5,162</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(6)</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164</w:t>
            </w:r>
          </w:p>
        </w:tc>
        <w:tc>
          <w:tcPr>
            <w:tcW w:w="16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vMerge w:val="restart"/>
          </w:tcPr>
          <w:p>
            <w:pPr>
              <w:jc w:val="center"/>
              <w:ind w:right="11"/>
              <w:spacing w:after="0" w:line="144" w:lineRule="exact"/>
              <w:rPr>
                <w:sz w:val="20"/>
                <w:szCs w:val="20"/>
                <w:color w:val="auto"/>
              </w:rPr>
            </w:pPr>
            <w:r>
              <w:rPr>
                <w:rFonts w:ascii="Arial" w:cs="Arial" w:eastAsia="Arial" w:hAnsi="Arial"/>
                <w:sz w:val="13"/>
                <w:szCs w:val="13"/>
                <w:color w:val="0000FF"/>
                <w:w w:val="92"/>
              </w:rPr>
              <w:t>12/31/2015</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jc w:val="right"/>
              <w:ind w:right="59"/>
              <w:spacing w:after="0" w:line="144" w:lineRule="exact"/>
              <w:rPr>
                <w:sz w:val="20"/>
                <w:szCs w:val="20"/>
                <w:color w:val="auto"/>
              </w:rPr>
            </w:pPr>
            <w:r>
              <w:rPr>
                <w:rFonts w:ascii="Arial" w:cs="Arial" w:eastAsia="Arial" w:hAnsi="Arial"/>
                <w:sz w:val="13"/>
                <w:szCs w:val="13"/>
                <w:color w:val="0000FF"/>
              </w:rPr>
              <w:t>164</w:t>
            </w:r>
          </w:p>
        </w:tc>
        <w:tc>
          <w:tcPr>
            <w:tcW w:w="460" w:type="dxa"/>
            <w:vAlign w:val="bottom"/>
          </w:tcPr>
          <w:p>
            <w:pPr>
              <w:spacing w:after="0"/>
              <w:rPr>
                <w:sz w:val="6"/>
                <w:szCs w:val="6"/>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right"/>
              <w:ind w:right="230"/>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5,326</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6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 in cash, less a portion withheld for taxes.</w:t>
      </w:r>
    </w:p>
    <w:p>
      <w:pPr>
        <w:spacing w:after="0" w:line="11" w:lineRule="exact"/>
        <w:rPr>
          <w:rFonts w:ascii="Arial" w:cs="Arial" w:eastAsia="Arial" w:hAnsi="Arial"/>
          <w:sz w:val="13"/>
          <w:szCs w:val="13"/>
          <w:color w:val="008000"/>
        </w:rPr>
      </w:pPr>
    </w:p>
    <w:p>
      <w:pPr>
        <w:ind w:left="40" w:right="220" w:firstLine="7"/>
        <w:spacing w:after="0" w:line="247"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26" w:lineRule="exact"/>
        <w:rPr>
          <w:rFonts w:ascii="Arial" w:cs="Arial" w:eastAsia="Arial" w:hAnsi="Arial"/>
          <w:sz w:val="13"/>
          <w:szCs w:val="13"/>
          <w:color w:val="008000"/>
        </w:rPr>
      </w:pPr>
    </w:p>
    <w:p>
      <w:pPr>
        <w:ind w:left="40" w:right="38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2012 pursuant to the GMSSP. The portion of this award currently payable was settled on December 31, 2015 in cash, less a portion withheld for taxes.</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40" w:right="18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July 1, 2014, Mr. Girsky ceased being an employee of the Company and remained on the Board of Directors as a Non-Employee Director. 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$34.32. Amounts credited as DSUs will be paid in cash after the director leaves the Board, valued at the average daily closing price of the Common Stock for the quarter immediately preceding payment.</w:t>
      </w:r>
    </w:p>
    <w:p>
      <w:pPr>
        <w:spacing w:after="0" w:line="28"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Plan, dividends on the DSUs are credited in DSUs at the end of year.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Robert C. Shrosbree, Jr.,</w:t>
            </w:r>
          </w:p>
        </w:tc>
        <w:tc>
          <w:tcPr>
            <w:tcW w:w="3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01/05/2016</w:t>
            </w: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Attorney-In-Fact for Mr.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-7620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60"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280" w:top="13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2019-12-24T07:27:39Z</dcterms:created>
  <dcterms:modified xsi:type="dcterms:W3CDTF">2019-12-24T07:27:39Z</dcterms:modified>
</cp:coreProperties>
</file>