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812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125460"/>
                    </a:xfrm>
                    <a:prstGeom prst="rect">
                      <a:avLst/>
                    </a:prstGeom>
                    <a:noFill/>
                  </pic:spPr>
                </pic:pic>
              </a:graphicData>
            </a:graphic>
          </wp:anchor>
        </w:drawing>
      </w:r>
    </w:p>
    <w:p>
      <w:pPr>
        <w:spacing w:after="0" w:line="36" w:lineRule="exact"/>
        <w:rPr>
          <w:sz w:val="24"/>
          <w:szCs w:val="24"/>
          <w:color w:val="auto"/>
        </w:rPr>
      </w:pPr>
    </w:p>
    <w:p>
      <w:pPr>
        <w:sectPr>
          <w:pgSz w:w="11900" w:h="16889" w:orient="portrait"/>
          <w:cols w:equalWidth="0" w:num="2">
            <w:col w:w="2340" w:space="360"/>
            <w:col w:w="8820"/>
          </w:cols>
          <w:pgMar w:left="240" w:top="224"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1"/>
                <w:szCs w:val="21"/>
                <w:color w:val="0000EE"/>
                <w:w w:val="90"/>
              </w:rPr>
            </w:pPr>
            <w:hyperlink r:id="rId12">
              <w:r>
                <w:rPr>
                  <w:rFonts w:ascii="Arial" w:cs="Arial" w:eastAsia="Arial" w:hAnsi="Arial"/>
                  <w:sz w:val="21"/>
                  <w:szCs w:val="21"/>
                  <w:color w:val="0000EE"/>
                  <w:w w:val="90"/>
                </w:rPr>
                <w:t>Girsky Stephen J</w:t>
              </w:r>
            </w:hyperlink>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7"/>
                <w:szCs w:val="17"/>
                <w:color w:val="0000FF"/>
              </w:rPr>
              <w:t>300 RENAISSANCE CENTER</w:t>
            </w:r>
          </w:p>
        </w:tc>
        <w:tc>
          <w:tcPr>
            <w:tcW w:w="1120" w:type="dxa"/>
            <w:vAlign w:val="bottom"/>
          </w:tcPr>
          <w:p>
            <w:pPr>
              <w:spacing w:after="0"/>
              <w:rPr>
                <w:sz w:val="19"/>
                <w:szCs w:val="19"/>
                <w:color w:val="auto"/>
              </w:rPr>
            </w:pPr>
          </w:p>
        </w:tc>
        <w:tc>
          <w:tcPr>
            <w:tcW w:w="1280" w:type="dxa"/>
            <w:vAlign w:val="bottom"/>
            <w:gridSpan w:val="5"/>
          </w:tcPr>
          <w:p>
            <w:pPr>
              <w:ind w:left="300"/>
              <w:spacing w:after="0"/>
              <w:rPr>
                <w:sz w:val="20"/>
                <w:szCs w:val="20"/>
                <w:color w:val="auto"/>
              </w:rPr>
            </w:pPr>
            <w:r>
              <w:rPr>
                <w:rFonts w:ascii="Arial" w:cs="Arial" w:eastAsia="Arial" w:hAnsi="Arial"/>
                <w:sz w:val="17"/>
                <w:szCs w:val="17"/>
                <w:color w:val="0000FF"/>
              </w:rPr>
              <w:t>12/31/2014</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Arial" w:cs="Arial" w:eastAsia="Arial" w:hAnsi="Arial"/>
                <w:sz w:val="17"/>
                <w:szCs w:val="17"/>
                <w:color w:val="0000FF"/>
              </w:rPr>
              <w:t>M/C: 482-C25-A36</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DETROIT</w:t>
            </w: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MI</w:t>
            </w:r>
          </w:p>
        </w:tc>
        <w:tc>
          <w:tcPr>
            <w:tcW w:w="1120" w:type="dxa"/>
            <w:vAlign w:val="bottom"/>
          </w:tcPr>
          <w:p>
            <w:pPr>
              <w:ind w:left="4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7"/>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5"/>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564"/>
              <w:spacing w:after="0"/>
              <w:rPr>
                <w:sz w:val="20"/>
                <w:szCs w:val="20"/>
                <w:color w:val="auto"/>
              </w:rPr>
            </w:pPr>
            <w:r>
              <w:rPr>
                <w:rFonts w:ascii="Arial" w:cs="Arial" w:eastAsia="Arial" w:hAnsi="Arial"/>
                <w:sz w:val="17"/>
                <w:szCs w:val="17"/>
                <w:color w:val="0000FF"/>
                <w:w w:val="91"/>
              </w:rPr>
              <w:t>12/31/2014</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9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3"/>
              </w:rPr>
              <w:t>8,679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8"/>
              <w:spacing w:after="0"/>
              <w:rPr>
                <w:sz w:val="20"/>
                <w:szCs w:val="20"/>
                <w:color w:val="auto"/>
              </w:rPr>
            </w:pPr>
            <w:r>
              <w:rPr>
                <w:rFonts w:ascii="Arial" w:cs="Arial" w:eastAsia="Arial" w:hAnsi="Arial"/>
                <w:sz w:val="17"/>
                <w:szCs w:val="17"/>
                <w:color w:val="0000FF"/>
              </w:rPr>
              <w:t>111,705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564"/>
              <w:spacing w:after="0"/>
              <w:rPr>
                <w:sz w:val="20"/>
                <w:szCs w:val="20"/>
                <w:color w:val="auto"/>
              </w:rPr>
            </w:pPr>
            <w:r>
              <w:rPr>
                <w:rFonts w:ascii="Arial" w:cs="Arial" w:eastAsia="Arial" w:hAnsi="Arial"/>
                <w:sz w:val="17"/>
                <w:szCs w:val="17"/>
                <w:color w:val="0000FF"/>
                <w:w w:val="91"/>
              </w:rPr>
              <w:t>12/31/2014</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14"/>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3"/>
              </w:rPr>
              <w:t>4,903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35.17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7"/>
                <w:szCs w:val="17"/>
                <w:color w:val="0000FF"/>
              </w:rPr>
              <w:t>106,802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564"/>
              <w:spacing w:after="0"/>
              <w:rPr>
                <w:sz w:val="20"/>
                <w:szCs w:val="20"/>
                <w:color w:val="auto"/>
              </w:rPr>
            </w:pPr>
            <w:r>
              <w:rPr>
                <w:rFonts w:ascii="Arial" w:cs="Arial" w:eastAsia="Arial" w:hAnsi="Arial"/>
                <w:sz w:val="17"/>
                <w:szCs w:val="17"/>
                <w:color w:val="0000FF"/>
                <w:w w:val="91"/>
              </w:rPr>
              <w:t>12/31/2014</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94"/>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3"/>
              </w:rPr>
              <w:t>3,776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35.17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7"/>
                <w:szCs w:val="17"/>
                <w:color w:val="0000FF"/>
              </w:rPr>
              <w:t>103,026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2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564"/>
              <w:spacing w:after="0"/>
              <w:rPr>
                <w:sz w:val="20"/>
                <w:szCs w:val="20"/>
                <w:color w:val="auto"/>
              </w:rPr>
            </w:pPr>
            <w:r>
              <w:rPr>
                <w:rFonts w:ascii="Arial" w:cs="Arial" w:eastAsia="Arial" w:hAnsi="Arial"/>
                <w:sz w:val="17"/>
                <w:szCs w:val="17"/>
                <w:color w:val="0000FF"/>
                <w:w w:val="91"/>
              </w:rPr>
              <w:t>12/31/2014</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9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3"/>
              </w:rPr>
              <w:t>9,731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8"/>
              <w:spacing w:after="0"/>
              <w:rPr>
                <w:sz w:val="20"/>
                <w:szCs w:val="20"/>
                <w:color w:val="auto"/>
              </w:rPr>
            </w:pPr>
            <w:r>
              <w:rPr>
                <w:rFonts w:ascii="Arial" w:cs="Arial" w:eastAsia="Arial" w:hAnsi="Arial"/>
                <w:sz w:val="17"/>
                <w:szCs w:val="17"/>
                <w:color w:val="0000FF"/>
              </w:rPr>
              <w:t>112,757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564"/>
              <w:spacing w:after="0"/>
              <w:rPr>
                <w:sz w:val="20"/>
                <w:szCs w:val="20"/>
                <w:color w:val="auto"/>
              </w:rPr>
            </w:pPr>
            <w:r>
              <w:rPr>
                <w:rFonts w:ascii="Arial" w:cs="Arial" w:eastAsia="Arial" w:hAnsi="Arial"/>
                <w:sz w:val="17"/>
                <w:szCs w:val="17"/>
                <w:color w:val="0000FF"/>
                <w:w w:val="91"/>
              </w:rPr>
              <w:t>12/31/2014</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14"/>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3"/>
              </w:rPr>
              <w:t>6,016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35.17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7"/>
                <w:szCs w:val="17"/>
                <w:color w:val="0000FF"/>
              </w:rPr>
              <w:t>106,741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564"/>
              <w:spacing w:after="0"/>
              <w:rPr>
                <w:sz w:val="20"/>
                <w:szCs w:val="20"/>
                <w:color w:val="auto"/>
              </w:rPr>
            </w:pPr>
            <w:r>
              <w:rPr>
                <w:rFonts w:ascii="Arial" w:cs="Arial" w:eastAsia="Arial" w:hAnsi="Arial"/>
                <w:sz w:val="17"/>
                <w:szCs w:val="17"/>
                <w:color w:val="0000FF"/>
                <w:w w:val="91"/>
              </w:rPr>
              <w:t>12/31/2014</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94"/>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3"/>
              </w:rPr>
              <w:t>3,715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35.17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7"/>
                <w:szCs w:val="17"/>
                <w:color w:val="0000FF"/>
              </w:rPr>
              <w:t>103,026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564"/>
              <w:spacing w:after="0"/>
              <w:rPr>
                <w:sz w:val="20"/>
                <w:szCs w:val="20"/>
                <w:color w:val="auto"/>
              </w:rPr>
            </w:pPr>
            <w:r>
              <w:rPr>
                <w:rFonts w:ascii="Arial" w:cs="Arial" w:eastAsia="Arial" w:hAnsi="Arial"/>
                <w:sz w:val="17"/>
                <w:szCs w:val="17"/>
                <w:color w:val="0000FF"/>
                <w:w w:val="91"/>
              </w:rPr>
              <w:t>12/31/2014</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9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2"/>
              </w:rPr>
              <w:t>13,195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8"/>
              <w:spacing w:after="0"/>
              <w:rPr>
                <w:sz w:val="20"/>
                <w:szCs w:val="20"/>
                <w:color w:val="auto"/>
              </w:rPr>
            </w:pPr>
            <w:r>
              <w:rPr>
                <w:rFonts w:ascii="Arial" w:cs="Arial" w:eastAsia="Arial" w:hAnsi="Arial"/>
                <w:sz w:val="17"/>
                <w:szCs w:val="17"/>
                <w:color w:val="0000FF"/>
              </w:rPr>
              <w:t>116,221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564"/>
              <w:spacing w:after="0"/>
              <w:rPr>
                <w:sz w:val="20"/>
                <w:szCs w:val="20"/>
                <w:color w:val="auto"/>
              </w:rPr>
            </w:pPr>
            <w:r>
              <w:rPr>
                <w:rFonts w:ascii="Arial" w:cs="Arial" w:eastAsia="Arial" w:hAnsi="Arial"/>
                <w:sz w:val="17"/>
                <w:szCs w:val="17"/>
                <w:color w:val="0000FF"/>
                <w:w w:val="91"/>
              </w:rPr>
              <w:t>12/31/2014</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14"/>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3"/>
              </w:rPr>
              <w:t>8,000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35.17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7"/>
                <w:szCs w:val="17"/>
                <w:color w:val="0000FF"/>
              </w:rPr>
              <w:t>108,221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564"/>
              <w:spacing w:after="0"/>
              <w:rPr>
                <w:sz w:val="20"/>
                <w:szCs w:val="20"/>
                <w:color w:val="auto"/>
              </w:rPr>
            </w:pPr>
            <w:r>
              <w:rPr>
                <w:rFonts w:ascii="Arial" w:cs="Arial" w:eastAsia="Arial" w:hAnsi="Arial"/>
                <w:sz w:val="17"/>
                <w:szCs w:val="17"/>
                <w:color w:val="0000FF"/>
                <w:w w:val="91"/>
              </w:rPr>
              <w:t>12/31/2014</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94"/>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3"/>
              </w:rPr>
              <w:t>5,195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35.17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8"/>
              <w:spacing w:after="0"/>
              <w:rPr>
                <w:sz w:val="20"/>
                <w:szCs w:val="20"/>
                <w:color w:val="auto"/>
              </w:rPr>
            </w:pPr>
            <w:r>
              <w:rPr>
                <w:rFonts w:ascii="Arial" w:cs="Arial" w:eastAsia="Arial" w:hAnsi="Arial"/>
                <w:sz w:val="17"/>
                <w:szCs w:val="17"/>
                <w:color w:val="0000FF"/>
              </w:rPr>
              <w:t>103,026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77"/>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77"/>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8,679</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7"/>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12/31/2014</w:t>
            </w: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3"/>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8,679</w:t>
            </w:r>
          </w:p>
        </w:tc>
        <w:tc>
          <w:tcPr>
            <w:tcW w:w="800" w:type="dxa"/>
            <w:vAlign w:val="bottom"/>
            <w:gridSpan w:val="2"/>
            <w:vMerge w:val="restart"/>
          </w:tcPr>
          <w:p>
            <w:pPr>
              <w:jc w:val="right"/>
              <w:ind w:right="274"/>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29"/>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17,357</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9,731</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7"/>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12/31/2014</w:t>
            </w: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3"/>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9,731</w:t>
            </w:r>
          </w:p>
        </w:tc>
        <w:tc>
          <w:tcPr>
            <w:tcW w:w="800" w:type="dxa"/>
            <w:vAlign w:val="bottom"/>
            <w:gridSpan w:val="2"/>
            <w:vMerge w:val="restart"/>
          </w:tcPr>
          <w:p>
            <w:pPr>
              <w:jc w:val="right"/>
              <w:ind w:right="274"/>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29"/>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9,731</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13,195</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7"/>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3"/>
                <w:szCs w:val="13"/>
                <w:color w:val="0000FF"/>
                <w:w w:val="95"/>
              </w:rPr>
              <w:t>12/31/2014</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ind w:left="20"/>
              <w:spacing w:after="0" w:line="142"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3"/>
                <w:szCs w:val="13"/>
                <w:color w:val="0000FF"/>
                <w:w w:val="95"/>
              </w:rPr>
              <w:t>13,195</w:t>
            </w:r>
          </w:p>
        </w:tc>
        <w:tc>
          <w:tcPr>
            <w:tcW w:w="800" w:type="dxa"/>
            <w:vAlign w:val="bottom"/>
            <w:gridSpan w:val="2"/>
          </w:tcPr>
          <w:p>
            <w:pPr>
              <w:jc w:val="right"/>
              <w:ind w:right="274"/>
              <w:spacing w:after="0"/>
              <w:rPr>
                <w:sz w:val="20"/>
                <w:szCs w:val="20"/>
                <w:color w:val="auto"/>
              </w:rPr>
            </w:pPr>
            <w:r>
              <w:rPr>
                <w:rFonts w:ascii="Arial" w:cs="Arial" w:eastAsia="Arial" w:hAnsi="Arial"/>
                <w:sz w:val="11"/>
                <w:szCs w:val="11"/>
                <w:color w:val="008000"/>
              </w:rPr>
              <w:t>(5)</w:t>
            </w:r>
          </w:p>
        </w:tc>
        <w:tc>
          <w:tcPr>
            <w:tcW w:w="720" w:type="dxa"/>
            <w:vAlign w:val="bottom"/>
          </w:tcPr>
          <w:p>
            <w:pPr>
              <w:jc w:val="right"/>
              <w:ind w:right="229"/>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(6)</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1,498</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7"/>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(6)</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Share</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12/31/2014</w:t>
            </w: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3"/>
            <w:vMerge w:val="restart"/>
          </w:tcPr>
          <w:p>
            <w:pPr>
              <w:ind w:left="40"/>
              <w:spacing w:after="0" w:line="142"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jc w:val="right"/>
              <w:ind w:right="19"/>
              <w:spacing w:after="0" w:line="142" w:lineRule="exact"/>
              <w:rPr>
                <w:sz w:val="20"/>
                <w:szCs w:val="20"/>
                <w:color w:val="auto"/>
              </w:rPr>
            </w:pPr>
            <w:r>
              <w:rPr>
                <w:rFonts w:ascii="Arial" w:cs="Arial" w:eastAsia="Arial" w:hAnsi="Arial"/>
                <w:sz w:val="13"/>
                <w:szCs w:val="13"/>
                <w:color w:val="0000FF"/>
              </w:rPr>
              <w:t>1,498</w:t>
            </w:r>
          </w:p>
        </w:tc>
        <w:tc>
          <w:tcPr>
            <w:tcW w:w="520" w:type="dxa"/>
            <w:vAlign w:val="bottom"/>
          </w:tcPr>
          <w:p>
            <w:pPr>
              <w:spacing w:after="0"/>
              <w:rPr>
                <w:sz w:val="6"/>
                <w:szCs w:val="6"/>
                <w:color w:val="auto"/>
              </w:rPr>
            </w:pPr>
          </w:p>
        </w:tc>
        <w:tc>
          <w:tcPr>
            <w:tcW w:w="800" w:type="dxa"/>
            <w:vAlign w:val="bottom"/>
            <w:gridSpan w:val="2"/>
            <w:vMerge w:val="restart"/>
          </w:tcPr>
          <w:p>
            <w:pPr>
              <w:jc w:val="right"/>
              <w:ind w:right="274"/>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right"/>
              <w:ind w:right="229"/>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1,498</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(7)</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21</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7"/>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(7)</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Share</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12/31/2014</w:t>
            </w: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3"/>
            <w:vMerge w:val="restart"/>
          </w:tcPr>
          <w:p>
            <w:pPr>
              <w:ind w:left="40"/>
              <w:spacing w:after="0" w:line="142"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jc w:val="right"/>
              <w:ind w:right="99"/>
              <w:spacing w:after="0" w:line="142" w:lineRule="exact"/>
              <w:rPr>
                <w:sz w:val="20"/>
                <w:szCs w:val="20"/>
                <w:color w:val="auto"/>
              </w:rPr>
            </w:pPr>
            <w:r>
              <w:rPr>
                <w:rFonts w:ascii="Arial" w:cs="Arial" w:eastAsia="Arial" w:hAnsi="Arial"/>
                <w:sz w:val="13"/>
                <w:szCs w:val="13"/>
                <w:color w:val="0000FF"/>
              </w:rPr>
              <w:t>21</w:t>
            </w:r>
          </w:p>
        </w:tc>
        <w:tc>
          <w:tcPr>
            <w:tcW w:w="520" w:type="dxa"/>
            <w:vAlign w:val="bottom"/>
          </w:tcPr>
          <w:p>
            <w:pPr>
              <w:spacing w:after="0"/>
              <w:rPr>
                <w:sz w:val="6"/>
                <w:szCs w:val="6"/>
                <w:color w:val="auto"/>
              </w:rPr>
            </w:pPr>
          </w:p>
        </w:tc>
        <w:tc>
          <w:tcPr>
            <w:tcW w:w="800" w:type="dxa"/>
            <w:vAlign w:val="bottom"/>
            <w:gridSpan w:val="2"/>
            <w:vMerge w:val="restart"/>
          </w:tcPr>
          <w:p>
            <w:pPr>
              <w:jc w:val="right"/>
              <w:ind w:right="274"/>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jc w:val="right"/>
              <w:ind w:right="229"/>
              <w:spacing w:after="0"/>
              <w:rPr>
                <w:sz w:val="20"/>
                <w:szCs w:val="20"/>
                <w:color w:val="auto"/>
              </w:rPr>
            </w:pPr>
            <w:r>
              <w:rPr>
                <w:rFonts w:ascii="Arial" w:cs="Arial" w:eastAsia="Arial" w:hAnsi="Arial"/>
                <w:sz w:val="11"/>
                <w:szCs w:val="11"/>
                <w:color w:val="008000"/>
              </w:rPr>
              <w:t>(7)</w:t>
            </w: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1,519</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0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2014.</w:t>
      </w:r>
    </w:p>
    <w:p>
      <w:pPr>
        <w:spacing w:after="0" w:line="16" w:lineRule="exact"/>
        <w:rPr>
          <w:rFonts w:ascii="Arial" w:cs="Arial" w:eastAsia="Arial" w:hAnsi="Arial"/>
          <w:sz w:val="13"/>
          <w:szCs w:val="13"/>
          <w:color w:val="008000"/>
        </w:rPr>
      </w:pPr>
    </w:p>
    <w:p>
      <w:pPr>
        <w:ind w:left="40" w:right="220" w:firstLine="6"/>
        <w:spacing w:after="0" w:line="27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$35.17. The employee opted to have these settlements made by delivery of cash, less a portion withheld for taxes.</w:t>
      </w:r>
    </w:p>
    <w:p>
      <w:pPr>
        <w:spacing w:after="0" w:line="13" w:lineRule="exact"/>
        <w:rPr>
          <w:rFonts w:ascii="Arial" w:cs="Arial" w:eastAsia="Arial" w:hAnsi="Arial"/>
          <w:sz w:val="12"/>
          <w:szCs w:val="12"/>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2012.</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2011.</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of July 1, 2014, Mr. Girsky ceased being an employee of the Company and remained on the Board of Directors as a Non-Employee Director. Deferred share units of the Company's Common Stock ("DSUs")</w:t>
      </w:r>
    </w:p>
    <w:p>
      <w:pPr>
        <w:sectPr>
          <w:pgSz w:w="11900" w:h="16889" w:orient="portrait"/>
          <w:cols w:equalWidth="0" w:num="1">
            <w:col w:w="11520"/>
          </w:cols>
          <w:pgMar w:left="240" w:top="224" w:right="139" w:bottom="0" w:gutter="0" w:footer="0" w:header="0"/>
          <w:type w:val="continuous"/>
        </w:sectPr>
      </w:pPr>
    </w:p>
    <w:bookmarkStart w:id="1" w:name="page2"/>
    <w:bookmarkEnd w:id="1"/>
    <w:p>
      <w:pPr>
        <w:spacing w:after="0" w:line="280" w:lineRule="auto"/>
        <w:rPr>
          <w:sz w:val="20"/>
          <w:szCs w:val="20"/>
          <w:color w:val="auto"/>
        </w:rPr>
      </w:pPr>
      <w:r>
        <w:rPr>
          <w:rFonts w:ascii="Arial" w:cs="Arial" w:eastAsia="Arial" w:hAnsi="Arial"/>
          <w:sz w:val="12"/>
          <w:szCs w:val="12"/>
          <w:color w:val="008000"/>
        </w:rPr>
        <w:t>were awarded on December 31, 2014 pursuant to the General Motors Company Deferred Compensation Plan (the "Plan") for Non-Employee Directors.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credited as DSUs will be paid in cash after the director leaves the Board. The Deferred Share Units do not have a conversion or exercise price, or an exercise or expiration date.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008000"/>
        </w:rPr>
        <w:t>7. Pursuant to the Plan, dividends on the DSUs are credited in DSUs at the end of year.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01/05/2015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30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attorney-in-fact for Mr. Girsky</w:t>
            </w: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680" w:firstLine="6"/>
        <w:spacing w:after="0" w:line="318"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2019-12-24T07:37:40Z</dcterms:created>
  <dcterms:modified xsi:type="dcterms:W3CDTF">2019-12-24T07:37:40Z</dcterms:modified>
</cp:coreProperties>
</file>