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2820"/>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left="2820"/>
        <w:spacing w:after="0"/>
        <w:rPr>
          <w:sz w:val="20"/>
          <w:szCs w:val="20"/>
          <w:color w:val="auto"/>
        </w:rPr>
      </w:pPr>
      <w:r>
        <w:rPr>
          <w:rFonts w:ascii="Arial" w:cs="Arial" w:eastAsia="Arial" w:hAnsi="Arial"/>
          <w:sz w:val="22"/>
          <w:szCs w:val="22"/>
          <w:b w:val="1"/>
          <w:bCs w:val="1"/>
          <w:color w:val="auto"/>
        </w:rPr>
        <w:t>SECURITIES AND EXCHANGE COMMISSION</w:t>
      </w:r>
    </w:p>
    <w:p>
      <w:pPr>
        <w:jc w:val="center"/>
        <w:ind w:left="2820"/>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left="2820"/>
        <w:spacing w:after="0"/>
        <w:rPr>
          <w:sz w:val="20"/>
          <w:szCs w:val="20"/>
          <w:color w:val="auto"/>
        </w:rPr>
      </w:pPr>
      <w:r>
        <w:rPr>
          <w:rFonts w:ascii="Arial" w:cs="Arial" w:eastAsia="Arial" w:hAnsi="Arial"/>
          <w:sz w:val="32"/>
          <w:szCs w:val="32"/>
          <w:b w:val="1"/>
          <w:bCs w:val="1"/>
          <w:color w:val="auto"/>
        </w:rPr>
        <w:t>FORM 12b-25</w:t>
      </w:r>
    </w:p>
    <w:p>
      <w:pPr>
        <w:spacing w:after="0" w:line="213"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NOTIFICATION OF LATE FILING</w:t>
      </w:r>
    </w:p>
    <w:p>
      <w:pPr>
        <w:spacing w:after="0" w:line="301" w:lineRule="exact"/>
        <w:rPr>
          <w:sz w:val="24"/>
          <w:szCs w:val="24"/>
          <w:color w:val="auto"/>
        </w:rPr>
      </w:pPr>
    </w:p>
    <w:p>
      <w:pPr>
        <w:ind w:left="2080"/>
        <w:spacing w:after="0" w:line="207" w:lineRule="exact"/>
        <w:tabs>
          <w:tab w:leader="none" w:pos="3320" w:val="left"/>
          <w:tab w:leader="none" w:pos="4560" w:val="left"/>
          <w:tab w:leader="none" w:pos="5780" w:val="left"/>
          <w:tab w:leader="none" w:pos="7040" w:val="left"/>
        </w:tabs>
        <w:rPr>
          <w:sz w:val="20"/>
          <w:szCs w:val="20"/>
          <w:color w:val="auto"/>
        </w:rPr>
      </w:pPr>
      <w:r>
        <w:rPr>
          <w:rFonts w:ascii="Arial" w:cs="Arial" w:eastAsia="Arial" w:hAnsi="Arial"/>
          <w:sz w:val="18"/>
          <w:szCs w:val="18"/>
          <w:i w:val="1"/>
          <w:iCs w:val="1"/>
          <w:color w:val="auto"/>
        </w:rPr>
        <w:t>(Check One):</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Form 10-K</w:t>
      </w:r>
      <w:r>
        <w:rPr>
          <w:rFonts w:ascii="MS PGothic" w:cs="MS PGothic" w:eastAsia="MS PGothic" w:hAnsi="MS PGothic"/>
          <w:sz w:val="18"/>
          <w:szCs w:val="18"/>
          <w:color w:val="auto"/>
        </w:rPr>
        <w:tab/>
        <w:t xml:space="preserve">☐ </w:t>
      </w:r>
      <w:r>
        <w:rPr>
          <w:rFonts w:ascii="Arial" w:cs="Arial" w:eastAsia="Arial" w:hAnsi="Arial"/>
          <w:sz w:val="18"/>
          <w:szCs w:val="18"/>
          <w:color w:val="auto"/>
        </w:rPr>
        <w:t>Form 20-F</w:t>
      </w:r>
      <w:r>
        <w:rPr>
          <w:rFonts w:ascii="MS PGothic" w:cs="MS PGothic" w:eastAsia="MS PGothic" w:hAnsi="MS PGothic"/>
          <w:sz w:val="18"/>
          <w:szCs w:val="18"/>
          <w:color w:val="auto"/>
        </w:rPr>
        <w:tab/>
        <w:t xml:space="preserve">☐ </w:t>
      </w:r>
      <w:r>
        <w:rPr>
          <w:rFonts w:ascii="Arial" w:cs="Arial" w:eastAsia="Arial" w:hAnsi="Arial"/>
          <w:sz w:val="18"/>
          <w:szCs w:val="18"/>
          <w:color w:val="auto"/>
        </w:rPr>
        <w:t>Form 11-K</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Form 10-Q</w:t>
      </w:r>
    </w:p>
    <w:p>
      <w:pPr>
        <w:spacing w:after="0" w:line="49" w:lineRule="exact"/>
        <w:rPr>
          <w:sz w:val="24"/>
          <w:szCs w:val="24"/>
          <w:color w:val="auto"/>
        </w:rPr>
      </w:pPr>
    </w:p>
    <w:p>
      <w:pPr>
        <w:jc w:val="center"/>
        <w:ind w:left="3340" w:right="2580" w:hanging="10"/>
        <w:spacing w:after="0" w:line="330" w:lineRule="exact"/>
        <w:tabs>
          <w:tab w:leader="none" w:pos="359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Form N-SAR </w:t>
      </w:r>
      <w:r>
        <w:rPr>
          <w:rFonts w:ascii="MS PGothic" w:cs="MS PGothic" w:eastAsia="MS PGothic" w:hAnsi="MS PGothic"/>
          <w:sz w:val="16"/>
          <w:szCs w:val="16"/>
          <w:color w:val="auto"/>
        </w:rPr>
        <w:t>☐</w:t>
      </w:r>
      <w:r>
        <w:rPr>
          <w:rFonts w:ascii="Arial" w:cs="Arial" w:eastAsia="Arial" w:hAnsi="Arial"/>
          <w:sz w:val="16"/>
          <w:szCs w:val="16"/>
          <w:color w:val="auto"/>
        </w:rPr>
        <w:t xml:space="preserve"> Form N-CSR For Period Ended: </w:t>
      </w:r>
      <w:r>
        <w:rPr>
          <w:rFonts w:ascii="Arial" w:cs="Arial" w:eastAsia="Arial" w:hAnsi="Arial"/>
          <w:sz w:val="16"/>
          <w:szCs w:val="16"/>
          <w:u w:val="single" w:color="auto"/>
          <w:color w:val="auto"/>
        </w:rPr>
        <w:t>December 31, 2009</w:t>
      </w:r>
    </w:p>
    <w:p>
      <w:pPr>
        <w:spacing w:after="0" w:line="319" w:lineRule="exact"/>
        <w:rPr>
          <w:rFonts w:ascii="MS PGothic" w:cs="MS PGothic" w:eastAsia="MS PGothic" w:hAnsi="MS PGothic"/>
          <w:sz w:val="16"/>
          <w:szCs w:val="16"/>
          <w:color w:val="auto"/>
        </w:rPr>
      </w:pPr>
    </w:p>
    <w:p>
      <w:pPr>
        <w:ind w:left="3580" w:hanging="250"/>
        <w:spacing w:after="0"/>
        <w:tabs>
          <w:tab w:leader="none" w:pos="3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23" w:lineRule="exact"/>
        <w:rPr>
          <w:rFonts w:ascii="MS PGothic" w:cs="MS PGothic" w:eastAsia="MS PGothic" w:hAnsi="MS PGothic"/>
          <w:sz w:val="18"/>
          <w:szCs w:val="18"/>
          <w:color w:val="auto"/>
        </w:rPr>
      </w:pPr>
    </w:p>
    <w:p>
      <w:pPr>
        <w:ind w:left="3580" w:hanging="250"/>
        <w:spacing w:after="0"/>
        <w:tabs>
          <w:tab w:leader="none" w:pos="3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3580" w:hanging="250"/>
        <w:spacing w:after="0"/>
        <w:tabs>
          <w:tab w:leader="none" w:pos="3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3580" w:hanging="250"/>
        <w:spacing w:after="0"/>
        <w:tabs>
          <w:tab w:leader="none" w:pos="3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9" w:lineRule="exact"/>
        <w:rPr>
          <w:rFonts w:ascii="MS PGothic" w:cs="MS PGothic" w:eastAsia="MS PGothic" w:hAnsi="MS PGothic"/>
          <w:sz w:val="18"/>
          <w:szCs w:val="18"/>
          <w:color w:val="auto"/>
        </w:rPr>
      </w:pPr>
    </w:p>
    <w:p>
      <w:pPr>
        <w:ind w:left="3340" w:right="2600" w:hanging="10"/>
        <w:spacing w:after="0" w:line="595" w:lineRule="auto"/>
        <w:tabs>
          <w:tab w:leader="none" w:pos="358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Transition Report on Form N-SAR 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3606165</wp:posOffset>
            </wp:positionH>
            <wp:positionV relativeFrom="paragraph">
              <wp:posOffset>-196215</wp:posOffset>
            </wp:positionV>
            <wp:extent cx="18116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11655" cy="8890"/>
                    </a:xfrm>
                    <a:prstGeom prst="rect">
                      <a:avLst/>
                    </a:prstGeom>
                    <a:noFill/>
                  </pic:spPr>
                </pic:pic>
              </a:graphicData>
            </a:graphic>
          </wp:anchor>
        </w:drawing>
      </w:r>
    </w:p>
    <w:p>
      <w:pPr>
        <w:spacing w:after="0" w:line="67" w:lineRule="exact"/>
        <w:rPr>
          <w:sz w:val="24"/>
          <w:szCs w:val="24"/>
          <w:color w:val="auto"/>
        </w:rPr>
      </w:pPr>
    </w:p>
    <w:p>
      <w:pPr>
        <w:spacing w:after="0"/>
        <w:rPr>
          <w:sz w:val="20"/>
          <w:szCs w:val="20"/>
          <w:color w:val="auto"/>
        </w:rPr>
      </w:pPr>
      <w:r>
        <w:rPr>
          <w:rFonts w:ascii="Arial" w:cs="Arial" w:eastAsia="Arial" w:hAnsi="Arial"/>
          <w:sz w:val="16"/>
          <w:szCs w:val="16"/>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6"/>
          <w:szCs w:val="16"/>
          <w:color w:val="auto"/>
        </w:rPr>
        <w:t>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-334010</wp:posOffset>
            </wp:positionH>
            <wp:positionV relativeFrom="paragraph">
              <wp:posOffset>-479425</wp:posOffset>
            </wp:positionV>
            <wp:extent cx="1655445" cy="197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97485"/>
                    </a:xfrm>
                    <a:prstGeom prst="rect">
                      <a:avLst/>
                    </a:prstGeom>
                    <a:noFill/>
                  </pic:spPr>
                </pic:pic>
              </a:graphicData>
            </a:graphic>
          </wp:anchor>
        </w:drawing>
        <w:drawing>
          <wp:anchor simplePos="0" relativeHeight="251657728" behindDoc="1" locked="0" layoutInCell="0" allowOverlap="1">
            <wp:simplePos x="0" y="0"/>
            <wp:positionH relativeFrom="column">
              <wp:posOffset>-334010</wp:posOffset>
            </wp:positionH>
            <wp:positionV relativeFrom="paragraph">
              <wp:posOffset>-119380</wp:posOffset>
            </wp:positionV>
            <wp:extent cx="1655445"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291465"/>
                    </a:xfrm>
                    <a:prstGeom prst="rect">
                      <a:avLst/>
                    </a:prstGeom>
                    <a:noFill/>
                  </pic:spPr>
                </pic:pic>
              </a:graphicData>
            </a:graphic>
          </wp:anchor>
        </w:drawing>
        <w:drawing>
          <wp:anchor simplePos="0" relativeHeight="251657728" behindDoc="1" locked="0" layoutInCell="0" allowOverlap="1">
            <wp:simplePos x="0" y="0"/>
            <wp:positionH relativeFrom="column">
              <wp:posOffset>-334010</wp:posOffset>
            </wp:positionH>
            <wp:positionV relativeFrom="paragraph">
              <wp:posOffset>342900</wp:posOffset>
            </wp:positionV>
            <wp:extent cx="1655445"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29146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CUSIP NUMBER</w:t>
      </w:r>
    </w:p>
    <w:p>
      <w:pPr>
        <w:spacing w:after="0" w:line="4012" w:lineRule="exact"/>
        <w:rPr>
          <w:sz w:val="24"/>
          <w:szCs w:val="24"/>
          <w:color w:val="auto"/>
        </w:rPr>
      </w:pPr>
    </w:p>
    <w:p>
      <w:pPr>
        <w:sectPr>
          <w:pgSz w:w="11900" w:h="16838" w:orient="portrait"/>
          <w:cols w:equalWidth="0" w:num="2">
            <w:col w:w="8620" w:space="720"/>
            <w:col w:w="2080"/>
          </w:cols>
          <w:pgMar w:left="240" w:top="220" w:right="239" w:bottom="1440" w:gutter="0" w:footer="0" w:header="0"/>
        </w:sectPr>
      </w:pP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 — REGISTRANT INFORMATION</w:t>
      </w:r>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146050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if Applicable</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300 Renaissance Center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 xml:space="preserve">Address of Principal Executive Office </w:t>
      </w:r>
      <w:r>
        <w:rPr>
          <w:rFonts w:ascii="Arial" w:cs="Arial" w:eastAsia="Arial" w:hAnsi="Arial"/>
          <w:sz w:val="14"/>
          <w:szCs w:val="14"/>
          <w:b w:val="1"/>
          <w:bCs w:val="1"/>
          <w:i w:val="1"/>
          <w:iCs w:val="1"/>
          <w:color w:val="auto"/>
        </w:rPr>
        <w:t>(Street and Number)</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Detroit, Michigan 48265-3000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II — RULES 12b-25(b) AND (c)</w:t>
      </w:r>
    </w:p>
    <w:p>
      <w:pPr>
        <w:spacing w:after="0" w:line="123" w:lineRule="exact"/>
        <w:rPr>
          <w:sz w:val="24"/>
          <w:szCs w:val="24"/>
          <w:color w:val="auto"/>
        </w:rPr>
      </w:pPr>
    </w:p>
    <w:p>
      <w:pPr>
        <w:ind w:right="900"/>
        <w:spacing w:after="0" w:line="268"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2" w:lineRule="exact"/>
        <w:rPr>
          <w:sz w:val="24"/>
          <w:szCs w:val="24"/>
          <w:color w:val="auto"/>
        </w:rPr>
      </w:pPr>
    </w:p>
    <w:p>
      <w:pPr>
        <w:ind w:left="820" w:hanging="304"/>
        <w:spacing w:after="0"/>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reasons described in reasonable detail in Part III of this form could not be eliminated without unreasonable effort or expense;</w:t>
      </w:r>
    </w:p>
    <w:p>
      <w:pPr>
        <w:spacing w:after="0" w:line="15" w:lineRule="exact"/>
        <w:rPr>
          <w:rFonts w:ascii="Arial" w:cs="Arial" w:eastAsia="Arial" w:hAnsi="Arial"/>
          <w:sz w:val="18"/>
          <w:szCs w:val="18"/>
          <w:color w:val="auto"/>
        </w:rPr>
      </w:pPr>
    </w:p>
    <w:p>
      <w:pPr>
        <w:ind w:left="820" w:hanging="314"/>
        <w:spacing w:after="0"/>
        <w:tabs>
          <w:tab w:leader="none" w:pos="82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Form 11-K, Form N-SAR or Form N-CSR, or portion</w:t>
      </w:r>
    </w:p>
    <w:p>
      <w:pPr>
        <w:spacing w:after="0" w:line="32" w:lineRule="exact"/>
        <w:rPr>
          <w:rFonts w:ascii="Arial" w:cs="Arial" w:eastAsia="Arial" w:hAnsi="Arial"/>
          <w:sz w:val="16"/>
          <w:szCs w:val="16"/>
          <w:color w:val="auto"/>
        </w:rPr>
      </w:pPr>
    </w:p>
    <w:p>
      <w:pPr>
        <w:ind w:left="820" w:hanging="704"/>
        <w:spacing w:after="0" w:line="203" w:lineRule="auto"/>
        <w:tabs>
          <w:tab w:leader="none" w:pos="820" w:val="left"/>
        </w:tabs>
        <w:numPr>
          <w:ilvl w:val="0"/>
          <w:numId w:val="2"/>
        </w:numPr>
        <w:rPr>
          <w:rFonts w:ascii="MS PGothic" w:cs="MS PGothic" w:eastAsia="MS PGothic" w:hAnsi="MS PGothic"/>
          <w:sz w:val="35"/>
          <w:szCs w:val="35"/>
          <w:color w:val="auto"/>
          <w:vertAlign w:val="subscript"/>
        </w:rPr>
      </w:pPr>
      <w:r>
        <w:rPr>
          <w:rFonts w:ascii="Arial" w:cs="Arial" w:eastAsia="Arial" w:hAnsi="Arial"/>
          <w:sz w:val="18"/>
          <w:szCs w:val="18"/>
          <w:color w:val="auto"/>
        </w:rPr>
        <w:t>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 w:lineRule="exact"/>
        <w:rPr>
          <w:rFonts w:ascii="MS PGothic" w:cs="MS PGothic" w:eastAsia="MS PGothic" w:hAnsi="MS PGothic"/>
          <w:sz w:val="35"/>
          <w:szCs w:val="35"/>
          <w:color w:val="auto"/>
          <w:vertAlign w:val="subscript"/>
        </w:rPr>
      </w:pPr>
    </w:p>
    <w:p>
      <w:pPr>
        <w:ind w:left="820" w:hanging="304"/>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wp:posOffset>
            </wp:positionH>
            <wp:positionV relativeFrom="paragraph">
              <wp:posOffset>-815340</wp:posOffset>
            </wp:positionV>
            <wp:extent cx="8890" cy="823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82359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t>PART III — NARRATIVE</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State below in reasonable detail the reasons why Forms 10-K, 20-F, 11-K, 10-Q, N-SAR, N-CSR, or the transition report portion thereof, could not be filed within the prescribed time period.</w:t>
      </w:r>
    </w:p>
    <w:p>
      <w:pPr>
        <w:spacing w:after="0" w:line="1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General Motors Company (the “Company”) is unable to file its Annual Report on Form 10-K for the fiscal year ended December 31, 2009 (the “2009 Form 10-K”) by March 31, 2010, as the Company is still finalizing its fresh-start adjustments required by generally accepted accounting principles relating to the assets acquired and liabilities assumed from General Motors Corporation (“Old GM”) in connection with Old GM’s sale of assets under Section 363 of the United States Bankruptcy Code (the “363 Sale”) prior to such date. Due to the size of the Company, the global application of fresh-start reporting and the associated determination of the fair value of its assets and liabilities is a significant undertaking, which requires extra time. Accordingly, the Company is unable to file the 2009 Form 10-K on March 31, 2010.</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 — OTHER INFORMATION</w:t>
      </w:r>
    </w:p>
    <w:p>
      <w:pPr>
        <w:spacing w:after="0" w:line="9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229"/>
        </w:trPr>
        <w:tc>
          <w:tcPr>
            <w:tcW w:w="3880" w:type="dxa"/>
            <w:vAlign w:val="bottom"/>
            <w:tcBorders>
              <w:bottom w:val="single" w:sz="8" w:color="auto"/>
            </w:tcBorders>
          </w:tcPr>
          <w:p>
            <w:pPr>
              <w:jc w:val="center"/>
              <w:ind w:left="462"/>
              <w:spacing w:after="0"/>
              <w:rPr>
                <w:sz w:val="20"/>
                <w:szCs w:val="20"/>
                <w:color w:val="auto"/>
              </w:rPr>
            </w:pPr>
            <w:r>
              <w:rPr>
                <w:rFonts w:ascii="Arial" w:cs="Arial" w:eastAsia="Arial" w:hAnsi="Arial"/>
                <w:sz w:val="18"/>
                <w:szCs w:val="18"/>
                <w:b w:val="1"/>
                <w:bCs w:val="1"/>
                <w:color w:val="auto"/>
                <w:w w:val="89"/>
              </w:rPr>
              <w:t>Nick S. Cyprus</w:t>
            </w:r>
          </w:p>
        </w:tc>
        <w:tc>
          <w:tcPr>
            <w:tcW w:w="2880" w:type="dxa"/>
            <w:vAlign w:val="bottom"/>
            <w:tcBorders>
              <w:bottom w:val="single" w:sz="8" w:color="auto"/>
            </w:tcBorders>
          </w:tcPr>
          <w:p>
            <w:pPr>
              <w:jc w:val="right"/>
              <w:ind w:right="1242"/>
              <w:spacing w:after="0"/>
              <w:rPr>
                <w:sz w:val="20"/>
                <w:szCs w:val="20"/>
                <w:color w:val="auto"/>
              </w:rPr>
            </w:pPr>
            <w:r>
              <w:rPr>
                <w:rFonts w:ascii="Arial" w:cs="Arial" w:eastAsia="Arial" w:hAnsi="Arial"/>
                <w:sz w:val="18"/>
                <w:szCs w:val="18"/>
                <w:b w:val="1"/>
                <w:bCs w:val="1"/>
                <w:color w:val="auto"/>
              </w:rPr>
              <w:t>313</w:t>
            </w:r>
          </w:p>
        </w:tc>
        <w:tc>
          <w:tcPr>
            <w:tcW w:w="3740" w:type="dxa"/>
            <w:vAlign w:val="bottom"/>
            <w:tcBorders>
              <w:bottom w:val="single" w:sz="8" w:color="auto"/>
            </w:tcBorders>
          </w:tcPr>
          <w:p>
            <w:pPr>
              <w:jc w:val="right"/>
              <w:ind w:right="1622"/>
              <w:spacing w:after="0"/>
              <w:rPr>
                <w:sz w:val="20"/>
                <w:szCs w:val="20"/>
                <w:color w:val="auto"/>
              </w:rPr>
            </w:pPr>
            <w:r>
              <w:rPr>
                <w:rFonts w:ascii="Arial" w:cs="Arial" w:eastAsia="Arial" w:hAnsi="Arial"/>
                <w:sz w:val="18"/>
                <w:szCs w:val="18"/>
                <w:b w:val="1"/>
                <w:bCs w:val="1"/>
                <w:color w:val="auto"/>
              </w:rPr>
              <w:t>556-5000</w:t>
            </w:r>
          </w:p>
        </w:tc>
      </w:tr>
      <w:tr>
        <w:trPr>
          <w:trHeight w:val="169"/>
        </w:trPr>
        <w:tc>
          <w:tcPr>
            <w:tcW w:w="3880" w:type="dxa"/>
            <w:vAlign w:val="bottom"/>
          </w:tcPr>
          <w:p>
            <w:pPr>
              <w:jc w:val="center"/>
              <w:ind w:left="462"/>
              <w:spacing w:after="0"/>
              <w:rPr>
                <w:sz w:val="20"/>
                <w:szCs w:val="20"/>
                <w:color w:val="auto"/>
              </w:rPr>
            </w:pPr>
            <w:r>
              <w:rPr>
                <w:rFonts w:ascii="Arial" w:cs="Arial" w:eastAsia="Arial" w:hAnsi="Arial"/>
                <w:sz w:val="14"/>
                <w:szCs w:val="14"/>
                <w:b w:val="1"/>
                <w:bCs w:val="1"/>
                <w:color w:val="auto"/>
                <w:w w:val="88"/>
              </w:rPr>
              <w:t>(Name)</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88"/>
              </w:rPr>
              <w:t>(Area Code)</w:t>
            </w:r>
          </w:p>
        </w:tc>
        <w:tc>
          <w:tcPr>
            <w:tcW w:w="3740" w:type="dxa"/>
            <w:vAlign w:val="bottom"/>
          </w:tcPr>
          <w:p>
            <w:pPr>
              <w:jc w:val="center"/>
              <w:ind w:right="262"/>
              <w:spacing w:after="0"/>
              <w:rPr>
                <w:sz w:val="20"/>
                <w:szCs w:val="20"/>
                <w:color w:val="auto"/>
              </w:rPr>
            </w:pPr>
            <w:r>
              <w:rPr>
                <w:rFonts w:ascii="Arial" w:cs="Arial" w:eastAsia="Arial" w:hAnsi="Arial"/>
                <w:sz w:val="14"/>
                <w:szCs w:val="14"/>
                <w:b w:val="1"/>
                <w:bCs w:val="1"/>
                <w:color w:val="auto"/>
                <w:w w:val="88"/>
              </w:rPr>
              <w:t>(Telephone Number)</w:t>
            </w:r>
          </w:p>
        </w:tc>
      </w:tr>
    </w:tbl>
    <w:p>
      <w:pPr>
        <w:spacing w:after="0" w:line="47" w:lineRule="exact"/>
        <w:rPr>
          <w:sz w:val="20"/>
          <w:szCs w:val="20"/>
          <w:color w:val="auto"/>
        </w:rPr>
      </w:pPr>
    </w:p>
    <w:p>
      <w:pPr>
        <w:ind w:left="460" w:right="80" w:hanging="452"/>
        <w:spacing w:after="0" w:line="225" w:lineRule="exact"/>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Is it anticipated that any significant change in results of operations from the corresponding period for the last fiscal year will be reflected by the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-248285</wp:posOffset>
            </wp:positionV>
            <wp:extent cx="66636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18" w:lineRule="exact"/>
        <w:rPr>
          <w:sz w:val="20"/>
          <w:szCs w:val="20"/>
          <w:color w:val="auto"/>
        </w:rPr>
      </w:pPr>
    </w:p>
    <w:p>
      <w:pPr>
        <w:ind w:left="460"/>
        <w:spacing w:after="0" w:line="207" w:lineRule="exact"/>
        <w:tabs>
          <w:tab w:leader="none" w:pos="5200" w:val="left"/>
        </w:tabs>
        <w:rPr>
          <w:sz w:val="20"/>
          <w:szCs w:val="20"/>
          <w:color w:val="auto"/>
        </w:rPr>
      </w:pPr>
      <w:r>
        <w:rPr>
          <w:rFonts w:ascii="Arial" w:cs="Arial" w:eastAsia="Arial" w:hAnsi="Arial"/>
          <w:sz w:val="18"/>
          <w:szCs w:val="18"/>
          <w:color w:val="auto"/>
        </w:rPr>
        <w:t>statements to be included in the subject report or portion thereof?</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165"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32" w:lineRule="exact"/>
        <w:rPr>
          <w:sz w:val="20"/>
          <w:szCs w:val="20"/>
          <w:color w:val="auto"/>
        </w:rPr>
      </w:pPr>
    </w:p>
    <w:p>
      <w:pPr>
        <w:ind w:left="460" w:right="40"/>
        <w:spacing w:after="0" w:line="290" w:lineRule="auto"/>
        <w:rPr>
          <w:sz w:val="20"/>
          <w:szCs w:val="20"/>
          <w:color w:val="auto"/>
        </w:rPr>
      </w:pPr>
      <w:r>
        <w:rPr>
          <w:rFonts w:ascii="Arial" w:cs="Arial" w:eastAsia="Arial" w:hAnsi="Arial"/>
          <w:sz w:val="16"/>
          <w:szCs w:val="16"/>
          <w:color w:val="auto"/>
        </w:rPr>
        <w:t>The Company was originally formed by the United States Department of the Treasury in 2009 and the 2009 Form 10-K will include financial statements for the Company at and for the period from July 10, 2009 (the date of completion of the 363 Sale) through December 31, 2009, and for no other periods for the Company. Pursuant to an agreement with the SEC Staff, as described in a no-action letter issued to Old GM by the SEC Staff on July 9, 2009 regarding the Company’s filing requirements and those of Old GM, the 2009 Form 10-K will include financial statements for Old GM (which operated the business of the Company and is the Company’s predecessor entity solely for accounting and financial reporting purposes) at December 31, 2008 and for the period from January 1, 2009 through July 9, 2009 and for the years ended December 31, 2008 and 2007. Because the Company is a new reporting entity, our financial statements will not be comparable to the financial statements of Old 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43478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4" w:lineRule="exact"/>
        <w:rPr>
          <w:sz w:val="20"/>
          <w:szCs w:val="20"/>
          <w:color w:val="auto"/>
        </w:rPr>
      </w:pPr>
    </w:p>
    <w:p>
      <w:pPr>
        <w:ind w:left="4420"/>
        <w:spacing w:after="0"/>
        <w:rPr>
          <w:sz w:val="20"/>
          <w:szCs w:val="20"/>
          <w:color w:val="auto"/>
        </w:rPr>
      </w:pPr>
      <w:r>
        <w:rPr>
          <w:rFonts w:ascii="Arial" w:cs="Arial" w:eastAsia="Arial" w:hAnsi="Arial"/>
          <w:sz w:val="14"/>
          <w:szCs w:val="14"/>
          <w:b w:val="1"/>
          <w:bCs w:val="1"/>
          <w:color w:val="auto"/>
        </w:rPr>
        <w:t>(Name of Registrant as Specified in Charter)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740" w:type="dxa"/>
            <w:vAlign w:val="bottom"/>
            <w:gridSpan w:val="2"/>
          </w:tcPr>
          <w:p>
            <w:pPr>
              <w:spacing w:after="0"/>
              <w:rPr>
                <w:sz w:val="20"/>
                <w:szCs w:val="20"/>
                <w:color w:val="auto"/>
              </w:rPr>
            </w:pPr>
            <w:r>
              <w:rPr>
                <w:rFonts w:ascii="Arial" w:cs="Arial" w:eastAsia="Arial" w:hAnsi="Arial"/>
                <w:sz w:val="18"/>
                <w:szCs w:val="18"/>
                <w:color w:val="auto"/>
              </w:rPr>
              <w:t>Date:   March 29, 2010</w:t>
            </w:r>
          </w:p>
        </w:tc>
        <w:tc>
          <w:tcPr>
            <w:tcW w:w="660" w:type="dxa"/>
            <w:vAlign w:val="bottom"/>
          </w:tcPr>
          <w:p>
            <w:pPr>
              <w:ind w:left="100"/>
              <w:spacing w:after="0"/>
              <w:rPr>
                <w:sz w:val="20"/>
                <w:szCs w:val="20"/>
                <w:color w:val="auto"/>
              </w:rPr>
            </w:pPr>
            <w:r>
              <w:rPr>
                <w:rFonts w:ascii="Arial" w:cs="Arial" w:eastAsia="Arial" w:hAnsi="Arial"/>
                <w:sz w:val="18"/>
                <w:szCs w:val="18"/>
                <w:color w:val="auto"/>
              </w:rPr>
              <w:t>By:</w:t>
            </w:r>
          </w:p>
        </w:tc>
        <w:tc>
          <w:tcPr>
            <w:tcW w:w="5020" w:type="dxa"/>
            <w:vAlign w:val="bottom"/>
          </w:tcPr>
          <w:p>
            <w:pPr>
              <w:ind w:left="120"/>
              <w:spacing w:after="0"/>
              <w:rPr>
                <w:sz w:val="20"/>
                <w:szCs w:val="20"/>
                <w:color w:val="auto"/>
              </w:rPr>
            </w:pPr>
            <w:r>
              <w:rPr>
                <w:rFonts w:ascii="Arial" w:cs="Arial" w:eastAsia="Arial" w:hAnsi="Arial"/>
                <w:sz w:val="18"/>
                <w:szCs w:val="18"/>
                <w:color w:val="auto"/>
              </w:rPr>
              <w:t>/s/ Nick S. Cyprus</w:t>
            </w:r>
          </w:p>
        </w:tc>
      </w:tr>
      <w:tr>
        <w:trPr>
          <w:trHeight w:val="210"/>
        </w:trPr>
        <w:tc>
          <w:tcPr>
            <w:tcW w:w="460" w:type="dxa"/>
            <w:vAlign w:val="bottom"/>
          </w:tcPr>
          <w:p>
            <w:pPr>
              <w:spacing w:after="0"/>
              <w:rPr>
                <w:sz w:val="18"/>
                <w:szCs w:val="18"/>
                <w:color w:val="auto"/>
              </w:rPr>
            </w:pPr>
          </w:p>
        </w:tc>
        <w:tc>
          <w:tcPr>
            <w:tcW w:w="5280" w:type="dxa"/>
            <w:vAlign w:val="bottom"/>
            <w:tcBorders>
              <w:top w:val="single" w:sz="8" w:color="auto"/>
            </w:tcBorders>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Name:</w:t>
            </w:r>
          </w:p>
        </w:tc>
        <w:tc>
          <w:tcPr>
            <w:tcW w:w="50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Nick S. Cyprus</w:t>
            </w:r>
          </w:p>
        </w:tc>
      </w:tr>
      <w:tr>
        <w:trPr>
          <w:trHeight w:val="210"/>
        </w:trPr>
        <w:tc>
          <w:tcPr>
            <w:tcW w:w="4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Title:</w:t>
            </w:r>
          </w:p>
        </w:tc>
        <w:tc>
          <w:tcPr>
            <w:tcW w:w="50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Vice President, Controller and Chief Accounting Officer</w:t>
            </w:r>
          </w:p>
        </w:tc>
      </w:tr>
    </w:tbl>
    <w:p>
      <w:pPr>
        <w:spacing w:after="0" w:line="1" w:lineRule="exact"/>
        <w:rPr>
          <w:sz w:val="20"/>
          <w:szCs w:val="20"/>
          <w:color w:val="auto"/>
        </w:rPr>
      </w:pP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lowerLetter"/>
      <w:start w:val="1"/>
    </w:lvl>
  </w:abstractNum>
  <w:abstractNum w:abstractNumId="2">
    <w:nsid w:val="625558EC"/>
    <w:multiLevelType w:val="hybridMultilevel"/>
    <w:lvl w:ilvl="0">
      <w:lvlJc w:val="left"/>
      <w:lvlText w:val="☒"/>
      <w:numFmt w:val="bullet"/>
      <w:start w:val="1"/>
    </w:lvl>
    <w:lvl w:ilvl="1">
      <w:lvlJc w:val="left"/>
      <w:lvlText w:val="(%2)"/>
      <w:numFmt w:val="lowerLetter"/>
      <w:start w:val="3"/>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2019-12-11T06:46:17Z</dcterms:created>
  <dcterms:modified xsi:type="dcterms:W3CDTF">2019-12-11T06:46:17Z</dcterms:modified>
</cp:coreProperties>
</file>