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899795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322"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422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b w:val="1"/>
                <w:bCs w:val="1"/>
                <w:color w:val="auto"/>
                <w:w w:val="95"/>
              </w:rPr>
              <w:t>STATE OF DELAWARE</w:t>
            </w:r>
          </w:p>
        </w:tc>
        <w:tc>
          <w:tcPr>
            <w:tcW w:w="3300" w:type="dxa"/>
            <w:vAlign w:val="bottom"/>
            <w:tcBorders>
              <w:bottom w:val="single" w:sz="8" w:color="auto"/>
            </w:tcBorders>
          </w:tcPr>
          <w:p>
            <w:pPr>
              <w:jc w:val="right"/>
              <w:ind w:right="1172"/>
              <w:spacing w:after="0"/>
              <w:rPr>
                <w:sz w:val="20"/>
                <w:szCs w:val="20"/>
                <w:color w:val="auto"/>
              </w:rPr>
            </w:pPr>
            <w:r>
              <w:rPr>
                <w:rFonts w:ascii="Arial" w:cs="Arial" w:eastAsia="Arial" w:hAnsi="Arial"/>
                <w:sz w:val="22"/>
                <w:szCs w:val="22"/>
                <w:b w:val="1"/>
                <w:bCs w:val="1"/>
                <w:color w:val="auto"/>
              </w:rPr>
              <w:t>001-34960</w:t>
            </w:r>
          </w:p>
        </w:tc>
        <w:tc>
          <w:tcPr>
            <w:tcW w:w="390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b w:val="1"/>
                <w:bCs w:val="1"/>
                <w:color w:val="auto"/>
              </w:rPr>
              <w:t>27-0756180</w:t>
            </w:r>
          </w:p>
        </w:tc>
      </w:tr>
      <w:tr>
        <w:trPr>
          <w:trHeight w:val="249"/>
        </w:trPr>
        <w:tc>
          <w:tcPr>
            <w:tcW w:w="4220" w:type="dxa"/>
            <w:vAlign w:val="bottom"/>
          </w:tcPr>
          <w:p>
            <w:pPr>
              <w:jc w:val="center"/>
              <w:ind w:right="192"/>
              <w:spacing w:after="0" w:line="248" w:lineRule="exact"/>
              <w:rPr>
                <w:sz w:val="20"/>
                <w:szCs w:val="20"/>
                <w:color w:val="auto"/>
              </w:rPr>
            </w:pPr>
            <w:r>
              <w:rPr>
                <w:rFonts w:ascii="Arial" w:cs="Arial" w:eastAsia="Arial" w:hAnsi="Arial"/>
                <w:sz w:val="22"/>
                <w:szCs w:val="22"/>
                <w:i w:val="1"/>
                <w:iCs w:val="1"/>
                <w:color w:val="auto"/>
                <w:w w:val="92"/>
              </w:rPr>
              <w:t>(State or other jurisdiction of Incorporation</w:t>
            </w:r>
          </w:p>
        </w:tc>
        <w:tc>
          <w:tcPr>
            <w:tcW w:w="3300" w:type="dxa"/>
            <w:vAlign w:val="bottom"/>
          </w:tcPr>
          <w:p>
            <w:pPr>
              <w:jc w:val="center"/>
              <w:ind w:right="72"/>
              <w:spacing w:after="0" w:line="248" w:lineRule="exact"/>
              <w:rPr>
                <w:sz w:val="20"/>
                <w:szCs w:val="20"/>
                <w:color w:val="auto"/>
              </w:rPr>
            </w:pPr>
            <w:r>
              <w:rPr>
                <w:rFonts w:ascii="Arial" w:cs="Arial" w:eastAsia="Arial" w:hAnsi="Arial"/>
                <w:sz w:val="22"/>
                <w:szCs w:val="22"/>
                <w:i w:val="1"/>
                <w:iCs w:val="1"/>
                <w:color w:val="auto"/>
                <w:w w:val="90"/>
              </w:rPr>
              <w:t>(Commission File Number)</w:t>
            </w:r>
          </w:p>
        </w:tc>
        <w:tc>
          <w:tcPr>
            <w:tcW w:w="3900" w:type="dxa"/>
            <w:vAlign w:val="bottom"/>
          </w:tcPr>
          <w:p>
            <w:pPr>
              <w:jc w:val="center"/>
              <w:ind w:left="32"/>
              <w:spacing w:after="0" w:line="248" w:lineRule="exact"/>
              <w:rPr>
                <w:sz w:val="20"/>
                <w:szCs w:val="20"/>
                <w:color w:val="auto"/>
              </w:rPr>
            </w:pPr>
            <w:r>
              <w:rPr>
                <w:rFonts w:ascii="Arial" w:cs="Arial" w:eastAsia="Arial" w:hAnsi="Arial"/>
                <w:sz w:val="22"/>
                <w:szCs w:val="22"/>
                <w:i w:val="1"/>
                <w:iCs w:val="1"/>
                <w:color w:val="auto"/>
                <w:w w:val="91"/>
              </w:rPr>
              <w:t>(IRS Employer Identification No.)</w:t>
            </w:r>
          </w:p>
        </w:tc>
      </w:tr>
      <w:tr>
        <w:trPr>
          <w:trHeight w:val="275"/>
        </w:trPr>
        <w:tc>
          <w:tcPr>
            <w:tcW w:w="4220" w:type="dxa"/>
            <w:vAlign w:val="bottom"/>
          </w:tcPr>
          <w:p>
            <w:pPr>
              <w:jc w:val="center"/>
              <w:ind w:right="212"/>
              <w:spacing w:after="0"/>
              <w:rPr>
                <w:sz w:val="20"/>
                <w:szCs w:val="20"/>
                <w:color w:val="auto"/>
              </w:rPr>
            </w:pPr>
            <w:r>
              <w:rPr>
                <w:rFonts w:ascii="Arial" w:cs="Arial" w:eastAsia="Arial" w:hAnsi="Arial"/>
                <w:sz w:val="22"/>
                <w:szCs w:val="22"/>
                <w:i w:val="1"/>
                <w:iCs w:val="1"/>
                <w:color w:val="auto"/>
                <w:w w:val="92"/>
              </w:rPr>
              <w:t>or Organization)</w:t>
            </w:r>
          </w:p>
        </w:tc>
        <w:tc>
          <w:tcPr>
            <w:tcW w:w="3300" w:type="dxa"/>
            <w:vAlign w:val="bottom"/>
          </w:tcPr>
          <w:p>
            <w:pPr>
              <w:spacing w:after="0"/>
              <w:rPr>
                <w:sz w:val="23"/>
                <w:szCs w:val="23"/>
                <w:color w:val="auto"/>
              </w:rPr>
            </w:pPr>
          </w:p>
        </w:tc>
        <w:tc>
          <w:tcPr>
            <w:tcW w:w="3900" w:type="dxa"/>
            <w:vAlign w:val="bottom"/>
          </w:tcPr>
          <w:p>
            <w:pPr>
              <w:spacing w:after="0"/>
              <w:rPr>
                <w:sz w:val="23"/>
                <w:szCs w:val="23"/>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7400" w:type="dxa"/>
            <w:vAlign w:val="bottom"/>
            <w:tcBorders>
              <w:bottom w:val="single" w:sz="8" w:color="auto"/>
            </w:tcBorders>
          </w:tcPr>
          <w:p>
            <w:pPr>
              <w:jc w:val="center"/>
              <w:ind w:left="172"/>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402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b w:val="1"/>
                <w:bCs w:val="1"/>
                <w:color w:val="auto"/>
              </w:rPr>
              <w:t>48265-3000</w:t>
            </w:r>
          </w:p>
        </w:tc>
      </w:tr>
      <w:tr>
        <w:trPr>
          <w:trHeight w:val="280"/>
        </w:trPr>
        <w:tc>
          <w:tcPr>
            <w:tcW w:w="7400" w:type="dxa"/>
            <w:vAlign w:val="bottom"/>
          </w:tcPr>
          <w:p>
            <w:pPr>
              <w:jc w:val="center"/>
              <w:ind w:left="152"/>
              <w:spacing w:after="0"/>
              <w:rPr>
                <w:sz w:val="20"/>
                <w:szCs w:val="20"/>
                <w:color w:val="auto"/>
              </w:rPr>
            </w:pPr>
            <w:r>
              <w:rPr>
                <w:rFonts w:ascii="Arial" w:cs="Arial" w:eastAsia="Arial" w:hAnsi="Arial"/>
                <w:sz w:val="22"/>
                <w:szCs w:val="22"/>
                <w:i w:val="1"/>
                <w:iCs w:val="1"/>
                <w:color w:val="auto"/>
                <w:w w:val="89"/>
              </w:rPr>
              <w:t>(Address of principal executive offices)</w:t>
            </w:r>
          </w:p>
        </w:tc>
        <w:tc>
          <w:tcPr>
            <w:tcW w:w="4020" w:type="dxa"/>
            <w:vAlign w:val="bottom"/>
          </w:tcPr>
          <w:p>
            <w:pPr>
              <w:jc w:val="center"/>
              <w:ind w:left="172"/>
              <w:spacing w:after="0"/>
              <w:rPr>
                <w:sz w:val="20"/>
                <w:szCs w:val="20"/>
                <w:color w:val="auto"/>
              </w:rPr>
            </w:pPr>
            <w:r>
              <w:rPr>
                <w:rFonts w:ascii="Arial" w:cs="Arial" w:eastAsia="Arial" w:hAnsi="Arial"/>
                <w:sz w:val="22"/>
                <w:szCs w:val="22"/>
                <w:i w:val="1"/>
                <w:iCs w:val="1"/>
                <w:color w:val="auto"/>
                <w:w w:val="90"/>
              </w:rPr>
              <w:t>(Zip Code)</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Mark L. Reuss - President (313)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326" w:lineRule="exact"/>
        <w:rPr>
          <w:sz w:val="24"/>
          <w:szCs w:val="24"/>
          <w:color w:val="auto"/>
        </w:rPr>
      </w:pPr>
    </w:p>
    <w:p>
      <w:pPr>
        <w:ind w:left="40" w:right="420" w:hanging="5"/>
        <w:spacing w:after="0" w:line="251" w:lineRule="auto"/>
        <w:tabs>
          <w:tab w:leader="none" w:pos="247"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 Conflict Minerals Report is filed as Exhibit 1.01 and is also publicly available at the following Internet website: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http://www.gm.com/investors/sec-filings.html.</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Conflict Minerals Report required by Item 1.01 and 1.02 is filed as Exhibit 1.01 to this Form SD.</w:t>
      </w: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 * * * * *</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2 -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Exhibit 1.01 - </w:t>
      </w:r>
      <w:r>
        <w:rPr>
          <w:rFonts w:ascii="Arial" w:cs="Arial" w:eastAsia="Arial" w:hAnsi="Arial"/>
          <w:sz w:val="22"/>
          <w:szCs w:val="22"/>
          <w:u w:val="single" w:color="auto"/>
          <w:color w:val="0000FF"/>
        </w:rPr>
        <w:t>Conflict Minerals Report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 *</w:t>
      </w:r>
    </w:p>
    <w:p>
      <w:pPr>
        <w:sectPr>
          <w:pgSz w:w="11900" w:h="16838" w:orient="portrait"/>
          <w:cols w:equalWidth="0" w:num="1">
            <w:col w:w="11420"/>
          </w:cols>
          <w:pgMar w:left="240" w:top="63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162"/>
        <w:spacing w:after="0" w:line="36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0"/>
        <w:spacing w:after="0"/>
        <w:rPr>
          <w:sz w:val="20"/>
          <w:szCs w:val="20"/>
          <w:color w:val="auto"/>
        </w:rPr>
      </w:pPr>
      <w:r>
        <w:rPr>
          <w:rFonts w:ascii="Arial" w:cs="Arial" w:eastAsia="Arial" w:hAnsi="Arial"/>
          <w:sz w:val="22"/>
          <w:szCs w:val="22"/>
          <w:u w:val="single" w:color="auto"/>
          <w:color w:val="auto"/>
        </w:rPr>
        <w:t>GENERAL MOTORS COMPANY</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 Mark L. Reuss</w:t>
      </w:r>
    </w:p>
    <w:p>
      <w:pPr>
        <w:spacing w:after="0" w:line="12"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22"/>
          <w:szCs w:val="22"/>
          <w:color w:val="auto"/>
        </w:rPr>
        <w:t>Date: May 31,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9"/>
          <w:szCs w:val="29"/>
          <w:color w:val="auto"/>
          <w:vertAlign w:val="subscript"/>
        </w:rPr>
        <w:t>Mark L.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-194310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President</w:t>
      </w:r>
    </w:p>
    <w:p>
      <w:pPr>
        <w:sectPr>
          <w:pgSz w:w="11900" w:h="16838" w:orient="portrait"/>
          <w:cols w:equalWidth="0" w:num="1">
            <w:col w:w="11400"/>
          </w:cols>
          <w:pgMar w:left="240" w:top="639"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Conflict Minerals Report (CMR) of General Motors Company is for calendar year 2018 in accordance with Rule 13p-1 under the Securities Exchange Act of 1934, as amended (the SEC Rule). The SEC Rule was adopted by the Securities and Exchange Commission (SEC) to implement reporting requirements related to conflict minerals as directed by the Dodd-Frank Wall Street Reform and Consumer Protection Act of 2010. The SEC Rule imposes certain reporting obligations on SEC registrants whose manufactured products contain conflict minerals.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(DRC) or an adjoining country.</w:t>
      </w:r>
    </w:p>
    <w:p>
      <w:pPr>
        <w:spacing w:after="0" w:line="235" w:lineRule="exact"/>
        <w:rPr>
          <w:sz w:val="20"/>
          <w:szCs w:val="20"/>
          <w:color w:val="auto"/>
        </w:rPr>
      </w:pPr>
    </w:p>
    <w:p>
      <w:pPr>
        <w:ind w:right="2280" w:firstLine="648"/>
        <w:spacing w:after="0" w:line="448" w:lineRule="auto"/>
        <w:rPr>
          <w:sz w:val="20"/>
          <w:szCs w:val="20"/>
          <w:color w:val="auto"/>
        </w:rPr>
      </w:pPr>
      <w:r>
        <w:rPr>
          <w:rFonts w:ascii="Arial" w:cs="Arial" w:eastAsia="Arial" w:hAnsi="Arial"/>
          <w:sz w:val="22"/>
          <w:szCs w:val="22"/>
          <w:color w:val="auto"/>
        </w:rPr>
        <w:t xml:space="preserve">In this CMR, references to General Motors, GM, our, us, or we refer to General Motors Company. </w:t>
      </w:r>
      <w:r>
        <w:rPr>
          <w:rFonts w:ascii="Arial" w:cs="Arial" w:eastAsia="Arial" w:hAnsi="Arial"/>
          <w:sz w:val="22"/>
          <w:szCs w:val="22"/>
          <w:b w:val="1"/>
          <w:bCs w:val="1"/>
          <w:color w:val="auto"/>
        </w:rPr>
        <w:t>I. Company and Supply Chain Overview</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through our direct and indirect subsidiaries, design, build, and sell trucks, crossovers, cars and automobile parts worldwide. Our supply chain is a complex global network of tiered suppliers that directly or indirectly supply raw materials, components and services to our global facilities.</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With respect to the 3TG in our products, generally, multiple tiers of supplier manufacturers exist between the smelters/refiners that process 3TG and the first tier supplier that delivers parts to us. We have no direct business relationship with any smelters/refiners of 3TG. We rely on our suppliers at the top tier of our supply chain, with whom we have direct contracts, to provide information on the origin of, and facilities used to process, the 3TG contained in components and materials supplied to us.</w:t>
      </w:r>
    </w:p>
    <w:p>
      <w:pPr>
        <w:spacing w:after="0" w:line="14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We have conducted a Reasonable Country of Origin Inquiry (RCOI) and performed reasonable due diligence on the source and chain of custody of 3TG contained in components and material supplied to us. Based on the results of our RCOI, and after conducting reasonable due diligence, we are unable to definitively determine the origin of the 3TG utilized in our products.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19"/>
          <w:szCs w:val="19"/>
          <w:b w:val="1"/>
          <w:bCs w:val="1"/>
          <w:color w:val="auto"/>
        </w:rPr>
        <w:t>Reasonable Country of Origin Inquiry</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conduct an RCOI, we developed a targeted list of our first tier suppliers of original equipment, service and aftermarket parts that we believe may contain 3TG. We identified these suppliers based on information in our material data system and from information previously provided by suppliers regarding conflict minerals. We also surveyed employees whose function may provide relevant information regarding the source and custody of 3TG.</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We then used the industry standard reporting form, the Conflict Minerals Reporting Template (CMRT) published by the Responsible Minerals Initiative (RMI), to obtain information from these suppliers regarding their manufacturing locations that we believe may provide the 3TG-containing products. For 2018, we received completed CMRTs from 88% of the 3,899 supplier locations that we believe supply components to GM that contain 3TG. We experienced a reduction in supplier locations identified as potentially supplying products to us that contain 3TG as well as completed CMRT submissions compared to the 2017 reporting year. This reduction was primarily a result of the divesture of certain of our manufacturing locations and a corresponding reduction in suppliers in our supply chain.</w:t>
      </w:r>
    </w:p>
    <w:p>
      <w:pPr>
        <w:sectPr>
          <w:pgSz w:w="11900" w:h="16838" w:orient="portrait"/>
          <w:cols w:equalWidth="0" w:num="1">
            <w:col w:w="11420"/>
          </w:cols>
          <w:pgMar w:left="240" w:top="585" w:right="239" w:bottom="1440" w:gutter="0" w:footer="0" w:header="0"/>
        </w:sectPr>
      </w:pPr>
    </w:p>
    <w:bookmarkStart w:id="4" w:name="page5"/>
    <w:bookmarkEnd w:id="4"/>
    <w:p>
      <w:pPr>
        <w:ind w:left="540" w:hanging="532"/>
        <w:spacing w:after="0"/>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Design of Due Diligence Process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obtain information regarding the source and chain of custody of 3TG, we conducted due diligence through our direct suppliers based on the Organisation for Economic Co-operation and Development (OECD) Due Diligence Guidance for Responsible Supply Chains of Minerals from Conflict-Affected and High-Risk Areas published by the OECD. The OECD Guidance provides an internationally recognized framework for conflict minerals due diligence.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IV. Due Diligence Measures Performed</w:t>
      </w:r>
    </w:p>
    <w:p>
      <w:pPr>
        <w:spacing w:after="0" w:line="247"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22"/>
          <w:szCs w:val="22"/>
          <w:b w:val="1"/>
          <w:bCs w:val="1"/>
          <w:color w:val="auto"/>
        </w:rPr>
        <w:t>Step 1.</w:t>
      </w:r>
      <w:r>
        <w:rPr>
          <w:sz w:val="20"/>
          <w:szCs w:val="20"/>
          <w:color w:val="auto"/>
        </w:rPr>
        <w:tab/>
      </w:r>
      <w:r>
        <w:rPr>
          <w:rFonts w:ascii="Arial" w:cs="Arial" w:eastAsia="Arial" w:hAnsi="Arial"/>
          <w:sz w:val="19"/>
          <w:szCs w:val="19"/>
          <w:b w:val="1"/>
          <w:bCs w:val="1"/>
          <w:color w:val="auto"/>
        </w:rPr>
        <w:t>Establish Strong Company Management Systems</w:t>
      </w:r>
    </w:p>
    <w:p>
      <w:pPr>
        <w:spacing w:after="0" w:line="220"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1. Company Conflict Minerals Policy</w:t>
      </w:r>
    </w:p>
    <w:p>
      <w:pPr>
        <w:spacing w:after="0" w:line="226" w:lineRule="exact"/>
        <w:rPr>
          <w:sz w:val="20"/>
          <w:szCs w:val="20"/>
          <w:color w:val="auto"/>
        </w:rPr>
      </w:pPr>
    </w:p>
    <w:p>
      <w:pPr>
        <w:ind w:right="120" w:firstLine="729"/>
        <w:spacing w:after="0" w:line="248" w:lineRule="auto"/>
        <w:rPr>
          <w:sz w:val="20"/>
          <w:szCs w:val="20"/>
          <w:color w:val="auto"/>
        </w:rPr>
      </w:pPr>
      <w:r>
        <w:rPr>
          <w:rFonts w:ascii="Arial" w:cs="Arial" w:eastAsia="Arial" w:hAnsi="Arial"/>
          <w:sz w:val="22"/>
          <w:szCs w:val="22"/>
          <w:color w:val="auto"/>
        </w:rPr>
        <w:t>GM’s policies and practices, including its Conflict Minerals Policy, reflect our commitment to responsible sourcing strategies that mitigate negative social and environmental impacts. Through our Supplier Code of Conduct, we expect similar commitments and efforts from our suppliers to source responsibly within our supply chain, including the use of 3TG. Our conflict minerals policy, which also is incorporated into our Sustainability Report, is found at https://investor.gm.com/static-files/f995efa6-1046-4ede-8ff6-97a402ead20e.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also communicate this policy to our suppliers through our supplier portal. The policy is as follows: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POLICY</w:t>
      </w: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color w:val="auto"/>
        </w:rPr>
        <w:t>General Motors is committed to sustainable and responsible sourcing of goods and services throughout our supply chain. GM supports the human rights goals reflected in the adoption of conflict mineral due diligence requirements included in the Dodd-Frank Wall Street Reform and Consumer Protection Act of 2010. GM has a zero tolerance policy against the use of child labor, and prohibits abusive treatment to employees and corrupt business practices in our supply base.</w:t>
      </w:r>
    </w:p>
    <w:p>
      <w:pPr>
        <w:spacing w:after="0" w:line="3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Through industry collaboration, GM has adopted a common methodology to obtain chain of custody declarations from suppliers to increase the transparency of conflict minerals in our global supply chain. GM has been an active contributor within the Automotive Industry Action Group (AIAG) in developing an automotive industry wide approach to reporting the use of conflict minerals, and educating suppliers about their roles and responsibilities.</w:t>
      </w: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color w:val="auto"/>
        </w:rPr>
        <w:t>We require our suppliers to engage in supply chain due diligence to improve understanding and reporting of component content supplied to GM. Further, we encourage our suppliers to source responsibly with validated conflict free smelters, wherever possible, to increase our level of confidence that the components in our vehicles and products contain conflict free minerals. We recognize that our sourcing decisions may cause economic consequences in impacted regions and seek to avoid inadvertent adverse economic impact attributable to conflict mineral due diligence activities.</w:t>
      </w:r>
    </w:p>
    <w:p>
      <w:pPr>
        <w:spacing w:after="0" w:line="3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Internal Management Team</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created a compliance group within our Global Purchasing and Supply Chain function that</w:t>
      </w:r>
    </w:p>
    <w:p>
      <w:pPr>
        <w:sectPr>
          <w:pgSz w:w="11900" w:h="16838" w:orient="portrait"/>
          <w:cols w:equalWidth="0" w:num="1">
            <w:col w:w="11420"/>
          </w:cols>
          <w:pgMar w:left="240" w:top="801" w:right="239" w:bottom="1440" w:gutter="0" w:footer="0" w:header="0"/>
        </w:sectPr>
      </w:pPr>
    </w:p>
    <w:bookmarkStart w:id="5" w:name="page6"/>
    <w:bookmarkEnd w:id="5"/>
    <w:p>
      <w:pPr>
        <w:ind w:right="100"/>
        <w:spacing w:after="0" w:line="271" w:lineRule="auto"/>
        <w:rPr>
          <w:sz w:val="20"/>
          <w:szCs w:val="20"/>
          <w:color w:val="auto"/>
        </w:rPr>
      </w:pPr>
      <w:r>
        <w:rPr>
          <w:rFonts w:ascii="Arial" w:cs="Arial" w:eastAsia="Arial" w:hAnsi="Arial"/>
          <w:sz w:val="21"/>
          <w:szCs w:val="21"/>
          <w:color w:val="auto"/>
        </w:rPr>
        <w:t>is responsible for, among other things, overseeing and enhancing our sustainability and compliance efforts, including conflict minerals, supplier awareness programs, trade restrictions and similar efforts. By consolidating these efforts under the guidance of a single director, we seek to implement our sustainability policies and achieve our goals.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Within this compliance-focused group, we have a full-time team to lead our conflict minerals compliance program. To support this team, we organized a Conflict Minerals Compliance Committee, composed of representatives from the following functional areas: Global Purchasing and Supply Chain, Legal, Finance, Information Technology, SEC Reporting, and GM Audit Services. The Conflict Minerals Compliance Committee provides cross functional expertise for our conflict minerals compliance program. We also have a Conflict Minerals Executive Steering Committee composed of Executives in Global Purchasing and Supply Chain, Legal, and Public Policy. The Executive Steering Committee exercises oversight over the conflict minerals compliance program.</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have adopted a Supplier Code of Conduct, which incorporates our Conflict Minerals Policy as well as other socially responsible policies related to human rights and the environment. GM also is a signatory to the UN Global Compact and a member of the Responsible Minerals Initiative (RMI).</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3. System of Supply Chain Controls and Transparency</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Since 2013, our standard terms and conditions for purchase contracts require our direct suppliers to report their use of 3TG in products supplied to us. We expect our suppliers to be fair, humane, and lawful employers, and to enforce similar requirements with their sub-suppliers. We rely on our first tier suppliers, as part of their response process to our request for conflict minerals information, to solicit and compile information from lower tier suppliers comprising our supply chain. We review each of the first tier supplier responses for completeness and consistency, and work with our suppliers, as necessary, to improve the accuracy of the information we receive.</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also participate in conflict minerals initiatives with other automobile manufacturers through the Automotive Industry Action Group (AIAG), a non-profit automotive industry trade association. Through our membership with AIAG, we collaborate with other AIAG member companies to develop common methods to obtain 3TG chain of custody declarations from suppliers in the automotive industry.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4. Supplier Engagement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engage with our suppliers to assist them in building capabilities to improve chain of custody declarations and to increase the transparency of 3TG in our global supply chain. We communicate our conflict minerals reporting requirements to suppliers through various mechanisms, including teleconferences, emails, publications, and webinars. We have also established a direct email address (email address: conflictminerals@gm.com) to provide our suppliers a streamlined path of communication relating to conflict minerals. We make conflict minerals documents available through our supplier portal and have created and provide FAQs, instructions, webinar presentations, and leadership messages relating to conflict minerals.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 Grievance Mechanism</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the “Awareline” in over a dozen different languages 24 hours per day, 7 days per week by phone, the internet, or email. Individuals filing reports on the “Awareline”</w:t>
      </w:r>
    </w:p>
    <w:p>
      <w:pPr>
        <w:sectPr>
          <w:pgSz w:w="11900" w:h="16838" w:orient="portrait"/>
          <w:cols w:equalWidth="0" w:num="1">
            <w:col w:w="11420"/>
          </w:cols>
          <w:pgMar w:left="240" w:top="591" w:right="23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may remain anonymous as permitted by law. Information about the “Awareline” is found at: https://www.awareline.com.</w:t>
      </w:r>
    </w:p>
    <w:p>
      <w:pPr>
        <w:spacing w:after="0" w:line="225" w:lineRule="exact"/>
        <w:rPr>
          <w:sz w:val="20"/>
          <w:szCs w:val="20"/>
          <w:color w:val="auto"/>
        </w:rPr>
      </w:pPr>
    </w:p>
    <w:p>
      <w:pPr>
        <w:ind w:left="720"/>
        <w:spacing w:after="0"/>
        <w:tabs>
          <w:tab w:leader="none" w:pos="1540" w:val="left"/>
        </w:tabs>
        <w:rPr>
          <w:sz w:val="20"/>
          <w:szCs w:val="20"/>
          <w:color w:val="auto"/>
        </w:rPr>
      </w:pPr>
      <w:r>
        <w:rPr>
          <w:rFonts w:ascii="Arial" w:cs="Arial" w:eastAsia="Arial" w:hAnsi="Arial"/>
          <w:sz w:val="22"/>
          <w:szCs w:val="22"/>
          <w:b w:val="1"/>
          <w:bCs w:val="1"/>
          <w:color w:val="auto"/>
        </w:rPr>
        <w:t>Step 2.</w:t>
      </w:r>
      <w:r>
        <w:rPr>
          <w:sz w:val="20"/>
          <w:szCs w:val="20"/>
          <w:color w:val="auto"/>
        </w:rPr>
        <w:tab/>
      </w:r>
      <w:r>
        <w:rPr>
          <w:rFonts w:ascii="Arial" w:cs="Arial" w:eastAsia="Arial" w:hAnsi="Arial"/>
          <w:sz w:val="19"/>
          <w:szCs w:val="19"/>
          <w:b w:val="1"/>
          <w:bCs w:val="1"/>
          <w:color w:val="auto"/>
        </w:rPr>
        <w:t>Identify and Assess Risk in the Supply Chain</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We analyzed the CMRT responses for completeness and consistency. We also requested suppliers who reported procuring 3TG from a covered country to report to us the identity of the applicable smelters/refiners. The Responsible Minerals Assurance Process (RMAP) uses an independent third-party to validate the smelter/refiner processes for responsible mineral procurement. Through our membership in RMI (ID # GMOT), we are able to obtain a list of smelters/refiners who are in conformance with the RMAP, as well as specific information on smelters/refiners that is available only to RMI member companies. We use this information internally within GM, to analyze the smelter/refiner lists provided to us through our suppliers’ CMRT submissions. Through this process, we identified suppliers that deliver parts that may contain 3TG from smelters/refiners that are not yet conformant to the RMAP. We provided feedback to those suppliers relating to the consistency of their submissions and we encouraged these suppliers to conduct outreach in their supply chains to have smelters/refiners engage in the RMAP.</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also provided an individual smelter analysis to specific suppliers that identified smelters/refiners listed in their CMRTs that are not yet in the RMAP. This analysis also identified entities that did not meet the definition of an eligible smelter/refiner. By providing the smelter analyses to our suppliers, we are empowering our suppliers to inform their supply chain the identity of non-RMAP conformant smelters or refiners. We requested our suppliers to send letters encouraging smelters/refiners to join the RMAP. We also requested our suppliers to improve the accuracy of their smelter lists by eliminating the smelters/refiners that are no longer in operation and removing those entities which did not meet the definition of eligible smelters/refiners.</w:t>
      </w:r>
    </w:p>
    <w:p>
      <w:pPr>
        <w:spacing w:after="0" w:line="150"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9"/>
          <w:szCs w:val="19"/>
          <w:color w:val="auto"/>
        </w:rPr>
        <w:t>In addition to the smelter name, the CMRT form also seeks information related to the location (country) of the mine from which the 3TG is procured. Although we requested that our suppliers include this information in their responses, not all suppliers provided responses with country (origin) information. We will continue to educate our suppliers on the importance of determining the origin of 3TG, and how important it is to determine the mine or location of origin with the greatest possible specificity.</w:t>
      </w:r>
    </w:p>
    <w:p>
      <w:pPr>
        <w:spacing w:after="0" w:line="17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b w:val="1"/>
          <w:bCs w:val="1"/>
          <w:color w:val="auto"/>
        </w:rPr>
        <w:t>Step 3.</w:t>
      </w:r>
      <w:r>
        <w:rPr>
          <w:sz w:val="20"/>
          <w:szCs w:val="20"/>
          <w:color w:val="auto"/>
        </w:rPr>
        <w:tab/>
      </w:r>
      <w:r>
        <w:rPr>
          <w:rFonts w:ascii="Arial" w:cs="Arial" w:eastAsia="Arial" w:hAnsi="Arial"/>
          <w:sz w:val="19"/>
          <w:szCs w:val="19"/>
          <w:b w:val="1"/>
          <w:bCs w:val="1"/>
          <w:color w:val="auto"/>
        </w:rPr>
        <w:t>Design and Implement a Strategy to Respond to Identified Risk</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As previously described, we review each supplier CMRT response in order to (i) provide feedback to our suppliers and (ii) identify risks in our supply chain related to use of 3TG. 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 if the concern is not resolved.</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Smelter/refiner outreach and certification are also important risk mitigation components of our conflict minerals program. To increase the number of RMAP conformant smelters/refiners, GM has conducted outreach to 131 eligible smelters/refiners by sending letters to encourage them to join the RMAP. We also encouraged our suppliers to send outreach letters to the smelters/refiners in their smelter lists who are not determined to be RMAP conformant by RMI or other organizations with audit protocols recognized by RMI.</w:t>
      </w:r>
    </w:p>
    <w:p>
      <w:pPr>
        <w:sectPr>
          <w:pgSz w:w="11900" w:h="16838" w:orient="portrait"/>
          <w:cols w:equalWidth="0" w:num="1">
            <w:col w:w="11420"/>
          </w:cols>
          <w:pgMar w:left="240" w:top="591" w:right="239" w:bottom="1440" w:gutter="0" w:footer="0" w:header="0"/>
        </w:sectPr>
      </w:pPr>
    </w:p>
    <w:bookmarkStart w:id="7" w:name="page8"/>
    <w:bookmarkEnd w:id="7"/>
    <w:p>
      <w:pPr>
        <w:ind w:right="620" w:firstLine="648"/>
        <w:spacing w:after="0" w:line="263" w:lineRule="auto"/>
        <w:rPr>
          <w:sz w:val="20"/>
          <w:szCs w:val="20"/>
          <w:color w:val="auto"/>
        </w:rPr>
      </w:pPr>
      <w:r>
        <w:rPr>
          <w:rFonts w:ascii="Arial" w:cs="Arial" w:eastAsia="Arial" w:hAnsi="Arial"/>
          <w:sz w:val="22"/>
          <w:szCs w:val="22"/>
          <w:color w:val="auto"/>
        </w:rPr>
        <w:t>Results of our monitoring and outreach efforts are reported to the Conflict Minerals Executive Steering Committee at regular periodic meetings and tracked against prior year results.</w:t>
      </w:r>
    </w:p>
    <w:p>
      <w:pPr>
        <w:spacing w:after="0" w:line="169" w:lineRule="exact"/>
        <w:rPr>
          <w:sz w:val="20"/>
          <w:szCs w:val="20"/>
          <w:color w:val="auto"/>
        </w:rPr>
      </w:pPr>
    </w:p>
    <w:p>
      <w:pPr>
        <w:ind w:left="720"/>
        <w:spacing w:after="0"/>
        <w:tabs>
          <w:tab w:leader="none" w:pos="1540" w:val="left"/>
        </w:tabs>
        <w:rPr>
          <w:sz w:val="20"/>
          <w:szCs w:val="20"/>
          <w:color w:val="auto"/>
        </w:rPr>
      </w:pPr>
      <w:r>
        <w:rPr>
          <w:rFonts w:ascii="Arial" w:cs="Arial" w:eastAsia="Arial" w:hAnsi="Arial"/>
          <w:sz w:val="22"/>
          <w:szCs w:val="22"/>
          <w:b w:val="1"/>
          <w:bCs w:val="1"/>
          <w:color w:val="auto"/>
        </w:rPr>
        <w:t>Step 4.</w:t>
      </w:r>
      <w:r>
        <w:rPr>
          <w:sz w:val="20"/>
          <w:szCs w:val="20"/>
          <w:color w:val="auto"/>
        </w:rPr>
        <w:tab/>
      </w:r>
      <w:r>
        <w:rPr>
          <w:rFonts w:ascii="Arial" w:cs="Arial" w:eastAsia="Arial" w:hAnsi="Arial"/>
          <w:sz w:val="19"/>
          <w:szCs w:val="19"/>
          <w:b w:val="1"/>
          <w:bCs w:val="1"/>
          <w:color w:val="auto"/>
        </w:rPr>
        <w:t>Carry Out Independent Third-Party Audit of Supply Chain Due Diligence</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Since we do not source directly with smelters/refiners, we rely on information from industry involvement and information available through our membership in RMI. We actively support industry-wide initiatives to improve both reporting and knowledge regarding the smelters/refiners supplying 3TG materials for our products.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Through contributions to the AIAG Responsible Materials Work Group, we financially support visits to smelters/refiners to encourage these smelters/refiners to participate in the third party audit to become conformant to the RMAP standard. We also donated funds to the not-for-profit RMI Initial Audit Fund to help support smelters/refiners with their first formal audit to join the RMAP.</w:t>
      </w:r>
    </w:p>
    <w:p>
      <w:pPr>
        <w:spacing w:after="0" w:line="182" w:lineRule="exact"/>
        <w:rPr>
          <w:sz w:val="20"/>
          <w:szCs w:val="20"/>
          <w:color w:val="auto"/>
        </w:rPr>
      </w:pPr>
    </w:p>
    <w:p>
      <w:pPr>
        <w:ind w:left="720"/>
        <w:spacing w:after="0"/>
        <w:tabs>
          <w:tab w:leader="none" w:pos="1500" w:val="left"/>
        </w:tabs>
        <w:rPr>
          <w:sz w:val="20"/>
          <w:szCs w:val="20"/>
          <w:color w:val="auto"/>
        </w:rPr>
      </w:pPr>
      <w:r>
        <w:rPr>
          <w:rFonts w:ascii="Arial" w:cs="Arial" w:eastAsia="Arial" w:hAnsi="Arial"/>
          <w:sz w:val="22"/>
          <w:szCs w:val="22"/>
          <w:b w:val="1"/>
          <w:bCs w:val="1"/>
          <w:color w:val="auto"/>
        </w:rPr>
        <w:t>Step 5.</w:t>
      </w:r>
      <w:r>
        <w:rPr>
          <w:sz w:val="20"/>
          <w:szCs w:val="20"/>
          <w:color w:val="auto"/>
        </w:rPr>
        <w:tab/>
      </w:r>
      <w:r>
        <w:rPr>
          <w:rFonts w:ascii="Arial" w:cs="Arial" w:eastAsia="Arial" w:hAnsi="Arial"/>
          <w:sz w:val="19"/>
          <w:szCs w:val="19"/>
          <w:b w:val="1"/>
          <w:bCs w:val="1"/>
          <w:color w:val="auto"/>
        </w:rPr>
        <w:t>Report on Supply Chain Due Diligence</w:t>
      </w:r>
    </w:p>
    <w:p>
      <w:pPr>
        <w:spacing w:after="0" w:line="239"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We file the Specialized Disclosure Form including the Conflict Minerals Report annually with the SEC as directed by the Dodd-Frank Wall Street Reform and Consumer Protection Act of 2010. Our Form SD and CMR are available on our website at http://www.gm.com/investors/sec-filings.html.</w:t>
      </w:r>
    </w:p>
    <w:p>
      <w:pPr>
        <w:spacing w:after="0" w:line="274" w:lineRule="exact"/>
        <w:rPr>
          <w:sz w:val="20"/>
          <w:szCs w:val="20"/>
          <w:color w:val="auto"/>
        </w:rPr>
      </w:pPr>
    </w:p>
    <w:p>
      <w:pPr>
        <w:ind w:right="100" w:firstLine="8"/>
        <w:spacing w:after="0" w:line="269" w:lineRule="auto"/>
        <w:tabs>
          <w:tab w:leader="none" w:pos="39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Steps We Have Taken or Will Take to Mitigate the Risk that Conflict Minerals in Our Products Benefit Armed Groups Including Improving Due Diligence</w:t>
      </w:r>
    </w:p>
    <w:p>
      <w:pPr>
        <w:spacing w:after="0" w:line="16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We are continuing to work with our suppliers to gather more information through the supply chain. Through emails, webinars, and our conflict minerals policy, we are encouraging our suppliers to work with their supply chains to source responsibly, including utilizing conformant smelters/refiners.</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We will continue to work with AIAG to further educate suppliers and utilize common methods to determine the origin of 3TG in our products. We co-chair the main AIAG Responsible Materials Work Group. Through this group, we will continue to develop and participate in AIAG training and other 3TG initiatives. We also actively participate in the AIAG Smelter Engagement Team (SET) which, working with the RMI SET of which we are also a member, prioritizes outreach and visits to smelters/refiners.</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as a member company of RMI, are further developing a reliable smelter/refiner list by assisting RMI in identifying eligible smelters/refiners. Working with RMI and AIAG, we are sending letters to smelters/refiners and visiting smelters/refiners who are not yet engaged in the RMAP. We believe that increasing the participation of smelters/refiners in this program will not only expand the availability of conflict-free 3TG, but will also enhance the ability for our supply base to reliably source 3TG from conformant smelters/refiners.</w:t>
      </w:r>
    </w:p>
    <w:p>
      <w:pPr>
        <w:spacing w:after="0" w:line="28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color w:val="auto"/>
        </w:rPr>
        <w:t>Product Determination</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Based on the results of our RCOI and after conducting due diligence, because of the complexity of our supply chain and the inherent imprecision of reporting information through our elaborate supply chain, we cannot confirm whether the 3TG reported to us by our suppliers, some of which may have been sourced from a covered country, are in our products. However, we have not identified any instances where 3TG minerals in our products are directly or indirectly financing or benefiting armed groups in the covered countries.</w:t>
      </w:r>
    </w:p>
    <w:p>
      <w:pPr>
        <w:sectPr>
          <w:pgSz w:w="11900" w:h="16838" w:orient="portrait"/>
          <w:cols w:equalWidth="0" w:num="1">
            <w:col w:w="11420"/>
          </w:cols>
          <w:pgMar w:left="240" w:top="591" w:right="239" w:bottom="1440" w:gutter="0" w:footer="0" w:header="0"/>
        </w:sectPr>
      </w:pPr>
    </w:p>
    <w:bookmarkStart w:id="8" w:name="page9"/>
    <w:bookmarkEnd w:id="8"/>
    <w:p>
      <w:pPr>
        <w:spacing w:after="0"/>
        <w:tabs>
          <w:tab w:leader="none" w:pos="58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19"/>
          <w:szCs w:val="19"/>
          <w:b w:val="1"/>
          <w:bCs w:val="1"/>
          <w:color w:val="auto"/>
        </w:rPr>
        <w:t>Appendix</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Utilizing the information provided by our first tier suppliers in their CMRT submissions, we compiled a list of smelters/refiners that may provide 3TG used in our products. The smelter/refiner list is provided as an appendix in this report. However, because most of our suppliers reported 3TG usage at a company-wide level, the information provided by our suppliers, including the identity of smelters/refiners included in the appendix, may relate to non-GM products. In addition, not all of our suppliers provided to us smelter/refiner identity and country of origin information for 3TG. Further, we understand that smelters/refiners generally commingle minerals from different mine sources, which may further impair our suppliers’ ability to track the source of 3TG. Accordingly, we cannot confirm the accuracy or completeness of the attached appendix of potential smelters/refiners and we cannot definitively determine the origin of all of the 3TG we utilize in our products.</w:t>
      </w:r>
    </w:p>
    <w:p>
      <w:pPr>
        <w:spacing w:after="0" w:line="200" w:lineRule="exact"/>
        <w:rPr>
          <w:sz w:val="20"/>
          <w:szCs w:val="20"/>
          <w:color w:val="auto"/>
        </w:rPr>
      </w:pPr>
    </w:p>
    <w:p>
      <w:pPr>
        <w:spacing w:after="0" w:line="296" w:lineRule="exact"/>
        <w:rPr>
          <w:sz w:val="20"/>
          <w:szCs w:val="20"/>
          <w:color w:val="auto"/>
        </w:rPr>
      </w:pPr>
    </w:p>
    <w:tbl>
      <w:tblPr>
        <w:tblLayout w:type="fixed"/>
        <w:tblInd w:w="1530" w:type="dxa"/>
        <w:tblCellMar>
          <w:top w:w="0" w:type="dxa"/>
          <w:left w:w="0" w:type="dxa"/>
          <w:bottom w:w="0" w:type="dxa"/>
          <w:right w:w="0" w:type="dxa"/>
        </w:tblCellMar>
      </w:tblPr>
      <w:tr>
        <w:trPr>
          <w:trHeight w:val="256"/>
        </w:trPr>
        <w:tc>
          <w:tcPr>
            <w:tcW w:w="1060" w:type="dxa"/>
            <w:vAlign w:val="bottom"/>
            <w:tcBorders>
              <w:top w:val="single" w:sz="8" w:color="auto"/>
              <w:left w:val="single" w:sz="8" w:color="auto"/>
              <w:right w:val="single" w:sz="8" w:color="auto"/>
            </w:tcBorders>
            <w:shd w:val="clear" w:color="auto" w:fill="FCFF58"/>
          </w:tcPr>
          <w:p>
            <w:pPr>
              <w:spacing w:after="0"/>
              <w:rPr>
                <w:sz w:val="22"/>
                <w:szCs w:val="22"/>
                <w:color w:val="auto"/>
              </w:rPr>
            </w:pPr>
          </w:p>
        </w:tc>
        <w:tc>
          <w:tcPr>
            <w:tcW w:w="5700" w:type="dxa"/>
            <w:vAlign w:val="bottom"/>
            <w:tcBorders>
              <w:top w:val="single" w:sz="8" w:color="auto"/>
              <w:right w:val="single" w:sz="8" w:color="auto"/>
            </w:tcBorders>
            <w:shd w:val="clear" w:color="auto" w:fill="FCFF58"/>
          </w:tcPr>
          <w:p>
            <w:pPr>
              <w:spacing w:after="0"/>
              <w:rPr>
                <w:sz w:val="22"/>
                <w:szCs w:val="22"/>
                <w:color w:val="auto"/>
              </w:rPr>
            </w:pPr>
          </w:p>
        </w:tc>
        <w:tc>
          <w:tcPr>
            <w:tcW w:w="1640" w:type="dxa"/>
            <w:vAlign w:val="bottom"/>
            <w:tcBorders>
              <w:top w:val="single" w:sz="8" w:color="auto"/>
              <w:right w:val="single" w:sz="8" w:color="auto"/>
            </w:tcBorders>
            <w:shd w:val="clear" w:color="auto" w:fill="FCFF58"/>
          </w:tcPr>
          <w:p>
            <w:pPr>
              <w:ind w:left="460"/>
              <w:spacing w:after="0"/>
              <w:rPr>
                <w:sz w:val="20"/>
                <w:szCs w:val="20"/>
                <w:color w:val="auto"/>
              </w:rPr>
            </w:pPr>
            <w:r>
              <w:rPr>
                <w:rFonts w:ascii="Arial" w:cs="Arial" w:eastAsia="Arial" w:hAnsi="Arial"/>
                <w:sz w:val="22"/>
                <w:szCs w:val="22"/>
                <w:b w:val="1"/>
                <w:bCs w:val="1"/>
                <w:color w:val="333333"/>
              </w:rPr>
              <w:t>Smelter</w:t>
            </w:r>
          </w:p>
        </w:tc>
      </w:tr>
      <w:tr>
        <w:trPr>
          <w:trHeight w:val="291"/>
        </w:trPr>
        <w:tc>
          <w:tcPr>
            <w:tcW w:w="1060" w:type="dxa"/>
            <w:vAlign w:val="bottom"/>
            <w:tcBorders>
              <w:left w:val="single" w:sz="8" w:color="auto"/>
              <w:bottom w:val="single" w:sz="8" w:color="auto"/>
              <w:right w:val="single" w:sz="8" w:color="auto"/>
            </w:tcBorders>
            <w:shd w:val="clear" w:color="auto" w:fill="FCFF58"/>
          </w:tcPr>
          <w:p>
            <w:pPr>
              <w:ind w:left="260"/>
              <w:spacing w:after="0"/>
              <w:rPr>
                <w:sz w:val="20"/>
                <w:szCs w:val="20"/>
                <w:color w:val="auto"/>
              </w:rPr>
            </w:pPr>
            <w:r>
              <w:rPr>
                <w:rFonts w:ascii="Arial" w:cs="Arial" w:eastAsia="Arial" w:hAnsi="Arial"/>
                <w:sz w:val="22"/>
                <w:szCs w:val="22"/>
                <w:b w:val="1"/>
                <w:bCs w:val="1"/>
                <w:color w:val="333333"/>
              </w:rPr>
              <w:t>Metal</w:t>
            </w:r>
          </w:p>
        </w:tc>
        <w:tc>
          <w:tcPr>
            <w:tcW w:w="5700" w:type="dxa"/>
            <w:vAlign w:val="bottom"/>
            <w:tcBorders>
              <w:bottom w:val="single" w:sz="8" w:color="auto"/>
              <w:right w:val="single" w:sz="8" w:color="auto"/>
            </w:tcBorders>
            <w:shd w:val="clear" w:color="auto" w:fill="FCFF58"/>
          </w:tcPr>
          <w:p>
            <w:pPr>
              <w:ind w:left="1720"/>
              <w:spacing w:after="0"/>
              <w:rPr>
                <w:sz w:val="20"/>
                <w:szCs w:val="20"/>
                <w:color w:val="auto"/>
              </w:rPr>
            </w:pPr>
            <w:r>
              <w:rPr>
                <w:rFonts w:ascii="Arial" w:cs="Arial" w:eastAsia="Arial" w:hAnsi="Arial"/>
                <w:sz w:val="22"/>
                <w:szCs w:val="22"/>
                <w:b w:val="1"/>
                <w:bCs w:val="1"/>
                <w:color w:val="333333"/>
              </w:rPr>
              <w:t>Standard Smelter Name</w:t>
            </w:r>
          </w:p>
        </w:tc>
        <w:tc>
          <w:tcPr>
            <w:tcW w:w="1640" w:type="dxa"/>
            <w:vAlign w:val="bottom"/>
            <w:tcBorders>
              <w:bottom w:val="single" w:sz="8" w:color="auto"/>
              <w:right w:val="single" w:sz="8" w:color="auto"/>
            </w:tcBorders>
            <w:shd w:val="clear" w:color="auto" w:fill="FCFF58"/>
          </w:tcPr>
          <w:p>
            <w:pPr>
              <w:ind w:left="180"/>
              <w:spacing w:after="0"/>
              <w:rPr>
                <w:sz w:val="20"/>
                <w:szCs w:val="20"/>
                <w:color w:val="auto"/>
              </w:rPr>
            </w:pPr>
            <w:r>
              <w:rPr>
                <w:rFonts w:ascii="Arial" w:cs="Arial" w:eastAsia="Arial" w:hAnsi="Arial"/>
                <w:sz w:val="22"/>
                <w:szCs w:val="22"/>
                <w:b w:val="1"/>
                <w:bCs w:val="1"/>
                <w:color w:val="333333"/>
              </w:rPr>
              <w:t>Identification</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A.L.M.T. Corp.</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CID000007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Asaka Riken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CID000092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 Block Metals, LLC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Exotech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CID000456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F&amp;X Electro-Materials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CID000460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FIR Metals &amp; Resource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Advanced Metals</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CID000564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Advanced Metals Aizu</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Advanced Metals Boyertown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Rising Rare Metals-EO Materials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CID000291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Zhiyuan New Material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CID000616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GmbH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CID000654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Hermsdorf GmbH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Smelting GmbH &amp; Co. KG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Tantalum and Niobium GmbH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Hengyang King Xing Lifeng New Materials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CID002492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Dinghai Tantalum &amp; Niobium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Tuohong New Raw Material</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Janny New Material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CID003191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JinXin Nonferrous Metals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CID000914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Tanbre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CID000917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Zhongao Tantalum &amp; Niobium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KEMET Blue Metals</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CID002539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LSM Brasil 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CID001076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Metallurgical Products India Pvt.,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CID001163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Mineracao Taboca 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CID001175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Mitsui Mining and Smelting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CID001192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Ningxia Orient Tantalum Industry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CID001277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NPM Silmet AS</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CID001200</w:t>
            </w:r>
          </w:p>
        </w:tc>
      </w:tr>
    </w:tbl>
    <w:p>
      <w:pPr>
        <w:sectPr>
          <w:pgSz w:w="11900" w:h="16838" w:orient="portrait"/>
          <w:cols w:equalWidth="0" w:num="1">
            <w:col w:w="11420"/>
          </w:cols>
          <w:pgMar w:left="240" w:top="895" w:right="239" w:bottom="1440" w:gutter="0" w:footer="0" w:header="0"/>
        </w:sectPr>
      </w:pPr>
    </w:p>
    <w:bookmarkStart w:id="9" w:name="page10"/>
    <w:bookmarkEnd w:id="9"/>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Plansee SE</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CID001368</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Power Resources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QuantumClean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Resind Industria e Comercio Ltda.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CID002707</w:t>
            </w:r>
          </w:p>
        </w:tc>
        <w:tc>
          <w:tcPr>
            <w:tcW w:w="0" w:type="dxa"/>
            <w:vAlign w:val="bottom"/>
          </w:tcPr>
          <w:p>
            <w:pPr>
              <w:spacing w:after="0"/>
              <w:rPr>
                <w:sz w:val="1"/>
                <w:szCs w:val="1"/>
                <w:color w:val="auto"/>
              </w:rPr>
            </w:pPr>
          </w:p>
        </w:tc>
      </w:tr>
      <w:tr>
        <w:trPr>
          <w:trHeight w:val="338"/>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RFH Tantalum Smeltery Co., Ltd./Yanling Jincheng</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CID001522</w:t>
            </w: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22"/>
                <w:szCs w:val="22"/>
                <w:b w:val="1"/>
                <w:bCs w:val="1"/>
                <w:color w:val="auto"/>
              </w:rPr>
              <w:t>Tantalum &amp; Niobium Co., Ltd.</w:t>
            </w: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Solikamsk Magnesium Works OAO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Taki Chemical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Telex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CID001891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Ulba Metallurgical Plant 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XinXing HaoRong Electronic Material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Alpha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CID000292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An Vinh Joint Stock Mineral Processing Company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Chenzhou Yunxiang Mining and Metallurgy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CID000228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Chifeng Dajingzi Tin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CID003190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China Tin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CID001070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Ayi Jaya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CID002570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Dua Sekawan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CID002592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Gita Pesona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CID000306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United Smelting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Venus Inti Perkasa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6"/>
              </w:rPr>
              <w:t>Dongguan CiEXPO Environmental Engineering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CID003356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Dowa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CID000402</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8"/>
              </w:rPr>
              <w:t>Electro-Mechanical Facility of the Cao Bang Minerals &amp;</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CID002572</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Metallurgy Joint Stock Company</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EM Vinto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CID000438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Fenix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Fengming Metallurgy Chemical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Kai Meng Industry and Trade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CID000942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Non-Ferrous Metal Processing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CID000538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Yunxin Nonferrous Electrolysis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Zili Mining And Metallurgy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Hanhe Non-Ferrous Metal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CID003116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Guanyang Guida Nonferrous Metal Smelting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HuiChang Hill Tin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Huichang Jinshunda Tin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New Nanshan Technology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CID001231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Yaosheng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Magnu's Minerais Metais e Ligas Ltda.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Malaysia Smelting Corporation (MSC)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CID001105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Melt Metais e Ligas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Metallo Belgium N.V.</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Metallo Spain S.L.U.</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Mineracao Taboca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CID001173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Minsur</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Mitsubishi Materials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CID001191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Modeltech Sdn Bhd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CID002858</w:t>
            </w:r>
          </w:p>
        </w:tc>
        <w:tc>
          <w:tcPr>
            <w:tcW w:w="0" w:type="dxa"/>
            <w:vAlign w:val="bottom"/>
          </w:tcPr>
          <w:p>
            <w:pPr>
              <w:spacing w:after="0"/>
              <w:rPr>
                <w:sz w:val="1"/>
                <w:szCs w:val="1"/>
                <w:color w:val="auto"/>
              </w:rPr>
            </w:pPr>
          </w:p>
        </w:tc>
      </w:tr>
    </w:tbl>
    <w:p>
      <w:pPr>
        <w:sectPr>
          <w:pgSz w:w="11900" w:h="16838" w:orient="portrait"/>
          <w:cols w:equalWidth="0" w:num="1">
            <w:col w:w="9019"/>
          </w:cols>
          <w:pgMar w:left="1440" w:top="734" w:right="1440" w:bottom="1076" w:gutter="0" w:footer="0" w:header="0"/>
        </w:sectPr>
      </w:pPr>
    </w:p>
    <w:bookmarkStart w:id="10" w:name="page11"/>
    <w:bookmarkEnd w:id="10"/>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304"/>
        </w:trPr>
        <w:tc>
          <w:tcPr>
            <w:tcW w:w="1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Ningxia Orient Tantalum Industry Co., Ltd.</w:t>
            </w:r>
          </w:p>
        </w:tc>
        <w:tc>
          <w:tcPr>
            <w:tcW w:w="1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CID001279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O.M. Manufacturing (Thailand)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CID001314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O.M. Manufacturing Philippines,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Operaciones Metalurgicas 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CID001337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Pongpipat Company Limited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CID003208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Aries Kencana Sejahtera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CID000309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Artha Cipta Langgeng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CID001399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ATD Makmur Mandiri Jaya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Babel Inti Perkasa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CID001402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Babel Surya Alam Lestari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CID001406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Bangka Prima Tin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Bangka Serumpun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CID003205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Bangka Tin Industry</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CID001419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Belitung Industri Sejahtera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CID001421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Bukit Timah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CID001428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DS Jaya Abadi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CID001434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Inti Stania Prima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CID002530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Karimun Mining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CID001448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Kijang Jaya Mandiri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CID002829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Menara Cipta Mulia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CID002835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Mitra Stania Prima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CID001453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Panca Mega Persada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CID001457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Premium Tin Indonesia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CID000313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Prima Timah Utama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CID001458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Rajawali Rimba Perkasa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CID003381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Rajehan Ariq</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CID002593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Refined Bangka Tin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CID001460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Sariwiguna Binasentosa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CID001463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Stanindo Inti Perkasa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CID001468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Sukses Inti Makmur</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CID002816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Sumber Jaya Indah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CID001471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Timah Tbk</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Timah Tbk Kundur</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CID001477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Timah Tbk Mentok</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CID001482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Tinindo Inter Nusa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CID001490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Tirus Putra Mandiri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CID002478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Tommy Utama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CID001493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Resind Industria e Comercio Ltda.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Rui Da Hung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CID001539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Soft Metais Ltda.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CID001758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Super Ligas</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CID002756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Tanaka Kikinzoku Kogyo K.K.</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CID001876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Thaisarco</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CID001898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Tin Technology &amp; Refining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CID003325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6"/>
              </w:rPr>
              <w:t>Tuyen Quang Non-Ferrous Metals Joint Stock Company</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CID002574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White Solder Metalurgia e Mineracao Ltda.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CID002036</w:t>
            </w:r>
          </w:p>
        </w:tc>
      </w:tr>
    </w:tbl>
    <w:p>
      <w:pPr>
        <w:sectPr>
          <w:pgSz w:w="11900" w:h="16838" w:orient="portrait"/>
          <w:cols w:equalWidth="0" w:num="1">
            <w:col w:w="9019"/>
          </w:cols>
          <w:pgMar w:left="1440" w:top="714" w:right="1440" w:bottom="1440" w:gutter="0" w:footer="0" w:header="0"/>
        </w:sectPr>
      </w:pPr>
    </w:p>
    <w:bookmarkStart w:id="11" w:name="page12"/>
    <w:bookmarkEnd w:id="11"/>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304"/>
        </w:trPr>
        <w:tc>
          <w:tcPr>
            <w:tcW w:w="1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Yunnan Chengfeng Non-ferrous Metals Co., Ltd.</w:t>
            </w:r>
          </w:p>
        </w:tc>
        <w:tc>
          <w:tcPr>
            <w:tcW w:w="1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Yunnan Tin Company Limited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CID002180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A.L.M.T.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CID000004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ACL Metais Eireli</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CID002833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Chenzhou Diamond Tungsten Products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China Minmetals Non-ferrous Metals Holding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CID000239</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2"/>
              </w:rPr>
              <w:t>China National Nonferrous Metals Imp. &amp; Exp. Jiangxi Co.,</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CID002864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Ltd.</w:t>
            </w:r>
          </w:p>
        </w:tc>
        <w:tc>
          <w:tcPr>
            <w:tcW w:w="1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Chongyi Zhangyuan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Fujian Jinxin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CID000499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Grand Sea W &amp; Mo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CID000524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Haichuang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Huaxing Tungsten Products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CID000875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Jiangwu Ferrotungsten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Seadragon W &amp; Mo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CID002494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Tungsten &amp; Powders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Xianglu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CID000218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Smelting GmbH &amp; Co. KG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Tungsten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Chenzhou Mining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Chuangda Vanadium Tungsten Co., Ltd. Wuji</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CID002579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Chunchang Nonferrous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Litian Tungsten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Hydrometallurg, 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Japan New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CID000825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Jiangwu H.C. Starck Tungsten Products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Dayu Longxintai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Gan Bei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CID002321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9"/>
              </w:rPr>
              <w:t>Jiangxi Minmetals Gao'an Non-ferrous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8"/>
              </w:rPr>
              <w:t>Jiangxi Rare Metals Tungsten Holdings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CID002648</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2"/>
              </w:rPr>
              <w:t>Jiangxi Tonggu Non-ferrous Metallurgical &amp; Chemical Co.,</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CID002318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Ltd.</w:t>
            </w:r>
          </w:p>
        </w:tc>
        <w:tc>
          <w:tcPr>
            <w:tcW w:w="1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Xinsheng Tungsten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Yaosheng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Kennametal Fallon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CID000966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Kennametal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Malipo Haiyu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Masan Tungsten Chemical LLC (MTC)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Moliren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Niagara Refining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Philippine Chuangxin Industrial Co.,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CID002827</w:t>
            </w:r>
          </w:p>
        </w:tc>
        <w:tc>
          <w:tcPr>
            <w:tcW w:w="0" w:type="dxa"/>
            <w:vAlign w:val="bottom"/>
          </w:tcPr>
          <w:p>
            <w:pPr>
              <w:spacing w:after="0"/>
              <w:rPr>
                <w:sz w:val="1"/>
                <w:szCs w:val="1"/>
                <w:color w:val="auto"/>
              </w:rPr>
            </w:pPr>
          </w:p>
        </w:tc>
      </w:tr>
      <w:tr>
        <w:trPr>
          <w:trHeight w:val="338"/>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South-East Nonferrous Metal Company Limited of</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CID002815</w:t>
            </w: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22"/>
                <w:szCs w:val="22"/>
                <w:b w:val="1"/>
                <w:bCs w:val="1"/>
                <w:color w:val="auto"/>
              </w:rPr>
              <w:t>Hengyang City</w:t>
            </w: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Tejing (Vietnam)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CID001889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Unecha Refractory metals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CID002724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Wolfram Bergbau und Hutten AG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CID002044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WOLFRAM Company CJSC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CID002047</w:t>
            </w:r>
          </w:p>
        </w:tc>
        <w:tc>
          <w:tcPr>
            <w:tcW w:w="0" w:type="dxa"/>
            <w:vAlign w:val="bottom"/>
          </w:tcPr>
          <w:p>
            <w:pPr>
              <w:spacing w:after="0"/>
              <w:rPr>
                <w:sz w:val="1"/>
                <w:szCs w:val="1"/>
                <w:color w:val="auto"/>
              </w:rPr>
            </w:pPr>
          </w:p>
        </w:tc>
      </w:tr>
    </w:tbl>
    <w:p>
      <w:pPr>
        <w:sectPr>
          <w:pgSz w:w="11900" w:h="16838" w:orient="portrait"/>
          <w:cols w:equalWidth="0" w:num="1">
            <w:col w:w="9019"/>
          </w:cols>
          <w:pgMar w:left="1440" w:top="714" w:right="1440" w:bottom="1130" w:gutter="0" w:footer="0" w:header="0"/>
        </w:sectPr>
      </w:pPr>
    </w:p>
    <w:bookmarkStart w:id="12" w:name="page13"/>
    <w:bookmarkEnd w:id="12"/>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304"/>
        </w:trPr>
        <w:tc>
          <w:tcPr>
            <w:tcW w:w="1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Woltech Korea Co., Ltd.</w:t>
            </w:r>
          </w:p>
        </w:tc>
        <w:tc>
          <w:tcPr>
            <w:tcW w:w="1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Xiamen Tungsten (H.C.)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CID002320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Xiamen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CID002082</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2"/>
              </w:rPr>
              <w:t>Xinfeng Huarui Tungsten &amp; Molybdenum New Material Co.,</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CID002830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Ltd.</w:t>
            </w:r>
          </w:p>
        </w:tc>
        <w:tc>
          <w:tcPr>
            <w:tcW w:w="1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Xinhai Rendan Shaoguan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CID002095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8853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Abington Reldan Metals,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Advanced Chemical Company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African Gold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CID003185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Aida Chemical Industries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 Etihad Gold Refinery DMCC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Allgemeine Gold-und Silberscheideanstalt A.G.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CID000035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Almalyk Mining and Metallurgical Complex (AMMC)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CID000041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AngloGold Ashanti Corrego do Sitio Mineracao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Argor-Heraeus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CID000077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Asahi Pretec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Asahi Refining Canada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Asahi Refining USA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Asaka Riken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CID000090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Atasay Kuyumculuk Sanayi Ve Ticaret 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CID000103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AU Traders and Refiners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Aurubis AG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CID000113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Bangalore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CID002863</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Bangko Sentral ng Pilipinas (Central Bank of the</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CID000128</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Philippines)</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Boliden AB</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CID000157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 Hafner GmbH + Co. KG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CID000176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Caridad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CID000180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CCR Refinery - Glencore Canada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CID000185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Cendres + Metaux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CID000189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Chimet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CID000233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Chugai Mining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CID000264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Daejin Indus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CID000328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Daye Non-Ferrous Metals Mining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CID000343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Degussa Sonne / Mond Goldhandel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DODUCO Contacts and Refining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Dowa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CID000401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DS PRETECH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CID003195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DSC (Do Sung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CID000359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Eco-System Recycling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CID000425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Emirates Gold DMCC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Fidelity Printers and Refiners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GCC Gujrat Gold Centre Pvt.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Geib Refining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CID002459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Gold Refinery of Zijin Mining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CID002243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Great Wall Precious Metals Co., Ltd. of CBPM</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CID001909</w:t>
            </w:r>
          </w:p>
        </w:tc>
        <w:tc>
          <w:tcPr>
            <w:tcW w:w="0" w:type="dxa"/>
            <w:vAlign w:val="bottom"/>
          </w:tcPr>
          <w:p>
            <w:pPr>
              <w:spacing w:after="0"/>
              <w:rPr>
                <w:sz w:val="1"/>
                <w:szCs w:val="1"/>
                <w:color w:val="auto"/>
              </w:rPr>
            </w:pPr>
          </w:p>
        </w:tc>
      </w:tr>
    </w:tbl>
    <w:p>
      <w:pPr>
        <w:sectPr>
          <w:pgSz w:w="11900" w:h="16838" w:orient="portrait"/>
          <w:cols w:equalWidth="0" w:num="1">
            <w:col w:w="9019"/>
          </w:cols>
          <w:pgMar w:left="1440" w:top="714" w:right="1440" w:bottom="1062" w:gutter="0" w:footer="0" w:header="0"/>
        </w:sectPr>
      </w:pPr>
    </w:p>
    <w:bookmarkStart w:id="13" w:name="page14"/>
    <w:bookmarkEnd w:id="13"/>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304"/>
        </w:trPr>
        <w:tc>
          <w:tcPr>
            <w:tcW w:w="1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Jinding Gold Limited</w:t>
            </w:r>
          </w:p>
        </w:tc>
        <w:tc>
          <w:tcPr>
            <w:tcW w:w="1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3"/>
              </w:rPr>
              <w:t>Guoda Safina High-Tech Environmental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CID000651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Hangzhou Fuchunjiang Smelting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CID000671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HeeSung Metal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CID000689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Heimerle + Meule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CID000694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Heraeus Metals Hong Kong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CID000707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Heraeus Precious Metals GmbH &amp; Co. KG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CID000711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Chenzhou Mining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Guiyang yinxing Nonferrous Smelting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CID000773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HwaSeong CJ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CID000778</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7"/>
              </w:rPr>
              <w:t>Inner Mongolia Qiankun Gold and Silver Refinery Share</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CID000801</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Co., Ltd.</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Ishifuku Metal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CID000807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Istanbul Gold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CID000814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Italpreziosi</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Japan Mint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CID000823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Copper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9"/>
              </w:rPr>
              <w:t>JSC Ekaterinburg Non-Ferrous Metal Processing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JSC Uralelectromed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JX Nippon Mining &amp;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CID000937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Kaloti Precious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Kazakhmys Smelting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Kazzinc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CID000957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Kennecott Utah Copper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KGHM Polska Miedz Spolka Akcyjna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Kojima Chemicals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CID000981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Korea Zinc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CID002605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Kyrgyzaltyn 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CID001029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Kyshtym Copper-Electrolytic Plant ZAO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L'azurde Company For Jewelry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CID001032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Lingbao Gold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Lingbao Jinyuan Tonghui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L'Orfebre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LS-NIKKO Copper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CID001078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Luoyang Zijin Yinhui Gold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CID001093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Marsam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CID002606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Materion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CID001113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Matsuda Sangyo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(Hong Kong)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CID001149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(Singapore) Pte.,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CID001152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(Suzhou)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CID001147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CID001153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USA Refining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CID001157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Metalurgica Met-Mex Penoles S.A. De C.V.</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CID001161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Mitsubishi Materials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CID001188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Mitsui Mining and Smelting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CID001193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MMTC-PAMP India Pvt.,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CID002509</w:t>
            </w:r>
          </w:p>
        </w:tc>
        <w:tc>
          <w:tcPr>
            <w:tcW w:w="0" w:type="dxa"/>
            <w:vAlign w:val="bottom"/>
          </w:tcPr>
          <w:p>
            <w:pPr>
              <w:spacing w:after="0"/>
              <w:rPr>
                <w:sz w:val="1"/>
                <w:szCs w:val="1"/>
                <w:color w:val="auto"/>
              </w:rPr>
            </w:pPr>
          </w:p>
        </w:tc>
      </w:tr>
    </w:tbl>
    <w:p>
      <w:pPr>
        <w:sectPr>
          <w:pgSz w:w="11900" w:h="16838" w:orient="portrait"/>
          <w:cols w:equalWidth="0" w:num="1">
            <w:col w:w="9019"/>
          </w:cols>
          <w:pgMar w:left="1440" w:top="714" w:right="1440" w:bottom="995" w:gutter="0" w:footer="0" w:header="0"/>
        </w:sectPr>
      </w:pPr>
    </w:p>
    <w:bookmarkStart w:id="14" w:name="page15"/>
    <w:bookmarkEnd w:id="14"/>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Modeltech Sdn Bhd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CID002857</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Morris and Watson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Morris and Watson Gold Coast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Moscow Special Alloys Processing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CID001204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Nadir Metal Rafineri San. Ve Tic. 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CID001220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Navoi Mining and Metallurgical Combinat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CID001236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NH Recytech Company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CID003189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Nihon Material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CID001259</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5"/>
              </w:rPr>
              <w:t>Ogussa Osterreichische Gold- und Silber-Scheideanstalt</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CID002779</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GmbH</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Ohura Precious Metal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CID001325</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OJSC "The Gulidov Krasnoyarsk Non-Ferrous Metals</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CID001326</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Plant" (OJSC Krastsvetmet)</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OJSC Novosibirsk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CID000493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PAMP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CID001352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Pease &amp; Curren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CID002872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Penglai Penggang Gold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Planta Recuperadora de Metales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CID002919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Prioksky Plant of Non-Ferrous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CID001386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Aneka Tambang (Persero) Tbk</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CID001397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PX Precinox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CID001498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QG Refining,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CID003324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Rand Refinery (Pty)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CID001512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Refinery of Seemine Gold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CID000522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REMONDIS PMR B.V.</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Royal Canadian Mint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CID001534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SAAMP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Sabin Metal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CID001546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Safimet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CID002973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SAFINA 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CID002290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Sai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Samduck Precious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Samwon Metals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SAXONIA Edelmetalle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SEMPSA Joyeria Plateria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CID001585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Shandong Humon Smelting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CID002525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5"/>
              </w:rPr>
              <w:t>Shandong Tiancheng Biological Gold Industrial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CID001619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Shandong Zhaojin Gold &amp; Silver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CID001622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Sichuan Tianze Precious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CID001736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Singway Technology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5"/>
              </w:rPr>
              <w:t>SOE Shyolkovsky Factory of Secondary Precious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Solar Applied Materials Technology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CID001761</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3"/>
              </w:rPr>
              <w:t>State Research Institute Center for Physical Sciences and</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CID003153</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Technology</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Sudan Gold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Sumitomo Metal Mining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CID001798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SungEel HiMetal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CID002918</w:t>
            </w:r>
          </w:p>
        </w:tc>
        <w:tc>
          <w:tcPr>
            <w:tcW w:w="0" w:type="dxa"/>
            <w:vAlign w:val="bottom"/>
          </w:tcPr>
          <w:p>
            <w:pPr>
              <w:spacing w:after="0"/>
              <w:rPr>
                <w:sz w:val="1"/>
                <w:szCs w:val="1"/>
                <w:color w:val="auto"/>
              </w:rPr>
            </w:pPr>
          </w:p>
        </w:tc>
      </w:tr>
    </w:tbl>
    <w:p>
      <w:pPr>
        <w:sectPr>
          <w:pgSz w:w="11900" w:h="16838" w:orient="portrait"/>
          <w:cols w:equalWidth="0" w:num="1">
            <w:col w:w="9019"/>
          </w:cols>
          <w:pgMar w:left="1440" w:top="734" w:right="1440" w:bottom="1143" w:gutter="0" w:footer="0" w:header="0"/>
        </w:sectPr>
      </w:pPr>
    </w:p>
    <w:bookmarkStart w:id="15" w:name="page16"/>
    <w:bookmarkEnd w:id="15"/>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T.C.A S.p.A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CID002580</w:t>
            </w: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Tanaka Kikinzoku Kogyo K.K.</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CID001875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The Refinery of Shandong Gold Mining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CID001916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Tokuriki Honten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CID001938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Tongling Nonferrous Metals Group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CID001947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Tony Goetz NV</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TOO Tau-Ken-Altyn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CID002615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Torecom</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CID001955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Umicore Brasil Ltda.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CID001977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Umicore Precious Metals Thailand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Umicore S.A. Business Unit Precious Metals Refining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CID001980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United Precious Metal Refining,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CID001993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Universal Precious Metals Refining Zambia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Valcambi 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CID002003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Western Australian Mint (T/a The Perth Mint)</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CID002030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WIELAND Edelmetalle GmbH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Yamakin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CID002100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Yokohama Metal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CID002129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Yunnan Copper Industry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CID000197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7"/>
              </w:rPr>
              <w:t>Zhongyuan Gold Smelter of Zhongjin Gold Corporation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CID002224</w:t>
            </w:r>
          </w:p>
        </w:tc>
      </w:tr>
    </w:tbl>
    <w:p>
      <w:pPr>
        <w:spacing w:after="0" w:line="1" w:lineRule="exact"/>
        <w:rPr>
          <w:sz w:val="20"/>
          <w:szCs w:val="20"/>
          <w:color w:val="auto"/>
        </w:rPr>
      </w:pPr>
    </w:p>
    <w:sectPr>
      <w:pgSz w:w="11900" w:h="16838" w:orient="portrait"/>
      <w:cols w:equalWidth="0" w:num="1">
        <w:col w:w="9019"/>
      </w:cols>
      <w:pgMar w:left="1440" w:top="7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61"/>
    </w:lvl>
  </w:abstractNum>
  <w:abstractNum w:abstractNumId="2">
    <w:nsid w:val="19495CFF"/>
    <w:multiLevelType w:val="hybridMultilevel"/>
    <w:lvl w:ilvl="0">
      <w:lvlJc w:val="left"/>
      <w:lvlText w:val="%1."/>
      <w:numFmt w:val="upperLetter"/>
      <w:start w:val="2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2019-12-02T03:32:30Z</dcterms:created>
  <dcterms:modified xsi:type="dcterms:W3CDTF">2019-12-02T03:32:30Z</dcterms:modified>
</cp:coreProperties>
</file>