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80" w:type="dxa"/>
            <w:vAlign w:val="bottom"/>
          </w:tcPr>
          <w:p>
            <w:pPr>
              <w:jc w:val="center"/>
              <w:ind w:right="3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5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380" w:type="dxa"/>
            <w:vAlign w:val="bottom"/>
            <w:vMerge w:val="restart"/>
          </w:tcPr>
          <w:p>
            <w:pPr>
              <w:jc w:val="center"/>
              <w:ind w:right="35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380" w:type="dxa"/>
            <w:vAlign w:val="bottom"/>
            <w:vMerge w:val="restart"/>
          </w:tcPr>
          <w:p>
            <w:pPr>
              <w:jc w:val="center"/>
              <w:ind w:right="3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5387975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13335</wp:posOffset>
            </wp:positionV>
            <wp:extent cx="7327265" cy="434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434149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600"/>
            <w:col w:w="87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4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6"/>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UAW Retiree Medical Benefits Trust</w:t>
              </w:r>
            </w:hyperlink>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gridSpan w:val="5"/>
          </w:tcPr>
          <w:p>
            <w:pPr>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General Motors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6"/>
            <w:vMerge w:val="continu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0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0000FF"/>
                <w:w w:val="93"/>
              </w:rPr>
              <w:t>X</w:t>
            </w: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6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Arial" w:cs="Arial" w:eastAsia="Arial" w:hAnsi="Arial"/>
                <w:sz w:val="16"/>
                <w:szCs w:val="16"/>
                <w:color w:val="0000FF"/>
              </w:rPr>
              <w:t>200 WALKER STREET</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5"/>
          </w:tcPr>
          <w:p>
            <w:pPr>
              <w:ind w:left="420"/>
              <w:spacing w:after="0"/>
              <w:rPr>
                <w:sz w:val="20"/>
                <w:szCs w:val="20"/>
                <w:color w:val="auto"/>
              </w:rPr>
            </w:pPr>
            <w:r>
              <w:rPr>
                <w:rFonts w:ascii="Arial" w:cs="Arial" w:eastAsia="Arial" w:hAnsi="Arial"/>
                <w:sz w:val="16"/>
                <w:szCs w:val="16"/>
                <w:color w:val="0000FF"/>
              </w:rPr>
              <w:t>11/23/2010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116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360" w:type="dxa"/>
            <w:vAlign w:val="bottom"/>
            <w:tcBorders>
              <w:bottom w:val="single" w:sz="8" w:color="808080"/>
            </w:tcBorders>
            <w:gridSpan w:val="2"/>
          </w:tcPr>
          <w:p>
            <w:pPr>
              <w:spacing w:after="0"/>
              <w:rPr>
                <w:sz w:val="21"/>
                <w:szCs w:val="21"/>
                <w:color w:val="auto"/>
              </w:rPr>
            </w:pPr>
          </w:p>
        </w:tc>
        <w:tc>
          <w:tcPr>
            <w:tcW w:w="200" w:type="dxa"/>
            <w:vAlign w:val="bottom"/>
            <w:tcBorders>
              <w:bottom w:val="single" w:sz="8" w:color="808080"/>
            </w:tcBorders>
            <w:gridSpan w:val="2"/>
          </w:tcPr>
          <w:p>
            <w:pPr>
              <w:spacing w:after="0"/>
              <w:rPr>
                <w:sz w:val="21"/>
                <w:szCs w:val="21"/>
                <w:color w:val="auto"/>
              </w:rPr>
            </w:pPr>
          </w:p>
        </w:tc>
        <w:tc>
          <w:tcPr>
            <w:tcW w:w="2000" w:type="dxa"/>
            <w:vAlign w:val="bottom"/>
            <w:tcBorders>
              <w:bottom w:val="single" w:sz="8" w:color="808080"/>
            </w:tcBorders>
            <w:gridSpan w:val="4"/>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3440" w:type="dxa"/>
            <w:vAlign w:val="bottom"/>
            <w:tcBorders>
              <w:bottom w:val="single" w:sz="8" w:color="808080"/>
            </w:tcBorders>
            <w:gridSpan w:val="6"/>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56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DETROIT</w:t>
            </w:r>
          </w:p>
        </w:tc>
        <w:tc>
          <w:tcPr>
            <w:tcW w:w="1160" w:type="dxa"/>
            <w:vAlign w:val="bottom"/>
          </w:tcPr>
          <w:p>
            <w:pPr>
              <w:spacing w:after="0"/>
              <w:rPr>
                <w:sz w:val="20"/>
                <w:szCs w:val="20"/>
                <w:color w:val="auto"/>
              </w:rPr>
            </w:pPr>
            <w:r>
              <w:rPr>
                <w:rFonts w:ascii="Arial" w:cs="Arial" w:eastAsia="Arial" w:hAnsi="Arial"/>
                <w:sz w:val="16"/>
                <w:szCs w:val="16"/>
                <w:color w:val="0000FF"/>
              </w:rPr>
              <w:t>MI</w:t>
            </w:r>
          </w:p>
        </w:tc>
        <w:tc>
          <w:tcPr>
            <w:tcW w:w="600" w:type="dxa"/>
            <w:vAlign w:val="bottom"/>
          </w:tcPr>
          <w:p>
            <w:pPr>
              <w:ind w:left="120"/>
              <w:spacing w:after="0"/>
              <w:rPr>
                <w:sz w:val="20"/>
                <w:szCs w:val="20"/>
                <w:color w:val="auto"/>
              </w:rPr>
            </w:pPr>
            <w:r>
              <w:rPr>
                <w:rFonts w:ascii="Arial" w:cs="Arial" w:eastAsia="Arial" w:hAnsi="Arial"/>
                <w:sz w:val="16"/>
                <w:szCs w:val="16"/>
                <w:color w:val="0000FF"/>
              </w:rPr>
              <w:t>48207</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Arial" w:cs="Arial" w:eastAsia="Arial" w:hAnsi="Arial"/>
                <w:sz w:val="16"/>
                <w:szCs w:val="16"/>
                <w:color w:val="0000FF"/>
              </w:rPr>
              <w:t>X</w:t>
            </w:r>
          </w:p>
        </w:tc>
        <w:tc>
          <w:tcPr>
            <w:tcW w:w="2220" w:type="dxa"/>
            <w:vAlign w:val="bottom"/>
            <w:gridSpan w:val="4"/>
          </w:tcPr>
          <w:p>
            <w:pPr>
              <w:ind w:left="120"/>
              <w:spacing w:after="0"/>
              <w:rPr>
                <w:sz w:val="20"/>
                <w:szCs w:val="20"/>
                <w:color w:val="auto"/>
              </w:rPr>
            </w:pPr>
            <w:r>
              <w:rPr>
                <w:rFonts w:ascii="Arial" w:cs="Arial" w:eastAsia="Arial" w:hAnsi="Arial"/>
                <w:sz w:val="13"/>
                <w:szCs w:val="13"/>
                <w:color w:val="auto"/>
                <w:w w:val="99"/>
              </w:rPr>
              <w:t>Form filed by One Reporting Person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40" w:type="dxa"/>
            <w:vAlign w:val="bottom"/>
            <w:gridSpan w:val="7"/>
          </w:tcPr>
          <w:p>
            <w:pPr>
              <w:ind w:left="12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tcPr>
          <w:p>
            <w:pPr>
              <w:spacing w:after="0"/>
              <w:rPr>
                <w:sz w:val="20"/>
                <w:szCs w:val="20"/>
                <w:color w:val="auto"/>
              </w:rPr>
            </w:pPr>
          </w:p>
        </w:tc>
        <w:tc>
          <w:tcPr>
            <w:tcW w:w="662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20" w:type="dxa"/>
            <w:vAlign w:val="bottom"/>
            <w:gridSpan w:val="6"/>
          </w:tcPr>
          <w:p>
            <w:pPr>
              <w:ind w:left="22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62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6"/>
          </w:tcPr>
          <w:p>
            <w:pPr>
              <w:ind w:left="22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11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7"/>
          </w:tcPr>
          <w:p>
            <w:pPr>
              <w:ind w:left="920"/>
              <w:spacing w:after="0"/>
              <w:rPr>
                <w:sz w:val="20"/>
                <w:szCs w:val="20"/>
                <w:color w:val="auto"/>
              </w:rPr>
            </w:pPr>
            <w:r>
              <w:rPr>
                <w:rFonts w:ascii="Arial" w:cs="Arial" w:eastAsia="Arial" w:hAnsi="Arial"/>
                <w:sz w:val="16"/>
                <w:szCs w:val="16"/>
                <w:color w:val="0000FF"/>
              </w:rPr>
              <w:t>11/23/2010</w:t>
            </w: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S</w:t>
            </w:r>
          </w:p>
        </w:tc>
        <w:tc>
          <w:tcPr>
            <w:tcW w:w="90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0000FF"/>
                <w:w w:val="86"/>
              </w:rPr>
              <w:t>89,000,000</w:t>
            </w:r>
            <w:r>
              <w:rPr>
                <w:rFonts w:ascii="Arial" w:cs="Arial" w:eastAsia="Arial" w:hAnsi="Arial"/>
                <w:sz w:val="21"/>
                <w:szCs w:val="21"/>
                <w:color w:val="008000"/>
                <w:w w:val="86"/>
                <w:vertAlign w:val="superscript"/>
              </w:rPr>
              <w:t>(2)</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32.7525</w:t>
            </w:r>
          </w:p>
        </w:tc>
        <w:tc>
          <w:tcPr>
            <w:tcW w:w="126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rPr>
              <w:t>173,500,000</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4" w:lineRule="exact"/>
              <w:rPr>
                <w:sz w:val="20"/>
                <w:szCs w:val="20"/>
                <w:color w:val="auto"/>
              </w:rPr>
            </w:pPr>
            <w:r>
              <w:rPr>
                <w:rFonts w:ascii="Arial" w:cs="Arial" w:eastAsia="Arial" w:hAnsi="Arial"/>
                <w:sz w:val="32"/>
                <w:szCs w:val="32"/>
                <w:color w:val="0000FF"/>
                <w:vertAlign w:val="subscript"/>
              </w:rPr>
              <w:t>D</w:t>
            </w:r>
            <w:r>
              <w:rPr>
                <w:rFonts w:ascii="Arial" w:cs="Arial" w:eastAsia="Arial" w:hAnsi="Arial"/>
                <w:sz w:val="11"/>
                <w:szCs w:val="11"/>
                <w:color w:val="008000"/>
              </w:rPr>
              <w:t>(3)</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160" w:type="dxa"/>
            <w:vAlign w:val="bottom"/>
            <w:tcBorders>
              <w:top w:val="single" w:sz="8" w:color="2C2C2C"/>
            </w:tcBorders>
          </w:tcPr>
          <w:p>
            <w:pPr>
              <w:spacing w:after="0"/>
              <w:rPr>
                <w:sz w:val="18"/>
                <w:szCs w:val="18"/>
                <w:color w:val="auto"/>
              </w:rPr>
            </w:pPr>
          </w:p>
        </w:tc>
        <w:tc>
          <w:tcPr>
            <w:tcW w:w="6620" w:type="dxa"/>
            <w:vAlign w:val="bottom"/>
            <w:tcBorders>
              <w:top w:val="single" w:sz="8" w:color="2C2C2C"/>
            </w:tcBorders>
            <w:gridSpan w:val="17"/>
          </w:tcPr>
          <w:p>
            <w:pPr>
              <w:jc w:val="center"/>
              <w:ind w:righ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40" w:type="dxa"/>
            <w:vAlign w:val="bottom"/>
            <w:gridSpan w:val="15"/>
          </w:tcPr>
          <w:p>
            <w:pPr>
              <w:jc w:val="center"/>
              <w:ind w:right="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  Date</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6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(Instr. 3, 4 and 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Following</w:t>
            </w:r>
          </w:p>
        </w:tc>
        <w:tc>
          <w:tcPr>
            <w:tcW w:w="1500" w:type="dxa"/>
            <w:vAlign w:val="bottom"/>
            <w:gridSpan w:val="4"/>
          </w:tcPr>
          <w:p>
            <w:pPr>
              <w:ind w:left="12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Call</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80" w:type="dxa"/>
            <w:vAlign w:val="bottom"/>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32.7525</w:t>
            </w:r>
          </w:p>
        </w:tc>
        <w:tc>
          <w:tcPr>
            <w:tcW w:w="1160" w:type="dxa"/>
            <w:vAlign w:val="bottom"/>
          </w:tcPr>
          <w:p>
            <w:pPr>
              <w:ind w:left="320"/>
              <w:spacing w:after="0"/>
              <w:rPr>
                <w:sz w:val="20"/>
                <w:szCs w:val="20"/>
                <w:color w:val="auto"/>
              </w:rPr>
            </w:pPr>
            <w:r>
              <w:rPr>
                <w:rFonts w:ascii="Arial" w:cs="Arial" w:eastAsia="Arial" w:hAnsi="Arial"/>
                <w:sz w:val="13"/>
                <w:szCs w:val="13"/>
                <w:color w:val="0000FF"/>
              </w:rPr>
              <w:t>11/23/2010</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4"/>
          </w:tcPr>
          <w:p>
            <w:pPr>
              <w:ind w:left="120"/>
              <w:spacing w:after="0"/>
              <w:rPr>
                <w:sz w:val="20"/>
                <w:szCs w:val="20"/>
                <w:color w:val="auto"/>
              </w:rPr>
            </w:pPr>
            <w:r>
              <w:rPr>
                <w:rFonts w:ascii="Arial" w:cs="Arial" w:eastAsia="Arial" w:hAnsi="Arial"/>
                <w:sz w:val="13"/>
                <w:szCs w:val="13"/>
                <w:color w:val="0000FF"/>
              </w:rPr>
              <w:t>S</w:t>
            </w:r>
          </w:p>
        </w:tc>
        <w:tc>
          <w:tcPr>
            <w:tcW w:w="1100" w:type="dxa"/>
            <w:vAlign w:val="bottom"/>
            <w:gridSpan w:val="2"/>
          </w:tcPr>
          <w:p>
            <w:pPr>
              <w:ind w:left="380"/>
              <w:spacing w:after="0" w:line="199" w:lineRule="exact"/>
              <w:rPr>
                <w:sz w:val="20"/>
                <w:szCs w:val="20"/>
                <w:color w:val="auto"/>
              </w:rPr>
            </w:pPr>
            <w:r>
              <w:rPr>
                <w:rFonts w:ascii="Arial" w:cs="Arial" w:eastAsia="Arial" w:hAnsi="Arial"/>
                <w:sz w:val="13"/>
                <w:szCs w:val="13"/>
                <w:color w:val="0000FF"/>
                <w:w w:val="85"/>
              </w:rPr>
              <w:t>13,350,000</w:t>
            </w:r>
            <w:r>
              <w:rPr>
                <w:rFonts w:ascii="Arial" w:cs="Arial" w:eastAsia="Arial" w:hAnsi="Arial"/>
                <w:sz w:val="21"/>
                <w:szCs w:val="21"/>
                <w:color w:val="008000"/>
                <w:w w:val="85"/>
                <w:vertAlign w:val="superscript"/>
              </w:rPr>
              <w:t>(2)</w:t>
            </w:r>
          </w:p>
        </w:tc>
        <w:tc>
          <w:tcPr>
            <w:tcW w:w="780" w:type="dxa"/>
            <w:vAlign w:val="bottom"/>
            <w:gridSpan w:val="2"/>
          </w:tcPr>
          <w:p>
            <w:pPr>
              <w:ind w:left="140"/>
              <w:spacing w:after="0"/>
              <w:rPr>
                <w:sz w:val="20"/>
                <w:szCs w:val="20"/>
                <w:color w:val="auto"/>
              </w:rPr>
            </w:pPr>
            <w:r>
              <w:rPr>
                <w:rFonts w:ascii="Arial" w:cs="Arial" w:eastAsia="Arial" w:hAnsi="Arial"/>
                <w:sz w:val="13"/>
                <w:szCs w:val="13"/>
                <w:color w:val="0000FF"/>
                <w:w w:val="95"/>
              </w:rPr>
              <w:t>11/17/2010</w:t>
            </w:r>
          </w:p>
        </w:tc>
        <w:tc>
          <w:tcPr>
            <w:tcW w:w="740" w:type="dxa"/>
            <w:vAlign w:val="bottom"/>
          </w:tcPr>
          <w:p>
            <w:pPr>
              <w:ind w:left="100"/>
              <w:spacing w:after="0"/>
              <w:rPr>
                <w:sz w:val="20"/>
                <w:szCs w:val="20"/>
                <w:color w:val="auto"/>
              </w:rPr>
            </w:pPr>
            <w:r>
              <w:rPr>
                <w:rFonts w:ascii="Arial" w:cs="Arial" w:eastAsia="Arial" w:hAnsi="Arial"/>
                <w:sz w:val="13"/>
                <w:szCs w:val="13"/>
                <w:color w:val="0000FF"/>
                <w:w w:val="95"/>
              </w:rPr>
              <w:t>12/17/2010</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860" w:type="dxa"/>
            <w:vAlign w:val="bottom"/>
            <w:gridSpan w:val="2"/>
          </w:tcPr>
          <w:p>
            <w:pPr>
              <w:jc w:val="right"/>
              <w:ind w:right="9"/>
              <w:spacing w:after="0"/>
              <w:rPr>
                <w:sz w:val="20"/>
                <w:szCs w:val="20"/>
                <w:color w:val="auto"/>
              </w:rPr>
            </w:pPr>
            <w:r>
              <w:rPr>
                <w:rFonts w:ascii="Arial" w:cs="Arial" w:eastAsia="Arial" w:hAnsi="Arial"/>
                <w:sz w:val="16"/>
                <w:szCs w:val="16"/>
                <w:color w:val="0000FF"/>
                <w:w w:val="94"/>
              </w:rPr>
              <w:t>13,350,000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60"/>
              <w:spacing w:after="0"/>
              <w:rPr>
                <w:sz w:val="20"/>
                <w:szCs w:val="20"/>
                <w:color w:val="auto"/>
              </w:rPr>
            </w:pPr>
            <w:r>
              <w:rPr>
                <w:rFonts w:ascii="Arial" w:cs="Arial" w:eastAsia="Arial" w:hAnsi="Arial"/>
                <w:sz w:val="13"/>
                <w:szCs w:val="13"/>
                <w:color w:val="0000FF"/>
              </w:rPr>
              <w:t>13,350,000</w:t>
            </w:r>
          </w:p>
        </w:tc>
        <w:tc>
          <w:tcPr>
            <w:tcW w:w="680" w:type="dxa"/>
            <w:vAlign w:val="bottom"/>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0" w:lineRule="exact"/>
              <w:rPr>
                <w:sz w:val="20"/>
                <w:szCs w:val="20"/>
                <w:color w:val="auto"/>
              </w:rPr>
            </w:pPr>
            <w:r>
              <w:rPr>
                <w:rFonts w:ascii="Arial" w:cs="Arial" w:eastAsia="Arial" w:hAnsi="Arial"/>
                <w:sz w:val="10"/>
                <w:szCs w:val="10"/>
                <w:color w:val="0000FF"/>
              </w:rPr>
              <w:t>(obligation</w:t>
            </w:r>
          </w:p>
        </w:tc>
        <w:tc>
          <w:tcPr>
            <w:tcW w:w="6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line="90" w:lineRule="exact"/>
              <w:rPr>
                <w:sz w:val="20"/>
                <w:szCs w:val="20"/>
                <w:color w:val="auto"/>
              </w:rPr>
            </w:pPr>
            <w:r>
              <w:rPr>
                <w:rFonts w:ascii="Arial" w:cs="Arial" w:eastAsia="Arial" w:hAnsi="Arial"/>
                <w:sz w:val="10"/>
                <w:szCs w:val="10"/>
                <w:color w:val="0000FF"/>
              </w:rPr>
              <w:t>Stock</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to sell)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300" w:hanging="1"/>
        <w:spacing w:after="0" w:line="262"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 2010, the common stock of the Issuer (the "Common Stock") split 3-for-1, resulting in the Reporting Person's ownership of 175,000,000 additional shares of Common Stock. This stock split has also resulted in an adjustment to the Reporting Person's previously reported warrants, exchangeable for Common Stock of the Issuer. The warrants are now exchangeable for an additional 30,303,030 shares of Common Stock, with an adjusted exercise price of $42.31. The stock split did not affect the Reporting Person's ownership of the Series A Preferred Stock of the Issuer.</w:t>
      </w:r>
    </w:p>
    <w:p>
      <w:pPr>
        <w:spacing w:after="0" w:line="17" w:lineRule="exact"/>
        <w:rPr>
          <w:rFonts w:ascii="Arial" w:cs="Arial" w:eastAsia="Arial" w:hAnsi="Arial"/>
          <w:sz w:val="12"/>
          <w:szCs w:val="12"/>
          <w:color w:val="008000"/>
        </w:rPr>
      </w:pPr>
    </w:p>
    <w:p>
      <w:pPr>
        <w:ind w:left="40" w:right="340" w:hanging="1"/>
        <w:spacing w:after="0" w:line="24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Transaction executed pursuant to the Underwriting Agreement, by and among the Issuer, the United States Department of the Treasury ("UST"), Canada Gen Investment Corporation, the Reporting Person, J.P. Morgan Securities LLC and Morgan Stanley &amp; Co. Incorporated, acting on behalf of themselves and several underwriters, dated as of November 17, 2010.</w:t>
      </w:r>
    </w:p>
    <w:p>
      <w:pPr>
        <w:spacing w:after="0" w:line="28" w:lineRule="exact"/>
        <w:rPr>
          <w:rFonts w:ascii="Arial" w:cs="Arial" w:eastAsia="Arial" w:hAnsi="Arial"/>
          <w:sz w:val="13"/>
          <w:szCs w:val="13"/>
          <w:color w:val="008000"/>
        </w:rPr>
      </w:pPr>
    </w:p>
    <w:p>
      <w:pPr>
        <w:ind w:left="40" w:right="180" w:hanging="1"/>
        <w:spacing w:after="0" w:line="284"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the Stockholders Agreement, by and among General Motors Company, UST, 7176384 Canada Inc., the Reporting Person and, solely for the purposes of Section 6.20 thereof, General Motors LLC, dated as of October 15, 2009, the Reporting Person has the right to designate one nominee to the Issuer's Board of Directors (which designation is subject to the consent of the International Union, United Automobile, Aerospace and Agricultural Implement Workers of America and, if the designated nominee is not independent within the meaning of NYSE rules, to the consent of the UST, which consent of the UST may not be unreasonably withheld) so long as the Reporting Person holds 50% of the shares of Common Stock it held as of July 10, 2009. The Reporting Person hereby disclaims beneficial ownership of any securities owned by its director nominee.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40" w:right="220"/>
        <w:spacing w:after="0" w:line="255" w:lineRule="auto"/>
        <w:rPr>
          <w:sz w:val="20"/>
          <w:szCs w:val="20"/>
          <w:color w:val="auto"/>
        </w:rPr>
      </w:pPr>
      <w:r>
        <w:rPr>
          <w:rFonts w:ascii="Arial" w:cs="Arial" w:eastAsia="Arial" w:hAnsi="Arial"/>
          <w:sz w:val="12"/>
          <w:szCs w:val="12"/>
          <w:color w:val="008000"/>
        </w:rPr>
        <w:t>Nell Hennessy is signing on behalf of the Reporting Person pursuant to the UAW Retiree Medical Benefits Trust Independent Fiduciary Agreement (Relating to General Motors Company) dated as of November 1, 2009, by and between the Reporting Person and Fiduciary Counselors Inc. The Reporting Person may be deemed to be a member of a "group" for purposes of Section 13 of the Securities Exchange Act of 1934, as amended. The Reporting Person disclaims beneficial ownership of any securities deemed to be owned by such group that are not directly owned by the Reporting Person. This report shall not be deemed an admission that the Reporting Person is a member of a group or the beneficial owner of any securities not directly owned by the Reporting Person.</w:t>
      </w:r>
    </w:p>
    <w:p>
      <w:pPr>
        <w:sectPr>
          <w:pgSz w:w="11900" w:h="16838" w:orient="portrait"/>
          <w:cols w:equalWidth="0" w:num="1">
            <w:col w:w="11520"/>
          </w:cols>
          <w:pgMar w:left="240" w:top="220" w:right="139" w:bottom="1440" w:gutter="0" w:footer="0" w:header="0"/>
          <w:type w:val="continuous"/>
        </w:sectPr>
      </w:pPr>
    </w:p>
    <w:p>
      <w:pPr>
        <w:spacing w:after="0" w:line="4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Nell Hennessy,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-5715</wp:posOffset>
            </wp:positionV>
            <wp:extent cx="1016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Executive Officer of Fiduciary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-9525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4"/>
          <w:szCs w:val="14"/>
          <w:color w:val="0000FF"/>
        </w:rPr>
        <w:t>Counselors Inc.,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4445</wp:posOffset>
            </wp:positionV>
            <wp:extent cx="1369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-9525</wp:posOffset>
            </wp:positionV>
            <wp:extent cx="729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52"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166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0000FF"/>
        </w:rPr>
        <w:t>11/24/2010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9020" w:space="140"/>
            <w:col w:w="2360"/>
          </w:cols>
          <w:pgMar w:left="240" w:top="220"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05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2019-12-17T04:53:30Z</dcterms:created>
  <dcterms:modified xsi:type="dcterms:W3CDTF">2019-12-17T04:53:30Z</dcterms:modified>
</cp:coreProperties>
</file>