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03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033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2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Reuss Mark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21"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51"/>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00" w:type="dxa"/>
            <w:vAlign w:val="bottom"/>
          </w:tcPr>
          <w:p>
            <w:pPr>
              <w:spacing w:after="0"/>
              <w:rPr>
                <w:sz w:val="11"/>
                <w:szCs w:val="11"/>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9"/>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gridSpan w:val="2"/>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6"/>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4,921</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0"/>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41,645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3,365</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38,280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1,556</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36,724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6,340</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0"/>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43,064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4,174</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34.25</w:t>
            </w:r>
            <w:r>
              <w:rPr>
                <w:rFonts w:ascii="Arial" w:cs="Arial" w:eastAsia="Arial" w:hAnsi="Arial"/>
                <w:sz w:val="22"/>
                <w:szCs w:val="22"/>
                <w:color w:val="008000"/>
                <w:w w:val="84"/>
                <w:vertAlign w:val="superscript"/>
              </w:rPr>
              <w:t>(2)</w:t>
            </w:r>
          </w:p>
        </w:tc>
        <w:tc>
          <w:tcPr>
            <w:tcW w:w="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38,890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2,166</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36,724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460" w:type="dxa"/>
            <w:vAlign w:val="bottom"/>
            <w:vMerge w:val="restart"/>
          </w:tcPr>
          <w:p>
            <w:pPr>
              <w:ind w:left="240"/>
              <w:spacing w:after="0"/>
              <w:rPr>
                <w:sz w:val="20"/>
                <w:szCs w:val="20"/>
                <w:color w:val="auto"/>
              </w:rPr>
            </w:pPr>
            <w:r>
              <w:rPr>
                <w:rFonts w:ascii="Arial" w:cs="Arial" w:eastAsia="Arial" w:hAnsi="Arial"/>
                <w:sz w:val="12"/>
                <w:szCs w:val="12"/>
                <w:color w:val="auto"/>
                <w:w w:val="80"/>
              </w:rPr>
              <w:t>$</w:t>
            </w:r>
            <w:r>
              <w:rPr>
                <w:rFonts w:ascii="Arial" w:cs="Arial" w:eastAsia="Arial" w:hAnsi="Arial"/>
                <w:sz w:val="13"/>
                <w:szCs w:val="13"/>
                <w:color w:val="0000FF"/>
                <w:w w:val="80"/>
              </w:rPr>
              <w:t>0.0</w:t>
            </w:r>
          </w:p>
        </w:tc>
        <w:tc>
          <w:tcPr>
            <w:tcW w:w="200" w:type="dxa"/>
            <w:vAlign w:val="bottom"/>
            <w:vMerge w:val="restart"/>
          </w:tcPr>
          <w:p>
            <w:pPr>
              <w:jc w:val="right"/>
              <w:ind w:right="4"/>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16"/>
                <w:szCs w:val="16"/>
                <w:color w:val="auto"/>
              </w:rPr>
            </w:pP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16"/>
                <w:szCs w:val="16"/>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4,921</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4,921</w:t>
            </w:r>
          </w:p>
        </w:tc>
        <w:tc>
          <w:tcPr>
            <w:tcW w:w="2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4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(2)</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0000FF"/>
              </w:rPr>
              <w:t>4,921</w:t>
            </w:r>
          </w:p>
        </w:tc>
        <w:tc>
          <w:tcPr>
            <w:tcW w:w="280" w:type="dxa"/>
            <w:vAlign w:val="bottom"/>
          </w:tcPr>
          <w:p>
            <w:pPr>
              <w:spacing w:after="0"/>
              <w:rPr>
                <w:sz w:val="16"/>
                <w:szCs w:val="16"/>
                <w:color w:val="auto"/>
              </w:rPr>
            </w:pPr>
          </w:p>
        </w:tc>
        <w:tc>
          <w:tcPr>
            <w:tcW w:w="700" w:type="dxa"/>
            <w:vAlign w:val="bottom"/>
            <w:vMerge w:val="restart"/>
          </w:tcPr>
          <w:p>
            <w:pPr>
              <w:jc w:val="right"/>
              <w:ind w:right="187"/>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7"/>
                <w:szCs w:val="7"/>
                <w:color w:val="0000FF"/>
                <w:vertAlign w:val="subscript"/>
              </w:rPr>
              <w:t>Stock</w:t>
            </w:r>
            <w:r>
              <w:rPr>
                <w:rFonts w:ascii="Arial" w:cs="Arial" w:eastAsia="Arial" w:hAnsi="Arial"/>
                <w:sz w:val="6"/>
                <w:szCs w:val="6"/>
                <w:color w:val="008000"/>
              </w:rPr>
              <w:t>(1)(2)</w:t>
            </w:r>
          </w:p>
        </w:tc>
        <w:tc>
          <w:tcPr>
            <w:tcW w:w="46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tcPr>
          <w:p>
            <w:pPr>
              <w:jc w:val="right"/>
              <w:ind w:right="171"/>
              <w:spacing w:after="0" w:line="68" w:lineRule="exact"/>
              <w:rPr>
                <w:sz w:val="20"/>
                <w:szCs w:val="20"/>
                <w:color w:val="auto"/>
              </w:rPr>
            </w:pPr>
            <w:r>
              <w:rPr>
                <w:rFonts w:ascii="Arial" w:cs="Arial" w:eastAsia="Arial" w:hAnsi="Arial"/>
                <w:sz w:val="7"/>
                <w:szCs w:val="7"/>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gridSpan w:val="2"/>
            <w:vMerge w:val="restart"/>
          </w:tcPr>
          <w:p>
            <w:pPr>
              <w:jc w:val="right"/>
              <w:ind w:right="4"/>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2"/>
                <w:szCs w:val="22"/>
                <w:color w:val="008000"/>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6,340</w:t>
            </w:r>
          </w:p>
        </w:tc>
        <w:tc>
          <w:tcPr>
            <w:tcW w:w="200" w:type="dxa"/>
            <w:vAlign w:val="bottom"/>
          </w:tcPr>
          <w:p>
            <w:pPr>
              <w:spacing w:after="0"/>
              <w:rPr>
                <w:sz w:val="16"/>
                <w:szCs w:val="16"/>
                <w:color w:val="auto"/>
              </w:rPr>
            </w:pPr>
          </w:p>
        </w:tc>
        <w:tc>
          <w:tcPr>
            <w:tcW w:w="600" w:type="dxa"/>
            <w:vAlign w:val="bottom"/>
            <w:gridSpan w:val="2"/>
            <w:vMerge w:val="restart"/>
          </w:tcPr>
          <w:p>
            <w:pPr>
              <w:jc w:val="right"/>
              <w:ind w:right="217"/>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6,340</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71"/>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2015 in cash, less a portion withheld for taxes.</w:t>
      </w: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to the New York Stock Exchange, on which it is listed, on the date of the transaction, which was $34.15.</w:t>
      </w:r>
    </w:p>
    <w:p>
      <w:pPr>
        <w:spacing w:after="0" w:line="8" w:lineRule="exact"/>
        <w:rPr>
          <w:rFonts w:ascii="Arial" w:cs="Arial" w:eastAsia="Arial" w:hAnsi="Arial"/>
          <w:sz w:val="12"/>
          <w:szCs w:val="12"/>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2012 pursuant to the GMSSP. The portion of this award currently payable was settled on December 31, 2015 in cash, less a portion withheld for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01/05/2016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2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1"/>
              </w:rPr>
              <w:t>Attorney-In-Fact for Mr. Reuss</w:t>
            </w:r>
          </w:p>
        </w:tc>
        <w:tc>
          <w:tcPr>
            <w:tcW w:w="6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4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40" w:type="dxa"/>
            <w:vAlign w:val="bottom"/>
          </w:tcPr>
          <w:p>
            <w:pPr>
              <w:spacing w:after="0"/>
              <w:rPr>
                <w:sz w:val="20"/>
                <w:szCs w:val="20"/>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2019-12-08T19:29:48Z</dcterms:created>
  <dcterms:modified xsi:type="dcterms:W3CDTF">2019-12-08T19:29:48Z</dcterms:modified>
</cp:coreProperties>
</file>