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199390</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305" w:lineRule="exact"/>
        <w:rPr>
          <w:sz w:val="24"/>
          <w:szCs w:val="24"/>
          <w:color w:val="auto"/>
        </w:rPr>
      </w:pPr>
    </w:p>
    <w:p>
      <w:pPr>
        <w:jc w:val="center"/>
        <w:ind w:right="-1165"/>
        <w:spacing w:after="0"/>
        <w:rPr>
          <w:sz w:val="20"/>
          <w:szCs w:val="20"/>
          <w:color w:val="auto"/>
        </w:rPr>
      </w:pPr>
      <w:r>
        <w:rPr>
          <w:rFonts w:ascii="Arial" w:cs="Arial" w:eastAsia="Arial" w:hAnsi="Arial"/>
          <w:sz w:val="28"/>
          <w:szCs w:val="28"/>
          <w:b w:val="1"/>
          <w:bCs w:val="1"/>
          <w:color w:val="auto"/>
        </w:rPr>
        <w:t>UNITED STATES</w:t>
      </w:r>
    </w:p>
    <w:p>
      <w:pPr>
        <w:spacing w:after="0" w:line="24" w:lineRule="exact"/>
        <w:rPr>
          <w:sz w:val="24"/>
          <w:szCs w:val="24"/>
          <w:color w:val="auto"/>
        </w:rPr>
      </w:pPr>
    </w:p>
    <w:p>
      <w:pPr>
        <w:jc w:val="center"/>
        <w:ind w:right="-1165"/>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1165"/>
        <w:spacing w:after="0"/>
        <w:rPr>
          <w:sz w:val="20"/>
          <w:szCs w:val="20"/>
          <w:color w:val="auto"/>
        </w:rPr>
      </w:pPr>
      <w:r>
        <w:rPr>
          <w:rFonts w:ascii="Arial" w:cs="Arial" w:eastAsia="Arial" w:hAnsi="Arial"/>
          <w:sz w:val="19"/>
          <w:szCs w:val="19"/>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94615</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75" w:lineRule="exact"/>
        <w:rPr>
          <w:sz w:val="24"/>
          <w:szCs w:val="24"/>
          <w:color w:val="auto"/>
        </w:rPr>
      </w:pPr>
    </w:p>
    <w:p>
      <w:pPr>
        <w:jc w:val="center"/>
        <w:ind w:right="-1165"/>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109855</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10" w:lineRule="exact"/>
        <w:rPr>
          <w:sz w:val="24"/>
          <w:szCs w:val="24"/>
          <w:color w:val="auto"/>
        </w:rPr>
      </w:pPr>
    </w:p>
    <w:p>
      <w:pPr>
        <w:jc w:val="center"/>
        <w:ind w:right="-1165"/>
        <w:spacing w:after="0"/>
        <w:rPr>
          <w:sz w:val="20"/>
          <w:szCs w:val="20"/>
          <w:color w:val="auto"/>
        </w:rPr>
      </w:pPr>
      <w:r>
        <w:rPr>
          <w:rFonts w:ascii="Arial" w:cs="Arial" w:eastAsia="Arial" w:hAnsi="Arial"/>
          <w:sz w:val="19"/>
          <w:szCs w:val="19"/>
          <w:b w:val="1"/>
          <w:bCs w:val="1"/>
          <w:color w:val="auto"/>
        </w:rPr>
        <w:t>CURRENT REPORT</w:t>
      </w:r>
    </w:p>
    <w:p>
      <w:pPr>
        <w:spacing w:after="0" w:line="8" w:lineRule="exact"/>
        <w:rPr>
          <w:sz w:val="24"/>
          <w:szCs w:val="24"/>
          <w:color w:val="auto"/>
        </w:rPr>
      </w:pPr>
    </w:p>
    <w:p>
      <w:pPr>
        <w:jc w:val="center"/>
        <w:ind w:right="-1165"/>
        <w:spacing w:after="0"/>
        <w:rPr>
          <w:sz w:val="20"/>
          <w:szCs w:val="20"/>
          <w:color w:val="auto"/>
        </w:rPr>
      </w:pPr>
      <w:r>
        <w:rPr>
          <w:rFonts w:ascii="Arial" w:cs="Arial" w:eastAsia="Arial" w:hAnsi="Arial"/>
          <w:sz w:val="19"/>
          <w:szCs w:val="19"/>
          <w:b w:val="1"/>
          <w:bCs w:val="1"/>
          <w:color w:val="auto"/>
        </w:rPr>
        <w:t>PURSUANT TO SECTION 13 OR 15(d)</w:t>
      </w:r>
    </w:p>
    <w:p>
      <w:pPr>
        <w:jc w:val="center"/>
        <w:ind w:right="-1165"/>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26" w:lineRule="exact"/>
        <w:rPr>
          <w:sz w:val="24"/>
          <w:szCs w:val="24"/>
          <w:color w:val="auto"/>
        </w:rPr>
      </w:pPr>
    </w:p>
    <w:p>
      <w:pPr>
        <w:ind w:left="3526"/>
        <w:spacing w:after="0"/>
        <w:rPr>
          <w:sz w:val="20"/>
          <w:szCs w:val="20"/>
          <w:color w:val="auto"/>
        </w:rPr>
      </w:pPr>
      <w:r>
        <w:rPr>
          <w:rFonts w:ascii="Arial" w:cs="Arial" w:eastAsia="Arial" w:hAnsi="Arial"/>
          <w:sz w:val="15"/>
          <w:szCs w:val="15"/>
          <w:b w:val="1"/>
          <w:bCs w:val="1"/>
          <w:color w:val="auto"/>
        </w:rPr>
        <w:t>Date of Report (Date of earliest event reported) November 16,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106680</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92" w:lineRule="exact"/>
        <w:rPr>
          <w:sz w:val="24"/>
          <w:szCs w:val="24"/>
          <w:color w:val="auto"/>
        </w:rPr>
      </w:pPr>
    </w:p>
    <w:p>
      <w:pPr>
        <w:jc w:val="center"/>
        <w:ind w:right="-1165"/>
        <w:spacing w:after="0"/>
        <w:rPr>
          <w:sz w:val="20"/>
          <w:szCs w:val="20"/>
          <w:color w:val="auto"/>
        </w:rPr>
      </w:pPr>
      <w:r>
        <w:rPr>
          <w:rFonts w:ascii="Arial" w:cs="Arial" w:eastAsia="Arial" w:hAnsi="Arial"/>
          <w:sz w:val="38"/>
          <w:szCs w:val="38"/>
          <w:b w:val="1"/>
          <w:bCs w:val="1"/>
          <w:color w:val="auto"/>
        </w:rPr>
        <w:t>GENERAL MOTORS COMPANY</w:t>
      </w:r>
    </w:p>
    <w:p>
      <w:pPr>
        <w:spacing w:after="0" w:line="41" w:lineRule="exact"/>
        <w:rPr>
          <w:sz w:val="24"/>
          <w:szCs w:val="24"/>
          <w:color w:val="auto"/>
        </w:rPr>
      </w:pPr>
    </w:p>
    <w:p>
      <w:pPr>
        <w:ind w:left="3986"/>
        <w:spacing w:after="0"/>
        <w:rPr>
          <w:sz w:val="20"/>
          <w:szCs w:val="20"/>
          <w:color w:val="auto"/>
        </w:rPr>
      </w:pPr>
      <w:r>
        <w:rPr>
          <w:rFonts w:ascii="Arial" w:cs="Arial" w:eastAsia="Arial" w:hAnsi="Arial"/>
          <w:sz w:val="15"/>
          <w:szCs w:val="15"/>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104140</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ectPr>
          <w:pgSz w:w="11900" w:h="16838" w:orient="portrait"/>
          <w:cols w:equalWidth="0" w:num="1">
            <w:col w:w="10286"/>
          </w:cols>
          <w:pgMar w:left="234" w:top="218" w:right="1379" w:bottom="1440" w:gutter="0" w:footer="0" w:header="0"/>
        </w:sectPr>
      </w:pPr>
    </w:p>
    <w:p>
      <w:pPr>
        <w:spacing w:after="0" w:line="258" w:lineRule="exact"/>
        <w:rPr>
          <w:sz w:val="24"/>
          <w:szCs w:val="24"/>
          <w:color w:val="auto"/>
        </w:rPr>
      </w:pPr>
    </w:p>
    <w:p>
      <w:pPr>
        <w:ind w:left="1586"/>
        <w:spacing w:after="0"/>
        <w:rPr>
          <w:sz w:val="20"/>
          <w:szCs w:val="20"/>
          <w:color w:val="auto"/>
        </w:rPr>
      </w:pPr>
      <w:r>
        <w:rPr>
          <w:rFonts w:ascii="Arial" w:cs="Arial" w:eastAsia="Arial" w:hAnsi="Arial"/>
          <w:sz w:val="13"/>
          <w:szCs w:val="13"/>
          <w:b w:val="1"/>
          <w:bCs w:val="1"/>
          <w:color w:val="auto"/>
        </w:rPr>
        <w:t>333-160471</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27-0383222</w:t>
      </w:r>
    </w:p>
    <w:p>
      <w:pPr>
        <w:spacing w:after="0" w:line="48" w:lineRule="exact"/>
        <w:rPr>
          <w:sz w:val="24"/>
          <w:szCs w:val="24"/>
          <w:color w:val="auto"/>
        </w:rPr>
      </w:pPr>
    </w:p>
    <w:p>
      <w:pPr>
        <w:sectPr>
          <w:pgSz w:w="11900" w:h="16838" w:orient="portrait"/>
          <w:cols w:equalWidth="0" w:num="3">
            <w:col w:w="4686" w:space="720"/>
            <w:col w:w="3120" w:space="720"/>
            <w:col w:w="1040"/>
          </w:cols>
          <w:pgMar w:left="234" w:top="218" w:right="1379" w:bottom="1440" w:gutter="0" w:footer="0" w:header="0"/>
          <w:type w:val="continuous"/>
        </w:sectPr>
      </w:pPr>
    </w:p>
    <w:p>
      <w:pPr>
        <w:ind w:left="1266"/>
        <w:spacing w:after="0"/>
        <w:rPr>
          <w:sz w:val="20"/>
          <w:szCs w:val="20"/>
          <w:color w:val="auto"/>
        </w:rPr>
      </w:pPr>
      <w:r>
        <w:rPr>
          <w:rFonts w:ascii="Arial" w:cs="Arial" w:eastAsia="Arial" w:hAnsi="Arial"/>
          <w:sz w:val="9"/>
          <w:szCs w:val="9"/>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Arial" w:cs="Arial" w:eastAsia="Arial" w:hAnsi="Arial"/>
          <w:sz w:val="9"/>
          <w:szCs w:val="9"/>
          <w:b w:val="1"/>
          <w:bCs w:val="1"/>
          <w:color w:val="auto"/>
        </w:rPr>
        <w:t>(State or other jurisdiction</w:t>
      </w:r>
    </w:p>
    <w:p>
      <w:pPr>
        <w:spacing w:after="0" w:line="28" w:lineRule="exact"/>
        <w:rPr>
          <w:sz w:val="24"/>
          <w:szCs w:val="24"/>
          <w:color w:val="auto"/>
        </w:rPr>
      </w:pPr>
    </w:p>
    <w:p>
      <w:pPr>
        <w:jc w:val="center"/>
        <w:ind w:right="1920"/>
        <w:spacing w:after="0"/>
        <w:rPr>
          <w:sz w:val="20"/>
          <w:szCs w:val="20"/>
          <w:color w:val="auto"/>
        </w:rPr>
      </w:pPr>
      <w:r>
        <w:rPr>
          <w:rFonts w:ascii="Arial" w:cs="Arial" w:eastAsia="Arial" w:hAnsi="Arial"/>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1"/>
          <w:szCs w:val="11"/>
          <w:b w:val="1"/>
          <w:bCs w:val="1"/>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01" w:lineRule="exact"/>
        <w:rPr>
          <w:sz w:val="24"/>
          <w:szCs w:val="24"/>
          <w:color w:val="auto"/>
        </w:rPr>
      </w:pPr>
    </w:p>
    <w:p>
      <w:pPr>
        <w:sectPr>
          <w:pgSz w:w="11900" w:h="16838" w:orient="portrait"/>
          <w:cols w:equalWidth="0" w:num="3">
            <w:col w:w="4446" w:space="720"/>
            <w:col w:w="3260" w:space="720"/>
            <w:col w:w="1140"/>
          </w:cols>
          <w:pgMar w:left="234" w:top="218" w:right="1379" w:bottom="1440" w:gutter="0" w:footer="0" w:header="0"/>
          <w:type w:val="continuous"/>
        </w:sectPr>
      </w:pPr>
    </w:p>
    <w:p>
      <w:pPr>
        <w:ind w:left="1466"/>
        <w:spacing w:after="0"/>
        <w:rPr>
          <w:sz w:val="20"/>
          <w:szCs w:val="20"/>
          <w:color w:val="auto"/>
        </w:rPr>
      </w:pPr>
      <w:r>
        <w:rPr>
          <w:rFonts w:ascii="Arial" w:cs="Arial" w:eastAsia="Arial" w:hAnsi="Arial"/>
          <w:sz w:val="13"/>
          <w:szCs w:val="13"/>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48265-3000</w:t>
      </w:r>
    </w:p>
    <w:p>
      <w:pPr>
        <w:spacing w:after="0" w:line="49" w:lineRule="exact"/>
        <w:rPr>
          <w:sz w:val="24"/>
          <w:szCs w:val="24"/>
          <w:color w:val="auto"/>
        </w:rPr>
      </w:pPr>
    </w:p>
    <w:p>
      <w:pPr>
        <w:sectPr>
          <w:pgSz w:w="11900" w:h="16838" w:orient="portrait"/>
          <w:cols w:equalWidth="0" w:num="2">
            <w:col w:w="7606" w:space="720"/>
            <w:col w:w="1960"/>
          </w:cols>
          <w:pgMar w:left="234" w:top="218" w:right="1379" w:bottom="1440" w:gutter="0" w:footer="0" w:header="0"/>
          <w:type w:val="continuous"/>
        </w:sectPr>
      </w:pPr>
    </w:p>
    <w:p>
      <w:pPr>
        <w:ind w:left="1866"/>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(Zip Code)</w:t>
      </w:r>
    </w:p>
    <w:p>
      <w:pPr>
        <w:spacing w:after="0" w:line="157" w:lineRule="exact"/>
        <w:rPr>
          <w:sz w:val="24"/>
          <w:szCs w:val="24"/>
          <w:color w:val="auto"/>
        </w:rPr>
      </w:pPr>
    </w:p>
    <w:p>
      <w:pPr>
        <w:sectPr>
          <w:pgSz w:w="11900" w:h="16838" w:orient="portrait"/>
          <w:cols w:equalWidth="0" w:num="2">
            <w:col w:w="7706" w:space="720"/>
            <w:col w:w="1860"/>
          </w:cols>
          <w:pgMar w:left="234" w:top="218" w:right="1379" w:bottom="1440" w:gutter="0" w:footer="0" w:header="0"/>
          <w:type w:val="continuous"/>
        </w:sectPr>
      </w:pPr>
    </w:p>
    <w:p>
      <w:pPr>
        <w:jc w:val="center"/>
        <w:ind w:right="-1145"/>
        <w:spacing w:after="0"/>
        <w:rPr>
          <w:sz w:val="20"/>
          <w:szCs w:val="20"/>
          <w:color w:val="auto"/>
        </w:rPr>
      </w:pPr>
      <w:r>
        <w:rPr>
          <w:rFonts w:ascii="Arial" w:cs="Arial" w:eastAsia="Arial" w:hAnsi="Arial"/>
          <w:sz w:val="15"/>
          <w:szCs w:val="15"/>
          <w:b w:val="1"/>
          <w:bCs w:val="1"/>
          <w:color w:val="auto"/>
        </w:rPr>
        <w:t>(313) 556-5000</w:t>
      </w:r>
    </w:p>
    <w:p>
      <w:pPr>
        <w:spacing w:after="0" w:line="26" w:lineRule="exact"/>
        <w:rPr>
          <w:sz w:val="24"/>
          <w:szCs w:val="24"/>
          <w:color w:val="auto"/>
        </w:rPr>
      </w:pPr>
    </w:p>
    <w:p>
      <w:pPr>
        <w:jc w:val="center"/>
        <w:ind w:right="-1145"/>
        <w:spacing w:after="0"/>
        <w:rPr>
          <w:sz w:val="20"/>
          <w:szCs w:val="20"/>
          <w:color w:val="auto"/>
        </w:rPr>
      </w:pPr>
      <w:r>
        <w:rPr>
          <w:rFonts w:ascii="Arial" w:cs="Arial" w:eastAsia="Arial" w:hAnsi="Arial"/>
          <w:sz w:val="12"/>
          <w:szCs w:val="12"/>
          <w:b w:val="1"/>
          <w:bCs w:val="1"/>
          <w:color w:val="auto"/>
        </w:rPr>
        <w:t>(Company’s telephone number, including area code)</w:t>
      </w:r>
    </w:p>
    <w:p>
      <w:pPr>
        <w:spacing w:after="0" w:line="122" w:lineRule="exact"/>
        <w:rPr>
          <w:sz w:val="24"/>
          <w:szCs w:val="24"/>
          <w:color w:val="auto"/>
        </w:rPr>
      </w:pPr>
    </w:p>
    <w:p>
      <w:pPr>
        <w:jc w:val="center"/>
        <w:ind w:right="-1145"/>
        <w:spacing w:after="0"/>
        <w:rPr>
          <w:sz w:val="20"/>
          <w:szCs w:val="20"/>
          <w:color w:val="auto"/>
        </w:rPr>
      </w:pPr>
      <w:r>
        <w:rPr>
          <w:rFonts w:ascii="Arial" w:cs="Arial" w:eastAsia="Arial" w:hAnsi="Arial"/>
          <w:sz w:val="15"/>
          <w:szCs w:val="15"/>
          <w:b w:val="1"/>
          <w:bCs w:val="1"/>
          <w:color w:val="auto"/>
        </w:rPr>
        <w:t>Not Applicable</w:t>
      </w:r>
    </w:p>
    <w:p>
      <w:pPr>
        <w:spacing w:after="0" w:line="26" w:lineRule="exact"/>
        <w:rPr>
          <w:sz w:val="24"/>
          <w:szCs w:val="24"/>
          <w:color w:val="auto"/>
        </w:rPr>
      </w:pPr>
    </w:p>
    <w:p>
      <w:pPr>
        <w:ind w:left="416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84455</wp:posOffset>
            </wp:positionV>
            <wp:extent cx="153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189" w:lineRule="exact"/>
        <w:rPr>
          <w:sz w:val="24"/>
          <w:szCs w:val="24"/>
          <w:color w:val="auto"/>
        </w:rPr>
      </w:pPr>
    </w:p>
    <w:p>
      <w:pPr>
        <w:ind w:left="6"/>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company under any of the following provisions:</w:t>
      </w:r>
    </w:p>
    <w:p>
      <w:pPr>
        <w:spacing w:after="0" w:line="203"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(17-CFR 240.14a-12)</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91" w:lineRule="exact"/>
        <w:rPr>
          <w:rFonts w:ascii="MS PGothic" w:cs="MS PGothic" w:eastAsia="MS PGothic" w:hAnsi="MS PGothic"/>
          <w:sz w:val="15"/>
          <w:szCs w:val="15"/>
          <w:color w:val="auto"/>
        </w:rPr>
      </w:pPr>
    </w:p>
    <w:p>
      <w:pPr>
        <w:ind w:left="446" w:hanging="446"/>
        <w:spacing w:after="0"/>
        <w:tabs>
          <w:tab w:leader="none" w:pos="44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59055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wp:posOffset>
            </wp:positionV>
            <wp:extent cx="726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286"/>
          </w:cols>
          <w:pgMar w:left="234" w:top="218" w:right="137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490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192" w:lineRule="exact"/>
        <w:rPr>
          <w:sz w:val="20"/>
          <w:szCs w:val="20"/>
          <w:color w:val="auto"/>
        </w:rPr>
      </w:pPr>
    </w:p>
    <w:p>
      <w:pPr>
        <w:ind w:left="1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ITEM 2.02  </w:t>
      </w:r>
      <w:hyperlink w:anchor="page3">
        <w:r>
          <w:rPr>
            <w:rFonts w:ascii="Arial" w:cs="Arial" w:eastAsia="Arial" w:hAnsi="Arial"/>
            <w:sz w:val="15"/>
            <w:szCs w:val="15"/>
            <w:b w:val="1"/>
            <w:bCs w:val="1"/>
            <w:u w:val="single" w:color="auto"/>
            <w:color w:val="0000EE"/>
          </w:rPr>
          <w:t>RESULTS OF OPERATIONS AND FINANCIAL CONDITIONS</w:t>
        </w:r>
      </w:hyperlink>
    </w:p>
    <w:p>
      <w:pPr>
        <w:spacing w:after="0" w:line="26" w:lineRule="exact"/>
        <w:rPr>
          <w:sz w:val="20"/>
          <w:szCs w:val="20"/>
          <w:color w:val="auto"/>
        </w:rPr>
      </w:pPr>
    </w:p>
    <w:p>
      <w:pPr>
        <w:ind w:left="18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ITEM 9.01  </w:t>
      </w:r>
      <w:hyperlink w:anchor="page3">
        <w:r>
          <w:rPr>
            <w:rFonts w:ascii="Arial" w:cs="Arial" w:eastAsia="Arial" w:hAnsi="Arial"/>
            <w:sz w:val="15"/>
            <w:szCs w:val="15"/>
            <w:b w:val="1"/>
            <w:bCs w:val="1"/>
            <w:u w:val="single" w:color="auto"/>
            <w:color w:val="0000EE"/>
          </w:rPr>
          <w:t>FINANCIAL STATEMENTS AND EXHIBITS</w:t>
        </w:r>
      </w:hyperlink>
    </w:p>
    <w:p>
      <w:pPr>
        <w:spacing w:after="0" w:line="16" w:lineRule="exact"/>
        <w:rPr>
          <w:sz w:val="20"/>
          <w:szCs w:val="20"/>
          <w:color w:val="auto"/>
        </w:rPr>
      </w:pPr>
    </w:p>
    <w:p>
      <w:pPr>
        <w:spacing w:after="0"/>
        <w:rPr>
          <w:rFonts w:ascii="Arial" w:cs="Arial" w:eastAsia="Arial" w:hAnsi="Arial"/>
          <w:sz w:val="15"/>
          <w:szCs w:val="15"/>
          <w:b w:val="1"/>
          <w:bCs w:val="1"/>
          <w:u w:val="single" w:color="auto"/>
          <w:color w:val="0000EE"/>
        </w:rPr>
      </w:pPr>
      <w:hyperlink w:anchor="page4">
        <w:r>
          <w:rPr>
            <w:rFonts w:ascii="Arial" w:cs="Arial" w:eastAsia="Arial" w:hAnsi="Arial"/>
            <w:sz w:val="15"/>
            <w:szCs w:val="15"/>
            <w:b w:val="1"/>
            <w:bCs w:val="1"/>
            <w:u w:val="single" w:color="auto"/>
            <w:color w:val="0000EE"/>
          </w:rPr>
          <w:t>SIGNATURES</w:t>
        </w:r>
      </w:hyperlink>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INDEX TO EXHIBITS</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News Release Dated November 16, 2009 and Financial Statements</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Charts Furnished to Securities Analysts</w:t>
      </w:r>
    </w:p>
    <w:p>
      <w:pPr>
        <w:sectPr>
          <w:pgSz w:w="11900" w:h="16838" w:orient="portrait"/>
          <w:cols w:equalWidth="0" w:num="1">
            <w:col w:w="10219"/>
          </w:cols>
          <w:pgMar w:left="240" w:top="417"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5"/>
          <w:szCs w:val="15"/>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CONDITIONS</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On November 16, 2009, a news release was issued on the subject of third quarter 2009 consolidated managerial earnings for General Motors Company (GM). The news release did not include certain financial statements, related footnotes and certain other financial information that will be filed pursuant to an agreement with the Securities and Exchange Commission as part of GM’s Current Report on Form 8-K. The news release and financial statements are incorporated as Exhibit 99.1.</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Charts furnished to securities analysts in connection with GM’s third quarter 2009 managerial earnings release are attached as Exhibit 99.2.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80" w:type="dxa"/>
            <w:vAlign w:val="bottom"/>
            <w:gridSpan w:val="2"/>
          </w:tcPr>
          <w:p>
            <w:pPr>
              <w:spacing w:after="0"/>
              <w:rPr>
                <w:sz w:val="20"/>
                <w:szCs w:val="20"/>
                <w:color w:val="auto"/>
              </w:rPr>
            </w:pPr>
            <w:r>
              <w:rPr>
                <w:rFonts w:ascii="Arial" w:cs="Arial" w:eastAsia="Arial" w:hAnsi="Arial"/>
                <w:sz w:val="15"/>
                <w:szCs w:val="15"/>
                <w:b w:val="1"/>
                <w:bCs w:val="1"/>
                <w:color w:val="auto"/>
              </w:rPr>
              <w:t>ITEM 9.01</w:t>
            </w:r>
          </w:p>
        </w:tc>
        <w:tc>
          <w:tcPr>
            <w:tcW w:w="7020" w:type="dxa"/>
            <w:vAlign w:val="bottom"/>
            <w:gridSpan w:val="5"/>
          </w:tcPr>
          <w:p>
            <w:pPr>
              <w:ind w:left="140"/>
              <w:spacing w:after="0"/>
              <w:rPr>
                <w:sz w:val="20"/>
                <w:szCs w:val="20"/>
                <w:color w:val="auto"/>
              </w:rPr>
            </w:pPr>
            <w:r>
              <w:rPr>
                <w:rFonts w:ascii="Arial" w:cs="Arial" w:eastAsia="Arial" w:hAnsi="Arial"/>
                <w:sz w:val="15"/>
                <w:szCs w:val="15"/>
                <w:b w:val="1"/>
                <w:bCs w:val="1"/>
                <w:color w:val="auto"/>
              </w:rPr>
              <w:t>FINANCIAL STATEMENTS AND EXHIBITS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95"/>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5"/>
                <w:szCs w:val="15"/>
                <w:b w:val="1"/>
                <w:bCs w:val="1"/>
                <w:color w:val="auto"/>
              </w:rPr>
              <w:t>EXHIBITS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4"/>
        </w:trPr>
        <w:tc>
          <w:tcPr>
            <w:tcW w:w="880" w:type="dxa"/>
            <w:vAlign w:val="bottom"/>
            <w:gridSpan w:val="2"/>
          </w:tcPr>
          <w:p>
            <w:pPr>
              <w:spacing w:after="0"/>
              <w:rPr>
                <w:sz w:val="20"/>
                <w:szCs w:val="20"/>
                <w:color w:val="auto"/>
              </w:rPr>
            </w:pPr>
            <w:r>
              <w:rPr>
                <w:rFonts w:ascii="Arial" w:cs="Arial" w:eastAsia="Arial" w:hAnsi="Arial"/>
                <w:sz w:val="15"/>
                <w:szCs w:val="15"/>
                <w:color w:val="auto"/>
              </w:rPr>
              <w:t>Exhibits</w:t>
            </w:r>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Arial" w:cs="Arial" w:eastAsia="Arial" w:hAnsi="Arial"/>
                <w:sz w:val="15"/>
                <w:szCs w:val="15"/>
                <w:color w:val="auto"/>
              </w:rPr>
              <w:t>Description</w:t>
            </w:r>
          </w:p>
        </w:tc>
        <w:tc>
          <w:tcPr>
            <w:tcW w:w="1200" w:type="dxa"/>
            <w:vAlign w:val="bottom"/>
            <w:gridSpan w:val="2"/>
          </w:tcPr>
          <w:p>
            <w:pPr>
              <w:spacing w:after="0"/>
              <w:rPr>
                <w:sz w:val="20"/>
                <w:szCs w:val="20"/>
                <w:color w:val="auto"/>
              </w:rPr>
            </w:pPr>
            <w:r>
              <w:rPr>
                <w:rFonts w:ascii="Arial" w:cs="Arial" w:eastAsia="Arial" w:hAnsi="Arial"/>
                <w:sz w:val="15"/>
                <w:szCs w:val="15"/>
                <w:color w:val="auto"/>
              </w:rPr>
              <w:t>Method of Filing</w:t>
            </w: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0"/>
        </w:trPr>
        <w:tc>
          <w:tcPr>
            <w:tcW w:w="880" w:type="dxa"/>
            <w:vAlign w:val="bottom"/>
            <w:gridSpan w:val="2"/>
          </w:tcPr>
          <w:p>
            <w:pPr>
              <w:spacing w:after="0"/>
              <w:rPr>
                <w:sz w:val="20"/>
                <w:szCs w:val="20"/>
                <w:color w:val="auto"/>
              </w:rPr>
            </w:pPr>
            <w:r>
              <w:rPr>
                <w:rFonts w:ascii="Arial" w:cs="Arial" w:eastAsia="Arial" w:hAnsi="Arial"/>
                <w:sz w:val="15"/>
                <w:szCs w:val="15"/>
                <w:color w:val="auto"/>
              </w:rPr>
              <w:t>Exhibit 99.1</w:t>
            </w:r>
          </w:p>
        </w:tc>
        <w:tc>
          <w:tcPr>
            <w:tcW w:w="7020" w:type="dxa"/>
            <w:vAlign w:val="bottom"/>
            <w:gridSpan w:val="5"/>
          </w:tcPr>
          <w:p>
            <w:pPr>
              <w:ind w:left="3140"/>
              <w:spacing w:after="0"/>
              <w:rPr>
                <w:sz w:val="20"/>
                <w:szCs w:val="20"/>
                <w:color w:val="auto"/>
              </w:rPr>
            </w:pPr>
            <w:r>
              <w:rPr>
                <w:rFonts w:ascii="Arial" w:cs="Arial" w:eastAsia="Arial" w:hAnsi="Arial"/>
                <w:sz w:val="15"/>
                <w:szCs w:val="15"/>
                <w:color w:val="auto"/>
              </w:rPr>
              <w:t>News Release Dated November 16, 2009 and Financial</w:t>
            </w:r>
          </w:p>
        </w:tc>
        <w:tc>
          <w:tcPr>
            <w:tcW w:w="1200" w:type="dxa"/>
            <w:vAlign w:val="bottom"/>
            <w:gridSpan w:val="2"/>
          </w:tcPr>
          <w:p>
            <w:pPr>
              <w:spacing w:after="0"/>
              <w:rPr>
                <w:sz w:val="20"/>
                <w:szCs w:val="20"/>
                <w:color w:val="auto"/>
              </w:rPr>
            </w:pPr>
            <w:r>
              <w:rPr>
                <w:rFonts w:ascii="Arial" w:cs="Arial" w:eastAsia="Arial" w:hAnsi="Arial"/>
                <w:sz w:val="15"/>
                <w:szCs w:val="15"/>
                <w:color w:val="auto"/>
                <w:w w:val="91"/>
              </w:rPr>
              <w:t>Attached as Exhibit</w:t>
            </w:r>
          </w:p>
        </w:tc>
      </w:tr>
      <w:tr>
        <w:trPr>
          <w:trHeight w:val="194"/>
        </w:trPr>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20" w:type="dxa"/>
            <w:vAlign w:val="bottom"/>
            <w:gridSpan w:val="5"/>
          </w:tcPr>
          <w:p>
            <w:pPr>
              <w:ind w:left="3140"/>
              <w:spacing w:after="0"/>
              <w:rPr>
                <w:sz w:val="20"/>
                <w:szCs w:val="20"/>
                <w:color w:val="auto"/>
              </w:rPr>
            </w:pPr>
            <w:r>
              <w:rPr>
                <w:rFonts w:ascii="Arial" w:cs="Arial" w:eastAsia="Arial" w:hAnsi="Arial"/>
                <w:sz w:val="15"/>
                <w:szCs w:val="15"/>
                <w:color w:val="auto"/>
              </w:rPr>
              <w:t>Statements</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82"/>
        </w:trPr>
        <w:tc>
          <w:tcPr>
            <w:tcW w:w="880" w:type="dxa"/>
            <w:vAlign w:val="bottom"/>
            <w:gridSpan w:val="2"/>
          </w:tcPr>
          <w:p>
            <w:pPr>
              <w:spacing w:after="0"/>
              <w:rPr>
                <w:sz w:val="20"/>
                <w:szCs w:val="20"/>
                <w:color w:val="auto"/>
              </w:rPr>
            </w:pPr>
            <w:r>
              <w:rPr>
                <w:rFonts w:ascii="Arial" w:cs="Arial" w:eastAsia="Arial" w:hAnsi="Arial"/>
                <w:sz w:val="15"/>
                <w:szCs w:val="15"/>
                <w:color w:val="auto"/>
              </w:rPr>
              <w:t>Exhibit 99.2</w:t>
            </w:r>
          </w:p>
        </w:tc>
        <w:tc>
          <w:tcPr>
            <w:tcW w:w="7020" w:type="dxa"/>
            <w:vAlign w:val="bottom"/>
            <w:gridSpan w:val="5"/>
          </w:tcPr>
          <w:p>
            <w:pPr>
              <w:ind w:left="3140"/>
              <w:spacing w:after="0"/>
              <w:rPr>
                <w:sz w:val="20"/>
                <w:szCs w:val="20"/>
                <w:color w:val="auto"/>
              </w:rPr>
            </w:pPr>
            <w:r>
              <w:rPr>
                <w:rFonts w:ascii="Arial" w:cs="Arial" w:eastAsia="Arial" w:hAnsi="Arial"/>
                <w:sz w:val="15"/>
                <w:szCs w:val="15"/>
                <w:color w:val="auto"/>
              </w:rPr>
              <w:t>Charts Furnished to Securities Analysts</w:t>
            </w:r>
          </w:p>
        </w:tc>
        <w:tc>
          <w:tcPr>
            <w:tcW w:w="1200" w:type="dxa"/>
            <w:vAlign w:val="bottom"/>
            <w:gridSpan w:val="2"/>
          </w:tcPr>
          <w:p>
            <w:pPr>
              <w:spacing w:after="0"/>
              <w:rPr>
                <w:sz w:val="20"/>
                <w:szCs w:val="20"/>
                <w:color w:val="auto"/>
              </w:rPr>
            </w:pPr>
            <w:r>
              <w:rPr>
                <w:rFonts w:ascii="Arial" w:cs="Arial" w:eastAsia="Arial" w:hAnsi="Arial"/>
                <w:sz w:val="15"/>
                <w:szCs w:val="15"/>
                <w:color w:val="auto"/>
                <w:w w:val="91"/>
              </w:rPr>
              <w:t>Attached as Exhibit</w:t>
            </w:r>
          </w:p>
        </w:tc>
      </w:tr>
    </w:tbl>
    <w:p>
      <w:pPr>
        <w:sectPr>
          <w:pgSz w:w="11900" w:h="16838" w:orient="portrait"/>
          <w:cols w:equalWidth="0" w:num="1">
            <w:col w:w="11320"/>
          </w:cols>
          <w:pgMar w:left="240" w:top="417" w:right="3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center"/>
        <w:ind w:right="-299"/>
        <w:spacing w:after="0"/>
        <w:rPr>
          <w:sz w:val="20"/>
          <w:szCs w:val="20"/>
          <w:color w:val="auto"/>
        </w:rPr>
      </w:pPr>
      <w:r>
        <w:rPr>
          <w:rFonts w:ascii="Arial" w:cs="Arial" w:eastAsia="Arial" w:hAnsi="Arial"/>
          <w:sz w:val="15"/>
          <w:szCs w:val="15"/>
          <w:b w:val="1"/>
          <w:bCs w:val="1"/>
          <w:color w:val="auto"/>
        </w:rPr>
        <w:t>SIGNATURE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Pursuant to the requirements of the Securities Exchange Act of 1934, the Company has duly caused this report to be signed on its behalf by the undersigned hereunto duly authorized.</w:t>
      </w:r>
    </w:p>
    <w:p>
      <w:pPr>
        <w:spacing w:after="0" w:line="2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GENERAL MOTORS COMPANY</w:t>
      </w:r>
    </w:p>
    <w:p>
      <w:pPr>
        <w:spacing w:after="0" w:line="2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(Company)</w:t>
      </w:r>
    </w:p>
    <w:p>
      <w:pPr>
        <w:spacing w:after="0" w:line="209" w:lineRule="exact"/>
        <w:rPr>
          <w:sz w:val="20"/>
          <w:szCs w:val="20"/>
          <w:color w:val="auto"/>
        </w:rPr>
      </w:pPr>
    </w:p>
    <w:p>
      <w:pPr>
        <w:spacing w:after="0"/>
        <w:tabs>
          <w:tab w:leader="none" w:pos="5480" w:val="left"/>
          <w:tab w:leader="none" w:pos="7940" w:val="left"/>
          <w:tab w:leader="none" w:pos="8220" w:val="left"/>
        </w:tabs>
        <w:rPr>
          <w:sz w:val="20"/>
          <w:szCs w:val="20"/>
          <w:color w:val="auto"/>
        </w:rPr>
      </w:pPr>
      <w:r>
        <w:rPr>
          <w:rFonts w:ascii="Arial" w:cs="Arial" w:eastAsia="Arial" w:hAnsi="Arial"/>
          <w:sz w:val="15"/>
          <w:szCs w:val="15"/>
          <w:color w:val="auto"/>
        </w:rPr>
        <w:t>Date: November 19, 2009</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w:t>
      </w:r>
      <w:r>
        <w:rPr>
          <w:sz w:val="20"/>
          <w:szCs w:val="20"/>
          <w:color w:val="auto"/>
        </w:rPr>
        <w:tab/>
      </w:r>
      <w:r>
        <w:rPr>
          <w:rFonts w:ascii="Arial" w:cs="Arial" w:eastAsia="Arial" w:hAnsi="Arial"/>
          <w:sz w:val="14"/>
          <w:szCs w:val="14"/>
          <w:color w:val="auto"/>
        </w:rPr>
        <w:t>N</w:t>
      </w:r>
      <w:r>
        <w:rPr>
          <w:rFonts w:ascii="Arial" w:cs="Arial" w:eastAsia="Arial" w:hAnsi="Arial"/>
          <w:sz w:val="11"/>
          <w:szCs w:val="11"/>
          <w:color w:val="auto"/>
        </w:rPr>
        <w:t>ICK</w:t>
      </w:r>
      <w:r>
        <w:rPr>
          <w:rFonts w:ascii="Arial" w:cs="Arial" w:eastAsia="Arial" w:hAnsi="Arial"/>
          <w:sz w:val="14"/>
          <w:szCs w:val="14"/>
          <w:color w:val="auto"/>
        </w:rPr>
        <w:t xml:space="preserve"> S. C</w:t>
      </w:r>
      <w:r>
        <w:rPr>
          <w:rFonts w:ascii="Arial" w:cs="Arial" w:eastAsia="Arial" w:hAnsi="Arial"/>
          <w:sz w:val="11"/>
          <w:szCs w:val="11"/>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4118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11855" cy="7620"/>
                    </a:xfrm>
                    <a:prstGeom prst="rect">
                      <a:avLst/>
                    </a:prstGeom>
                    <a:noFill/>
                  </pic:spPr>
                </pic:pic>
              </a:graphicData>
            </a:graphic>
          </wp:anchor>
        </w:drawing>
      </w:r>
    </w:p>
    <w:p>
      <w:pPr>
        <w:spacing w:after="0" w:line="19" w:lineRule="exact"/>
        <w:rPr>
          <w:sz w:val="20"/>
          <w:szCs w:val="20"/>
          <w:color w:val="auto"/>
        </w:rPr>
      </w:pPr>
    </w:p>
    <w:p>
      <w:pPr>
        <w:jc w:val="center"/>
        <w:ind w:left="6060"/>
        <w:spacing w:after="0"/>
        <w:rPr>
          <w:sz w:val="20"/>
          <w:szCs w:val="20"/>
          <w:color w:val="auto"/>
        </w:rPr>
      </w:pPr>
      <w:r>
        <w:rPr>
          <w:rFonts w:ascii="Arial" w:cs="Arial" w:eastAsia="Arial" w:hAnsi="Arial"/>
          <w:sz w:val="12"/>
          <w:szCs w:val="12"/>
          <w:b w:val="1"/>
          <w:bCs w:val="1"/>
          <w:color w:val="auto"/>
        </w:rPr>
        <w:t>Nick S. Cyprus</w:t>
      </w:r>
    </w:p>
    <w:p>
      <w:pPr>
        <w:jc w:val="center"/>
        <w:ind w:left="6060"/>
        <w:spacing w:after="0"/>
        <w:rPr>
          <w:sz w:val="20"/>
          <w:szCs w:val="20"/>
          <w:color w:val="auto"/>
        </w:rPr>
      </w:pPr>
      <w:r>
        <w:rPr>
          <w:rFonts w:ascii="Arial" w:cs="Arial" w:eastAsia="Arial" w:hAnsi="Arial"/>
          <w:sz w:val="12"/>
          <w:szCs w:val="12"/>
          <w:b w:val="1"/>
          <w:bCs w:val="1"/>
          <w:color w:val="auto"/>
        </w:rPr>
        <w:t>Vice President, Controller and Chief Accounting Officer</w:t>
      </w:r>
    </w:p>
    <w:p>
      <w:pPr>
        <w:sectPr>
          <w:pgSz w:w="11900" w:h="16838" w:orient="portrait"/>
          <w:cols w:equalWidth="0" w:num="1">
            <w:col w:w="11120"/>
          </w:cols>
          <w:pgMar w:left="240" w:top="417" w:right="53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106680</wp:posOffset>
            </wp:positionV>
            <wp:extent cx="5375275" cy="828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75275" cy="82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
        <w:spacing w:after="0"/>
        <w:rPr>
          <w:sz w:val="20"/>
          <w:szCs w:val="20"/>
          <w:color w:val="auto"/>
        </w:rPr>
      </w:pPr>
      <w:r>
        <w:rPr>
          <w:rFonts w:ascii="Arial" w:cs="Arial" w:eastAsia="Arial" w:hAnsi="Arial"/>
          <w:sz w:val="15"/>
          <w:szCs w:val="15"/>
          <w:color w:val="auto"/>
        </w:rPr>
        <w:t>For Release November 16, 2009, 7:00 a.m. ET</w:t>
      </w:r>
    </w:p>
    <w:p>
      <w:pPr>
        <w:spacing w:after="0" w:line="294"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General Motors Announces the New Company’s</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July 10-September 30 Preliminary Managerial Results</w:t>
      </w:r>
    </w:p>
    <w:p>
      <w:pPr>
        <w:spacing w:after="0" w:line="186" w:lineRule="exact"/>
        <w:rPr>
          <w:sz w:val="20"/>
          <w:szCs w:val="20"/>
          <w:color w:val="auto"/>
        </w:rPr>
      </w:pPr>
    </w:p>
    <w:p>
      <w:pPr>
        <w:ind w:left="886" w:hanging="322"/>
        <w:spacing w:after="0"/>
        <w:tabs>
          <w:tab w:leader="none" w:pos="886"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Operating actions result in EBIT loss before special items of $261 million and managerial net loss of $1.2 billion</w:t>
      </w:r>
    </w:p>
    <w:p>
      <w:pPr>
        <w:spacing w:after="0" w:line="86" w:lineRule="exact"/>
        <w:rPr>
          <w:rFonts w:ascii="Arial" w:cs="Arial" w:eastAsia="Arial" w:hAnsi="Arial"/>
          <w:sz w:val="15"/>
          <w:szCs w:val="15"/>
          <w:b w:val="1"/>
          <w:bCs w:val="1"/>
          <w:i w:val="1"/>
          <w:iCs w:val="1"/>
          <w:color w:val="auto"/>
        </w:rPr>
      </w:pPr>
    </w:p>
    <w:p>
      <w:pPr>
        <w:ind w:left="886" w:hanging="322"/>
        <w:spacing w:after="0"/>
        <w:tabs>
          <w:tab w:leader="none" w:pos="886"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Continued progress on structural cost reductions</w:t>
      </w:r>
    </w:p>
    <w:p>
      <w:pPr>
        <w:spacing w:after="0" w:line="86" w:lineRule="exact"/>
        <w:rPr>
          <w:rFonts w:ascii="Arial" w:cs="Arial" w:eastAsia="Arial" w:hAnsi="Arial"/>
          <w:sz w:val="15"/>
          <w:szCs w:val="15"/>
          <w:b w:val="1"/>
          <w:bCs w:val="1"/>
          <w:i w:val="1"/>
          <w:iCs w:val="1"/>
          <w:color w:val="auto"/>
        </w:rPr>
      </w:pPr>
    </w:p>
    <w:p>
      <w:pPr>
        <w:ind w:left="886" w:hanging="322"/>
        <w:spacing w:after="0"/>
        <w:tabs>
          <w:tab w:leader="none" w:pos="886"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Healthier balance sheet with significantly lower debt</w:t>
      </w:r>
    </w:p>
    <w:p>
      <w:pPr>
        <w:spacing w:after="0" w:line="86" w:lineRule="exact"/>
        <w:rPr>
          <w:rFonts w:ascii="Arial" w:cs="Arial" w:eastAsia="Arial" w:hAnsi="Arial"/>
          <w:sz w:val="15"/>
          <w:szCs w:val="15"/>
          <w:b w:val="1"/>
          <w:bCs w:val="1"/>
          <w:i w:val="1"/>
          <w:iCs w:val="1"/>
          <w:color w:val="auto"/>
        </w:rPr>
      </w:pPr>
    </w:p>
    <w:p>
      <w:pPr>
        <w:ind w:left="886" w:right="120" w:hanging="322"/>
        <w:spacing w:after="0" w:line="291" w:lineRule="auto"/>
        <w:tabs>
          <w:tab w:leader="none" w:pos="886"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$3.3 billion positive managerial operating cash flow favorably impacted by working capital; $42.6 billion third quarter liquidity position expected to decline materially in the fourth quarter</w:t>
      </w:r>
    </w:p>
    <w:p>
      <w:pPr>
        <w:spacing w:after="0" w:line="28" w:lineRule="exact"/>
        <w:rPr>
          <w:rFonts w:ascii="Arial" w:cs="Arial" w:eastAsia="Arial" w:hAnsi="Arial"/>
          <w:sz w:val="15"/>
          <w:szCs w:val="15"/>
          <w:b w:val="1"/>
          <w:bCs w:val="1"/>
          <w:i w:val="1"/>
          <w:iCs w:val="1"/>
          <w:color w:val="auto"/>
        </w:rPr>
      </w:pPr>
    </w:p>
    <w:p>
      <w:pPr>
        <w:ind w:left="886" w:hanging="322"/>
        <w:spacing w:after="0"/>
        <w:tabs>
          <w:tab w:leader="none" w:pos="886" w:val="left"/>
        </w:tabs>
        <w:numPr>
          <w:ilvl w:val="0"/>
          <w:numId w:val="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Accelerated plan to repay U.S. and Canadian taxpayers; first $1.2 billion payment in December</w:t>
      </w:r>
    </w:p>
    <w:p>
      <w:pPr>
        <w:spacing w:after="0" w:line="157" w:lineRule="exact"/>
        <w:rPr>
          <w:sz w:val="20"/>
          <w:szCs w:val="20"/>
          <w:color w:val="auto"/>
        </w:rPr>
      </w:pPr>
    </w:p>
    <w:p>
      <w:pPr>
        <w:ind w:left="6" w:right="620"/>
        <w:spacing w:after="0" w:line="291" w:lineRule="auto"/>
        <w:rPr>
          <w:sz w:val="20"/>
          <w:szCs w:val="20"/>
          <w:color w:val="auto"/>
        </w:rPr>
      </w:pPr>
      <w:r>
        <w:rPr>
          <w:rFonts w:ascii="Arial" w:cs="Arial" w:eastAsia="Arial" w:hAnsi="Arial"/>
          <w:sz w:val="15"/>
          <w:szCs w:val="15"/>
          <w:color w:val="auto"/>
        </w:rPr>
        <w:t>DETROIT – General Motors Company (GM) released today preliminary non-GAAP managerial results</w:t>
      </w:r>
      <w:r>
        <w:rPr>
          <w:rFonts w:ascii="Arial" w:cs="Arial" w:eastAsia="Arial" w:hAnsi="Arial"/>
          <w:sz w:val="9"/>
          <w:szCs w:val="9"/>
          <w:color w:val="auto"/>
        </w:rPr>
        <w:t>1</w:t>
      </w:r>
      <w:r>
        <w:rPr>
          <w:rFonts w:ascii="Arial" w:cs="Arial" w:eastAsia="Arial" w:hAnsi="Arial"/>
          <w:sz w:val="15"/>
          <w:szCs w:val="15"/>
          <w:color w:val="auto"/>
        </w:rPr>
        <w:t xml:space="preserve"> for its first 83 days of operation, providing an initial look at its financial performance since it began operations as a new company on July 10, 2009.</w:t>
      </w:r>
    </w:p>
    <w:p>
      <w:pPr>
        <w:spacing w:after="0" w:line="134" w:lineRule="exact"/>
        <w:rPr>
          <w:sz w:val="20"/>
          <w:szCs w:val="20"/>
          <w:color w:val="auto"/>
        </w:rPr>
      </w:pPr>
    </w:p>
    <w:p>
      <w:pPr>
        <w:jc w:val="both"/>
        <w:ind w:left="6" w:right="20"/>
        <w:spacing w:after="0" w:line="276" w:lineRule="auto"/>
        <w:rPr>
          <w:sz w:val="20"/>
          <w:szCs w:val="20"/>
          <w:color w:val="auto"/>
        </w:rPr>
      </w:pPr>
      <w:r>
        <w:rPr>
          <w:rFonts w:ascii="Arial" w:cs="Arial" w:eastAsia="Arial" w:hAnsi="Arial"/>
          <w:sz w:val="15"/>
          <w:szCs w:val="15"/>
          <w:color w:val="auto"/>
        </w:rPr>
        <w:t>“We have significantly more work to do, but today’s results provide evidence of the solid foundation we’re building for the new GM. With a healthier balance sheet and a competitive cost structure, our focus is on driving top line performance. We’ll achieve that by winning customers over, one at a time, with vehicles that deliver performance and value,” said GM President and CEO Fritz Henderson.</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Preliminary Non-GAAP Managerial Results</w:t>
      </w:r>
    </w:p>
    <w:p>
      <w:pPr>
        <w:spacing w:after="0" w:line="183"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2"/>
                <w:szCs w:val="12"/>
                <w:b w:val="1"/>
                <w:bCs w:val="1"/>
                <w:color w:val="auto"/>
              </w:rPr>
              <w:t>“Old GM”</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GM</w:t>
            </w:r>
          </w:p>
        </w:tc>
        <w:tc>
          <w:tcPr>
            <w:tcW w:w="0" w:type="dxa"/>
            <w:vAlign w:val="bottom"/>
          </w:tcPr>
          <w:p>
            <w:pPr>
              <w:spacing w:after="0"/>
              <w:rPr>
                <w:sz w:val="1"/>
                <w:szCs w:val="1"/>
                <w:color w:val="auto"/>
              </w:rPr>
            </w:pPr>
          </w:p>
        </w:tc>
      </w:tr>
      <w:tr>
        <w:trPr>
          <w:trHeight w:val="140"/>
        </w:trPr>
        <w:tc>
          <w:tcPr>
            <w:tcW w:w="5980" w:type="dxa"/>
            <w:vAlign w:val="bottom"/>
            <w:gridSpan w:val="2"/>
          </w:tcPr>
          <w:p>
            <w:pPr>
              <w:spacing w:after="0"/>
              <w:rPr>
                <w:sz w:val="20"/>
                <w:szCs w:val="20"/>
                <w:color w:val="auto"/>
              </w:rPr>
            </w:pPr>
            <w:r>
              <w:rPr>
                <w:rFonts w:ascii="Arial" w:cs="Arial" w:eastAsia="Arial" w:hAnsi="Arial"/>
                <w:sz w:val="12"/>
                <w:szCs w:val="12"/>
                <w:b w:val="1"/>
                <w:bCs w:val="1"/>
                <w:color w:val="auto"/>
              </w:rPr>
              <w:t>($mils)</w:t>
            </w:r>
          </w:p>
        </w:tc>
        <w:tc>
          <w:tcPr>
            <w:tcW w:w="2300" w:type="dxa"/>
            <w:vAlign w:val="bottom"/>
          </w:tcPr>
          <w:p>
            <w:pPr>
              <w:spacing w:after="0"/>
              <w:rPr>
                <w:sz w:val="12"/>
                <w:szCs w:val="12"/>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7"/>
              </w:rPr>
              <w:t>July 1-July 9, 2009</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7"/>
              </w:rPr>
              <w:t>July 10-Sept. 30,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Net revenue</w:t>
            </w:r>
          </w:p>
        </w:tc>
        <w:tc>
          <w:tcPr>
            <w:tcW w:w="2440" w:type="dxa"/>
            <w:vAlign w:val="bottom"/>
            <w:gridSpan w:val="2"/>
            <w:shd w:val="clear" w:color="auto" w:fill="CCEEFF"/>
          </w:tcPr>
          <w:p>
            <w:pPr>
              <w:ind w:left="230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1,637</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5"/>
                <w:szCs w:val="15"/>
                <w:color w:val="auto"/>
              </w:rPr>
              <w:t xml:space="preserve">Earnings before interest and taxes </w:t>
            </w:r>
            <w:r>
              <w:rPr>
                <w:rFonts w:ascii="Arial" w:cs="Arial" w:eastAsia="Arial" w:hAnsi="Arial"/>
                <w:sz w:val="15"/>
                <w:szCs w:val="15"/>
                <w:i w:val="1"/>
                <w:iCs w:val="1"/>
                <w:color w:val="auto"/>
              </w:rPr>
              <w:t>(before special items)</w:t>
            </w:r>
          </w:p>
        </w:tc>
        <w:tc>
          <w:tcPr>
            <w:tcW w:w="2440" w:type="dxa"/>
            <w:vAlign w:val="bottom"/>
            <w:gridSpan w:val="2"/>
          </w:tcPr>
          <w:p>
            <w:pPr>
              <w:ind w:left="230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(627)</w:t>
            </w:r>
          </w:p>
        </w:tc>
        <w:tc>
          <w:tcPr>
            <w:tcW w:w="7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(261)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interest</w:t>
            </w:r>
          </w:p>
        </w:tc>
        <w:tc>
          <w:tcPr>
            <w:tcW w:w="2440" w:type="dxa"/>
            <w:vAlign w:val="bottom"/>
            <w:gridSpan w:val="2"/>
            <w:shd w:val="clear" w:color="auto" w:fill="CCEEFF"/>
          </w:tcPr>
          <w:p>
            <w:pPr>
              <w:ind w:left="230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rPr>
              <w:t>(209)</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ind w:left="360"/>
              <w:spacing w:after="0"/>
              <w:rPr>
                <w:sz w:val="20"/>
                <w:szCs w:val="20"/>
                <w:color w:val="auto"/>
              </w:rPr>
            </w:pPr>
            <w:r>
              <w:rPr>
                <w:rFonts w:ascii="Arial" w:cs="Arial" w:eastAsia="Arial" w:hAnsi="Arial"/>
                <w:sz w:val="15"/>
                <w:szCs w:val="15"/>
                <w:color w:val="auto"/>
              </w:rPr>
              <w:t>Special items</w:t>
            </w:r>
          </w:p>
        </w:tc>
        <w:tc>
          <w:tcPr>
            <w:tcW w:w="2440" w:type="dxa"/>
            <w:vAlign w:val="bottom"/>
            <w:gridSpan w:val="2"/>
          </w:tcPr>
          <w:p>
            <w:pPr>
              <w:ind w:left="230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79,672</w:t>
            </w:r>
            <w:r>
              <w:rPr>
                <w:rFonts w:ascii="Arial" w:cs="Arial" w:eastAsia="Arial" w:hAnsi="Arial"/>
                <w:sz w:val="9"/>
                <w:szCs w:val="9"/>
                <w:color w:val="auto"/>
              </w:rPr>
              <w:t>2</w:t>
            </w:r>
          </w:p>
        </w:tc>
        <w:tc>
          <w:tcPr>
            <w:tcW w:w="7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Earnings before taxes</w:t>
            </w:r>
          </w:p>
        </w:tc>
        <w:tc>
          <w:tcPr>
            <w:tcW w:w="2440" w:type="dxa"/>
            <w:vAlign w:val="bottom"/>
            <w:gridSpan w:val="2"/>
            <w:shd w:val="clear" w:color="auto" w:fill="CCEEFF"/>
          </w:tcPr>
          <w:p>
            <w:pPr>
              <w:ind w:left="230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78,836</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(1,016)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ind w:left="360"/>
              <w:spacing w:after="0"/>
              <w:rPr>
                <w:sz w:val="20"/>
                <w:szCs w:val="20"/>
                <w:color w:val="auto"/>
              </w:rPr>
            </w:pPr>
            <w:r>
              <w:rPr>
                <w:rFonts w:ascii="Arial" w:cs="Arial" w:eastAsia="Arial" w:hAnsi="Arial"/>
                <w:sz w:val="15"/>
                <w:szCs w:val="15"/>
                <w:color w:val="auto"/>
              </w:rPr>
              <w:t>Taxes</w:t>
            </w:r>
          </w:p>
        </w:tc>
        <w:tc>
          <w:tcPr>
            <w:tcW w:w="2440" w:type="dxa"/>
            <w:vAlign w:val="bottom"/>
            <w:gridSpan w:val="2"/>
          </w:tcPr>
          <w:p>
            <w:pPr>
              <w:ind w:left="230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540"/>
              <w:spacing w:after="0"/>
              <w:rPr>
                <w:sz w:val="20"/>
                <w:szCs w:val="20"/>
                <w:color w:val="auto"/>
              </w:rPr>
            </w:pPr>
            <w:r>
              <w:rPr>
                <w:rFonts w:ascii="Arial" w:cs="Arial" w:eastAsia="Arial" w:hAnsi="Arial"/>
                <w:sz w:val="15"/>
                <w:szCs w:val="15"/>
                <w:color w:val="auto"/>
              </w:rPr>
              <w:t>522</w:t>
            </w:r>
          </w:p>
        </w:tc>
        <w:tc>
          <w:tcPr>
            <w:tcW w:w="7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5"/>
                <w:szCs w:val="15"/>
                <w:color w:val="auto"/>
              </w:rPr>
              <w:t>(135)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Total managerial income/(loss)</w:t>
            </w:r>
          </w:p>
        </w:tc>
        <w:tc>
          <w:tcPr>
            <w:tcW w:w="2440" w:type="dxa"/>
            <w:vAlign w:val="bottom"/>
            <w:gridSpan w:val="2"/>
            <w:shd w:val="clear" w:color="auto" w:fill="CCEEFF"/>
          </w:tcPr>
          <w:p>
            <w:pPr>
              <w:ind w:left="230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79,358</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Arial" w:cs="Arial" w:eastAsia="Arial" w:hAnsi="Arial"/>
                <w:sz w:val="15"/>
                <w:szCs w:val="15"/>
                <w:color w:val="auto"/>
              </w:rPr>
              <w:t xml:space="preserve">Managerial operating cash flow </w:t>
            </w:r>
            <w:r>
              <w:rPr>
                <w:rFonts w:ascii="Arial" w:cs="Arial" w:eastAsia="Arial" w:hAnsi="Arial"/>
                <w:sz w:val="15"/>
                <w:szCs w:val="15"/>
                <w:i w:val="1"/>
                <w:iCs w:val="1"/>
                <w:color w:val="auto"/>
              </w:rPr>
              <w:t>(before special items)($bils)</w:t>
            </w:r>
          </w:p>
        </w:tc>
        <w:tc>
          <w:tcPr>
            <w:tcW w:w="2440" w:type="dxa"/>
            <w:vAlign w:val="bottom"/>
            <w:gridSpan w:val="2"/>
          </w:tcPr>
          <w:p>
            <w:pPr>
              <w:ind w:left="230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5"/>
                <w:szCs w:val="15"/>
                <w:color w:val="auto"/>
              </w:rPr>
              <w:t>(3.6)</w:t>
            </w:r>
          </w:p>
        </w:tc>
        <w:tc>
          <w:tcPr>
            <w:tcW w:w="74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5"/>
                <w:szCs w:val="15"/>
                <w:color w:val="auto"/>
              </w:rPr>
              <w:t>Global cash and cash-related balance ($bils)</w:t>
            </w:r>
          </w:p>
        </w:tc>
        <w:tc>
          <w:tcPr>
            <w:tcW w:w="2440" w:type="dxa"/>
            <w:vAlign w:val="bottom"/>
            <w:gridSpan w:val="2"/>
            <w:shd w:val="clear" w:color="auto" w:fill="CCEEFF"/>
          </w:tcPr>
          <w:p>
            <w:pPr>
              <w:ind w:left="230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37.6</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446" w:hanging="446"/>
        <w:spacing w:after="0"/>
        <w:tabs>
          <w:tab w:leader="none" w:pos="446"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See the “Editor’s Notes” section of this release for details on the presentation of the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39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ind w:left="446" w:hanging="446"/>
        <w:spacing w:after="0" w:line="237" w:lineRule="auto"/>
        <w:tabs>
          <w:tab w:leader="none" w:pos="446"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Special items for July 1-July 9, 2009 includes a reorganization gain of $80.7 billion.</w:t>
      </w:r>
    </w:p>
    <w:p>
      <w:pPr>
        <w:sectPr>
          <w:pgSz w:w="11900" w:h="16838" w:orient="portrait"/>
          <w:cols w:equalWidth="0" w:num="1">
            <w:col w:w="11446"/>
          </w:cols>
          <w:pgMar w:left="234" w:top="128" w:right="219" w:bottom="1440" w:gutter="0" w:footer="0" w:header="0"/>
        </w:sectPr>
      </w:pPr>
    </w:p>
    <w:bookmarkStart w:id="5" w:name="page6"/>
    <w:bookmarkEnd w:id="5"/>
    <w:p>
      <w:pPr>
        <w:ind w:left="6"/>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Revenue</w:t>
      </w:r>
    </w:p>
    <w:p>
      <w:pPr>
        <w:spacing w:after="0" w:line="90" w:lineRule="exact"/>
        <w:rPr>
          <w:sz w:val="20"/>
          <w:szCs w:val="20"/>
          <w:color w:val="auto"/>
        </w:rPr>
      </w:pPr>
    </w:p>
    <w:p>
      <w:pPr>
        <w:ind w:left="6" w:right="80"/>
        <w:spacing w:after="0" w:line="291" w:lineRule="auto"/>
        <w:rPr>
          <w:sz w:val="20"/>
          <w:szCs w:val="20"/>
          <w:color w:val="auto"/>
        </w:rPr>
      </w:pPr>
      <w:r>
        <w:rPr>
          <w:rFonts w:ascii="Arial" w:cs="Arial" w:eastAsia="Arial" w:hAnsi="Arial"/>
          <w:sz w:val="15"/>
          <w:szCs w:val="15"/>
          <w:color w:val="auto"/>
        </w:rPr>
        <w:t>GM posted revenue of $28.0 billion in the third quarter of 2009 (July 1-Sept. 30, 2009), which was up approximately $4.9 billion compared to the revenue recognized by General Motors Corporation, or “Old GM,” in the second quarter of 2009.</w:t>
      </w:r>
    </w:p>
    <w:p>
      <w:pPr>
        <w:spacing w:after="0" w:line="99" w:lineRule="exact"/>
        <w:rPr>
          <w:sz w:val="20"/>
          <w:szCs w:val="20"/>
          <w:color w:val="auto"/>
        </w:rPr>
      </w:pPr>
    </w:p>
    <w:p>
      <w:pPr>
        <w:jc w:val="both"/>
        <w:ind w:left="6" w:right="120"/>
        <w:spacing w:after="0" w:line="276" w:lineRule="auto"/>
        <w:rPr>
          <w:sz w:val="20"/>
          <w:szCs w:val="20"/>
          <w:color w:val="auto"/>
        </w:rPr>
      </w:pPr>
      <w:r>
        <w:rPr>
          <w:rFonts w:ascii="Arial" w:cs="Arial" w:eastAsia="Arial" w:hAnsi="Arial"/>
          <w:sz w:val="15"/>
          <w:szCs w:val="15"/>
          <w:color w:val="auto"/>
        </w:rPr>
        <w:t>The improvement was largely attributed to a higher global seasonally adjusted annual rate (SAAR) of 67.8 million units in the third quarter, compared to 62.7 million units in the second quarter of 2009, and GM’s stabilizing global share. In China, Brazil, India and Russia (BRIC), GM had 13.0 percent of the combined market share in the third quarter, up 0.2 percentage points from the second quarter of 2009.</w:t>
      </w:r>
    </w:p>
    <w:p>
      <w:pPr>
        <w:spacing w:after="0" w:line="110" w:lineRule="exact"/>
        <w:rPr>
          <w:sz w:val="20"/>
          <w:szCs w:val="20"/>
          <w:color w:val="auto"/>
        </w:rPr>
      </w:pPr>
    </w:p>
    <w:p>
      <w:pPr>
        <w:ind w:left="6" w:right="60"/>
        <w:spacing w:after="0" w:line="291" w:lineRule="auto"/>
        <w:rPr>
          <w:sz w:val="20"/>
          <w:szCs w:val="20"/>
          <w:color w:val="auto"/>
        </w:rPr>
      </w:pPr>
      <w:r>
        <w:rPr>
          <w:rFonts w:ascii="Arial" w:cs="Arial" w:eastAsia="Arial" w:hAnsi="Arial"/>
          <w:sz w:val="15"/>
          <w:szCs w:val="15"/>
          <w:color w:val="auto"/>
        </w:rPr>
        <w:t>GM’s global share was 11.9 percent in the third quarter, up 0.3 percentage points from the first half of the year for Old GM. GM’s U.S. market share in the third quarter was 19.5 percent, flat in relation to Old GM’s U.S. share for the first half of the year.</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5"/>
          <w:szCs w:val="15"/>
          <w:color w:val="auto"/>
        </w:rPr>
        <w:t>GM finished the third quarter with U.S. dealer inventories of approximately 424,000 vehicles; a reduction of approximately 158,000 units from the end of the second quarter.</w:t>
      </w:r>
    </w:p>
    <w:p>
      <w:pPr>
        <w:spacing w:after="0" w:line="157" w:lineRule="exact"/>
        <w:rPr>
          <w:sz w:val="20"/>
          <w:szCs w:val="20"/>
          <w:color w:val="auto"/>
        </w:rPr>
      </w:pPr>
    </w:p>
    <w:p>
      <w:pPr>
        <w:ind w:left="6" w:right="420"/>
        <w:spacing w:after="0" w:line="329" w:lineRule="auto"/>
        <w:rPr>
          <w:sz w:val="20"/>
          <w:szCs w:val="20"/>
          <w:color w:val="auto"/>
        </w:rPr>
      </w:pPr>
      <w:r>
        <w:rPr>
          <w:rFonts w:ascii="Arial" w:cs="Arial" w:eastAsia="Arial" w:hAnsi="Arial"/>
          <w:sz w:val="14"/>
          <w:szCs w:val="14"/>
          <w:color w:val="auto"/>
        </w:rPr>
        <w:t>Contributing to GM’s sales in the U.S. was the strong retail performance of some of its newest vehicles, including the Chevrolet Camaro and GMC Terrain, as well as the Chevrolet Equinox, Buick LaCrosse and Cadillac SRX which are generating higher average transaction prices and higher residual values than previous model year vehicles.</w:t>
      </w:r>
    </w:p>
    <w:p>
      <w:pPr>
        <w:spacing w:after="0" w:line="76" w:lineRule="exact"/>
        <w:rPr>
          <w:sz w:val="20"/>
          <w:szCs w:val="20"/>
          <w:color w:val="auto"/>
        </w:rPr>
      </w:pPr>
    </w:p>
    <w:p>
      <w:pPr>
        <w:jc w:val="both"/>
        <w:ind w:left="6" w:right="260"/>
        <w:spacing w:after="0" w:line="276" w:lineRule="auto"/>
        <w:rPr>
          <w:sz w:val="20"/>
          <w:szCs w:val="20"/>
          <w:color w:val="auto"/>
        </w:rPr>
      </w:pPr>
      <w:r>
        <w:rPr>
          <w:rFonts w:ascii="Arial" w:cs="Arial" w:eastAsia="Arial" w:hAnsi="Arial"/>
          <w:sz w:val="15"/>
          <w:szCs w:val="15"/>
          <w:color w:val="auto"/>
        </w:rPr>
        <w:t>In other markets around the world, strong consumer appeal for a number of GM’s newest vehicles including the Holden and Chevrolet Cruze, Daewoo Matiz Creative, Opel/Vauxhall Astra and Chevrolet Agile are helping to reclaim global share. In fact, the Astra recently claimed its first major award by winning the prestigious Golden Steering Wheel award by the Auto Bild magazine and the Agile was just elected the 2010 Car of the Year by AutoEsporte magazine in Brazil.</w:t>
      </w:r>
    </w:p>
    <w:p>
      <w:pPr>
        <w:spacing w:after="0" w:line="110" w:lineRule="exact"/>
        <w:rPr>
          <w:sz w:val="20"/>
          <w:szCs w:val="20"/>
          <w:color w:val="auto"/>
        </w:rPr>
      </w:pPr>
    </w:p>
    <w:p>
      <w:pPr>
        <w:ind w:left="6" w:right="280"/>
        <w:spacing w:after="0" w:line="276" w:lineRule="auto"/>
        <w:rPr>
          <w:sz w:val="20"/>
          <w:szCs w:val="20"/>
          <w:color w:val="auto"/>
        </w:rPr>
      </w:pPr>
      <w:r>
        <w:rPr>
          <w:rFonts w:ascii="Arial" w:cs="Arial" w:eastAsia="Arial" w:hAnsi="Arial"/>
          <w:sz w:val="15"/>
          <w:szCs w:val="15"/>
          <w:color w:val="auto"/>
        </w:rPr>
        <w:t>The China market in particular is proving to be a strong contributor for the company’s results. Maintaining a leading market share position in China, GM and its joint venture partners continue to see an upward trend, selling more than 478,000 vehicles in the third quarter of 2009, up from approximately 451,000 and 364,000 units in the second and first quarters, respectively.</w:t>
      </w:r>
    </w:p>
    <w:p>
      <w:pPr>
        <w:spacing w:after="0" w:line="177" w:lineRule="exact"/>
        <w:rPr>
          <w:sz w:val="20"/>
          <w:szCs w:val="20"/>
          <w:color w:val="auto"/>
        </w:rPr>
      </w:pPr>
    </w:p>
    <w:p>
      <w:pPr>
        <w:ind w:left="6"/>
        <w:spacing w:after="0"/>
        <w:rPr>
          <w:sz w:val="20"/>
          <w:szCs w:val="20"/>
          <w:color w:val="auto"/>
        </w:rPr>
      </w:pPr>
      <w:r>
        <w:rPr>
          <w:rFonts w:ascii="Arial" w:cs="Arial" w:eastAsia="Arial" w:hAnsi="Arial"/>
          <w:sz w:val="15"/>
          <w:szCs w:val="15"/>
          <w:b w:val="1"/>
          <w:bCs w:val="1"/>
          <w:color w:val="auto"/>
        </w:rPr>
        <w:t>Managerial Results</w:t>
      </w:r>
    </w:p>
    <w:p>
      <w:pPr>
        <w:spacing w:after="0" w:line="90" w:lineRule="exact"/>
        <w:rPr>
          <w:sz w:val="20"/>
          <w:szCs w:val="20"/>
          <w:color w:val="auto"/>
        </w:rPr>
      </w:pPr>
    </w:p>
    <w:p>
      <w:pPr>
        <w:ind w:left="6"/>
        <w:spacing w:after="0" w:line="329" w:lineRule="auto"/>
        <w:rPr>
          <w:sz w:val="20"/>
          <w:szCs w:val="20"/>
          <w:color w:val="auto"/>
        </w:rPr>
      </w:pPr>
      <w:r>
        <w:rPr>
          <w:rFonts w:ascii="Arial" w:cs="Arial" w:eastAsia="Arial" w:hAnsi="Arial"/>
          <w:sz w:val="14"/>
          <w:szCs w:val="14"/>
          <w:color w:val="auto"/>
        </w:rPr>
        <w:t>After the inclusion of special items, GM’s managerial earnings before tax for the July 10-Sept. 30 period was a loss of $1.0 billion. GM recorded special items for the same period of $505 million, attributed primarily to dealer restructuring, attrition-related charges and Delphi.</w:t>
      </w:r>
      <w:r>
        <w:rPr>
          <w:rFonts w:ascii="Arial" w:cs="Arial" w:eastAsia="Arial" w:hAnsi="Arial"/>
          <w:sz w:val="8"/>
          <w:szCs w:val="8"/>
          <w:color w:val="auto"/>
        </w:rPr>
        <w:t>3</w:t>
      </w:r>
      <w:r>
        <w:rPr>
          <w:rFonts w:ascii="Arial" w:cs="Arial" w:eastAsia="Arial" w:hAnsi="Arial"/>
          <w:sz w:val="14"/>
          <w:szCs w:val="14"/>
          <w:color w:val="auto"/>
        </w:rPr>
        <w:t xml:space="preserve"> For the July 10-Sept. 30 period GM posted a managerial loss after-tax of $1.2 billion.</w:t>
      </w:r>
    </w:p>
    <w:p>
      <w:pPr>
        <w:spacing w:after="0" w:line="111" w:lineRule="exact"/>
        <w:rPr>
          <w:sz w:val="20"/>
          <w:szCs w:val="20"/>
          <w:color w:val="auto"/>
        </w:rPr>
      </w:pPr>
    </w:p>
    <w:p>
      <w:pPr>
        <w:ind w:left="6" w:right="20"/>
        <w:spacing w:after="0" w:line="276" w:lineRule="auto"/>
        <w:rPr>
          <w:sz w:val="20"/>
          <w:szCs w:val="20"/>
          <w:color w:val="auto"/>
        </w:rPr>
      </w:pPr>
      <w:r>
        <w:rPr>
          <w:rFonts w:ascii="Arial" w:cs="Arial" w:eastAsia="Arial" w:hAnsi="Arial"/>
          <w:sz w:val="15"/>
          <w:szCs w:val="15"/>
          <w:color w:val="auto"/>
        </w:rPr>
        <w:t>GM managerial earnings before interest and taxes (EBIT) before special items for the July 10-Sept. 30 period was a loss of $261 million, with GM North America reporting a loss of $651 million and GM International Operations reporting a profit of $238 million. Managerial earnings before interest, taxes, depreciation and amortization (EBITDA) was $1.5 billion before special items.</w:t>
      </w:r>
    </w:p>
    <w:p>
      <w:pPr>
        <w:spacing w:after="0" w:line="133" w:lineRule="exact"/>
        <w:rPr>
          <w:sz w:val="20"/>
          <w:szCs w:val="20"/>
          <w:color w:val="auto"/>
        </w:rPr>
      </w:pPr>
    </w:p>
    <w:p>
      <w:pPr>
        <w:ind w:left="446" w:hanging="446"/>
        <w:spacing w:after="0"/>
        <w:tabs>
          <w:tab w:leader="none" w:pos="446" w:val="left"/>
        </w:tabs>
        <w:numPr>
          <w:ilvl w:val="0"/>
          <w:numId w:val="5"/>
        </w:numPr>
        <w:rPr>
          <w:rFonts w:ascii="Arial" w:cs="Arial" w:eastAsia="Arial" w:hAnsi="Arial"/>
          <w:sz w:val="20"/>
          <w:szCs w:val="20"/>
          <w:color w:val="auto"/>
          <w:vertAlign w:val="superscript"/>
        </w:rPr>
      </w:pPr>
      <w:r>
        <w:rPr>
          <w:rFonts w:ascii="Arial" w:cs="Arial" w:eastAsia="Arial" w:hAnsi="Arial"/>
          <w:sz w:val="15"/>
          <w:szCs w:val="15"/>
          <w:color w:val="auto"/>
        </w:rPr>
        <w:t>Details on all special items are included in the “Highlights” section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39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03"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6"/>
          </w:cols>
          <w:pgMar w:left="234" w:top="258" w:right="239" w:bottom="1440" w:gutter="0" w:footer="0" w:header="0"/>
        </w:sectPr>
      </w:pPr>
    </w:p>
    <w:bookmarkStart w:id="6" w:name="page7"/>
    <w:bookmarkEnd w:id="6"/>
    <w:p>
      <w:pPr>
        <w:ind w:right="300"/>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Total structural cost for the company has been significantly reduced by the resizing and delayering of the company including salaried and hourly headcount reductions, engineering savings and volume related savings. GM structural cost for the period July 10-Sept. 30, 2009 was $9.1 billion. Structural cost for Old GM for the period Jan. 1-July 9, 2009 was $22.0 billion. For the 9-month period ending September 30, 2008, Old GM had structural cost of $37.8 billion.</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Structural Cost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5"/>
              <w:spacing w:after="0"/>
              <w:rPr>
                <w:sz w:val="20"/>
                <w:szCs w:val="20"/>
                <w:color w:val="auto"/>
              </w:rPr>
            </w:pPr>
            <w:r>
              <w:rPr>
                <w:rFonts w:ascii="Arial" w:cs="Arial" w:eastAsia="Arial" w:hAnsi="Arial"/>
                <w:sz w:val="12"/>
                <w:szCs w:val="12"/>
                <w:b w:val="1"/>
                <w:bCs w:val="1"/>
                <w:color w:val="auto"/>
                <w:w w:val="98"/>
              </w:rPr>
              <w:t>“Old GM”</w:t>
            </w:r>
          </w:p>
        </w:tc>
        <w:tc>
          <w:tcPr>
            <w:tcW w:w="380" w:type="dxa"/>
            <w:vAlign w:val="bottom"/>
          </w:tcPr>
          <w:p>
            <w:pPr>
              <w:spacing w:after="0"/>
              <w:rPr>
                <w:sz w:val="12"/>
                <w:szCs w:val="12"/>
                <w:color w:val="auto"/>
              </w:rPr>
            </w:pPr>
          </w:p>
        </w:tc>
        <w:tc>
          <w:tcPr>
            <w:tcW w:w="1180" w:type="dxa"/>
            <w:vAlign w:val="bottom"/>
            <w:tcBorders>
              <w:right w:val="single" w:sz="8" w:color="auto"/>
            </w:tcBorders>
            <w:gridSpan w:val="3"/>
          </w:tcPr>
          <w:p>
            <w:pPr>
              <w:jc w:val="center"/>
              <w:ind w:right="480"/>
              <w:spacing w:after="0"/>
              <w:rPr>
                <w:sz w:val="20"/>
                <w:szCs w:val="20"/>
                <w:color w:val="auto"/>
              </w:rPr>
            </w:pPr>
            <w:r>
              <w:rPr>
                <w:rFonts w:ascii="Arial" w:cs="Arial" w:eastAsia="Arial" w:hAnsi="Arial"/>
                <w:sz w:val="12"/>
                <w:szCs w:val="12"/>
                <w:b w:val="1"/>
                <w:bCs w:val="1"/>
                <w:color w:val="auto"/>
                <w:w w:val="98"/>
              </w:rPr>
              <w:t>“Old GM”</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GM</w:t>
            </w:r>
          </w:p>
        </w:tc>
      </w:tr>
      <w:tr>
        <w:trPr>
          <w:trHeight w:val="129"/>
        </w:trPr>
        <w:tc>
          <w:tcPr>
            <w:tcW w:w="45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89"/>
              </w:rPr>
              <w:t>Jan. 1-Sept. 30,</w:t>
            </w:r>
          </w:p>
        </w:tc>
        <w:tc>
          <w:tcPr>
            <w:tcW w:w="380" w:type="dxa"/>
            <w:vAlign w:val="bottom"/>
          </w:tcPr>
          <w:p>
            <w:pPr>
              <w:spacing w:after="0"/>
              <w:rPr>
                <w:sz w:val="11"/>
                <w:szCs w:val="11"/>
                <w:color w:val="auto"/>
              </w:rPr>
            </w:pPr>
          </w:p>
        </w:tc>
        <w:tc>
          <w:tcPr>
            <w:tcW w:w="1180" w:type="dxa"/>
            <w:vAlign w:val="bottom"/>
            <w:tcBorders>
              <w:right w:val="single" w:sz="8" w:color="auto"/>
            </w:tcBorders>
            <w:gridSpan w:val="3"/>
          </w:tcPr>
          <w:p>
            <w:pPr>
              <w:jc w:val="center"/>
              <w:ind w:right="480"/>
              <w:spacing w:after="0" w:line="129" w:lineRule="exact"/>
              <w:rPr>
                <w:sz w:val="20"/>
                <w:szCs w:val="20"/>
                <w:color w:val="auto"/>
              </w:rPr>
            </w:pPr>
            <w:r>
              <w:rPr>
                <w:rFonts w:ascii="Arial" w:cs="Arial" w:eastAsia="Arial" w:hAnsi="Arial"/>
                <w:sz w:val="12"/>
                <w:szCs w:val="12"/>
                <w:b w:val="1"/>
                <w:bCs w:val="1"/>
                <w:color w:val="auto"/>
                <w:w w:val="87"/>
              </w:rPr>
              <w:t>Jan. 1-July 9,</w:t>
            </w:r>
          </w:p>
        </w:tc>
        <w:tc>
          <w:tcPr>
            <w:tcW w:w="380" w:type="dxa"/>
            <w:vAlign w:val="bottom"/>
          </w:tcPr>
          <w:p>
            <w:pPr>
              <w:spacing w:after="0"/>
              <w:rPr>
                <w:sz w:val="11"/>
                <w:szCs w:val="11"/>
                <w:color w:val="auto"/>
              </w:rPr>
            </w:pPr>
          </w:p>
        </w:tc>
        <w:tc>
          <w:tcPr>
            <w:tcW w:w="860" w:type="dxa"/>
            <w:vAlign w:val="bottom"/>
            <w:gridSpan w:val="3"/>
          </w:tcPr>
          <w:p>
            <w:pPr>
              <w:jc w:val="center"/>
              <w:ind w:right="20"/>
              <w:spacing w:after="0" w:line="129" w:lineRule="exact"/>
              <w:rPr>
                <w:sz w:val="20"/>
                <w:szCs w:val="20"/>
                <w:color w:val="auto"/>
              </w:rPr>
            </w:pPr>
            <w:r>
              <w:rPr>
                <w:rFonts w:ascii="Arial" w:cs="Arial" w:eastAsia="Arial" w:hAnsi="Arial"/>
                <w:sz w:val="12"/>
                <w:szCs w:val="12"/>
                <w:b w:val="1"/>
                <w:bCs w:val="1"/>
                <w:color w:val="auto"/>
                <w:w w:val="89"/>
              </w:rPr>
              <w:t>July 10-Sept. 30,</w:t>
            </w:r>
          </w:p>
        </w:tc>
      </w:tr>
      <w:tr>
        <w:trPr>
          <w:trHeight w:val="140"/>
        </w:trPr>
        <w:tc>
          <w:tcPr>
            <w:tcW w:w="4580" w:type="dxa"/>
            <w:vAlign w:val="bottom"/>
          </w:tcPr>
          <w:p>
            <w:pPr>
              <w:spacing w:after="0"/>
              <w:rPr>
                <w:sz w:val="20"/>
                <w:szCs w:val="20"/>
                <w:color w:val="auto"/>
              </w:rPr>
            </w:pPr>
            <w:r>
              <w:rPr>
                <w:rFonts w:ascii="Arial" w:cs="Arial" w:eastAsia="Arial" w:hAnsi="Arial"/>
                <w:sz w:val="12"/>
                <w:szCs w:val="12"/>
                <w:b w:val="1"/>
                <w:bCs w:val="1"/>
                <w:color w:val="auto"/>
              </w:rPr>
              <w:t>(bils)</w:t>
            </w:r>
          </w:p>
        </w:tc>
        <w:tc>
          <w:tcPr>
            <w:tcW w:w="3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5"/>
              <w:spacing w:after="0"/>
              <w:rPr>
                <w:sz w:val="20"/>
                <w:szCs w:val="20"/>
                <w:color w:val="auto"/>
              </w:rPr>
            </w:pPr>
            <w:r>
              <w:rPr>
                <w:rFonts w:ascii="Arial" w:cs="Arial" w:eastAsia="Arial" w:hAnsi="Arial"/>
                <w:sz w:val="12"/>
                <w:szCs w:val="12"/>
                <w:b w:val="1"/>
                <w:bCs w:val="1"/>
                <w:color w:val="auto"/>
                <w:w w:val="82"/>
              </w:rPr>
              <w:t>2008</w:t>
            </w:r>
          </w:p>
        </w:tc>
        <w:tc>
          <w:tcPr>
            <w:tcW w:w="3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72"/>
              <w:spacing w:after="0"/>
              <w:rPr>
                <w:sz w:val="20"/>
                <w:szCs w:val="20"/>
                <w:color w:val="auto"/>
              </w:rPr>
            </w:pPr>
            <w:r>
              <w:rPr>
                <w:rFonts w:ascii="Arial" w:cs="Arial" w:eastAsia="Arial" w:hAnsi="Arial"/>
                <w:sz w:val="12"/>
                <w:szCs w:val="12"/>
                <w:b w:val="1"/>
                <w:bCs w:val="1"/>
                <w:color w:val="auto"/>
                <w:w w:val="82"/>
              </w:rPr>
              <w:t>2009</w:t>
            </w:r>
          </w:p>
        </w:tc>
        <w:tc>
          <w:tcPr>
            <w:tcW w:w="5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15"/>
              <w:spacing w:after="0"/>
              <w:rPr>
                <w:sz w:val="20"/>
                <w:szCs w:val="20"/>
                <w:color w:val="auto"/>
              </w:rPr>
            </w:pPr>
            <w:r>
              <w:rPr>
                <w:rFonts w:ascii="Arial" w:cs="Arial" w:eastAsia="Arial" w:hAnsi="Arial"/>
                <w:sz w:val="12"/>
                <w:szCs w:val="12"/>
                <w:b w:val="1"/>
                <w:bCs w:val="1"/>
                <w:color w:val="auto"/>
                <w:w w:val="89"/>
              </w:rPr>
              <w:t>2009</w:t>
            </w:r>
          </w:p>
        </w:tc>
        <w:tc>
          <w:tcPr>
            <w:tcW w:w="20" w:type="dxa"/>
            <w:vAlign w:val="bottom"/>
          </w:tcPr>
          <w:p>
            <w:pPr>
              <w:spacing w:after="0"/>
              <w:rPr>
                <w:sz w:val="12"/>
                <w:szCs w:val="12"/>
                <w:color w:val="auto"/>
              </w:rPr>
            </w:pPr>
          </w:p>
        </w:tc>
      </w:tr>
      <w:tr>
        <w:trPr>
          <w:trHeight w:val="180"/>
        </w:trPr>
        <w:tc>
          <w:tcPr>
            <w:tcW w:w="4580" w:type="dxa"/>
            <w:vAlign w:val="bottom"/>
            <w:shd w:val="clear" w:color="auto" w:fill="CCEEFF"/>
          </w:tcPr>
          <w:p>
            <w:pPr>
              <w:spacing w:after="0"/>
              <w:rPr>
                <w:sz w:val="20"/>
                <w:szCs w:val="20"/>
                <w:color w:val="auto"/>
              </w:rPr>
            </w:pPr>
            <w:r>
              <w:rPr>
                <w:rFonts w:ascii="Arial" w:cs="Arial" w:eastAsia="Arial" w:hAnsi="Arial"/>
                <w:sz w:val="15"/>
                <w:szCs w:val="15"/>
                <w:color w:val="auto"/>
              </w:rPr>
              <w:t>Total Structural Cost</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w:t>
            </w:r>
          </w:p>
        </w:tc>
        <w:tc>
          <w:tcPr>
            <w:tcW w:w="540" w:type="dxa"/>
            <w:vAlign w:val="bottom"/>
            <w:gridSpan w:val="2"/>
            <w:shd w:val="clear" w:color="auto" w:fill="CCEEFF"/>
          </w:tcPr>
          <w:p>
            <w:pPr>
              <w:jc w:val="right"/>
              <w:ind w:right="21"/>
              <w:spacing w:after="0"/>
              <w:rPr>
                <w:sz w:val="20"/>
                <w:szCs w:val="20"/>
                <w:color w:val="auto"/>
              </w:rPr>
            </w:pPr>
            <w:r>
              <w:rPr>
                <w:rFonts w:ascii="Arial" w:cs="Arial" w:eastAsia="Arial" w:hAnsi="Arial"/>
                <w:sz w:val="15"/>
                <w:szCs w:val="15"/>
                <w:color w:val="auto"/>
              </w:rPr>
              <w:t>$</w:t>
            </w:r>
          </w:p>
        </w:tc>
        <w:tc>
          <w:tcPr>
            <w:tcW w:w="10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22.0</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5"/>
                <w:szCs w:val="15"/>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While financial statements between Old GM and GM are not comparable, the above structural costs breakdowns for the two companies are provided for perspective.</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Sheet and Cash</w:t>
      </w:r>
    </w:p>
    <w:p>
      <w:pPr>
        <w:spacing w:after="0" w:line="90" w:lineRule="exact"/>
        <w:rPr>
          <w:sz w:val="20"/>
          <w:szCs w:val="20"/>
          <w:color w:val="auto"/>
        </w:rPr>
      </w:pPr>
    </w:p>
    <w:p>
      <w:pPr>
        <w:ind w:right="20"/>
        <w:spacing w:after="0" w:line="305" w:lineRule="auto"/>
        <w:rPr>
          <w:sz w:val="20"/>
          <w:szCs w:val="20"/>
          <w:color w:val="auto"/>
        </w:rPr>
      </w:pPr>
      <w:r>
        <w:rPr>
          <w:rFonts w:ascii="Arial" w:cs="Arial" w:eastAsia="Arial" w:hAnsi="Arial"/>
          <w:sz w:val="14"/>
          <w:szCs w:val="14"/>
          <w:color w:val="auto"/>
        </w:rPr>
        <w:t>For the period July 10-Sept. 30, GM had positive managerial operating cash flow before special items of $3.3 billion, reflecting the favorable working capital impact from production start up, timing of supplier payments and lower capital spending. The favorable working capital impact is not expected to repeat itself in the fourth quarter (see the “Looking Ahead” section below). For the period July 1-July 9, Old GM had negative operating cash flow of $3.6 billion, reflecting extremely low production in North America.</w:t>
      </w:r>
    </w:p>
    <w:p>
      <w:pPr>
        <w:spacing w:after="0" w:line="92" w:lineRule="exact"/>
        <w:rPr>
          <w:sz w:val="20"/>
          <w:szCs w:val="20"/>
          <w:color w:val="auto"/>
        </w:rPr>
      </w:pPr>
    </w:p>
    <w:p>
      <w:pPr>
        <w:ind w:right="140"/>
        <w:spacing w:after="0" w:line="276" w:lineRule="auto"/>
        <w:rPr>
          <w:sz w:val="20"/>
          <w:szCs w:val="20"/>
          <w:color w:val="auto"/>
        </w:rPr>
      </w:pPr>
      <w:r>
        <w:rPr>
          <w:rFonts w:ascii="Arial" w:cs="Arial" w:eastAsia="Arial" w:hAnsi="Arial"/>
          <w:sz w:val="15"/>
          <w:szCs w:val="15"/>
          <w:color w:val="auto"/>
        </w:rPr>
        <w:t>As of September 30, 2009, cash and marketable securities totaled $42.6 billion. Included in this amount was $17.4 billion held in escrowed funds from the United States Treasury (UST) and Export Development Canada (EDC), with $8.1 billion of this amount allocable for future repayments of the UST and EDC loans, $2.8 billion for the recently completed Delphi settlement and $900 million for healthcare in Canada, leaving a remaining escrow cash balance of $5.6 billion.</w:t>
      </w:r>
    </w:p>
    <w:p>
      <w:pPr>
        <w:spacing w:after="0" w:line="110" w:lineRule="exact"/>
        <w:rPr>
          <w:sz w:val="20"/>
          <w:szCs w:val="20"/>
          <w:color w:val="auto"/>
        </w:rPr>
      </w:pPr>
    </w:p>
    <w:p>
      <w:pPr>
        <w:ind w:right="240"/>
        <w:spacing w:after="0" w:line="291" w:lineRule="auto"/>
        <w:rPr>
          <w:sz w:val="20"/>
          <w:szCs w:val="20"/>
          <w:color w:val="auto"/>
        </w:rPr>
      </w:pPr>
      <w:r>
        <w:rPr>
          <w:rFonts w:ascii="Arial" w:cs="Arial" w:eastAsia="Arial" w:hAnsi="Arial"/>
          <w:sz w:val="15"/>
          <w:szCs w:val="15"/>
          <w:color w:val="auto"/>
        </w:rPr>
        <w:t>In light of improving global economic conditions, stabilizing industry sales and its healthier cash position, GM announced today that it plans to accelerate repayment of its outstanding $6.7 billion in UST loans as well as the C$1.5 billion (US$1.4 billion) in EDC loans ahead of the scheduled maturity date of July 2015.</w:t>
      </w:r>
    </w:p>
    <w:p>
      <w:pPr>
        <w:spacing w:after="0" w:line="99" w:lineRule="exact"/>
        <w:rPr>
          <w:sz w:val="20"/>
          <w:szCs w:val="20"/>
          <w:color w:val="auto"/>
        </w:rPr>
      </w:pPr>
    </w:p>
    <w:p>
      <w:pPr>
        <w:jc w:val="both"/>
        <w:ind w:right="60"/>
        <w:spacing w:after="0" w:line="337" w:lineRule="auto"/>
        <w:rPr>
          <w:sz w:val="20"/>
          <w:szCs w:val="20"/>
          <w:color w:val="auto"/>
        </w:rPr>
      </w:pPr>
      <w:r>
        <w:rPr>
          <w:rFonts w:ascii="Arial" w:cs="Arial" w:eastAsia="Arial" w:hAnsi="Arial"/>
          <w:sz w:val="13"/>
          <w:szCs w:val="13"/>
          <w:color w:val="auto"/>
        </w:rPr>
        <w:t>GM plans to repay the United States, Canadian and Ontario government loans in quarterly installments from escrowed funds, beginning next month with an initial $1.2 billion payment to be made in December ($1.0 billion to the UST and $192 million to the EDC), followed by quarterly payments. Any escrowed funds available as of June 30, 2010 would be used to repay the UST and EDC loans unless the escrowed funds were extended one year by the UST. Any balance of funds would be released to GM after the repayment of the UST and EDC loans.</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In addition, the company has begun to repay the German government loans which were extended to support Opel, and had a balance of €900 million (~US$1.3 billion) as of</w:t>
      </w:r>
    </w:p>
    <w:p>
      <w:pPr>
        <w:spacing w:after="0" w:line="22"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color w:val="auto"/>
        </w:rPr>
        <w:t>September 30, 2009. Opel has already repaid €500 million (~US$0.7 billion) of that in November, and will repay the remaining €400 million (~US$0.6 billion) balance by the end of the month. The cash balance in Europe as of September 30, 2009 was US$2.9 billion.</w:t>
      </w:r>
    </w:p>
    <w:p>
      <w:pPr>
        <w:spacing w:after="0" w:line="10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GM’s total debt as of September 30, 2009 was $17 billion, including $6.7 billion in U.S. government loans, $1.4 billion in Canadian government loans, $1.3 billion in German government loans and $7.6 billion in other debt globally. The $17 billion debt level does not include the UAW or CAW VEBA notes or preferred stock, which are $2.5 billion, $0.7 billion and $9 billion,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40"/>
          </w:cols>
          <w:pgMar w:left="240" w:top="262" w:right="219" w:bottom="1440" w:gutter="0" w:footer="0" w:header="0"/>
        </w:sectPr>
      </w:pPr>
    </w:p>
    <w:bookmarkStart w:id="7" w:name="page8"/>
    <w:bookmarkEnd w:id="7"/>
    <w:p>
      <w:pPr>
        <w:ind w:right="480"/>
        <w:spacing w:after="0" w:line="29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While GM has reached settlements for the UAW and CAW VEBAs, the debt associated with the agreements will not be recognized until all preconditions are met and they become effective, which will be December 31, 2009 or later. Prior to the start of the new GM, total debt of Old GM was $94.7 billion as of July 9, 2009.</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Looking Ahead</w:t>
      </w:r>
    </w:p>
    <w:p>
      <w:pPr>
        <w:spacing w:after="0" w:line="90" w:lineRule="exact"/>
        <w:rPr>
          <w:sz w:val="20"/>
          <w:szCs w:val="20"/>
          <w:color w:val="auto"/>
        </w:rPr>
      </w:pPr>
    </w:p>
    <w:p>
      <w:pPr>
        <w:ind w:right="220"/>
        <w:spacing w:after="0" w:line="305" w:lineRule="auto"/>
        <w:rPr>
          <w:sz w:val="20"/>
          <w:szCs w:val="20"/>
          <w:color w:val="auto"/>
        </w:rPr>
      </w:pPr>
      <w:r>
        <w:rPr>
          <w:rFonts w:ascii="Arial" w:cs="Arial" w:eastAsia="Arial" w:hAnsi="Arial"/>
          <w:sz w:val="14"/>
          <w:szCs w:val="14"/>
          <w:color w:val="auto"/>
        </w:rPr>
        <w:t>Globally, GM expects total vehicle industry volume to moderate in the fourth quarter of 2009, with an estimated SAAR to be approximately 65.4 million units, down from 67.8 million units in the third quarter. Following the expiration of the successful ‘Cash for Clunkers’ stimulus program in the U.S. which contributed to GM’s strong sales in the third quarter, the company anticipates the U.S. industry total vehicle SAAR volume in the fourth quarter will be approximately 10.7 million units, compared to 11.7 million units in the third quarter.</w:t>
      </w:r>
    </w:p>
    <w:p>
      <w:pPr>
        <w:spacing w:after="0" w:line="92"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Looking ahead to 2010, GM anticipates modest growth, with total industry volumes estimated at 62 to 65 million units, with a modest recovery in the U.S. market where the outlook for the 2010 calendar year for total vehicles is estimated at 11-12 million units.</w:t>
      </w:r>
    </w:p>
    <w:p>
      <w:pPr>
        <w:spacing w:after="0" w:line="99"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GM expects to have negative net cash flows in the fourth quarter of 2009 due to a number of factors including cash outflows relating to the Delphi settlement of $2.8 billion, the working capital impact of payment term adjustments of approximately $2 billion, payments for U.S., Canada, Ontario and Germany government loans of approximately $2.5 billion and continuing restructuring cash costs of approximately $1 billion. As a result, global cash balances at the end of 2009 are expected to be materially lower than third quarter levels of $42.6 billion.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 #</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Reneé Rashid-Merem</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313-665-3128 (office)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313-701-8560 (cell)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renee.rashid-merem@gm.com</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Randy Arickx</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313-667-0006 (office)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313-268-7070 (cell)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randy.c.arickx@gm.com</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Tom Wilkinson</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313-667-0366 (office)</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313-378-6233 (cell)</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tom.wilkinson@gm.com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40"/>
          </w:cols>
          <w:pgMar w:left="240" w:top="262" w:right="2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Editors Notes:</w:t>
      </w:r>
    </w:p>
    <w:p>
      <w:pPr>
        <w:spacing w:after="0" w:line="86"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i w:val="1"/>
          <w:iCs w:val="1"/>
          <w:color w:val="auto"/>
        </w:rPr>
        <w:t>Results presented in this press release reflect unaudited condensed consolidated managerial results for the new company for the period July 10 through September 30, 2009, unless otherwise noted as the full quarter. The managerial financial statements do not comply with Generally Accepted Accounting Principles (GAAP), as they do not reflect the application of Fresh Start reporting for the new company, which encompasses the determination of the fair value of its assets and liabilities. Assets and liabilities are currently based on the historical cost basis acquired from Motors Liquidation Company or Old GM. GM continues to analyze time periods in which revenues and expenses were recorded along with allocations of certain assets and liabilities as acquired from Old GM. As a new company, results for GM are not comparable to prior period information for Motors Liquidation Company. GM intends to complete its Fresh Start reporting by March 31, 2010. The company intends to file a Form 8-K with the SEC today for the three- and nine-month periods ended September 30, 2009, encompassing information for both GM and its predecessor company, Motors Liquidation Company.</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Forward-Looking Statements:</w:t>
      </w:r>
    </w:p>
    <w:p>
      <w:pPr>
        <w:spacing w:after="0" w:line="86" w:lineRule="exact"/>
        <w:rPr>
          <w:sz w:val="20"/>
          <w:szCs w:val="20"/>
          <w:color w:val="auto"/>
        </w:rPr>
      </w:pPr>
    </w:p>
    <w:p>
      <w:pPr>
        <w:spacing w:after="0" w:line="265" w:lineRule="auto"/>
        <w:rPr>
          <w:sz w:val="20"/>
          <w:szCs w:val="20"/>
          <w:color w:val="auto"/>
        </w:rPr>
      </w:pPr>
      <w:r>
        <w:rPr>
          <w:rFonts w:ascii="Arial" w:cs="Arial" w:eastAsia="Arial" w:hAnsi="Arial"/>
          <w:sz w:val="15"/>
          <w:szCs w:val="15"/>
          <w:i w:val="1"/>
          <w:iCs w:val="1"/>
          <w:color w:val="auto"/>
        </w:rPr>
        <w:t>In this press release and in related comments by our management, our use of the words “expect,” “anticipate,” “ensure,” “promote,” “target,” “believe,” “improve,” “intend,” “enable,” “continue,” “will,”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comply with the requirements of our credit agreements with the U.S. Treasury as well as the EDC and VEBA; our ability to maintain adequate liquidity and financing sources and an appropriate level of debt; our ability to realize production efficiencies and to achieve reductions in costs as a result of our restructuring initiatives and labor modifications; our ability to restore consumers’ confidence in our viability as a continuing entity and our ability to continue to attract customers, particularly for our new products, including cars and crossover vehicles; significant changes in the competitive environment and the effect of competition on our markets, including on our pricing policies; and overall strength and stability of general economic conditions and of the automotive industry, both in the United States and in global markets.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About General Motors:</w:t>
      </w:r>
    </w:p>
    <w:p>
      <w:pPr>
        <w:spacing w:after="0" w:line="86" w:lineRule="exact"/>
        <w:rPr>
          <w:sz w:val="20"/>
          <w:szCs w:val="20"/>
          <w:color w:val="auto"/>
        </w:rPr>
      </w:pPr>
    </w:p>
    <w:p>
      <w:pPr>
        <w:spacing w:after="0" w:line="304" w:lineRule="auto"/>
        <w:rPr>
          <w:sz w:val="20"/>
          <w:szCs w:val="20"/>
          <w:color w:val="auto"/>
        </w:rPr>
      </w:pPr>
      <w:r>
        <w:rPr>
          <w:rFonts w:ascii="Arial" w:cs="Arial" w:eastAsia="Arial" w:hAnsi="Arial"/>
          <w:sz w:val="13"/>
          <w:szCs w:val="13"/>
          <w:i w:val="1"/>
          <w:iCs w:val="1"/>
          <w:color w:val="auto"/>
        </w:rPr>
        <w:t>GM, one of the world’s largest automakers, traces its roots back to 1908. With its global headquarters in Detroit, GM employs 209,000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the United Kingdom, Canada, Russia and Germany. GM’s OnStar subsidiary is the industry leader in vehicle safety, security and information services. GM acquired its operations from Motors Liquidation Company on</w:t>
      </w:r>
    </w:p>
    <w:p>
      <w:pPr>
        <w:spacing w:after="0" w:line="1" w:lineRule="exact"/>
        <w:rPr>
          <w:sz w:val="20"/>
          <w:szCs w:val="20"/>
          <w:color w:val="auto"/>
        </w:rPr>
      </w:pPr>
    </w:p>
    <w:p>
      <w:pPr>
        <w:ind w:right="120"/>
        <w:spacing w:after="0" w:line="283" w:lineRule="auto"/>
        <w:rPr>
          <w:sz w:val="20"/>
          <w:szCs w:val="20"/>
          <w:color w:val="auto"/>
        </w:rPr>
      </w:pPr>
      <w:r>
        <w:rPr>
          <w:rFonts w:ascii="Arial" w:cs="Arial" w:eastAsia="Arial" w:hAnsi="Arial"/>
          <w:sz w:val="15"/>
          <w:szCs w:val="15"/>
          <w:i w:val="1"/>
          <w:iCs w:val="1"/>
          <w:color w:val="auto"/>
        </w:rPr>
        <w:t xml:space="preserve">July 10, 2009, and references to prior periods in this and other press materials refer to operations of Motors Liquidation Company or Old GM. More information on the new GM can be found at </w:t>
      </w:r>
      <w:r>
        <w:rPr>
          <w:rFonts w:ascii="Arial" w:cs="Arial" w:eastAsia="Arial" w:hAnsi="Arial"/>
          <w:sz w:val="15"/>
          <w:szCs w:val="15"/>
          <w:i w:val="1"/>
          <w:iCs w:val="1"/>
          <w:u w:val="single" w:color="auto"/>
          <w:color w:val="auto"/>
        </w:rPr>
        <w:t>www.gm.com</w:t>
      </w:r>
      <w:r>
        <w:rPr>
          <w:rFonts w:ascii="Arial" w:cs="Arial" w:eastAsia="Arial" w:hAnsi="Arial"/>
          <w:sz w:val="15"/>
          <w:szCs w:val="15"/>
          <w:i w:val="1"/>
          <w:iCs w:val="1"/>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62" w:right="239" w:bottom="1440" w:gutter="0" w:footer="0" w:header="0"/>
        </w:sectPr>
      </w:pPr>
    </w:p>
    <w:bookmarkStart w:id="9" w:name="page10"/>
    <w:bookmarkEnd w:id="9"/>
    <w:p>
      <w:pPr>
        <w:ind w:left="54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Exhibit 1</w:t>
      </w:r>
    </w:p>
    <w:p>
      <w:pPr>
        <w:spacing w:after="0" w:line="157" w:lineRule="exact"/>
        <w:rPr>
          <w:sz w:val="20"/>
          <w:szCs w:val="20"/>
          <w:color w:val="auto"/>
        </w:rPr>
      </w:pPr>
    </w:p>
    <w:p>
      <w:pPr>
        <w:ind w:left="4300"/>
        <w:spacing w:after="0"/>
        <w:rPr>
          <w:sz w:val="20"/>
          <w:szCs w:val="20"/>
          <w:color w:val="auto"/>
        </w:rPr>
      </w:pPr>
      <w:r>
        <w:rPr>
          <w:rFonts w:ascii="Arial" w:cs="Arial" w:eastAsia="Arial" w:hAnsi="Arial"/>
          <w:sz w:val="15"/>
          <w:szCs w:val="15"/>
          <w:b w:val="1"/>
          <w:bCs w:val="1"/>
          <w:color w:val="auto"/>
        </w:rPr>
        <w:t>General Motors Company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Supplemental Material</w:t>
      </w:r>
    </w:p>
    <w:p>
      <w:pPr>
        <w:spacing w:after="0" w:line="151" w:lineRule="exact"/>
        <w:rPr>
          <w:sz w:val="20"/>
          <w:szCs w:val="20"/>
          <w:color w:val="auto"/>
        </w:rPr>
      </w:pPr>
    </w:p>
    <w:p>
      <w:pPr>
        <w:jc w:val="both"/>
        <w:ind w:right="200" w:firstLine="457"/>
        <w:spacing w:after="0" w:line="276" w:lineRule="auto"/>
        <w:rPr>
          <w:sz w:val="20"/>
          <w:szCs w:val="20"/>
          <w:color w:val="auto"/>
        </w:rPr>
      </w:pPr>
      <w:r>
        <w:rPr>
          <w:rFonts w:ascii="Arial" w:cs="Arial" w:eastAsia="Arial" w:hAnsi="Arial"/>
          <w:sz w:val="15"/>
          <w:szCs w:val="15"/>
          <w:color w:val="auto"/>
        </w:rPr>
        <w:t>In accordance with the agreement with the SEC staff, the accompanying unaudited condensed consolidated managerial financial statements include the financial statements and related information of Old GM, the entity from whom GM purchased substantially all of the assets and assumed certain liabilities and obligations. Prior to July 10, 2009 the business of GM was operated by Old GM, GM’s predecessor entity for accounting and financial reporting purposes.</w:t>
      </w:r>
    </w:p>
    <w:p>
      <w:pPr>
        <w:spacing w:after="0" w:line="110" w:lineRule="exact"/>
        <w:rPr>
          <w:sz w:val="20"/>
          <w:szCs w:val="20"/>
          <w:color w:val="auto"/>
        </w:rPr>
      </w:pPr>
    </w:p>
    <w:p>
      <w:pPr>
        <w:ind w:right="300" w:firstLine="457"/>
        <w:spacing w:after="0" w:line="291" w:lineRule="auto"/>
        <w:rPr>
          <w:sz w:val="20"/>
          <w:szCs w:val="20"/>
          <w:color w:val="auto"/>
        </w:rPr>
      </w:pPr>
      <w:r>
        <w:rPr>
          <w:rFonts w:ascii="Arial" w:cs="Arial" w:eastAsia="Arial" w:hAnsi="Arial"/>
          <w:sz w:val="15"/>
          <w:szCs w:val="15"/>
          <w:color w:val="auto"/>
        </w:rPr>
        <w:t>The 363 Sale resulted in a new entity, General Motors Company, which is the successor entity for accounting and financial reporting purposes. Because GM is a new reporting entity, the financial statements are not comparable to the financial statements of Old GM.</w:t>
      </w:r>
    </w:p>
    <w:p>
      <w:pPr>
        <w:spacing w:after="0" w:line="99" w:lineRule="exact"/>
        <w:rPr>
          <w:sz w:val="20"/>
          <w:szCs w:val="20"/>
          <w:color w:val="auto"/>
        </w:rPr>
      </w:pPr>
    </w:p>
    <w:p>
      <w:pPr>
        <w:ind w:right="420" w:firstLine="457"/>
        <w:spacing w:after="0" w:line="291" w:lineRule="auto"/>
        <w:rPr>
          <w:sz w:val="20"/>
          <w:szCs w:val="20"/>
          <w:color w:val="auto"/>
        </w:rPr>
      </w:pPr>
      <w:r>
        <w:rPr>
          <w:rFonts w:ascii="Arial" w:cs="Arial" w:eastAsia="Arial" w:hAnsi="Arial"/>
          <w:sz w:val="15"/>
          <w:szCs w:val="15"/>
          <w:color w:val="auto"/>
        </w:rPr>
        <w:t>Also consistent with the no-action relief granted by the SEC staff, these unaudited condensed consolidated managerial financial statements do not comply with United States generally accepted accounting principles (U.S. GAAP).</w:t>
      </w:r>
    </w:p>
    <w:p>
      <w:pPr>
        <w:spacing w:after="0" w:line="99" w:lineRule="exact"/>
        <w:rPr>
          <w:sz w:val="20"/>
          <w:szCs w:val="20"/>
          <w:color w:val="auto"/>
        </w:rPr>
      </w:pPr>
    </w:p>
    <w:p>
      <w:pPr>
        <w:ind w:right="100" w:firstLine="457"/>
        <w:spacing w:after="0" w:line="290" w:lineRule="auto"/>
        <w:rPr>
          <w:sz w:val="20"/>
          <w:szCs w:val="20"/>
          <w:color w:val="auto"/>
        </w:rPr>
      </w:pPr>
      <w:r>
        <w:rPr>
          <w:rFonts w:ascii="Arial" w:cs="Arial" w:eastAsia="Arial" w:hAnsi="Arial"/>
          <w:sz w:val="14"/>
          <w:szCs w:val="14"/>
          <w:color w:val="auto"/>
        </w:rPr>
        <w:t>This press release, the accompanying tables and the charts for analysts include unaudited condensed consolidated managerial financial statements which do not comply with U.S. GAAP. They do not reflect any adjustments which would result from the application of fresh-start reporting pursuant to Accounting Standards Codification topic (ASC) 852, “Reorganizations” including, for example, fresh-start adjustments resulting from asset and liability valuations (including the adjustments required to allocate GM’s business enterprise value to its assets and liabilities in conformity with the procedures specified in ASC 805, “Business Combinations”). GM continues to analyze the time period in which revenues and expenses were recorded in addition to the allocation of assets and liabilities at July 10, 2009 between GM and Old GM. Accordingly, these unaudited condensed consolidated managerial financial statements utilize the historical cost basis of the assets and liabilities of Old GM prior to the 363 Sale.</w:t>
      </w:r>
    </w:p>
    <w:p>
      <w:pPr>
        <w:spacing w:after="0" w:line="103" w:lineRule="exact"/>
        <w:rPr>
          <w:sz w:val="20"/>
          <w:szCs w:val="20"/>
          <w:color w:val="auto"/>
        </w:rPr>
      </w:pPr>
    </w:p>
    <w:p>
      <w:pPr>
        <w:ind w:right="80" w:firstLine="457"/>
        <w:spacing w:after="0" w:line="271" w:lineRule="auto"/>
        <w:rPr>
          <w:sz w:val="20"/>
          <w:szCs w:val="20"/>
          <w:color w:val="auto"/>
        </w:rPr>
      </w:pPr>
      <w:r>
        <w:rPr>
          <w:rFonts w:ascii="Arial" w:cs="Arial" w:eastAsia="Arial" w:hAnsi="Arial"/>
          <w:sz w:val="15"/>
          <w:szCs w:val="15"/>
          <w:color w:val="auto"/>
        </w:rPr>
        <w:t>These unaudited condensed consolidated managerial financial statements will change when U.S. GAAP is applied. Such changes could be and are likely to be material. Further, because these unaudited condensed consolidated managerial financial statements have not been prepared in accordance with U.S. GAAP, they have limitations, are not comparable to similarly titled financial statements of other companies and should not be considered as a substitute for financial statements prepared in accordance with U.S. GAAP or other measures of performance or liquidity prepared in accordance with U.S. GAAP.</w:t>
      </w:r>
    </w:p>
    <w:p>
      <w:pPr>
        <w:spacing w:after="0" w:line="115" w:lineRule="exact"/>
        <w:rPr>
          <w:sz w:val="20"/>
          <w:szCs w:val="20"/>
          <w:color w:val="auto"/>
        </w:rPr>
      </w:pPr>
    </w:p>
    <w:p>
      <w:pPr>
        <w:ind w:right="360" w:firstLine="457"/>
        <w:spacing w:after="0" w:line="291" w:lineRule="auto"/>
        <w:rPr>
          <w:sz w:val="20"/>
          <w:szCs w:val="20"/>
          <w:color w:val="auto"/>
        </w:rPr>
      </w:pPr>
      <w:r>
        <w:rPr>
          <w:rFonts w:ascii="Arial" w:cs="Arial" w:eastAsia="Arial" w:hAnsi="Arial"/>
          <w:sz w:val="15"/>
          <w:szCs w:val="15"/>
          <w:color w:val="auto"/>
        </w:rPr>
        <w:t>GM will file a Form 10-Q for the period ended September 30, 2009 and Form 10-K for the period ending December 31, 2009 with the SEC in 2010 that will include financial statements that comply with U.S. GAAP and the rules and regulations of the SEC.</w:t>
      </w:r>
    </w:p>
    <w:p>
      <w:pPr>
        <w:spacing w:after="0" w:line="99" w:lineRule="exact"/>
        <w:rPr>
          <w:sz w:val="20"/>
          <w:szCs w:val="20"/>
          <w:color w:val="auto"/>
        </w:rPr>
      </w:pPr>
    </w:p>
    <w:p>
      <w:pPr>
        <w:ind w:right="40" w:firstLine="457"/>
        <w:spacing w:after="0" w:line="291" w:lineRule="auto"/>
        <w:rPr>
          <w:sz w:val="20"/>
          <w:szCs w:val="20"/>
          <w:color w:val="auto"/>
        </w:rPr>
      </w:pPr>
      <w:r>
        <w:rPr>
          <w:rFonts w:ascii="Arial" w:cs="Arial" w:eastAsia="Arial" w:hAnsi="Arial"/>
          <w:sz w:val="15"/>
          <w:szCs w:val="15"/>
          <w:color w:val="auto"/>
        </w:rPr>
        <w:t>These unaudited condensed consolidated managerial financial statements have not been audited or reviewed by our independent auditors and, accordingly, they express no opinion or any other form of assurance on them.</w:t>
      </w:r>
    </w:p>
    <w:p>
      <w:pPr>
        <w:spacing w:after="0" w:line="99" w:lineRule="exact"/>
        <w:rPr>
          <w:sz w:val="20"/>
          <w:szCs w:val="20"/>
          <w:color w:val="auto"/>
        </w:rPr>
      </w:pPr>
    </w:p>
    <w:p>
      <w:pPr>
        <w:ind w:firstLine="457"/>
        <w:spacing w:after="0" w:line="296" w:lineRule="auto"/>
        <w:rPr>
          <w:sz w:val="20"/>
          <w:szCs w:val="20"/>
          <w:color w:val="auto"/>
        </w:rPr>
      </w:pPr>
      <w:r>
        <w:rPr>
          <w:rFonts w:ascii="Arial" w:cs="Arial" w:eastAsia="Arial" w:hAnsi="Arial"/>
          <w:sz w:val="14"/>
          <w:szCs w:val="14"/>
          <w:color w:val="auto"/>
        </w:rPr>
        <w:t>This press release and the charts for analysts also include the following adjusted financial measures, which are based on the unaudited condensed consolidated managerial financial statements: (1) adjusted managerial net income; (2) adjusted managerial earnings before interest and income tax; and (3) managerial cash flow. Certain prior period amounts have been reclassified in the consolidated managerial statements of operations and related summaries to conform to the current period presentation, primarily due to the adoption of ASC 810-10, “Consolidation” and ASC 470-20, “Debt with Conversions and Other Options,” which have retrospective application.</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258" w:right="21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Supplemental Material</w:t>
      </w:r>
    </w:p>
    <w:p>
      <w:pPr>
        <w:spacing w:after="0" w:line="151" w:lineRule="exact"/>
        <w:rPr>
          <w:sz w:val="20"/>
          <w:szCs w:val="20"/>
          <w:color w:val="auto"/>
        </w:rPr>
      </w:pPr>
    </w:p>
    <w:p>
      <w:pPr>
        <w:ind w:firstLine="457"/>
        <w:spacing w:after="0" w:line="266" w:lineRule="auto"/>
        <w:rPr>
          <w:sz w:val="20"/>
          <w:szCs w:val="20"/>
          <w:color w:val="auto"/>
        </w:rPr>
      </w:pPr>
      <w:r>
        <w:rPr>
          <w:rFonts w:ascii="Arial" w:cs="Arial" w:eastAsia="Arial" w:hAnsi="Arial"/>
          <w:sz w:val="15"/>
          <w:szCs w:val="15"/>
          <w:color w:val="auto"/>
        </w:rPr>
        <w:t>Management believes these adjusted financial measures provide meaningful supplemental information regarding GM’s operating results because they exclude amounts that GM management does not consider part of operating results when assessing and measuring the operational and financial performance of the organization. GM management believes these measures allow it to readily view operating trends, perform analytical comparisons, benchmark performance among geographic regions and assess whether GM’s plan to return to profitability is on target. Also, GM management uses adjusted net income and adjusted earnings before interest and income taxes for forecasting purposes and in determining future capital investment allocations. Accordingly, GM believes these financial measures are useful in allowing for greater transparency of supplemental information used by management in its financial and operational decision-making. While GM believes that these adjusted financial measures provide useful supplemental information, there are limitations associated with the use of these adjusted financial measures.</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40"/>
          </w:cols>
          <w:pgMar w:left="240" w:top="258" w:right="319" w:bottom="1440" w:gutter="0" w:footer="0" w:header="0"/>
        </w:sectPr>
      </w:pPr>
    </w:p>
    <w:bookmarkStart w:id="11" w:name="page12"/>
    <w:bookmarkEnd w:id="11"/>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Schedule of Special Items</w:t>
      </w:r>
    </w:p>
    <w:p>
      <w:pPr>
        <w:spacing w:after="0" w:line="151" w:lineRule="exact"/>
        <w:rPr>
          <w:sz w:val="20"/>
          <w:szCs w:val="20"/>
          <w:color w:val="auto"/>
        </w:rPr>
      </w:pPr>
    </w:p>
    <w:p>
      <w:pPr>
        <w:jc w:val="center"/>
        <w:ind w:right="-5"/>
        <w:spacing w:after="0"/>
        <w:rPr>
          <w:sz w:val="20"/>
          <w:szCs w:val="20"/>
          <w:color w:val="auto"/>
        </w:rPr>
      </w:pPr>
      <w:r>
        <w:rPr>
          <w:rFonts w:ascii="Arial" w:cs="Arial" w:eastAsia="Arial" w:hAnsi="Arial"/>
          <w:sz w:val="15"/>
          <w:szCs w:val="15"/>
          <w:i w:val="1"/>
          <w:iCs w:val="1"/>
          <w:color w:val="auto"/>
        </w:rPr>
        <w:t>(Dollars in millions)</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15"/>
          <w:szCs w:val="15"/>
          <w:i w:val="1"/>
          <w:iCs w:val="1"/>
          <w:color w:val="auto"/>
        </w:rPr>
        <w:t>(Unaudited)</w:t>
      </w:r>
    </w:p>
    <w:p>
      <w:pPr>
        <w:spacing w:after="0" w:line="193"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Borders>
              <w:right w:val="single" w:sz="8" w:color="auto"/>
            </w:tcBorders>
            <w:gridSpan w:val="2"/>
          </w:tcPr>
          <w:p>
            <w:pPr>
              <w:jc w:val="center"/>
              <w:ind w:right="760"/>
              <w:spacing w:after="0"/>
              <w:rPr>
                <w:sz w:val="20"/>
                <w:szCs w:val="20"/>
                <w:color w:val="auto"/>
              </w:rPr>
            </w:pPr>
            <w:r>
              <w:rPr>
                <w:rFonts w:ascii="Arial" w:cs="Arial" w:eastAsia="Arial" w:hAnsi="Arial"/>
                <w:sz w:val="12"/>
                <w:szCs w:val="12"/>
                <w:b w:val="1"/>
                <w:bCs w:val="1"/>
                <w:color w:val="auto"/>
                <w:w w:val="78"/>
              </w:rPr>
              <w:t>Successor</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4"/>
          </w:tcPr>
          <w:p>
            <w:pPr>
              <w:jc w:val="right"/>
              <w:ind w:right="960"/>
              <w:spacing w:after="0"/>
              <w:rPr>
                <w:sz w:val="20"/>
                <w:szCs w:val="20"/>
                <w:color w:val="auto"/>
              </w:rPr>
            </w:pPr>
            <w:r>
              <w:rPr>
                <w:rFonts w:ascii="Arial" w:cs="Arial" w:eastAsia="Arial" w:hAnsi="Arial"/>
                <w:sz w:val="12"/>
                <w:szCs w:val="12"/>
                <w:b w:val="1"/>
                <w:bCs w:val="1"/>
                <w:color w:val="auto"/>
                <w:w w:val="94"/>
              </w:rPr>
              <w:t>Predecessor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ind w:right="46"/>
              <w:spacing w:after="0" w:line="110" w:lineRule="exact"/>
              <w:rPr>
                <w:sz w:val="20"/>
                <w:szCs w:val="20"/>
                <w:color w:val="auto"/>
              </w:rPr>
            </w:pPr>
            <w:r>
              <w:rPr>
                <w:rFonts w:ascii="Arial" w:cs="Arial" w:eastAsia="Arial" w:hAnsi="Arial"/>
                <w:sz w:val="12"/>
                <w:szCs w:val="12"/>
                <w:b w:val="1"/>
                <w:bCs w:val="1"/>
                <w:color w:val="auto"/>
                <w:w w:val="89"/>
              </w:rPr>
              <w:t>July 10, 2009</w:t>
            </w:r>
          </w:p>
        </w:tc>
        <w:tc>
          <w:tcPr>
            <w:tcW w:w="62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July 1, 2009</w:t>
            </w:r>
          </w:p>
        </w:tc>
        <w:tc>
          <w:tcPr>
            <w:tcW w:w="2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January 1, 2009</w:t>
            </w: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tcPr>
          <w:p>
            <w:pPr>
              <w:jc w:val="right"/>
              <w:ind w:right="440"/>
              <w:spacing w:after="0" w:line="110" w:lineRule="exact"/>
              <w:rPr>
                <w:sz w:val="20"/>
                <w:szCs w:val="20"/>
                <w:color w:val="auto"/>
              </w:rPr>
            </w:pPr>
            <w:r>
              <w:rPr>
                <w:rFonts w:ascii="Arial" w:cs="Arial" w:eastAsia="Arial" w:hAnsi="Arial"/>
                <w:sz w:val="12"/>
                <w:szCs w:val="12"/>
                <w:b w:val="1"/>
                <w:bCs w:val="1"/>
                <w:color w:val="auto"/>
                <w:w w:val="91"/>
              </w:rPr>
              <w:t>Three Months</w:t>
            </w: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ind w:right="85"/>
              <w:spacing w:after="0" w:line="110" w:lineRule="exact"/>
              <w:rPr>
                <w:sz w:val="20"/>
                <w:szCs w:val="20"/>
                <w:color w:val="auto"/>
              </w:rPr>
            </w:pPr>
            <w:r>
              <w:rPr>
                <w:rFonts w:ascii="Arial" w:cs="Arial" w:eastAsia="Arial" w:hAnsi="Arial"/>
                <w:sz w:val="12"/>
                <w:szCs w:val="12"/>
                <w:b w:val="1"/>
                <w:bCs w:val="1"/>
                <w:color w:val="auto"/>
                <w:w w:val="94"/>
              </w:rPr>
              <w:t>Nine Months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Borders>
              <w:right w:val="single" w:sz="8" w:color="auto"/>
            </w:tcBorders>
            <w:gridSpan w:val="2"/>
          </w:tcPr>
          <w:p>
            <w:pPr>
              <w:jc w:val="center"/>
              <w:ind w:right="760"/>
              <w:spacing w:after="0" w:line="129" w:lineRule="exact"/>
              <w:rPr>
                <w:sz w:val="20"/>
                <w:szCs w:val="20"/>
                <w:color w:val="auto"/>
              </w:rPr>
            </w:pPr>
            <w:r>
              <w:rPr>
                <w:rFonts w:ascii="Arial" w:cs="Arial" w:eastAsia="Arial" w:hAnsi="Arial"/>
                <w:sz w:val="12"/>
                <w:szCs w:val="12"/>
                <w:b w:val="1"/>
                <w:bCs w:val="1"/>
                <w:color w:val="auto"/>
                <w:w w:val="90"/>
              </w:rPr>
              <w:t>Through</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380"/>
              <w:spacing w:after="0" w:line="129" w:lineRule="exact"/>
              <w:rPr>
                <w:sz w:val="20"/>
                <w:szCs w:val="20"/>
                <w:color w:val="auto"/>
              </w:rPr>
            </w:pPr>
            <w:r>
              <w:rPr>
                <w:rFonts w:ascii="Arial" w:cs="Arial" w:eastAsia="Arial" w:hAnsi="Arial"/>
                <w:sz w:val="12"/>
                <w:szCs w:val="12"/>
                <w:b w:val="1"/>
                <w:bCs w:val="1"/>
                <w:color w:val="auto"/>
                <w:w w:val="86"/>
              </w:rPr>
              <w:t>Through</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340"/>
              <w:spacing w:after="0" w:line="129" w:lineRule="exact"/>
              <w:rPr>
                <w:sz w:val="20"/>
                <w:szCs w:val="20"/>
                <w:color w:val="auto"/>
              </w:rPr>
            </w:pPr>
            <w:r>
              <w:rPr>
                <w:rFonts w:ascii="Arial" w:cs="Arial" w:eastAsia="Arial" w:hAnsi="Arial"/>
                <w:sz w:val="12"/>
                <w:szCs w:val="12"/>
                <w:b w:val="1"/>
                <w:bCs w:val="1"/>
                <w:color w:val="auto"/>
              </w:rPr>
              <w:t>Through</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right"/>
              <w:ind w:right="620"/>
              <w:spacing w:after="0" w:line="129" w:lineRule="exact"/>
              <w:rPr>
                <w:sz w:val="20"/>
                <w:szCs w:val="20"/>
                <w:color w:val="auto"/>
              </w:rPr>
            </w:pPr>
            <w:r>
              <w:rPr>
                <w:rFonts w:ascii="Arial" w:cs="Arial" w:eastAsia="Arial" w:hAnsi="Arial"/>
                <w:sz w:val="12"/>
                <w:szCs w:val="12"/>
                <w:b w:val="1"/>
                <w:bCs w:val="1"/>
                <w:color w:val="auto"/>
              </w:rPr>
              <w:t>Ended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40"/>
              <w:spacing w:after="0" w:line="129"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September 30, 2009</w:t>
            </w:r>
          </w:p>
        </w:tc>
        <w:tc>
          <w:tcPr>
            <w:tcW w:w="44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July 9, 2009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8"/>
              </w:rPr>
              <w:t>July 9, 2009</w:t>
            </w:r>
          </w:p>
        </w:tc>
        <w:tc>
          <w:tcPr>
            <w:tcW w:w="380" w:type="dxa"/>
            <w:vAlign w:val="bottom"/>
          </w:tcPr>
          <w:p>
            <w:pPr>
              <w:spacing w:after="0"/>
              <w:rPr>
                <w:sz w:val="12"/>
                <w:szCs w:val="12"/>
                <w:color w:val="auto"/>
              </w:rPr>
            </w:pP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September 30, 2008</w:t>
            </w:r>
          </w:p>
        </w:tc>
        <w:tc>
          <w:tcPr>
            <w:tcW w:w="240" w:type="dxa"/>
            <w:vAlign w:val="bottom"/>
          </w:tcPr>
          <w:p>
            <w:pPr>
              <w:spacing w:after="0"/>
              <w:rPr>
                <w:sz w:val="12"/>
                <w:szCs w:val="12"/>
                <w:color w:val="auto"/>
              </w:rPr>
            </w:pP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w w:val="94"/>
              </w:rPr>
              <w:t>September 30, 2008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Managerial results</w:t>
            </w:r>
          </w:p>
        </w:tc>
        <w:tc>
          <w:tcPr>
            <w:tcW w:w="1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gridSpan w:val="2"/>
          </w:tcPr>
          <w:p>
            <w:pPr>
              <w:ind w:left="360"/>
              <w:spacing w:after="0"/>
              <w:rPr>
                <w:sz w:val="20"/>
                <w:szCs w:val="20"/>
                <w:color w:val="auto"/>
              </w:rPr>
            </w:pPr>
            <w:r>
              <w:rPr>
                <w:rFonts w:ascii="Arial" w:cs="Arial" w:eastAsia="Arial" w:hAnsi="Arial"/>
                <w:sz w:val="15"/>
                <w:szCs w:val="15"/>
                <w:color w:val="auto"/>
              </w:rPr>
              <w:t>Earnings before interest and taxes (EBT)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14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5"/>
                <w:szCs w:val="15"/>
                <w:color w:val="auto"/>
              </w:rPr>
              <w:t>(1,016)</w:t>
            </w:r>
          </w:p>
        </w:tc>
        <w:tc>
          <w:tcPr>
            <w:tcW w:w="4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5"/>
                <w:szCs w:val="15"/>
                <w:color w:val="auto"/>
              </w:rPr>
              <w:t>78,836</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57,829</w:t>
            </w:r>
          </w:p>
        </w:tc>
        <w:tc>
          <w:tcPr>
            <w:tcW w:w="160" w:type="dxa"/>
            <w:vAlign w:val="bottom"/>
          </w:tcPr>
          <w:p>
            <w:pPr>
              <w:spacing w:after="0"/>
              <w:rPr>
                <w:sz w:val="16"/>
                <w:szCs w:val="16"/>
                <w:color w:val="auto"/>
              </w:rPr>
            </w:pPr>
          </w:p>
        </w:tc>
        <w:tc>
          <w:tcPr>
            <w:tcW w:w="480" w:type="dxa"/>
            <w:vAlign w:val="bottom"/>
            <w:gridSpan w:val="2"/>
          </w:tcPr>
          <w:p>
            <w:pPr>
              <w:ind w:left="380"/>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(2,484)</w:t>
            </w:r>
          </w:p>
        </w:tc>
        <w:tc>
          <w:tcPr>
            <w:tcW w:w="36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(20,318)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Managerial net income/(loss) attributable to</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20" w:type="dxa"/>
            <w:vAlign w:val="bottom"/>
            <w:tcBorders>
              <w:right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8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rPr>
              <w:t>stockholders</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4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(1,151)</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79,358</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58,909</w:t>
            </w:r>
          </w:p>
        </w:tc>
        <w:tc>
          <w:tcPr>
            <w:tcW w:w="1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(2,552)</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(21,347)</w:t>
            </w:r>
          </w:p>
        </w:tc>
        <w:tc>
          <w:tcPr>
            <w:tcW w:w="0" w:type="dxa"/>
            <w:vAlign w:val="bottom"/>
          </w:tcPr>
          <w:p>
            <w:pPr>
              <w:spacing w:after="0"/>
              <w:rPr>
                <w:sz w:val="1"/>
                <w:szCs w:val="1"/>
                <w:color w:val="auto"/>
              </w:rPr>
            </w:pPr>
          </w:p>
        </w:tc>
      </w:tr>
      <w:tr>
        <w:trPr>
          <w:trHeight w:val="399"/>
        </w:trPr>
        <w:tc>
          <w:tcPr>
            <w:tcW w:w="4300" w:type="dxa"/>
            <w:vAlign w:val="bottom"/>
            <w:gridSpan w:val="3"/>
          </w:tcPr>
          <w:p>
            <w:pPr>
              <w:spacing w:after="0"/>
              <w:rPr>
                <w:sz w:val="20"/>
                <w:szCs w:val="20"/>
                <w:color w:val="auto"/>
              </w:rPr>
            </w:pPr>
            <w:r>
              <w:rPr>
                <w:rFonts w:ascii="Arial" w:cs="Arial" w:eastAsia="Arial" w:hAnsi="Arial"/>
                <w:sz w:val="15"/>
                <w:szCs w:val="15"/>
                <w:b w:val="1"/>
                <w:bCs w:val="1"/>
                <w:color w:val="auto"/>
              </w:rPr>
              <w:t>Pre-tax special items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Restructuring and special attrition programs</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5"/>
                <w:szCs w:val="15"/>
                <w:color w:val="auto"/>
                <w:w w:val="87"/>
              </w:rPr>
              <w:t>452</w:t>
            </w:r>
          </w:p>
        </w:tc>
        <w:tc>
          <w:tcPr>
            <w:tcW w:w="62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384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4,443</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642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gridSpan w:val="2"/>
          </w:tcPr>
          <w:p>
            <w:pPr>
              <w:ind w:left="360"/>
              <w:spacing w:after="0"/>
              <w:rPr>
                <w:sz w:val="20"/>
                <w:szCs w:val="20"/>
                <w:color w:val="auto"/>
              </w:rPr>
            </w:pPr>
            <w:r>
              <w:rPr>
                <w:rFonts w:ascii="Arial" w:cs="Arial" w:eastAsia="Arial" w:hAnsi="Arial"/>
                <w:sz w:val="15"/>
                <w:szCs w:val="15"/>
                <w:color w:val="auto"/>
              </w:rPr>
              <w:t>Delphi related</w:t>
            </w:r>
          </w:p>
        </w:tc>
        <w:tc>
          <w:tcPr>
            <w:tcW w:w="140" w:type="dxa"/>
            <w:vAlign w:val="bottom"/>
          </w:tcPr>
          <w:p>
            <w:pPr>
              <w:spacing w:after="0"/>
              <w:rPr>
                <w:sz w:val="16"/>
                <w:szCs w:val="16"/>
                <w:color w:val="auto"/>
              </w:rPr>
            </w:pPr>
          </w:p>
        </w:tc>
        <w:tc>
          <w:tcPr>
            <w:tcW w:w="860" w:type="dxa"/>
            <w:vAlign w:val="bottom"/>
          </w:tcPr>
          <w:p>
            <w:pPr>
              <w:ind w:left="640"/>
              <w:spacing w:after="0"/>
              <w:rPr>
                <w:sz w:val="20"/>
                <w:szCs w:val="20"/>
                <w:color w:val="auto"/>
              </w:rPr>
            </w:pPr>
            <w:r>
              <w:rPr>
                <w:rFonts w:ascii="Arial" w:cs="Arial" w:eastAsia="Arial" w:hAnsi="Arial"/>
                <w:sz w:val="15"/>
                <w:szCs w:val="15"/>
                <w:color w:val="auto"/>
                <w:w w:val="79"/>
              </w:rPr>
              <w:t>112</w:t>
            </w: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5"/>
                <w:szCs w:val="15"/>
                <w:color w:val="auto"/>
              </w:rPr>
              <w:t>41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988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5"/>
                <w:szCs w:val="15"/>
                <w:color w:val="auto"/>
              </w:rPr>
              <w:t>652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Saab related</w:t>
            </w:r>
          </w:p>
        </w:tc>
        <w:tc>
          <w:tcPr>
            <w:tcW w:w="140" w:type="dxa"/>
            <w:vAlign w:val="bottom"/>
            <w:shd w:val="clear" w:color="auto" w:fill="CCEEFF"/>
          </w:tcPr>
          <w:p>
            <w:pPr>
              <w:spacing w:after="0"/>
              <w:rPr>
                <w:sz w:val="16"/>
                <w:szCs w:val="16"/>
                <w:color w:val="auto"/>
              </w:rPr>
            </w:pPr>
          </w:p>
        </w:tc>
        <w:tc>
          <w:tcPr>
            <w:tcW w:w="14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(59)</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23</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80" w:type="dxa"/>
            <w:vAlign w:val="bottom"/>
            <w:gridSpan w:val="2"/>
          </w:tcPr>
          <w:p>
            <w:pPr>
              <w:ind w:left="360"/>
              <w:spacing w:after="0"/>
              <w:rPr>
                <w:sz w:val="20"/>
                <w:szCs w:val="20"/>
                <w:color w:val="auto"/>
              </w:rPr>
            </w:pPr>
            <w:r>
              <w:rPr>
                <w:rFonts w:ascii="Arial" w:cs="Arial" w:eastAsia="Arial" w:hAnsi="Arial"/>
                <w:sz w:val="15"/>
                <w:szCs w:val="15"/>
                <w:color w:val="auto"/>
              </w:rPr>
              <w:t>Accelerated discount amortization on</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2"/>
          </w:tcPr>
          <w:p>
            <w:pPr>
              <w:ind w:left="360"/>
              <w:spacing w:after="0"/>
              <w:rPr>
                <w:sz w:val="20"/>
                <w:szCs w:val="20"/>
                <w:color w:val="auto"/>
              </w:rPr>
            </w:pPr>
            <w:r>
              <w:rPr>
                <w:rFonts w:ascii="Arial" w:cs="Arial" w:eastAsia="Arial" w:hAnsi="Arial"/>
                <w:sz w:val="15"/>
                <w:szCs w:val="15"/>
                <w:color w:val="auto"/>
              </w:rPr>
              <w:t>DIP financing</w:t>
            </w:r>
          </w:p>
        </w:tc>
        <w:tc>
          <w:tcPr>
            <w:tcW w:w="140" w:type="dxa"/>
            <w:vAlign w:val="bottom"/>
          </w:tcPr>
          <w:p>
            <w:pPr>
              <w:spacing w:after="0"/>
              <w:rPr>
                <w:sz w:val="17"/>
                <w:szCs w:val="17"/>
                <w:color w:val="auto"/>
              </w:rPr>
            </w:pPr>
          </w:p>
        </w:tc>
        <w:tc>
          <w:tcPr>
            <w:tcW w:w="1480" w:type="dxa"/>
            <w:vAlign w:val="bottom"/>
            <w:tcBorders>
              <w:right w:val="single" w:sz="8" w:color="auto"/>
            </w:tcBorders>
            <w:gridSpan w:val="2"/>
          </w:tcPr>
          <w:p>
            <w:pPr>
              <w:ind w:left="6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5"/>
                <w:szCs w:val="15"/>
                <w:color w:val="auto"/>
              </w:rPr>
              <w:t>600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2,220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Reorganization gains, net</w:t>
            </w:r>
          </w:p>
        </w:tc>
        <w:tc>
          <w:tcPr>
            <w:tcW w:w="140" w:type="dxa"/>
            <w:vAlign w:val="bottom"/>
            <w:shd w:val="clear" w:color="auto" w:fill="CCEEFF"/>
          </w:tcPr>
          <w:p>
            <w:pPr>
              <w:spacing w:after="0"/>
              <w:rPr>
                <w:sz w:val="16"/>
                <w:szCs w:val="16"/>
                <w:color w:val="auto"/>
              </w:rPr>
            </w:pPr>
          </w:p>
        </w:tc>
        <w:tc>
          <w:tcPr>
            <w:tcW w:w="148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(80,720)</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(79,563)</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gridSpan w:val="2"/>
          </w:tcPr>
          <w:p>
            <w:pPr>
              <w:ind w:left="360"/>
              <w:spacing w:after="0"/>
              <w:rPr>
                <w:sz w:val="20"/>
                <w:szCs w:val="20"/>
                <w:color w:val="auto"/>
              </w:rPr>
            </w:pPr>
            <w:r>
              <w:rPr>
                <w:rFonts w:ascii="Arial" w:cs="Arial" w:eastAsia="Arial" w:hAnsi="Arial"/>
                <w:sz w:val="15"/>
                <w:szCs w:val="15"/>
                <w:color w:val="auto"/>
              </w:rPr>
              <w:t>GMAC related</w:t>
            </w:r>
          </w:p>
        </w:tc>
        <w:tc>
          <w:tcPr>
            <w:tcW w:w="140" w:type="dxa"/>
            <w:vAlign w:val="bottom"/>
          </w:tcPr>
          <w:p>
            <w:pPr>
              <w:spacing w:after="0"/>
              <w:rPr>
                <w:sz w:val="16"/>
                <w:szCs w:val="16"/>
                <w:color w:val="auto"/>
              </w:rPr>
            </w:pPr>
          </w:p>
        </w:tc>
        <w:tc>
          <w:tcPr>
            <w:tcW w:w="1480" w:type="dxa"/>
            <w:vAlign w:val="bottom"/>
            <w:tcBorders>
              <w:right w:val="single" w:sz="8" w:color="auto"/>
            </w:tcBorders>
            <w:gridSpan w:val="2"/>
          </w:tcPr>
          <w:p>
            <w:pPr>
              <w:ind w:left="6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(868)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5"/>
                <w:szCs w:val="15"/>
                <w:color w:val="auto"/>
              </w:rPr>
              <w:t>251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3,037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Impairments</w:t>
            </w:r>
          </w:p>
        </w:tc>
        <w:tc>
          <w:tcPr>
            <w:tcW w:w="140" w:type="dxa"/>
            <w:vAlign w:val="bottom"/>
            <w:shd w:val="clear" w:color="auto" w:fill="CCEEFF"/>
          </w:tcPr>
          <w:p>
            <w:pPr>
              <w:spacing w:after="0"/>
              <w:rPr>
                <w:sz w:val="16"/>
                <w:szCs w:val="16"/>
                <w:color w:val="auto"/>
              </w:rPr>
            </w:pPr>
          </w:p>
        </w:tc>
        <w:tc>
          <w:tcPr>
            <w:tcW w:w="148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w:t>
            </w: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gridSpan w:val="2"/>
          </w:tcPr>
          <w:p>
            <w:pPr>
              <w:ind w:left="360"/>
              <w:spacing w:after="0"/>
              <w:rPr>
                <w:sz w:val="20"/>
                <w:szCs w:val="20"/>
                <w:color w:val="auto"/>
              </w:rPr>
            </w:pPr>
            <w:r>
              <w:rPr>
                <w:rFonts w:ascii="Arial" w:cs="Arial" w:eastAsia="Arial" w:hAnsi="Arial"/>
                <w:sz w:val="15"/>
                <w:szCs w:val="15"/>
                <w:color w:val="auto"/>
              </w:rPr>
              <w:t>Gain on extinguishment of debt</w:t>
            </w:r>
          </w:p>
        </w:tc>
        <w:tc>
          <w:tcPr>
            <w:tcW w:w="140" w:type="dxa"/>
            <w:vAlign w:val="bottom"/>
          </w:tcPr>
          <w:p>
            <w:pPr>
              <w:spacing w:after="0"/>
              <w:rPr>
                <w:sz w:val="16"/>
                <w:szCs w:val="16"/>
                <w:color w:val="auto"/>
              </w:rPr>
            </w:pPr>
          </w:p>
        </w:tc>
        <w:tc>
          <w:tcPr>
            <w:tcW w:w="1480" w:type="dxa"/>
            <w:vAlign w:val="bottom"/>
            <w:tcBorders>
              <w:right w:val="single" w:sz="8" w:color="auto"/>
            </w:tcBorders>
            <w:gridSpan w:val="2"/>
          </w:tcPr>
          <w:p>
            <w:pPr>
              <w:ind w:left="6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(906)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Salaried post-65 settlement</w:t>
            </w:r>
          </w:p>
        </w:tc>
        <w:tc>
          <w:tcPr>
            <w:tcW w:w="140" w:type="dxa"/>
            <w:vAlign w:val="bottom"/>
            <w:shd w:val="clear" w:color="auto" w:fill="CCEEFF"/>
          </w:tcPr>
          <w:p>
            <w:pPr>
              <w:spacing w:after="0"/>
              <w:rPr>
                <w:sz w:val="16"/>
                <w:szCs w:val="16"/>
                <w:color w:val="auto"/>
              </w:rPr>
            </w:pPr>
          </w:p>
        </w:tc>
        <w:tc>
          <w:tcPr>
            <w:tcW w:w="148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1,704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gridSpan w:val="2"/>
          </w:tcPr>
          <w:p>
            <w:pPr>
              <w:ind w:left="360"/>
              <w:spacing w:after="0"/>
              <w:rPr>
                <w:sz w:val="20"/>
                <w:szCs w:val="20"/>
                <w:color w:val="auto"/>
              </w:rPr>
            </w:pPr>
            <w:r>
              <w:rPr>
                <w:rFonts w:ascii="Arial" w:cs="Arial" w:eastAsia="Arial" w:hAnsi="Arial"/>
                <w:sz w:val="15"/>
                <w:szCs w:val="15"/>
                <w:color w:val="auto"/>
              </w:rPr>
              <w:t>UAW VEBA curtailment gain</w:t>
            </w:r>
          </w:p>
        </w:tc>
        <w:tc>
          <w:tcPr>
            <w:tcW w:w="140" w:type="dxa"/>
            <w:vAlign w:val="bottom"/>
          </w:tcPr>
          <w:p>
            <w:pPr>
              <w:spacing w:after="0"/>
              <w:rPr>
                <w:sz w:val="16"/>
                <w:szCs w:val="16"/>
                <w:color w:val="auto"/>
              </w:rPr>
            </w:pPr>
          </w:p>
        </w:tc>
        <w:tc>
          <w:tcPr>
            <w:tcW w:w="1480" w:type="dxa"/>
            <w:vAlign w:val="bottom"/>
            <w:tcBorders>
              <w:right w:val="single" w:sz="8" w:color="auto"/>
            </w:tcBorders>
            <w:gridSpan w:val="2"/>
          </w:tcPr>
          <w:p>
            <w:pPr>
              <w:ind w:left="62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(4,901)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(4,901)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62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(152)</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gridSpan w:val="2"/>
            <w:vMerge w:val="restart"/>
          </w:tcPr>
          <w:p>
            <w:pPr>
              <w:ind w:left="360"/>
              <w:spacing w:after="0"/>
              <w:rPr>
                <w:sz w:val="20"/>
                <w:szCs w:val="20"/>
                <w:color w:val="auto"/>
              </w:rPr>
            </w:pPr>
            <w:r>
              <w:rPr>
                <w:rFonts w:ascii="Arial" w:cs="Arial" w:eastAsia="Arial" w:hAnsi="Arial"/>
                <w:sz w:val="15"/>
                <w:szCs w:val="15"/>
                <w:color w:val="auto"/>
              </w:rPr>
              <w:t>Total pre-tax special items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ind w:left="620"/>
              <w:spacing w:after="0"/>
              <w:rPr>
                <w:sz w:val="20"/>
                <w:szCs w:val="20"/>
                <w:color w:val="auto"/>
              </w:rPr>
            </w:pPr>
            <w:r>
              <w:rPr>
                <w:rFonts w:ascii="Arial" w:cs="Arial" w:eastAsia="Arial" w:hAnsi="Arial"/>
                <w:sz w:val="15"/>
                <w:szCs w:val="15"/>
                <w:color w:val="auto"/>
                <w:w w:val="87"/>
              </w:rPr>
              <w:t>505</w:t>
            </w: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(79,672)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(72,635)</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(1,653)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9,979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Tax special items</w:t>
            </w:r>
          </w:p>
        </w:tc>
        <w:tc>
          <w:tcPr>
            <w:tcW w:w="140" w:type="dxa"/>
            <w:vAlign w:val="bottom"/>
            <w:shd w:val="clear" w:color="auto" w:fill="CCEEFF"/>
          </w:tcPr>
          <w:p>
            <w:pPr>
              <w:spacing w:after="0"/>
              <w:rPr>
                <w:sz w:val="16"/>
                <w:szCs w:val="16"/>
                <w:color w:val="auto"/>
              </w:rPr>
            </w:pPr>
          </w:p>
        </w:tc>
        <w:tc>
          <w:tcPr>
            <w:tcW w:w="148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gridSpan w:val="2"/>
          </w:tcPr>
          <w:p>
            <w:pPr>
              <w:ind w:left="360"/>
              <w:spacing w:after="0"/>
              <w:rPr>
                <w:sz w:val="20"/>
                <w:szCs w:val="20"/>
                <w:color w:val="auto"/>
              </w:rPr>
            </w:pPr>
            <w:r>
              <w:rPr>
                <w:rFonts w:ascii="Arial" w:cs="Arial" w:eastAsia="Arial" w:hAnsi="Arial"/>
                <w:sz w:val="15"/>
                <w:szCs w:val="15"/>
                <w:color w:val="auto"/>
              </w:rPr>
              <w:t>Net interest expense before special items(a)</w:t>
            </w:r>
          </w:p>
        </w:tc>
        <w:tc>
          <w:tcPr>
            <w:tcW w:w="140" w:type="dxa"/>
            <w:vAlign w:val="bottom"/>
          </w:tcPr>
          <w:p>
            <w:pPr>
              <w:spacing w:after="0"/>
              <w:rPr>
                <w:sz w:val="16"/>
                <w:szCs w:val="16"/>
                <w:color w:val="auto"/>
              </w:rPr>
            </w:pPr>
          </w:p>
        </w:tc>
        <w:tc>
          <w:tcPr>
            <w:tcW w:w="860" w:type="dxa"/>
            <w:vAlign w:val="bottom"/>
          </w:tcPr>
          <w:p>
            <w:pPr>
              <w:ind w:left="620"/>
              <w:spacing w:after="0"/>
              <w:rPr>
                <w:sz w:val="20"/>
                <w:szCs w:val="20"/>
                <w:color w:val="auto"/>
              </w:rPr>
            </w:pPr>
            <w:r>
              <w:rPr>
                <w:rFonts w:ascii="Arial" w:cs="Arial" w:eastAsia="Arial" w:hAnsi="Arial"/>
                <w:sz w:val="15"/>
                <w:szCs w:val="15"/>
                <w:color w:val="auto"/>
                <w:w w:val="87"/>
              </w:rPr>
              <w:t>250</w:t>
            </w: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5"/>
                <w:szCs w:val="15"/>
                <w:color w:val="auto"/>
              </w:rPr>
              <w:t>209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3,025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5"/>
                <w:szCs w:val="15"/>
                <w:color w:val="auto"/>
              </w:rPr>
              <w:t>487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Managerial results before special items</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80" w:type="dxa"/>
            <w:vAlign w:val="bottom"/>
            <w:gridSpan w:val="2"/>
          </w:tcPr>
          <w:p>
            <w:pPr>
              <w:ind w:left="360"/>
              <w:spacing w:after="0"/>
              <w:rPr>
                <w:sz w:val="20"/>
                <w:szCs w:val="20"/>
                <w:color w:val="auto"/>
              </w:rPr>
            </w:pPr>
            <w:r>
              <w:rPr>
                <w:rFonts w:ascii="Arial" w:cs="Arial" w:eastAsia="Arial" w:hAnsi="Arial"/>
                <w:sz w:val="15"/>
                <w:szCs w:val="15"/>
                <w:color w:val="auto"/>
              </w:rPr>
              <w:t>Earnings before taxes (EBIT)</w:t>
            </w: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14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5"/>
                <w:szCs w:val="15"/>
                <w:color w:val="auto"/>
              </w:rPr>
              <w:t>(261)</w:t>
            </w:r>
          </w:p>
        </w:tc>
        <w:tc>
          <w:tcPr>
            <w:tcW w:w="4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(627)</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(11,781)</w:t>
            </w:r>
          </w:p>
        </w:tc>
        <w:tc>
          <w:tcPr>
            <w:tcW w:w="480" w:type="dxa"/>
            <w:vAlign w:val="bottom"/>
            <w:gridSpan w:val="2"/>
          </w:tcPr>
          <w:p>
            <w:pPr>
              <w:ind w:left="380"/>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240"/>
              <w:spacing w:after="0"/>
              <w:rPr>
                <w:sz w:val="20"/>
                <w:szCs w:val="20"/>
                <w:color w:val="auto"/>
              </w:rPr>
            </w:pPr>
            <w:r>
              <w:rPr>
                <w:rFonts w:ascii="Arial" w:cs="Arial" w:eastAsia="Arial" w:hAnsi="Arial"/>
                <w:sz w:val="15"/>
                <w:szCs w:val="15"/>
                <w:color w:val="auto"/>
              </w:rPr>
              <w:t>(3,650)</w:t>
            </w:r>
          </w:p>
        </w:tc>
        <w:tc>
          <w:tcPr>
            <w:tcW w:w="36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(8,675)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Managerial net loss attributable to stockholders</w:t>
            </w: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4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(646)</w:t>
            </w: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(314)</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(13,726)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(4,205)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46" w:right="20" w:hanging="446"/>
        <w:spacing w:after="0" w:line="291" w:lineRule="auto"/>
        <w:tabs>
          <w:tab w:leader="none" w:pos="446" w:val="left"/>
        </w:tabs>
        <w:numPr>
          <w:ilvl w:val="0"/>
          <w:numId w:val="6"/>
        </w:numPr>
        <w:rPr>
          <w:rFonts w:ascii="Arial" w:cs="Arial" w:eastAsia="Arial" w:hAnsi="Arial"/>
          <w:sz w:val="15"/>
          <w:szCs w:val="15"/>
          <w:color w:val="auto"/>
        </w:rPr>
      </w:pPr>
      <w:r>
        <w:rPr>
          <w:rFonts w:ascii="Arial" w:cs="Arial" w:eastAsia="Arial" w:hAnsi="Arial"/>
          <w:sz w:val="15"/>
          <w:szCs w:val="15"/>
          <w:color w:val="auto"/>
        </w:rPr>
        <w:t>Excludes $600 million and $2.2 billion of accelerated discount amortization on DIP financing for the periods July 1, 2009 through July 9, 2009 and January 1, 2009 through July 9, 2009.</w:t>
      </w:r>
    </w:p>
    <w:p>
      <w:pPr>
        <w:spacing w:after="0" w:line="8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46"/>
          </w:cols>
          <w:pgMar w:left="234" w:top="258" w:right="2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Schedule of Special Items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Restructuring and special attrition programs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GM</w:t>
      </w:r>
    </w:p>
    <w:p>
      <w:pPr>
        <w:spacing w:after="0" w:line="86" w:lineRule="exact"/>
        <w:rPr>
          <w:sz w:val="20"/>
          <w:szCs w:val="20"/>
          <w:color w:val="auto"/>
        </w:rPr>
      </w:pPr>
    </w:p>
    <w:p>
      <w:pPr>
        <w:ind w:right="20" w:firstLine="457"/>
        <w:spacing w:after="0" w:line="290" w:lineRule="auto"/>
        <w:rPr>
          <w:sz w:val="20"/>
          <w:szCs w:val="20"/>
          <w:color w:val="auto"/>
        </w:rPr>
      </w:pPr>
      <w:r>
        <w:rPr>
          <w:rFonts w:ascii="Arial" w:cs="Arial" w:eastAsia="Arial" w:hAnsi="Arial"/>
          <w:sz w:val="14"/>
          <w:szCs w:val="14"/>
          <w:color w:val="auto"/>
        </w:rPr>
        <w:t>As part of achieving and sustaining long-term viability and the viability of the dealer network, GM determined that a reduction in the number of U.S. and Canadian dealerships was necessary. GM’s plan is to reduce dealerships in the U.S. to approximately 3,600 to 4,000 by October 31, 2010. Wind-down agreements have been executed with 2,042 retail dealers as of October 31, 2009. The retail dealers executing wind-down agreements have agreed to terminate their dealer agreements prior to October 31, 2010. A portion of the total wind-down payments were paid upon signing the termination agreement and the remainder will either be paid when the dealer has liquidated its new vehicle inventory and complied with other provisions of the termination agreement or over time as the dealer sells down its inventory. In the period July 10, 2009 through September 30, 2009, GM recorded charges of $320 million related to the dealer wind-down agreements, including additional dealer incentives recorded as a reduction of revenue.</w:t>
      </w:r>
    </w:p>
    <w:p>
      <w:pPr>
        <w:spacing w:after="0" w:line="103" w:lineRule="exact"/>
        <w:rPr>
          <w:sz w:val="20"/>
          <w:szCs w:val="20"/>
          <w:color w:val="auto"/>
        </w:rPr>
      </w:pPr>
    </w:p>
    <w:p>
      <w:pPr>
        <w:ind w:right="60" w:firstLine="457"/>
        <w:spacing w:after="0" w:line="291" w:lineRule="auto"/>
        <w:rPr>
          <w:sz w:val="20"/>
          <w:szCs w:val="20"/>
          <w:color w:val="auto"/>
        </w:rPr>
      </w:pPr>
      <w:r>
        <w:rPr>
          <w:rFonts w:ascii="Arial" w:cs="Arial" w:eastAsia="Arial" w:hAnsi="Arial"/>
          <w:sz w:val="15"/>
          <w:szCs w:val="15"/>
          <w:color w:val="auto"/>
        </w:rPr>
        <w:t>In the period July 10, 2009 through September 30, 2009, GM recorded charges of $132 million primarily due to 1,700 employees accepting the early retirement program extended to certain U.S. salaried employees in 2009 and separation programs in Germany and Australia.</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ind w:right="40" w:firstLine="457"/>
        <w:spacing w:after="0" w:line="296" w:lineRule="auto"/>
        <w:rPr>
          <w:sz w:val="20"/>
          <w:szCs w:val="20"/>
          <w:color w:val="auto"/>
        </w:rPr>
      </w:pPr>
      <w:r>
        <w:rPr>
          <w:rFonts w:ascii="Arial" w:cs="Arial" w:eastAsia="Arial" w:hAnsi="Arial"/>
          <w:sz w:val="14"/>
          <w:szCs w:val="14"/>
          <w:color w:val="auto"/>
        </w:rPr>
        <w:t>In the period January 1, 2009 through July 9, 2009, GMNA recorded restructuring and special attrition program charges of $3.7 billion due to: (1) $1.4 billion for the effect of the Job Opportunity Bank Program replaced by the Supplemental Unemployment Benefit (SUB) and Transitional Support Program (TSP); (2) $1.3 billion primarily related to net curtailment losses for hourly and salaried pension plans and adjustments due to employees participating in the 2009 Special Attrition Program; (3) $1.0 billion primarily related to postemployment benefit charges in the United States related to 13,000 hourly employees who participated in 2009 special attrition programs, including the cost of subsequent program enhancements.</w:t>
      </w:r>
    </w:p>
    <w:p>
      <w:pPr>
        <w:spacing w:after="0" w:line="99" w:lineRule="exact"/>
        <w:rPr>
          <w:sz w:val="20"/>
          <w:szCs w:val="20"/>
          <w:color w:val="auto"/>
        </w:rPr>
      </w:pPr>
    </w:p>
    <w:p>
      <w:pPr>
        <w:ind w:right="180" w:firstLine="457"/>
        <w:spacing w:after="0" w:line="291" w:lineRule="auto"/>
        <w:rPr>
          <w:sz w:val="20"/>
          <w:szCs w:val="20"/>
          <w:color w:val="auto"/>
        </w:rPr>
      </w:pPr>
      <w:r>
        <w:rPr>
          <w:rFonts w:ascii="Arial" w:cs="Arial" w:eastAsia="Arial" w:hAnsi="Arial"/>
          <w:sz w:val="15"/>
          <w:szCs w:val="15"/>
          <w:color w:val="auto"/>
        </w:rPr>
        <w:t>In the period January 1, 2009 through July 9, 2009, GMNA recorded charges of $638 million related to the dealer wind-down agreements, including additional dealer incentives recorded as a reduction of revenue.</w:t>
      </w:r>
    </w:p>
    <w:p>
      <w:pPr>
        <w:spacing w:after="0" w:line="99" w:lineRule="exact"/>
        <w:rPr>
          <w:sz w:val="20"/>
          <w:szCs w:val="20"/>
          <w:color w:val="auto"/>
        </w:rPr>
      </w:pPr>
    </w:p>
    <w:p>
      <w:pPr>
        <w:ind w:right="380" w:firstLine="457"/>
        <w:spacing w:after="0" w:line="291" w:lineRule="auto"/>
        <w:rPr>
          <w:sz w:val="20"/>
          <w:szCs w:val="20"/>
          <w:color w:val="auto"/>
        </w:rPr>
      </w:pPr>
      <w:r>
        <w:rPr>
          <w:rFonts w:ascii="Arial" w:cs="Arial" w:eastAsia="Arial" w:hAnsi="Arial"/>
          <w:sz w:val="15"/>
          <w:szCs w:val="15"/>
          <w:color w:val="auto"/>
        </w:rPr>
        <w:t>In the period January 1, 2009 through July 9, 2009, GMIO recorded charges of $90 million, primarily related to facility idlings and employee separation programs in Europe, Australia and South Africa.</w:t>
      </w:r>
    </w:p>
    <w:p>
      <w:pPr>
        <w:spacing w:after="0" w:line="99"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In the three and nine months ended September 30, 2008, GMNA recorded restructuring charges primarily related to various restructuring initiatives and 2008 special attrition programs. GMNA recorded third quarter charges of $22 million for the 2008 Special Attrition Programs and year to date charges of $3.5 billion for preretirement and retirement pension and benefit incentives and cash buyouts for employees leaving under the 2008 Special Attrition Programs. During the third quarter and year to date, GMNA also recorded charges of $591 million and $1.7 billion for additional wage and benefit costs related to the capacity actions and plant idlings in the U.S. and Canada.</w:t>
      </w:r>
    </w:p>
    <w:p>
      <w:pPr>
        <w:spacing w:after="0" w:line="115"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In the three and nine months ended September 30, 2008, GMIO recorded charges of $29 million and $329 million for separation programs primarily in Belgium, France, Germany, the United Kingdom and Australia.</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0"/>
          </w:cols>
          <w:pgMar w:left="240" w:top="258" w:right="239" w:bottom="1440" w:gutter="0" w:footer="0" w:header="0"/>
        </w:sectPr>
      </w:pPr>
    </w:p>
    <w:bookmarkStart w:id="13" w:name="page14"/>
    <w:bookmarkEnd w:id="13"/>
    <w:p>
      <w:pPr>
        <w:jc w:val="center"/>
        <w:ind w:right="-17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color w:val="auto"/>
        </w:rPr>
        <w:t>Schedule of Special Items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Delphi related</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GM</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the period July 10, 2009 through September 30, 2009, GM recorded charges of $112 million to write-off advances made to Delphi under the credit agreement.</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ind w:right="240" w:firstLine="457"/>
        <w:spacing w:after="0" w:line="373" w:lineRule="auto"/>
        <w:rPr>
          <w:sz w:val="20"/>
          <w:szCs w:val="20"/>
          <w:color w:val="auto"/>
        </w:rPr>
      </w:pPr>
      <w:r>
        <w:rPr>
          <w:rFonts w:ascii="Arial" w:cs="Arial" w:eastAsia="Arial" w:hAnsi="Arial"/>
          <w:sz w:val="13"/>
          <w:szCs w:val="13"/>
          <w:color w:val="auto"/>
        </w:rPr>
        <w:t>In the period January 1, 2009 through July 9, 2009, Old GM charges of $988 million to write-off advances made to Delphi under credit agreements and the payment terms acceleration agreement and to record the estimated losses associated with the Delphi Benefit Guarantee Agreement arising from the PBGC’s assumption of the Delphi benefit plans.</w:t>
      </w:r>
    </w:p>
    <w:p>
      <w:pPr>
        <w:spacing w:after="0" w:line="53" w:lineRule="exact"/>
        <w:rPr>
          <w:sz w:val="20"/>
          <w:szCs w:val="20"/>
          <w:color w:val="auto"/>
        </w:rPr>
      </w:pPr>
    </w:p>
    <w:p>
      <w:pPr>
        <w:ind w:firstLine="457"/>
        <w:spacing w:after="0" w:line="276" w:lineRule="auto"/>
        <w:rPr>
          <w:sz w:val="20"/>
          <w:szCs w:val="20"/>
          <w:color w:val="auto"/>
        </w:rPr>
      </w:pPr>
      <w:r>
        <w:rPr>
          <w:rFonts w:ascii="Arial" w:cs="Arial" w:eastAsia="Arial" w:hAnsi="Arial"/>
          <w:sz w:val="15"/>
          <w:szCs w:val="15"/>
          <w:color w:val="auto"/>
        </w:rPr>
        <w:t>In the three and nine months ended September 30, 2008, Old GM charges of $652 million and $4.1 billion for increased liabilities under the Delphi-GM Settlement Agreements, primarily due to expectations of increased obligations and lower estimates of the expected amount of recoveries associated with the Delphi Benefit Guarantee Agreements, updated to reflect certain conditions related to the credit markets and challenges in the auto industry.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Saab related</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GM</w:t>
      </w:r>
    </w:p>
    <w:p>
      <w:pPr>
        <w:spacing w:after="0" w:line="86" w:lineRule="exact"/>
        <w:rPr>
          <w:sz w:val="20"/>
          <w:szCs w:val="20"/>
          <w:color w:val="auto"/>
        </w:rPr>
      </w:pPr>
    </w:p>
    <w:p>
      <w:pPr>
        <w:jc w:val="both"/>
        <w:ind w:right="20" w:firstLine="457"/>
        <w:spacing w:after="0" w:line="337" w:lineRule="auto"/>
        <w:rPr>
          <w:sz w:val="20"/>
          <w:szCs w:val="20"/>
          <w:color w:val="auto"/>
        </w:rPr>
      </w:pPr>
      <w:r>
        <w:rPr>
          <w:rFonts w:ascii="Arial" w:cs="Arial" w:eastAsia="Arial" w:hAnsi="Arial"/>
          <w:sz w:val="13"/>
          <w:szCs w:val="13"/>
          <w:color w:val="auto"/>
        </w:rPr>
        <w:t>GM acquired Old GM’s investment in Saab Automobile AB (Saab) as part of the 363 Sale. On August 18, 2009 GM signed a stock purchase agreement with Koenigsegg Group AB regarding the sale of 100% of the shares of Saab, and on August 24, 2009 Saab exited its reorganization proceeding. As a result, in the period July 10, 2009 through September 30, 2009, GM reflected Saab assets and liabilities on its books as Held for Sale and recorded a favorable adjustment of $59 million for previously recorded commitments and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ind w:right="20" w:firstLine="457"/>
        <w:spacing w:after="0" w:line="271" w:lineRule="auto"/>
        <w:rPr>
          <w:sz w:val="20"/>
          <w:szCs w:val="20"/>
          <w:color w:val="auto"/>
        </w:rPr>
      </w:pPr>
      <w:r>
        <w:rPr>
          <w:rFonts w:ascii="Arial" w:cs="Arial" w:eastAsia="Arial" w:hAnsi="Arial"/>
          <w:sz w:val="15"/>
          <w:szCs w:val="15"/>
          <w:color w:val="auto"/>
        </w:rPr>
        <w:t>On February 20, 2009, Saab filed for reorganization under a self-managed Swedish court process, which is similar to U.S. Chapter 11 bankruptcy protection. The reorganization filing resulted in the loss of control necessary for consolidation and therefore GM deconsolidated Saab on February 20, 2009. In the period January 1, 2009 through July 9, 2009, GM recorded charges of $912 million primarily related to GM’s net investment in, and advances to, Saab and other commitments and obligations, including a commitment to provide up to $150 million of debtor-in-possession financing.</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Accelerated amortization of discount on DIP financing</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ind w:right="200" w:firstLine="457"/>
        <w:spacing w:after="0" w:line="291" w:lineRule="auto"/>
        <w:rPr>
          <w:sz w:val="20"/>
          <w:szCs w:val="20"/>
          <w:color w:val="auto"/>
        </w:rPr>
      </w:pPr>
      <w:r>
        <w:rPr>
          <w:rFonts w:ascii="Arial" w:cs="Arial" w:eastAsia="Arial" w:hAnsi="Arial"/>
          <w:sz w:val="15"/>
          <w:szCs w:val="15"/>
          <w:color w:val="auto"/>
        </w:rPr>
        <w:t>In the periods January 1, 2009 through July 9, 2009 and July 1, 2009 through July 9, 2009, Old GM recorded accelerated amortization of $2.2 billion and $600 million on the discount of the DIP financing.</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60"/>
          </w:cols>
          <w:pgMar w:left="240" w:top="258" w:right="399" w:bottom="1440" w:gutter="0" w:footer="0" w:header="0"/>
        </w:sectPr>
      </w:pPr>
    </w:p>
    <w:bookmarkStart w:id="14" w:name="page15"/>
    <w:bookmarkEnd w:id="14"/>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of Special Items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Reorganization gains, net</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Old GM’s Reorganization gains, net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80"/>
              </w:rPr>
              <w:t>Predecessor</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0"/>
        </w:trPr>
        <w:tc>
          <w:tcPr>
            <w:tcW w:w="9300" w:type="dxa"/>
            <w:vAlign w:val="bottom"/>
          </w:tcPr>
          <w:p>
            <w:pPr>
              <w:spacing w:after="0"/>
              <w:rPr>
                <w:sz w:val="9"/>
                <w:szCs w:val="9"/>
                <w:color w:val="auto"/>
              </w:rPr>
            </w:pPr>
          </w:p>
        </w:tc>
        <w:tc>
          <w:tcPr>
            <w:tcW w:w="68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w w:val="97"/>
              </w:rPr>
              <w:t>July 1, 2009</w:t>
            </w:r>
          </w:p>
        </w:tc>
        <w:tc>
          <w:tcPr>
            <w:tcW w:w="540" w:type="dxa"/>
            <w:vAlign w:val="bottom"/>
          </w:tcPr>
          <w:p>
            <w:pPr>
              <w:spacing w:after="0"/>
              <w:rPr>
                <w:sz w:val="9"/>
                <w:szCs w:val="9"/>
                <w:color w:val="auto"/>
              </w:rPr>
            </w:pPr>
          </w:p>
        </w:tc>
        <w:tc>
          <w:tcPr>
            <w:tcW w:w="82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87"/>
              </w:rPr>
              <w:t>January 1, 2009</w:t>
            </w:r>
          </w:p>
        </w:tc>
        <w:tc>
          <w:tcPr>
            <w:tcW w:w="100" w:type="dxa"/>
            <w:vAlign w:val="bottom"/>
          </w:tcPr>
          <w:p>
            <w:pPr>
              <w:spacing w:after="0"/>
              <w:rPr>
                <w:sz w:val="9"/>
                <w:szCs w:val="9"/>
                <w:color w:val="auto"/>
              </w:rPr>
            </w:pPr>
          </w:p>
        </w:tc>
      </w:tr>
      <w:tr>
        <w:trPr>
          <w:trHeight w:val="129"/>
        </w:trPr>
        <w:tc>
          <w:tcPr>
            <w:tcW w:w="9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line="129" w:lineRule="exact"/>
              <w:rPr>
                <w:sz w:val="20"/>
                <w:szCs w:val="20"/>
                <w:color w:val="auto"/>
              </w:rPr>
            </w:pPr>
            <w:r>
              <w:rPr>
                <w:rFonts w:ascii="Arial" w:cs="Arial" w:eastAsia="Arial" w:hAnsi="Arial"/>
                <w:sz w:val="12"/>
                <w:szCs w:val="12"/>
                <w:b w:val="1"/>
                <w:bCs w:val="1"/>
                <w:color w:val="auto"/>
                <w:w w:val="86"/>
              </w:rPr>
              <w:t>Through</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80"/>
              <w:spacing w:after="0" w:line="129" w:lineRule="exact"/>
              <w:rPr>
                <w:sz w:val="20"/>
                <w:szCs w:val="20"/>
                <w:color w:val="auto"/>
              </w:rPr>
            </w:pPr>
            <w:r>
              <w:rPr>
                <w:rFonts w:ascii="Arial" w:cs="Arial" w:eastAsia="Arial" w:hAnsi="Arial"/>
                <w:sz w:val="12"/>
                <w:szCs w:val="12"/>
                <w:b w:val="1"/>
                <w:bCs w:val="1"/>
                <w:color w:val="auto"/>
              </w:rPr>
              <w:t>Through</w:t>
            </w:r>
          </w:p>
        </w:tc>
      </w:tr>
      <w:tr>
        <w:trPr>
          <w:trHeight w:val="140"/>
        </w:trPr>
        <w:tc>
          <w:tcPr>
            <w:tcW w:w="9300" w:type="dxa"/>
            <w:vAlign w:val="bottom"/>
          </w:tcPr>
          <w:p>
            <w:pPr>
              <w:spacing w:after="0"/>
              <w:rPr>
                <w:sz w:val="12"/>
                <w:szCs w:val="12"/>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6"/>
              </w:rPr>
              <w:t>July 9, 2009</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w w:val="88"/>
              </w:rPr>
              <w:t>July 9, 2009</w:t>
            </w:r>
          </w:p>
        </w:tc>
        <w:tc>
          <w:tcPr>
            <w:tcW w:w="100" w:type="dxa"/>
            <w:vAlign w:val="bottom"/>
          </w:tcPr>
          <w:p>
            <w:pPr>
              <w:spacing w:after="0"/>
              <w:rPr>
                <w:sz w:val="12"/>
                <w:szCs w:val="12"/>
                <w:color w:val="auto"/>
              </w:rPr>
            </w:pPr>
          </w:p>
        </w:tc>
      </w:tr>
      <w:tr>
        <w:trPr>
          <w:trHeight w:val="180"/>
        </w:trPr>
        <w:tc>
          <w:tcPr>
            <w:tcW w:w="9300" w:type="dxa"/>
            <w:vAlign w:val="bottom"/>
            <w:shd w:val="clear" w:color="auto" w:fill="CCEEFF"/>
          </w:tcPr>
          <w:p>
            <w:pPr>
              <w:spacing w:after="0"/>
              <w:rPr>
                <w:sz w:val="20"/>
                <w:szCs w:val="20"/>
                <w:color w:val="auto"/>
              </w:rPr>
            </w:pPr>
            <w:r>
              <w:rPr>
                <w:rFonts w:ascii="Arial" w:cs="Arial" w:eastAsia="Arial" w:hAnsi="Arial"/>
                <w:sz w:val="15"/>
                <w:szCs w:val="15"/>
                <w:color w:val="auto"/>
              </w:rPr>
              <w:t>Professional fees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(39)</w:t>
            </w:r>
          </w:p>
        </w:tc>
      </w:tr>
      <w:tr>
        <w:trPr>
          <w:trHeight w:val="188"/>
        </w:trPr>
        <w:tc>
          <w:tcPr>
            <w:tcW w:w="9300" w:type="dxa"/>
            <w:vAlign w:val="bottom"/>
          </w:tcPr>
          <w:p>
            <w:pPr>
              <w:spacing w:after="0"/>
              <w:rPr>
                <w:sz w:val="20"/>
                <w:szCs w:val="20"/>
                <w:color w:val="auto"/>
              </w:rPr>
            </w:pPr>
            <w:r>
              <w:rPr>
                <w:rFonts w:ascii="Arial" w:cs="Arial" w:eastAsia="Arial" w:hAnsi="Arial"/>
                <w:sz w:val="15"/>
                <w:szCs w:val="15"/>
                <w:color w:val="auto"/>
              </w:rPr>
              <w:t>Gain due to conversion of DIP Facility to equity in GM</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27,939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27,939</w:t>
            </w:r>
          </w:p>
        </w:tc>
        <w:tc>
          <w:tcPr>
            <w:tcW w:w="100" w:type="dxa"/>
            <w:vAlign w:val="bottom"/>
          </w:tcPr>
          <w:p>
            <w:pPr>
              <w:spacing w:after="0"/>
              <w:rPr>
                <w:sz w:val="16"/>
                <w:szCs w:val="16"/>
                <w:color w:val="auto"/>
              </w:rPr>
            </w:pPr>
          </w:p>
        </w:tc>
      </w:tr>
      <w:tr>
        <w:trPr>
          <w:trHeight w:val="188"/>
        </w:trPr>
        <w:tc>
          <w:tcPr>
            <w:tcW w:w="9300" w:type="dxa"/>
            <w:vAlign w:val="bottom"/>
            <w:shd w:val="clear" w:color="auto" w:fill="CCEEFF"/>
          </w:tcPr>
          <w:p>
            <w:pPr>
              <w:spacing w:after="0"/>
              <w:rPr>
                <w:sz w:val="20"/>
                <w:szCs w:val="20"/>
                <w:color w:val="auto"/>
              </w:rPr>
            </w:pPr>
            <w:r>
              <w:rPr>
                <w:rFonts w:ascii="Arial" w:cs="Arial" w:eastAsia="Arial" w:hAnsi="Arial"/>
                <w:sz w:val="15"/>
                <w:szCs w:val="15"/>
                <w:color w:val="auto"/>
              </w:rPr>
              <w:t>Gain due to conversion of UST and EDC funding to equity in GM</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25,700</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25,700</w:t>
            </w:r>
          </w:p>
        </w:tc>
        <w:tc>
          <w:tcPr>
            <w:tcW w:w="100" w:type="dxa"/>
            <w:vAlign w:val="bottom"/>
            <w:shd w:val="clear" w:color="auto" w:fill="CCEEFF"/>
          </w:tcPr>
          <w:p>
            <w:pPr>
              <w:spacing w:after="0"/>
              <w:rPr>
                <w:sz w:val="16"/>
                <w:szCs w:val="16"/>
                <w:color w:val="auto"/>
              </w:rPr>
            </w:pPr>
          </w:p>
        </w:tc>
      </w:tr>
      <w:tr>
        <w:trPr>
          <w:trHeight w:val="188"/>
        </w:trPr>
        <w:tc>
          <w:tcPr>
            <w:tcW w:w="9300" w:type="dxa"/>
            <w:vAlign w:val="bottom"/>
          </w:tcPr>
          <w:p>
            <w:pPr>
              <w:spacing w:after="0"/>
              <w:rPr>
                <w:sz w:val="20"/>
                <w:szCs w:val="20"/>
                <w:color w:val="auto"/>
              </w:rPr>
            </w:pPr>
            <w:r>
              <w:rPr>
                <w:rFonts w:ascii="Arial" w:cs="Arial" w:eastAsia="Arial" w:hAnsi="Arial"/>
                <w:sz w:val="15"/>
                <w:szCs w:val="15"/>
                <w:color w:val="auto"/>
              </w:rPr>
              <w:t>Gains resulting from Old GM debt and other liabilities not assumed in 363 Sale</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29,867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29,867</w:t>
            </w:r>
          </w:p>
        </w:tc>
        <w:tc>
          <w:tcPr>
            <w:tcW w:w="100" w:type="dxa"/>
            <w:vAlign w:val="bottom"/>
          </w:tcPr>
          <w:p>
            <w:pPr>
              <w:spacing w:after="0"/>
              <w:rPr>
                <w:sz w:val="16"/>
                <w:szCs w:val="16"/>
                <w:color w:val="auto"/>
              </w:rPr>
            </w:pPr>
          </w:p>
        </w:tc>
      </w:tr>
      <w:tr>
        <w:trPr>
          <w:trHeight w:val="188"/>
        </w:trPr>
        <w:tc>
          <w:tcPr>
            <w:tcW w:w="9300" w:type="dxa"/>
            <w:vAlign w:val="bottom"/>
            <w:shd w:val="clear" w:color="auto" w:fill="CCEEFF"/>
          </w:tcPr>
          <w:p>
            <w:pPr>
              <w:spacing w:after="0"/>
              <w:rPr>
                <w:sz w:val="20"/>
                <w:szCs w:val="20"/>
                <w:color w:val="auto"/>
              </w:rPr>
            </w:pPr>
            <w:r>
              <w:rPr>
                <w:rFonts w:ascii="Arial" w:cs="Arial" w:eastAsia="Arial" w:hAnsi="Arial"/>
                <w:sz w:val="15"/>
                <w:szCs w:val="15"/>
                <w:color w:val="auto"/>
              </w:rPr>
              <w:t>Issuance of GM common and preferred stock</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(2,505)</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(2,505)</w:t>
            </w:r>
          </w:p>
        </w:tc>
      </w:tr>
      <w:tr>
        <w:trPr>
          <w:trHeight w:val="188"/>
        </w:trPr>
        <w:tc>
          <w:tcPr>
            <w:tcW w:w="9300" w:type="dxa"/>
            <w:vAlign w:val="bottom"/>
          </w:tcPr>
          <w:p>
            <w:pPr>
              <w:spacing w:after="0"/>
              <w:rPr>
                <w:sz w:val="20"/>
                <w:szCs w:val="20"/>
                <w:color w:val="auto"/>
              </w:rPr>
            </w:pPr>
            <w:r>
              <w:rPr>
                <w:rFonts w:ascii="Arial" w:cs="Arial" w:eastAsia="Arial" w:hAnsi="Arial"/>
                <w:sz w:val="15"/>
                <w:szCs w:val="15"/>
                <w:color w:val="auto"/>
              </w:rPr>
              <w:t>Loss on extinguishment of debt</w:t>
            </w: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5"/>
                <w:szCs w:val="15"/>
                <w:color w:val="auto"/>
              </w:rPr>
              <w:t>(958)</w:t>
            </w:r>
          </w:p>
        </w:tc>
      </w:tr>
      <w:tr>
        <w:trPr>
          <w:trHeight w:val="188"/>
        </w:trPr>
        <w:tc>
          <w:tcPr>
            <w:tcW w:w="9300" w:type="dxa"/>
            <w:vAlign w:val="bottom"/>
            <w:shd w:val="clear" w:color="auto" w:fill="CCEEFF"/>
          </w:tcPr>
          <w:p>
            <w:pPr>
              <w:spacing w:after="0"/>
              <w:rPr>
                <w:sz w:val="20"/>
                <w:szCs w:val="20"/>
                <w:color w:val="auto"/>
              </w:rPr>
            </w:pPr>
            <w:r>
              <w:rPr>
                <w:rFonts w:ascii="Arial" w:cs="Arial" w:eastAsia="Arial" w:hAnsi="Arial"/>
                <w:sz w:val="15"/>
                <w:szCs w:val="15"/>
                <w:color w:val="auto"/>
              </w:rPr>
              <w:t>Loss on contract rejections and settlements of claims</w:t>
            </w: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(281)</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(441)</w:t>
            </w:r>
          </w:p>
        </w:tc>
      </w:tr>
      <w:tr>
        <w:trPr>
          <w:trHeight w:val="191"/>
        </w:trPr>
        <w:tc>
          <w:tcPr>
            <w:tcW w:w="9300" w:type="dxa"/>
            <w:vAlign w:val="bottom"/>
          </w:tcPr>
          <w:p>
            <w:pPr>
              <w:spacing w:after="0"/>
              <w:rPr>
                <w:sz w:val="20"/>
                <w:szCs w:val="20"/>
                <w:color w:val="auto"/>
              </w:rPr>
            </w:pPr>
            <w:r>
              <w:rPr>
                <w:rFonts w:ascii="Arial" w:cs="Arial" w:eastAsia="Arial" w:hAnsi="Arial"/>
                <w:sz w:val="15"/>
                <w:szCs w:val="15"/>
                <w:color w:val="auto"/>
              </w:rPr>
              <w:t>Total reorganization gains, net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80,720</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79,563</w:t>
            </w:r>
          </w:p>
        </w:tc>
        <w:tc>
          <w:tcPr>
            <w:tcW w:w="100" w:type="dxa"/>
            <w:vAlign w:val="bottom"/>
          </w:tcPr>
          <w:p>
            <w:pPr>
              <w:spacing w:after="0"/>
              <w:rPr>
                <w:sz w:val="16"/>
                <w:szCs w:val="16"/>
                <w:color w:val="auto"/>
              </w:rPr>
            </w:pPr>
          </w:p>
        </w:tc>
      </w:tr>
      <w:tr>
        <w:trPr>
          <w:trHeight w:val="20"/>
        </w:trPr>
        <w:tc>
          <w:tcPr>
            <w:tcW w:w="9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GMAC related</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ind w:right="120" w:firstLine="457"/>
        <w:spacing w:after="0" w:line="266" w:lineRule="auto"/>
        <w:rPr>
          <w:sz w:val="20"/>
          <w:szCs w:val="20"/>
          <w:color w:val="auto"/>
        </w:rPr>
      </w:pPr>
      <w:r>
        <w:rPr>
          <w:rFonts w:ascii="Arial" w:cs="Arial" w:eastAsia="Arial" w:hAnsi="Arial"/>
          <w:sz w:val="15"/>
          <w:szCs w:val="15"/>
          <w:color w:val="auto"/>
        </w:rPr>
        <w:t>In the period January 1, 2009 through July 9, 2009, Old GM recorded a net gain on debt extinguishment of $483 million and $385 million representing our proportionate share of GMAC’s debt extinguishment. On May 29, 2009, the UST exercised this option to convert Old GM’s UST GMAC Loan of $884 outstanding debt to 190,921 shares of GMAC’s Class B Common Membership Interests. The outstanding principal and interest of the debt was extinguished, and Old GM recognized a net gain on extinguishment of $483 million. The net gain on extinguishment of debt was comprised of a $2.5 billion gain on the disposition of GMAC Common Membership Interests, a $2.0 billion loss on extinguishment of the UST GMAC Loan and a gain of $8 million related to the extinguishment of accrued interest. GMAC converted its status to a C corporation effective June 30, 2009. At that date, the accounting treatment for the investment in GMAC was reevaluated and it was determined that accounting for GMAC as a cost method investment rather than an equity method investee was more appropriate due to a lack of significant influence over GMAC.</w:t>
      </w:r>
    </w:p>
    <w:p>
      <w:pPr>
        <w:spacing w:after="0" w:line="120" w:lineRule="exact"/>
        <w:rPr>
          <w:sz w:val="20"/>
          <w:szCs w:val="20"/>
          <w:color w:val="auto"/>
        </w:rPr>
      </w:pPr>
    </w:p>
    <w:p>
      <w:pPr>
        <w:ind w:right="220" w:firstLine="457"/>
        <w:spacing w:after="0" w:line="291" w:lineRule="auto"/>
        <w:rPr>
          <w:sz w:val="20"/>
          <w:szCs w:val="20"/>
          <w:color w:val="auto"/>
        </w:rPr>
      </w:pPr>
      <w:r>
        <w:rPr>
          <w:rFonts w:ascii="Arial" w:cs="Arial" w:eastAsia="Arial" w:hAnsi="Arial"/>
          <w:sz w:val="15"/>
          <w:szCs w:val="15"/>
          <w:color w:val="auto"/>
        </w:rPr>
        <w:t>In the three and nine months ended September 30, 2008, charges of $251 million and $3.0 billion were recorded for impairments of GM’s investment in Common and Preferred Membership Interests of GMAC.</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Impairments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the period January 1, 2009 through July 9, 2009, Old GM recorded charges of $291 million primarily related to long-lived asset impairments.</w:t>
      </w: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Gain on extinguishment of debt</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jc w:val="both"/>
        <w:ind w:right="160" w:firstLine="457"/>
        <w:spacing w:after="0" w:line="276" w:lineRule="auto"/>
        <w:rPr>
          <w:sz w:val="20"/>
          <w:szCs w:val="20"/>
          <w:color w:val="auto"/>
        </w:rPr>
      </w:pPr>
      <w:r>
        <w:rPr>
          <w:rFonts w:ascii="Arial" w:cs="Arial" w:eastAsia="Arial" w:hAnsi="Arial"/>
          <w:sz w:val="15"/>
          <w:szCs w:val="15"/>
          <w:color w:val="auto"/>
        </w:rPr>
        <w:t>On March 4, 2009, Old GM entered into an agreement to amend a $1.5 billion U.S. term loan. Because the terms of the amended U.S. term loan were substantially different than the original terms, primarily due to the revised borrowing rate, the amendment was accounted for as a debt extinguishment. As a result, GM recorded the amended U.S. term loan at fair value and recorded a gain of $906 million for the extinguishment of the original loan facility.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258" w:right="21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Schedule of Special Items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Salaried post-65 settlement</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jc w:val="both"/>
        <w:ind w:right="140" w:firstLine="457"/>
        <w:spacing w:after="0" w:line="305" w:lineRule="auto"/>
        <w:rPr>
          <w:sz w:val="20"/>
          <w:szCs w:val="20"/>
          <w:color w:val="auto"/>
        </w:rPr>
      </w:pPr>
      <w:r>
        <w:rPr>
          <w:rFonts w:ascii="Arial" w:cs="Arial" w:eastAsia="Arial" w:hAnsi="Arial"/>
          <w:sz w:val="14"/>
          <w:szCs w:val="14"/>
          <w:color w:val="auto"/>
        </w:rPr>
        <w:t>In the three and nine months ended September 30, 2008, Old GM charges of $1.7 billion were recorded for the recognition of a settlement loss associated with the elimination of healthcare coverage for U.S. salaried retirees over age 65 beginning January 1, 2009. The settlement loss was recorded for participants over age 65 at January 1, 2009 and considers the cost of the increased pension benefit provided to those affected participants to help offset the cost of Medicare and supplemental coverage.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UAW VEBA curtailment gain</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jc w:val="both"/>
        <w:ind w:right="80" w:firstLine="457"/>
        <w:spacing w:after="0" w:line="291" w:lineRule="auto"/>
        <w:rPr>
          <w:sz w:val="20"/>
          <w:szCs w:val="20"/>
          <w:color w:val="auto"/>
        </w:rPr>
      </w:pPr>
      <w:r>
        <w:rPr>
          <w:rFonts w:ascii="Arial" w:cs="Arial" w:eastAsia="Arial" w:hAnsi="Arial"/>
          <w:sz w:val="15"/>
          <w:szCs w:val="15"/>
          <w:color w:val="auto"/>
        </w:rPr>
        <w:t>In the three and nine months ended September 30, 2008 a gain of $4.9 billion were recorded for the recognition of a net curtailment gain specific to the accelerated recognition of unamortized net prior service credits due to the Settlement Agreement for the UAW hourly medical plan becoming effective in the third quarter of 2008.</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ind w:firstLine="457"/>
        <w:spacing w:after="0" w:line="291" w:lineRule="auto"/>
        <w:rPr>
          <w:sz w:val="20"/>
          <w:szCs w:val="20"/>
          <w:color w:val="auto"/>
        </w:rPr>
      </w:pPr>
      <w:r>
        <w:rPr>
          <w:rFonts w:ascii="Arial" w:cs="Arial" w:eastAsia="Arial" w:hAnsi="Arial"/>
          <w:sz w:val="15"/>
          <w:szCs w:val="15"/>
          <w:color w:val="auto"/>
        </w:rPr>
        <w:t>In the period January 1, 2009 through July 9, 2009, Old GM recorded $152 million of favorable adjustments to the Joint Training Funds reserve based on the 2009 revised contract with the UAW.</w:t>
      </w:r>
    </w:p>
    <w:p>
      <w:pPr>
        <w:spacing w:after="0" w:line="99" w:lineRule="exact"/>
        <w:rPr>
          <w:sz w:val="20"/>
          <w:szCs w:val="20"/>
          <w:color w:val="auto"/>
        </w:rPr>
      </w:pPr>
    </w:p>
    <w:p>
      <w:pPr>
        <w:jc w:val="both"/>
        <w:ind w:right="60" w:firstLine="457"/>
        <w:spacing w:after="0" w:line="276" w:lineRule="auto"/>
        <w:rPr>
          <w:sz w:val="20"/>
          <w:szCs w:val="20"/>
          <w:color w:val="auto"/>
        </w:rPr>
      </w:pPr>
      <w:r>
        <w:rPr>
          <w:rFonts w:ascii="Arial" w:cs="Arial" w:eastAsia="Arial" w:hAnsi="Arial"/>
          <w:sz w:val="15"/>
          <w:szCs w:val="15"/>
          <w:color w:val="auto"/>
        </w:rPr>
        <w:t>In the three months ended September 30, 2009, net $1 million gain related to charges of $47 million for 600 salaried employees who irrevocably accepted an offer under the 2008 salaried window retirement program as of September 30, 2008 and a $48 million gain on the sale of its Oklahoma City facility, which was sold in the three months ended September 30, 2008.</w:t>
      </w:r>
    </w:p>
    <w:p>
      <w:pPr>
        <w:spacing w:after="0" w:line="110" w:lineRule="exact"/>
        <w:rPr>
          <w:sz w:val="20"/>
          <w:szCs w:val="20"/>
          <w:color w:val="auto"/>
        </w:rPr>
      </w:pPr>
    </w:p>
    <w:p>
      <w:pPr>
        <w:ind w:right="60" w:firstLine="457"/>
        <w:spacing w:after="0" w:line="271" w:lineRule="auto"/>
        <w:rPr>
          <w:sz w:val="20"/>
          <w:szCs w:val="20"/>
          <w:color w:val="auto"/>
        </w:rPr>
      </w:pPr>
      <w:r>
        <w:rPr>
          <w:rFonts w:ascii="Arial" w:cs="Arial" w:eastAsia="Arial" w:hAnsi="Arial"/>
          <w:sz w:val="15"/>
          <w:szCs w:val="15"/>
          <w:color w:val="auto"/>
        </w:rPr>
        <w:t>In the nine months ended September 30, 2008, Old GM recorded a net charge of $486 related to the following: (1) a charge of $340 million for additional pension expense related to the unamortized prior service costs from prior CAW labor contracts; (2) a charge of $197 related to Old GM’s agreement to provide upfront support to American Axle to end the work stoppage that affected approximately 30 plants in North America; (3) a gain of $50 million on the sale of Old GM’s common equity interest in Electro-Motive Diesel, Inc; and (4) a net gain of $1 million related to the 2008 salaried window program and sale of its Oklahoma City facility.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Tax adjustments</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Old GM</w:t>
      </w:r>
    </w:p>
    <w:p>
      <w:pPr>
        <w:spacing w:after="0" w:line="86" w:lineRule="exact"/>
        <w:rPr>
          <w:sz w:val="20"/>
          <w:szCs w:val="20"/>
          <w:color w:val="auto"/>
        </w:rPr>
      </w:pPr>
    </w:p>
    <w:p>
      <w:pPr>
        <w:ind w:right="180" w:firstLine="457"/>
        <w:spacing w:after="0" w:line="291" w:lineRule="auto"/>
        <w:rPr>
          <w:sz w:val="20"/>
          <w:szCs w:val="20"/>
          <w:color w:val="auto"/>
        </w:rPr>
      </w:pPr>
      <w:r>
        <w:rPr>
          <w:rFonts w:ascii="Arial" w:cs="Arial" w:eastAsia="Arial" w:hAnsi="Arial"/>
          <w:sz w:val="15"/>
          <w:szCs w:val="15"/>
          <w:color w:val="auto"/>
        </w:rPr>
        <w:t>In the nine months ended September 30, 2008, Old GM recorded an adjustment of $394 million related to a first quarter net charge for a valuation allowance on net deferred tax assets in Spain and the United Kingdom.</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00"/>
          </w:cols>
          <w:pgMar w:left="240" w:top="258" w:right="259" w:bottom="1440" w:gutter="0" w:footer="0" w:header="0"/>
        </w:sectPr>
      </w:pPr>
    </w:p>
    <w:bookmarkStart w:id="16" w:name="page17"/>
    <w:bookmarkEnd w:id="16"/>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Operating Statistics</w:t>
      </w:r>
    </w:p>
    <w:p>
      <w:pPr>
        <w:spacing w:after="0" w:line="151" w:lineRule="exact"/>
        <w:rPr>
          <w:sz w:val="20"/>
          <w:szCs w:val="20"/>
          <w:color w:val="auto"/>
        </w:rPr>
      </w:pPr>
    </w:p>
    <w:p>
      <w:pPr>
        <w:jc w:val="center"/>
        <w:ind w:right="-5"/>
        <w:spacing w:after="0"/>
        <w:rPr>
          <w:sz w:val="20"/>
          <w:szCs w:val="20"/>
          <w:color w:val="auto"/>
        </w:rPr>
      </w:pPr>
      <w:r>
        <w:rPr>
          <w:rFonts w:ascii="Arial" w:cs="Arial" w:eastAsia="Arial" w:hAnsi="Arial"/>
          <w:sz w:val="15"/>
          <w:szCs w:val="15"/>
          <w:i w:val="1"/>
          <w:iCs w:val="1"/>
          <w:color w:val="auto"/>
        </w:rPr>
        <w:t>(Unaudited)</w:t>
      </w:r>
    </w:p>
    <w:p>
      <w:pPr>
        <w:spacing w:after="0" w:line="179"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2"/>
                <w:szCs w:val="12"/>
                <w:b w:val="1"/>
                <w:bCs w:val="1"/>
                <w:color w:val="auto"/>
                <w:w w:val="89"/>
              </w:rPr>
              <w:t>Three Months Ended</w:t>
            </w:r>
          </w:p>
        </w:tc>
        <w:tc>
          <w:tcPr>
            <w:tcW w:w="10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91"/>
              </w:rPr>
              <w:t>Nine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20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rPr>
              <w:t>September 30,</w:t>
            </w:r>
          </w:p>
        </w:tc>
        <w:tc>
          <w:tcPr>
            <w:tcW w:w="1080" w:type="dxa"/>
            <w:vAlign w:val="bottom"/>
            <w:gridSpan w:val="4"/>
          </w:tcPr>
          <w:p>
            <w:pPr>
              <w:jc w:val="center"/>
              <w:ind w:right="20"/>
              <w:spacing w:after="0"/>
              <w:rPr>
                <w:sz w:val="20"/>
                <w:szCs w:val="20"/>
                <w:color w:val="auto"/>
              </w:rPr>
            </w:pPr>
            <w:r>
              <w:rPr>
                <w:rFonts w:ascii="Arial" w:cs="Arial" w:eastAsia="Arial" w:hAnsi="Arial"/>
                <w:sz w:val="12"/>
                <w:szCs w:val="12"/>
                <w:b w:val="1"/>
                <w:bCs w:val="1"/>
                <w:color w:val="auto"/>
                <w:w w:val="85"/>
              </w:rPr>
              <w:t>September 30,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500" w:type="dxa"/>
            <w:vAlign w:val="bottom"/>
            <w:tcBorders>
              <w:top w:val="single" w:sz="8" w:color="auto"/>
            </w:tcBorders>
          </w:tcPr>
          <w:p>
            <w:pPr>
              <w:jc w:val="right"/>
              <w:ind w:right="45"/>
              <w:spacing w:after="0" w:line="121" w:lineRule="exact"/>
              <w:rPr>
                <w:sz w:val="20"/>
                <w:szCs w:val="20"/>
                <w:color w:val="auto"/>
              </w:rPr>
            </w:pPr>
            <w:r>
              <w:rPr>
                <w:rFonts w:ascii="Arial" w:cs="Arial" w:eastAsia="Arial" w:hAnsi="Arial"/>
                <w:sz w:val="12"/>
                <w:szCs w:val="12"/>
                <w:b w:val="1"/>
                <w:bCs w:val="1"/>
                <w:color w:val="auto"/>
              </w:rPr>
              <w:t>2009</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45"/>
              <w:spacing w:after="0" w:line="121" w:lineRule="exact"/>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0"/>
                <w:szCs w:val="10"/>
                <w:color w:val="auto"/>
              </w:rPr>
            </w:pPr>
          </w:p>
        </w:tc>
        <w:tc>
          <w:tcPr>
            <w:tcW w:w="460" w:type="dxa"/>
            <w:vAlign w:val="bottom"/>
            <w:tcBorders>
              <w:top w:val="single" w:sz="8" w:color="auto"/>
            </w:tcBorders>
          </w:tcPr>
          <w:p>
            <w:pPr>
              <w:jc w:val="right"/>
              <w:ind w:right="26"/>
              <w:spacing w:after="0" w:line="121" w:lineRule="exact"/>
              <w:rPr>
                <w:sz w:val="20"/>
                <w:szCs w:val="20"/>
                <w:color w:val="auto"/>
              </w:rPr>
            </w:pPr>
            <w:r>
              <w:rPr>
                <w:rFonts w:ascii="Arial" w:cs="Arial" w:eastAsia="Arial" w:hAnsi="Arial"/>
                <w:sz w:val="12"/>
                <w:szCs w:val="12"/>
                <w:b w:val="1"/>
                <w:bCs w:val="1"/>
                <w:color w:val="auto"/>
              </w:rPr>
              <w:t>2009</w:t>
            </w:r>
          </w:p>
        </w:tc>
        <w:tc>
          <w:tcPr>
            <w:tcW w:w="600" w:type="dxa"/>
            <w:vAlign w:val="bottom"/>
            <w:tcBorders>
              <w:top w:val="single" w:sz="8" w:color="auto"/>
            </w:tcBorders>
            <w:gridSpan w:val="2"/>
          </w:tcPr>
          <w:p>
            <w:pPr>
              <w:jc w:val="right"/>
              <w:ind w:right="44"/>
              <w:spacing w:after="0" w:line="121" w:lineRule="exact"/>
              <w:rPr>
                <w:sz w:val="20"/>
                <w:szCs w:val="20"/>
                <w:color w:val="auto"/>
              </w:rPr>
            </w:pPr>
            <w:r>
              <w:rPr>
                <w:rFonts w:ascii="Arial" w:cs="Arial" w:eastAsia="Arial" w:hAnsi="Arial"/>
                <w:sz w:val="12"/>
                <w:szCs w:val="12"/>
                <w:b w:val="1"/>
                <w:bCs w:val="1"/>
                <w:color w:val="auto"/>
              </w:rPr>
              <w:t>2008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1"/>
              </w:rPr>
              <w:t>(Units in</w:t>
            </w:r>
          </w:p>
        </w:tc>
        <w:tc>
          <w:tcPr>
            <w:tcW w:w="100" w:type="dxa"/>
            <w:vAlign w:val="bottom"/>
          </w:tcPr>
          <w:p>
            <w:pPr>
              <w:spacing w:after="0"/>
              <w:rPr>
                <w:sz w:val="10"/>
                <w:szCs w:val="10"/>
                <w:color w:val="auto"/>
              </w:rPr>
            </w:pPr>
          </w:p>
        </w:tc>
        <w:tc>
          <w:tcPr>
            <w:tcW w:w="4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1"/>
                <w:szCs w:val="11"/>
                <w:b w:val="1"/>
                <w:bCs w:val="1"/>
                <w:color w:val="auto"/>
                <w:w w:val="70"/>
              </w:rPr>
              <w:t>thousands)</w:t>
            </w: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Worldwide Production Volume (a) (b) (c)</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360"/>
              <w:spacing w:after="0"/>
              <w:rPr>
                <w:sz w:val="20"/>
                <w:szCs w:val="20"/>
                <w:color w:val="auto"/>
              </w:rPr>
            </w:pPr>
            <w:r>
              <w:rPr>
                <w:rFonts w:ascii="Arial" w:cs="Arial" w:eastAsia="Arial" w:hAnsi="Arial"/>
                <w:sz w:val="15"/>
                <w:szCs w:val="15"/>
                <w:color w:val="auto"/>
              </w:rPr>
              <w:t>GMNA – Cars</w:t>
            </w:r>
          </w:p>
        </w:tc>
        <w:tc>
          <w:tcPr>
            <w:tcW w:w="500" w:type="dxa"/>
            <w:vAlign w:val="bottom"/>
          </w:tcPr>
          <w:p>
            <w:pPr>
              <w:jc w:val="right"/>
              <w:spacing w:after="0"/>
              <w:rPr>
                <w:sz w:val="20"/>
                <w:szCs w:val="20"/>
                <w:color w:val="auto"/>
              </w:rPr>
            </w:pPr>
            <w:r>
              <w:rPr>
                <w:rFonts w:ascii="Arial" w:cs="Arial" w:eastAsia="Arial" w:hAnsi="Arial"/>
                <w:sz w:val="15"/>
                <w:szCs w:val="15"/>
                <w:color w:val="auto"/>
              </w:rPr>
              <w:t>205</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436</w:t>
            </w:r>
          </w:p>
        </w:tc>
        <w:tc>
          <w:tcPr>
            <w:tcW w:w="460" w:type="dxa"/>
            <w:vAlign w:val="bottom"/>
          </w:tcPr>
          <w:p>
            <w:pPr>
              <w:jc w:val="right"/>
              <w:spacing w:after="0"/>
              <w:rPr>
                <w:sz w:val="20"/>
                <w:szCs w:val="20"/>
                <w:color w:val="auto"/>
              </w:rPr>
            </w:pPr>
            <w:r>
              <w:rPr>
                <w:rFonts w:ascii="Arial" w:cs="Arial" w:eastAsia="Arial" w:hAnsi="Arial"/>
                <w:sz w:val="15"/>
                <w:szCs w:val="15"/>
                <w:color w:val="auto"/>
              </w:rPr>
              <w:t>491</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1,178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GMNA – Trucks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gridSpan w:val="2"/>
            <w:vMerge w:val="restart"/>
          </w:tcPr>
          <w:p>
            <w:pPr>
              <w:ind w:left="360"/>
              <w:spacing w:after="0"/>
              <w:rPr>
                <w:sz w:val="20"/>
                <w:szCs w:val="20"/>
                <w:color w:val="auto"/>
              </w:rPr>
            </w:pPr>
            <w:r>
              <w:rPr>
                <w:rFonts w:ascii="Arial" w:cs="Arial" w:eastAsia="Arial" w:hAnsi="Arial"/>
                <w:sz w:val="15"/>
                <w:szCs w:val="15"/>
                <w:color w:val="auto"/>
              </w:rPr>
              <w:t>Total GMNA</w:t>
            </w: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9160" w:type="dxa"/>
            <w:vAlign w:val="bottom"/>
            <w:gridSpan w:val="2"/>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531</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915</w:t>
            </w:r>
          </w:p>
        </w:tc>
        <w:tc>
          <w:tcPr>
            <w:tcW w:w="460" w:type="dxa"/>
            <w:vAlign w:val="bottom"/>
          </w:tcPr>
          <w:p>
            <w:pPr>
              <w:jc w:val="right"/>
              <w:spacing w:after="0"/>
              <w:rPr>
                <w:sz w:val="20"/>
                <w:szCs w:val="20"/>
                <w:color w:val="auto"/>
              </w:rPr>
            </w:pPr>
            <w:r>
              <w:rPr>
                <w:rFonts w:ascii="Arial" w:cs="Arial" w:eastAsia="Arial" w:hAnsi="Arial"/>
                <w:sz w:val="15"/>
                <w:szCs w:val="15"/>
                <w:color w:val="auto"/>
              </w:rPr>
              <w:t>1,297</w:t>
            </w:r>
          </w:p>
        </w:tc>
        <w:tc>
          <w:tcPr>
            <w:tcW w:w="620" w:type="dxa"/>
            <w:vAlign w:val="bottom"/>
            <w:gridSpan w:val="3"/>
          </w:tcPr>
          <w:p>
            <w:pPr>
              <w:jc w:val="right"/>
              <w:ind w:right="20"/>
              <w:spacing w:after="0"/>
              <w:rPr>
                <w:sz w:val="20"/>
                <w:szCs w:val="20"/>
                <w:color w:val="auto"/>
              </w:rPr>
            </w:pPr>
            <w:r>
              <w:rPr>
                <w:rFonts w:ascii="Arial" w:cs="Arial" w:eastAsia="Arial" w:hAnsi="Arial"/>
                <w:sz w:val="15"/>
                <w:szCs w:val="15"/>
                <w:color w:val="auto"/>
              </w:rPr>
              <w:t>2,634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GMIO (a)</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1,124</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Total Worldwide</w:t>
            </w: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9160" w:type="dxa"/>
            <w:vAlign w:val="bottom"/>
            <w:gridSpan w:val="2"/>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1,697</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2,039</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4,565</w:t>
            </w:r>
          </w:p>
        </w:tc>
        <w:tc>
          <w:tcPr>
            <w:tcW w:w="62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6,496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vMerge w:val="restart"/>
          </w:tcPr>
          <w:p>
            <w:pPr>
              <w:spacing w:after="0"/>
              <w:rPr>
                <w:sz w:val="7"/>
                <w:szCs w:val="7"/>
                <w:color w:val="auto"/>
              </w:rPr>
            </w:pPr>
          </w:p>
        </w:tc>
        <w:tc>
          <w:tcPr>
            <w:tcW w:w="1120" w:type="dxa"/>
            <w:vAlign w:val="bottom"/>
          </w:tcPr>
          <w:p>
            <w:pPr>
              <w:spacing w:after="0"/>
              <w:rPr>
                <w:sz w:val="7"/>
                <w:szCs w:val="7"/>
                <w:color w:val="auto"/>
              </w:rPr>
            </w:pPr>
          </w:p>
        </w:tc>
        <w:tc>
          <w:tcPr>
            <w:tcW w:w="8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Vehicle Unit Deliveries (a) (c) (d) (e)</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360"/>
              <w:spacing w:after="0"/>
              <w:rPr>
                <w:sz w:val="20"/>
                <w:szCs w:val="20"/>
                <w:color w:val="auto"/>
              </w:rPr>
            </w:pPr>
            <w:r>
              <w:rPr>
                <w:rFonts w:ascii="Arial" w:cs="Arial" w:eastAsia="Arial" w:hAnsi="Arial"/>
                <w:sz w:val="15"/>
                <w:szCs w:val="15"/>
                <w:color w:val="auto"/>
              </w:rPr>
              <w:t>United States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Chevrolet – Cars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196</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720"/>
              <w:spacing w:after="0"/>
              <w:rPr>
                <w:sz w:val="20"/>
                <w:szCs w:val="20"/>
                <w:color w:val="auto"/>
              </w:rPr>
            </w:pPr>
            <w:r>
              <w:rPr>
                <w:rFonts w:ascii="Arial" w:cs="Arial" w:eastAsia="Arial" w:hAnsi="Arial"/>
                <w:sz w:val="15"/>
                <w:szCs w:val="15"/>
                <w:color w:val="auto"/>
              </w:rPr>
              <w:t>Chevrolet – Trucks</w:t>
            </w:r>
          </w:p>
        </w:tc>
        <w:tc>
          <w:tcPr>
            <w:tcW w:w="500" w:type="dxa"/>
            <w:vAlign w:val="bottom"/>
          </w:tcPr>
          <w:p>
            <w:pPr>
              <w:jc w:val="right"/>
              <w:spacing w:after="0"/>
              <w:rPr>
                <w:sz w:val="20"/>
                <w:szCs w:val="20"/>
                <w:color w:val="auto"/>
              </w:rPr>
            </w:pPr>
            <w:r>
              <w:rPr>
                <w:rFonts w:ascii="Arial" w:cs="Arial" w:eastAsia="Arial" w:hAnsi="Arial"/>
                <w:sz w:val="15"/>
                <w:szCs w:val="15"/>
                <w:color w:val="auto"/>
              </w:rPr>
              <w:t>223</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300</w:t>
            </w:r>
          </w:p>
        </w:tc>
        <w:tc>
          <w:tcPr>
            <w:tcW w:w="460" w:type="dxa"/>
            <w:vAlign w:val="bottom"/>
          </w:tcPr>
          <w:p>
            <w:pPr>
              <w:jc w:val="right"/>
              <w:spacing w:after="0"/>
              <w:rPr>
                <w:sz w:val="20"/>
                <w:szCs w:val="20"/>
                <w:color w:val="auto"/>
              </w:rPr>
            </w:pPr>
            <w:r>
              <w:rPr>
                <w:rFonts w:ascii="Arial" w:cs="Arial" w:eastAsia="Arial" w:hAnsi="Arial"/>
                <w:sz w:val="15"/>
                <w:szCs w:val="15"/>
                <w:color w:val="auto"/>
              </w:rPr>
              <w:t>579</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877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Cadillac</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720"/>
              <w:spacing w:after="0"/>
              <w:rPr>
                <w:sz w:val="20"/>
                <w:szCs w:val="20"/>
                <w:color w:val="auto"/>
              </w:rPr>
            </w:pPr>
            <w:r>
              <w:rPr>
                <w:rFonts w:ascii="Arial" w:cs="Arial" w:eastAsia="Arial" w:hAnsi="Arial"/>
                <w:sz w:val="15"/>
                <w:szCs w:val="15"/>
                <w:color w:val="auto"/>
              </w:rPr>
              <w:t>Buick</w:t>
            </w:r>
          </w:p>
        </w:tc>
        <w:tc>
          <w:tcPr>
            <w:tcW w:w="500" w:type="dxa"/>
            <w:vAlign w:val="bottom"/>
          </w:tcPr>
          <w:p>
            <w:pPr>
              <w:jc w:val="right"/>
              <w:spacing w:after="0"/>
              <w:rPr>
                <w:sz w:val="20"/>
                <w:szCs w:val="20"/>
                <w:color w:val="auto"/>
              </w:rPr>
            </w:pPr>
            <w:r>
              <w:rPr>
                <w:rFonts w:ascii="Arial" w:cs="Arial" w:eastAsia="Arial" w:hAnsi="Arial"/>
                <w:sz w:val="15"/>
                <w:szCs w:val="15"/>
                <w:color w:val="auto"/>
              </w:rPr>
              <w:t>25</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42</w:t>
            </w:r>
          </w:p>
        </w:tc>
        <w:tc>
          <w:tcPr>
            <w:tcW w:w="460" w:type="dxa"/>
            <w:vAlign w:val="bottom"/>
          </w:tcPr>
          <w:p>
            <w:pPr>
              <w:jc w:val="right"/>
              <w:spacing w:after="0"/>
              <w:rPr>
                <w:sz w:val="20"/>
                <w:szCs w:val="20"/>
                <w:color w:val="auto"/>
              </w:rPr>
            </w:pPr>
            <w:r>
              <w:rPr>
                <w:rFonts w:ascii="Arial" w:cs="Arial" w:eastAsia="Arial" w:hAnsi="Arial"/>
                <w:sz w:val="15"/>
                <w:szCs w:val="15"/>
                <w:color w:val="auto"/>
              </w:rPr>
              <w:t>72</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GMC</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720"/>
              <w:spacing w:after="0"/>
              <w:rPr>
                <w:sz w:val="20"/>
                <w:szCs w:val="20"/>
                <w:color w:val="auto"/>
              </w:rPr>
            </w:pPr>
            <w:r>
              <w:rPr>
                <w:rFonts w:ascii="Arial" w:cs="Arial" w:eastAsia="Arial" w:hAnsi="Arial"/>
                <w:sz w:val="15"/>
                <w:szCs w:val="15"/>
                <w:color w:val="auto"/>
              </w:rPr>
              <w:t>Pontiac</w:t>
            </w:r>
          </w:p>
        </w:tc>
        <w:tc>
          <w:tcPr>
            <w:tcW w:w="50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73</w:t>
            </w:r>
          </w:p>
        </w:tc>
        <w:tc>
          <w:tcPr>
            <w:tcW w:w="460" w:type="dxa"/>
            <w:vAlign w:val="bottom"/>
          </w:tcPr>
          <w:p>
            <w:pPr>
              <w:jc w:val="right"/>
              <w:spacing w:after="0"/>
              <w:rPr>
                <w:sz w:val="20"/>
                <w:szCs w:val="20"/>
                <w:color w:val="auto"/>
              </w:rPr>
            </w:pPr>
            <w:r>
              <w:rPr>
                <w:rFonts w:ascii="Arial" w:cs="Arial" w:eastAsia="Arial" w:hAnsi="Arial"/>
                <w:sz w:val="15"/>
                <w:szCs w:val="15"/>
                <w:color w:val="auto"/>
              </w:rPr>
              <w:t>152</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Saturn</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57</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720"/>
              <w:spacing w:after="0"/>
              <w:rPr>
                <w:sz w:val="20"/>
                <w:szCs w:val="20"/>
                <w:color w:val="auto"/>
              </w:rPr>
            </w:pPr>
            <w:r>
              <w:rPr>
                <w:rFonts w:ascii="Arial" w:cs="Arial" w:eastAsia="Arial" w:hAnsi="Arial"/>
                <w:sz w:val="15"/>
                <w:szCs w:val="15"/>
                <w:color w:val="auto"/>
              </w:rPr>
              <w:t>Other</w:t>
            </w:r>
          </w:p>
        </w:tc>
        <w:tc>
          <w:tcPr>
            <w:tcW w:w="50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12</w:t>
            </w:r>
          </w:p>
        </w:tc>
        <w:tc>
          <w:tcPr>
            <w:tcW w:w="460" w:type="dxa"/>
            <w:vAlign w:val="bottom"/>
          </w:tcPr>
          <w:p>
            <w:pPr>
              <w:jc w:val="right"/>
              <w:spacing w:after="0"/>
              <w:rPr>
                <w:sz w:val="20"/>
                <w:szCs w:val="20"/>
                <w:color w:val="auto"/>
              </w:rPr>
            </w:pPr>
            <w:r>
              <w:rPr>
                <w:rFonts w:ascii="Arial" w:cs="Arial" w:eastAsia="Arial" w:hAnsi="Arial"/>
                <w:sz w:val="15"/>
                <w:szCs w:val="15"/>
                <w:color w:val="auto"/>
              </w:rPr>
              <w:t>15</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United States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593</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828</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2,433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360"/>
              <w:spacing w:after="0"/>
              <w:rPr>
                <w:sz w:val="20"/>
                <w:szCs w:val="20"/>
                <w:color w:val="auto"/>
              </w:rPr>
            </w:pPr>
            <w:r>
              <w:rPr>
                <w:rFonts w:ascii="Arial" w:cs="Arial" w:eastAsia="Arial" w:hAnsi="Arial"/>
                <w:sz w:val="15"/>
                <w:szCs w:val="15"/>
                <w:color w:val="auto"/>
              </w:rPr>
              <w:t>Canada, Mexico and Other</w:t>
            </w:r>
          </w:p>
        </w:tc>
        <w:tc>
          <w:tcPr>
            <w:tcW w:w="500" w:type="dxa"/>
            <w:vAlign w:val="bottom"/>
          </w:tcPr>
          <w:p>
            <w:pPr>
              <w:jc w:val="right"/>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150</w:t>
            </w:r>
          </w:p>
        </w:tc>
        <w:tc>
          <w:tcPr>
            <w:tcW w:w="460" w:type="dxa"/>
            <w:vAlign w:val="bottom"/>
          </w:tcPr>
          <w:p>
            <w:pPr>
              <w:jc w:val="right"/>
              <w:spacing w:after="0"/>
              <w:rPr>
                <w:sz w:val="20"/>
                <w:szCs w:val="20"/>
                <w:color w:val="auto"/>
              </w:rPr>
            </w:pPr>
            <w:r>
              <w:rPr>
                <w:rFonts w:ascii="Arial" w:cs="Arial" w:eastAsia="Arial" w:hAnsi="Arial"/>
                <w:sz w:val="15"/>
                <w:szCs w:val="15"/>
                <w:color w:val="auto"/>
              </w:rPr>
              <w:t>301</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456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GMNA</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978</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2,889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160" w:type="dxa"/>
            <w:vAlign w:val="bottom"/>
            <w:gridSpan w:val="2"/>
          </w:tcPr>
          <w:p>
            <w:pPr>
              <w:ind w:left="360"/>
              <w:spacing w:after="0"/>
              <w:rPr>
                <w:sz w:val="20"/>
                <w:szCs w:val="20"/>
                <w:color w:val="auto"/>
              </w:rPr>
            </w:pPr>
            <w:r>
              <w:rPr>
                <w:rFonts w:ascii="Arial" w:cs="Arial" w:eastAsia="Arial" w:hAnsi="Arial"/>
                <w:sz w:val="15"/>
                <w:szCs w:val="15"/>
                <w:color w:val="auto"/>
              </w:rPr>
              <w:t>GMIO (f)</w:t>
            </w: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1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Chevrolet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496</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720"/>
              <w:spacing w:after="0"/>
              <w:rPr>
                <w:sz w:val="20"/>
                <w:szCs w:val="20"/>
                <w:color w:val="auto"/>
              </w:rPr>
            </w:pPr>
            <w:r>
              <w:rPr>
                <w:rFonts w:ascii="Arial" w:cs="Arial" w:eastAsia="Arial" w:hAnsi="Arial"/>
                <w:sz w:val="15"/>
                <w:szCs w:val="15"/>
                <w:color w:val="auto"/>
              </w:rPr>
              <w:t>Opel/Vauxhall</w:t>
            </w:r>
          </w:p>
        </w:tc>
        <w:tc>
          <w:tcPr>
            <w:tcW w:w="500" w:type="dxa"/>
            <w:vAlign w:val="bottom"/>
          </w:tcPr>
          <w:p>
            <w:pPr>
              <w:jc w:val="right"/>
              <w:spacing w:after="0"/>
              <w:rPr>
                <w:sz w:val="20"/>
                <w:szCs w:val="20"/>
                <w:color w:val="auto"/>
              </w:rPr>
            </w:pPr>
            <w:r>
              <w:rPr>
                <w:rFonts w:ascii="Arial" w:cs="Arial" w:eastAsia="Arial" w:hAnsi="Arial"/>
                <w:sz w:val="15"/>
                <w:szCs w:val="15"/>
                <w:color w:val="auto"/>
              </w:rPr>
              <w:t>306</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336</w:t>
            </w:r>
          </w:p>
        </w:tc>
        <w:tc>
          <w:tcPr>
            <w:tcW w:w="460" w:type="dxa"/>
            <w:vAlign w:val="bottom"/>
          </w:tcPr>
          <w:p>
            <w:pPr>
              <w:jc w:val="right"/>
              <w:spacing w:after="0"/>
              <w:rPr>
                <w:sz w:val="20"/>
                <w:szCs w:val="20"/>
                <w:color w:val="auto"/>
              </w:rPr>
            </w:pPr>
            <w:r>
              <w:rPr>
                <w:rFonts w:ascii="Arial" w:cs="Arial" w:eastAsia="Arial" w:hAnsi="Arial"/>
                <w:sz w:val="15"/>
                <w:szCs w:val="15"/>
                <w:color w:val="auto"/>
              </w:rPr>
              <w:t>963</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1,208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Buick</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720"/>
              <w:spacing w:after="0"/>
              <w:rPr>
                <w:sz w:val="20"/>
                <w:szCs w:val="20"/>
                <w:color w:val="auto"/>
              </w:rPr>
            </w:pPr>
            <w:r>
              <w:rPr>
                <w:rFonts w:ascii="Arial" w:cs="Arial" w:eastAsia="Arial" w:hAnsi="Arial"/>
                <w:sz w:val="15"/>
                <w:szCs w:val="15"/>
                <w:color w:val="auto"/>
              </w:rPr>
              <w:t>GM Daewoo</w:t>
            </w:r>
          </w:p>
        </w:tc>
        <w:tc>
          <w:tcPr>
            <w:tcW w:w="50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31</w:t>
            </w:r>
          </w:p>
        </w:tc>
        <w:tc>
          <w:tcPr>
            <w:tcW w:w="460" w:type="dxa"/>
            <w:vAlign w:val="bottom"/>
          </w:tcPr>
          <w:p>
            <w:pPr>
              <w:jc w:val="right"/>
              <w:spacing w:after="0"/>
              <w:rPr>
                <w:sz w:val="20"/>
                <w:szCs w:val="20"/>
                <w:color w:val="auto"/>
              </w:rPr>
            </w:pPr>
            <w:r>
              <w:rPr>
                <w:rFonts w:ascii="Arial" w:cs="Arial" w:eastAsia="Arial" w:hAnsi="Arial"/>
                <w:sz w:val="15"/>
                <w:szCs w:val="15"/>
                <w:color w:val="auto"/>
              </w:rPr>
              <w:t>80</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Holden</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720"/>
              <w:spacing w:after="0"/>
              <w:rPr>
                <w:sz w:val="20"/>
                <w:szCs w:val="20"/>
                <w:color w:val="auto"/>
              </w:rPr>
            </w:pPr>
            <w:r>
              <w:rPr>
                <w:rFonts w:ascii="Arial" w:cs="Arial" w:eastAsia="Arial" w:hAnsi="Arial"/>
                <w:sz w:val="15"/>
                <w:szCs w:val="15"/>
                <w:color w:val="auto"/>
              </w:rPr>
              <w:t>Wuling (g)</w:t>
            </w:r>
          </w:p>
        </w:tc>
        <w:tc>
          <w:tcPr>
            <w:tcW w:w="500" w:type="dxa"/>
            <w:vAlign w:val="bottom"/>
          </w:tcPr>
          <w:p>
            <w:pPr>
              <w:jc w:val="right"/>
              <w:spacing w:after="0"/>
              <w:rPr>
                <w:sz w:val="20"/>
                <w:szCs w:val="20"/>
                <w:color w:val="auto"/>
              </w:rPr>
            </w:pPr>
            <w:r>
              <w:rPr>
                <w:rFonts w:ascii="Arial" w:cs="Arial" w:eastAsia="Arial" w:hAnsi="Arial"/>
                <w:sz w:val="15"/>
                <w:szCs w:val="15"/>
                <w:color w:val="auto"/>
              </w:rPr>
              <w:t>262</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128</w:t>
            </w:r>
          </w:p>
        </w:tc>
        <w:tc>
          <w:tcPr>
            <w:tcW w:w="460" w:type="dxa"/>
            <w:vAlign w:val="bottom"/>
          </w:tcPr>
          <w:p>
            <w:pPr>
              <w:jc w:val="right"/>
              <w:spacing w:after="0"/>
              <w:rPr>
                <w:sz w:val="20"/>
                <w:szCs w:val="20"/>
                <w:color w:val="auto"/>
              </w:rPr>
            </w:pPr>
            <w:r>
              <w:rPr>
                <w:rFonts w:ascii="Arial" w:cs="Arial" w:eastAsia="Arial" w:hAnsi="Arial"/>
                <w:sz w:val="15"/>
                <w:szCs w:val="15"/>
                <w:color w:val="auto"/>
              </w:rPr>
              <w:t>754</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457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720"/>
              <w:spacing w:after="0"/>
              <w:rPr>
                <w:sz w:val="20"/>
                <w:szCs w:val="20"/>
                <w:color w:val="auto"/>
              </w:rPr>
            </w:pPr>
            <w:r>
              <w:rPr>
                <w:rFonts w:ascii="Arial" w:cs="Arial" w:eastAsia="Arial" w:hAnsi="Arial"/>
                <w:sz w:val="15"/>
                <w:szCs w:val="15"/>
                <w:color w:val="auto"/>
              </w:rPr>
              <w:t>FAW-GM (g)</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tcPr>
          <w:p>
            <w:pPr>
              <w:ind w:left="720"/>
              <w:spacing w:after="0"/>
              <w:rPr>
                <w:sz w:val="20"/>
                <w:szCs w:val="20"/>
                <w:color w:val="auto"/>
              </w:rPr>
            </w:pPr>
            <w:r>
              <w:rPr>
                <w:rFonts w:ascii="Arial" w:cs="Arial" w:eastAsia="Arial" w:hAnsi="Arial"/>
                <w:sz w:val="15"/>
                <w:szCs w:val="15"/>
                <w:color w:val="auto"/>
              </w:rPr>
              <w:t>Other</w:t>
            </w:r>
          </w:p>
        </w:tc>
        <w:tc>
          <w:tcPr>
            <w:tcW w:w="50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44</w:t>
            </w:r>
          </w:p>
        </w:tc>
        <w:tc>
          <w:tcPr>
            <w:tcW w:w="460" w:type="dxa"/>
            <w:vAlign w:val="bottom"/>
          </w:tcPr>
          <w:p>
            <w:pPr>
              <w:jc w:val="right"/>
              <w:spacing w:after="0"/>
              <w:rPr>
                <w:sz w:val="20"/>
                <w:szCs w:val="20"/>
                <w:color w:val="auto"/>
              </w:rPr>
            </w:pPr>
            <w:r>
              <w:rPr>
                <w:rFonts w:ascii="Arial" w:cs="Arial" w:eastAsia="Arial" w:hAnsi="Arial"/>
                <w:sz w:val="15"/>
                <w:szCs w:val="15"/>
                <w:color w:val="auto"/>
              </w:rPr>
              <w:t>85</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916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GMIO</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1,278</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1,135</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3,767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gridSpan w:val="2"/>
            <w:vMerge w:val="restart"/>
          </w:tcPr>
          <w:p>
            <w:pPr>
              <w:ind w:left="360"/>
              <w:spacing w:after="0"/>
              <w:rPr>
                <w:sz w:val="20"/>
                <w:szCs w:val="20"/>
                <w:color w:val="auto"/>
              </w:rPr>
            </w:pPr>
            <w:r>
              <w:rPr>
                <w:rFonts w:ascii="Arial" w:cs="Arial" w:eastAsia="Arial" w:hAnsi="Arial"/>
                <w:sz w:val="15"/>
                <w:szCs w:val="15"/>
                <w:b w:val="1"/>
                <w:bCs w:val="1"/>
                <w:color w:val="auto"/>
              </w:rPr>
              <w:t>Total Worldwide</w:t>
            </w: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9160" w:type="dxa"/>
            <w:vAlign w:val="bottom"/>
            <w:gridSpan w:val="2"/>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b w:val="1"/>
                <w:bCs w:val="1"/>
                <w:color w:val="auto"/>
              </w:rPr>
              <w:t>1,969</w:t>
            </w:r>
          </w:p>
        </w:tc>
        <w:tc>
          <w:tcPr>
            <w:tcW w:w="10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2,113</w:t>
            </w:r>
          </w:p>
        </w:tc>
        <w:tc>
          <w:tcPr>
            <w:tcW w:w="460" w:type="dxa"/>
            <w:vAlign w:val="bottom"/>
          </w:tcPr>
          <w:p>
            <w:pPr>
              <w:jc w:val="right"/>
              <w:spacing w:after="0"/>
              <w:rPr>
                <w:sz w:val="20"/>
                <w:szCs w:val="20"/>
                <w:color w:val="auto"/>
              </w:rPr>
            </w:pPr>
            <w:r>
              <w:rPr>
                <w:rFonts w:ascii="Arial" w:cs="Arial" w:eastAsia="Arial" w:hAnsi="Arial"/>
                <w:sz w:val="15"/>
                <w:szCs w:val="15"/>
                <w:b w:val="1"/>
                <w:bCs w:val="1"/>
                <w:color w:val="auto"/>
              </w:rPr>
              <w:t>5,523</w:t>
            </w:r>
          </w:p>
        </w:tc>
        <w:tc>
          <w:tcPr>
            <w:tcW w:w="620" w:type="dxa"/>
            <w:vAlign w:val="bottom"/>
            <w:gridSpan w:val="3"/>
          </w:tcPr>
          <w:p>
            <w:pPr>
              <w:jc w:val="right"/>
              <w:ind w:right="20"/>
              <w:spacing w:after="0"/>
              <w:rPr>
                <w:sz w:val="20"/>
                <w:szCs w:val="20"/>
                <w:color w:val="auto"/>
              </w:rPr>
            </w:pPr>
            <w:r>
              <w:rPr>
                <w:rFonts w:ascii="Arial" w:cs="Arial" w:eastAsia="Arial" w:hAnsi="Arial"/>
                <w:sz w:val="15"/>
                <w:szCs w:val="15"/>
                <w:b w:val="1"/>
                <w:bCs w:val="1"/>
                <w:color w:val="auto"/>
              </w:rPr>
              <w:t>6,656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8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446" w:right="100" w:hanging="446"/>
        <w:spacing w:after="0" w:line="264" w:lineRule="auto"/>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Vehicle sales and production volume will not be affected by fresh-start reporting; therefore, for the three and nine months ended September 30, 2009, GM’s vehicle sales and production volume for the period July 10, 2009 through September 30, 2009 is presented with Old GM’s vehicle sales and production volume for the periods July 1, 2009 through July 9, 2009 and January 1, 2009 through July 9, 2009 for comparison purposes.</w:t>
      </w:r>
    </w:p>
    <w:p>
      <w:pPr>
        <w:spacing w:after="0" w:line="1" w:lineRule="exact"/>
        <w:rPr>
          <w:rFonts w:ascii="Arial" w:cs="Arial" w:eastAsia="Arial" w:hAnsi="Arial"/>
          <w:sz w:val="15"/>
          <w:szCs w:val="15"/>
          <w:color w:val="auto"/>
        </w:rPr>
      </w:pPr>
    </w:p>
    <w:p>
      <w:pPr>
        <w:ind w:left="446" w:right="220" w:hanging="446"/>
        <w:spacing w:after="0" w:line="261" w:lineRule="auto"/>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Production volume represents the number of vehicles manufactured by our and Old GM’s assembly facilities and also includes vehicles produced by certain joint ventures, including GM Daewoo, Shanghai GM and SAIC-GM Wuling Automobile Co., Ltd. (SGMW) and FAW-GM Light Duty Commercial Vehicle Co., Ltd. (FAW-GM) joint venture production.</w:t>
      </w:r>
    </w:p>
    <w:p>
      <w:pPr>
        <w:spacing w:after="0" w:line="1" w:lineRule="exact"/>
        <w:rPr>
          <w:rFonts w:ascii="Arial" w:cs="Arial" w:eastAsia="Arial" w:hAnsi="Arial"/>
          <w:sz w:val="15"/>
          <w:szCs w:val="15"/>
          <w:color w:val="auto"/>
        </w:rPr>
      </w:pPr>
    </w:p>
    <w:p>
      <w:pPr>
        <w:ind w:left="446" w:hanging="446"/>
        <w:spacing w:after="0"/>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Vehicle sales and production data may include rounding differences.</w:t>
      </w:r>
    </w:p>
    <w:p>
      <w:pPr>
        <w:spacing w:after="0" w:line="15" w:lineRule="exact"/>
        <w:rPr>
          <w:rFonts w:ascii="Arial" w:cs="Arial" w:eastAsia="Arial" w:hAnsi="Arial"/>
          <w:sz w:val="15"/>
          <w:szCs w:val="15"/>
          <w:color w:val="auto"/>
        </w:rPr>
      </w:pPr>
    </w:p>
    <w:p>
      <w:pPr>
        <w:ind w:left="446" w:hanging="446"/>
        <w:spacing w:after="0"/>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Vehicle sales primarily represent sales to the ultimate customer.</w:t>
      </w:r>
    </w:p>
    <w:p>
      <w:pPr>
        <w:spacing w:after="0" w:line="15" w:lineRule="exact"/>
        <w:rPr>
          <w:rFonts w:ascii="Arial" w:cs="Arial" w:eastAsia="Arial" w:hAnsi="Arial"/>
          <w:sz w:val="15"/>
          <w:szCs w:val="15"/>
          <w:color w:val="auto"/>
        </w:rPr>
      </w:pPr>
    </w:p>
    <w:p>
      <w:pPr>
        <w:ind w:left="446" w:hanging="446"/>
        <w:spacing w:after="0"/>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HUMMER, Saab, Saturn and Pontiac vehicle sales data.</w:t>
      </w:r>
    </w:p>
    <w:p>
      <w:pPr>
        <w:spacing w:after="0" w:line="15" w:lineRule="exact"/>
        <w:rPr>
          <w:rFonts w:ascii="Arial" w:cs="Arial" w:eastAsia="Arial" w:hAnsi="Arial"/>
          <w:sz w:val="15"/>
          <w:szCs w:val="15"/>
          <w:color w:val="auto"/>
        </w:rPr>
      </w:pPr>
    </w:p>
    <w:p>
      <w:pPr>
        <w:ind w:left="446" w:right="360" w:hanging="446"/>
        <w:spacing w:after="0" w:line="261" w:lineRule="auto"/>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Consistent with industry practice, vehicle sales information includes estimates of industry sales in certain countries where public reporting is not legally required or otherwise available on a consistent basis.</w:t>
      </w:r>
    </w:p>
    <w:p>
      <w:pPr>
        <w:spacing w:after="0" w:line="1" w:lineRule="exact"/>
        <w:rPr>
          <w:rFonts w:ascii="Arial" w:cs="Arial" w:eastAsia="Arial" w:hAnsi="Arial"/>
          <w:sz w:val="15"/>
          <w:szCs w:val="15"/>
          <w:color w:val="auto"/>
        </w:rPr>
      </w:pPr>
    </w:p>
    <w:p>
      <w:pPr>
        <w:jc w:val="both"/>
        <w:ind w:left="446" w:right="240" w:hanging="446"/>
        <w:spacing w:after="0" w:line="272" w:lineRule="auto"/>
        <w:tabs>
          <w:tab w:leader="none" w:pos="446"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GM Daewoo, Shanghai GM and SAIC-GM Wuling Automobile Co., Ltd. (SGMW) and FAW-GM Light Duty Commercial Vehicle Co., Ltd. (FAW-GM) joint venture sales. Ownership of 34% in SGMW and 50% in FAW-GM, under the joint venture agreement, allows for significant rights as a member as well as the contractual right to report SGMW and FAW-GM Light Duty Commercial sales in China as part of global market share.</w:t>
      </w:r>
    </w:p>
    <w:p>
      <w:pPr>
        <w:spacing w:after="0" w:line="101"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6"/>
          </w:cols>
          <w:pgMar w:left="234" w:top="258" w:right="219" w:bottom="1440" w:gutter="0" w:footer="0" w:header="0"/>
        </w:sectPr>
      </w:pPr>
    </w:p>
    <w:bookmarkStart w:id="17" w:name="page18"/>
    <w:bookmarkEnd w:id="17"/>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Operating Statistics</w:t>
      </w:r>
    </w:p>
    <w:p>
      <w:pPr>
        <w:spacing w:after="0" w:line="151" w:lineRule="exact"/>
        <w:rPr>
          <w:sz w:val="20"/>
          <w:szCs w:val="20"/>
          <w:color w:val="auto"/>
        </w:rPr>
      </w:pPr>
    </w:p>
    <w:p>
      <w:pPr>
        <w:jc w:val="center"/>
        <w:ind w:right="-5"/>
        <w:spacing w:after="0"/>
        <w:rPr>
          <w:sz w:val="20"/>
          <w:szCs w:val="20"/>
          <w:color w:val="auto"/>
        </w:rPr>
      </w:pPr>
      <w:r>
        <w:rPr>
          <w:rFonts w:ascii="Arial" w:cs="Arial" w:eastAsia="Arial" w:hAnsi="Arial"/>
          <w:sz w:val="15"/>
          <w:szCs w:val="15"/>
          <w:i w:val="1"/>
          <w:iCs w:val="1"/>
          <w:color w:val="auto"/>
        </w:rPr>
        <w:t>(Unaudited)</w:t>
      </w:r>
    </w:p>
    <w:p>
      <w:pPr>
        <w:spacing w:after="0" w:line="179"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7940" w:type="dxa"/>
            <w:vAlign w:val="bottom"/>
          </w:tcPr>
          <w:p>
            <w:pPr>
              <w:spacing w:after="0"/>
              <w:rPr>
                <w:sz w:val="12"/>
                <w:szCs w:val="12"/>
                <w:color w:val="auto"/>
              </w:rPr>
            </w:pPr>
          </w:p>
        </w:tc>
        <w:tc>
          <w:tcPr>
            <w:tcW w:w="1960" w:type="dxa"/>
            <w:vAlign w:val="bottom"/>
            <w:gridSpan w:val="5"/>
          </w:tcPr>
          <w:p>
            <w:pPr>
              <w:jc w:val="center"/>
              <w:ind w:right="580"/>
              <w:spacing w:after="0"/>
              <w:rPr>
                <w:sz w:val="20"/>
                <w:szCs w:val="20"/>
                <w:color w:val="auto"/>
              </w:rPr>
            </w:pPr>
            <w:r>
              <w:rPr>
                <w:rFonts w:ascii="Arial" w:cs="Arial" w:eastAsia="Arial" w:hAnsi="Arial"/>
                <w:sz w:val="12"/>
                <w:szCs w:val="12"/>
                <w:b w:val="1"/>
                <w:bCs w:val="1"/>
                <w:color w:val="auto"/>
                <w:w w:val="89"/>
              </w:rPr>
              <w:t>Three Months Ended</w:t>
            </w:r>
          </w:p>
        </w:tc>
        <w:tc>
          <w:tcPr>
            <w:tcW w:w="154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89"/>
              </w:rPr>
              <w:t>Nine Months Ended</w:t>
            </w:r>
          </w:p>
        </w:tc>
      </w:tr>
      <w:tr>
        <w:trPr>
          <w:trHeight w:val="140"/>
        </w:trPr>
        <w:tc>
          <w:tcPr>
            <w:tcW w:w="7940" w:type="dxa"/>
            <w:vAlign w:val="bottom"/>
          </w:tcPr>
          <w:p>
            <w:pPr>
              <w:spacing w:after="0"/>
              <w:rPr>
                <w:sz w:val="12"/>
                <w:szCs w:val="12"/>
                <w:color w:val="auto"/>
              </w:rPr>
            </w:pPr>
          </w:p>
        </w:tc>
        <w:tc>
          <w:tcPr>
            <w:tcW w:w="106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2"/>
                <w:szCs w:val="12"/>
                <w:b w:val="1"/>
                <w:bCs w:val="1"/>
                <w:color w:val="auto"/>
                <w:w w:val="85"/>
              </w:rPr>
              <w:t>September 30,</w:t>
            </w:r>
          </w:p>
        </w:tc>
        <w:tc>
          <w:tcPr>
            <w:tcW w:w="32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2"/>
                <w:szCs w:val="12"/>
                <w:b w:val="1"/>
                <w:bCs w:val="1"/>
                <w:color w:val="auto"/>
                <w:w w:val="87"/>
              </w:rPr>
              <w:t>September 30,</w:t>
            </w:r>
          </w:p>
        </w:tc>
        <w:tc>
          <w:tcPr>
            <w:tcW w:w="3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21"/>
        </w:trPr>
        <w:tc>
          <w:tcPr>
            <w:tcW w:w="7940" w:type="dxa"/>
            <w:vAlign w:val="bottom"/>
          </w:tcPr>
          <w:p>
            <w:pPr>
              <w:spacing w:after="0"/>
              <w:rPr>
                <w:sz w:val="10"/>
                <w:szCs w:val="10"/>
                <w:color w:val="auto"/>
              </w:rPr>
            </w:pPr>
          </w:p>
        </w:tc>
        <w:tc>
          <w:tcPr>
            <w:tcW w:w="36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2009</w:t>
            </w:r>
          </w:p>
        </w:tc>
        <w:tc>
          <w:tcPr>
            <w:tcW w:w="6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89"/>
              </w:rPr>
              <w:t>2008</w:t>
            </w:r>
          </w:p>
        </w:tc>
        <w:tc>
          <w:tcPr>
            <w:tcW w:w="580" w:type="dxa"/>
            <w:vAlign w:val="bottom"/>
          </w:tcPr>
          <w:p>
            <w:pPr>
              <w:spacing w:after="0"/>
              <w:rPr>
                <w:sz w:val="10"/>
                <w:szCs w:val="10"/>
                <w:color w:val="auto"/>
              </w:rPr>
            </w:pPr>
          </w:p>
        </w:tc>
        <w:tc>
          <w:tcPr>
            <w:tcW w:w="3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w w:val="97"/>
              </w:rPr>
              <w:t>2009</w:t>
            </w:r>
          </w:p>
        </w:tc>
        <w:tc>
          <w:tcPr>
            <w:tcW w:w="6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5"/>
              <w:spacing w:after="0" w:line="121" w:lineRule="exact"/>
              <w:rPr>
                <w:sz w:val="20"/>
                <w:szCs w:val="20"/>
                <w:color w:val="auto"/>
              </w:rPr>
            </w:pPr>
            <w:r>
              <w:rPr>
                <w:rFonts w:ascii="Arial" w:cs="Arial" w:eastAsia="Arial" w:hAnsi="Arial"/>
                <w:sz w:val="12"/>
                <w:szCs w:val="12"/>
                <w:b w:val="1"/>
                <w:bCs w:val="1"/>
                <w:color w:val="auto"/>
                <w:w w:val="82"/>
              </w:rPr>
              <w:t>2008</w:t>
            </w:r>
          </w:p>
        </w:tc>
        <w:tc>
          <w:tcPr>
            <w:tcW w:w="200" w:type="dxa"/>
            <w:vAlign w:val="bottom"/>
          </w:tcPr>
          <w:p>
            <w:pPr>
              <w:spacing w:after="0"/>
              <w:rPr>
                <w:sz w:val="10"/>
                <w:szCs w:val="10"/>
                <w:color w:val="auto"/>
              </w:rPr>
            </w:pPr>
          </w:p>
        </w:tc>
      </w:tr>
      <w:tr>
        <w:trPr>
          <w:trHeight w:val="180"/>
        </w:trPr>
        <w:tc>
          <w:tcPr>
            <w:tcW w:w="79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Market Share (a)</w:t>
            </w: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88"/>
        </w:trPr>
        <w:tc>
          <w:tcPr>
            <w:tcW w:w="7940" w:type="dxa"/>
            <w:vAlign w:val="bottom"/>
          </w:tcPr>
          <w:p>
            <w:pPr>
              <w:ind w:left="380"/>
              <w:spacing w:after="0"/>
              <w:rPr>
                <w:sz w:val="20"/>
                <w:szCs w:val="20"/>
                <w:color w:val="auto"/>
              </w:rPr>
            </w:pPr>
            <w:r>
              <w:rPr>
                <w:rFonts w:ascii="Arial" w:cs="Arial" w:eastAsia="Arial" w:hAnsi="Arial"/>
                <w:sz w:val="15"/>
                <w:szCs w:val="15"/>
                <w:color w:val="auto"/>
              </w:rPr>
              <w:t>United States – Cars</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16.5%</w:t>
            </w:r>
          </w:p>
        </w:tc>
        <w:tc>
          <w:tcPr>
            <w:tcW w:w="6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rPr>
              <w:t>20.3%</w:t>
            </w:r>
          </w:p>
        </w:tc>
        <w:tc>
          <w:tcPr>
            <w:tcW w:w="960" w:type="dxa"/>
            <w:vAlign w:val="bottom"/>
            <w:gridSpan w:val="2"/>
          </w:tcPr>
          <w:p>
            <w:pPr>
              <w:jc w:val="right"/>
              <w:ind w:right="500"/>
              <w:spacing w:after="0"/>
              <w:rPr>
                <w:sz w:val="20"/>
                <w:szCs w:val="20"/>
                <w:color w:val="auto"/>
              </w:rPr>
            </w:pPr>
            <w:r>
              <w:rPr>
                <w:rFonts w:ascii="Arial" w:cs="Arial" w:eastAsia="Arial" w:hAnsi="Arial"/>
                <w:sz w:val="15"/>
                <w:szCs w:val="15"/>
                <w:color w:val="auto"/>
              </w:rPr>
              <w:t>16.5%</w:t>
            </w:r>
          </w:p>
        </w:tc>
        <w:tc>
          <w:tcPr>
            <w:tcW w:w="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98"/>
              </w:rPr>
              <w:t>18.7%</w:t>
            </w:r>
          </w:p>
        </w:tc>
      </w:tr>
      <w:tr>
        <w:trPr>
          <w:trHeight w:val="188"/>
        </w:trPr>
        <w:tc>
          <w:tcPr>
            <w:tcW w:w="79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 – Trucks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22.8%</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28.4%</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22.6%</w:t>
            </w:r>
          </w:p>
        </w:tc>
        <w:tc>
          <w:tcPr>
            <w:tcW w:w="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8"/>
              </w:rPr>
              <w:t>25.8%</w:t>
            </w:r>
          </w:p>
        </w:tc>
      </w:tr>
      <w:tr>
        <w:trPr>
          <w:trHeight w:val="188"/>
        </w:trPr>
        <w:tc>
          <w:tcPr>
            <w:tcW w:w="7940" w:type="dxa"/>
            <w:vAlign w:val="bottom"/>
          </w:tcPr>
          <w:p>
            <w:pPr>
              <w:ind w:left="380"/>
              <w:spacing w:after="0"/>
              <w:rPr>
                <w:sz w:val="20"/>
                <w:szCs w:val="20"/>
                <w:color w:val="auto"/>
              </w:rPr>
            </w:pPr>
            <w:r>
              <w:rPr>
                <w:rFonts w:ascii="Arial" w:cs="Arial" w:eastAsia="Arial" w:hAnsi="Arial"/>
                <w:sz w:val="15"/>
                <w:szCs w:val="15"/>
                <w:color w:val="auto"/>
              </w:rPr>
              <w:t>Total United States</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19.5%</w:t>
            </w:r>
          </w:p>
        </w:tc>
        <w:tc>
          <w:tcPr>
            <w:tcW w:w="6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rPr>
              <w:t>24.3%</w:t>
            </w:r>
          </w:p>
        </w:tc>
        <w:tc>
          <w:tcPr>
            <w:tcW w:w="960" w:type="dxa"/>
            <w:vAlign w:val="bottom"/>
            <w:gridSpan w:val="2"/>
          </w:tcPr>
          <w:p>
            <w:pPr>
              <w:jc w:val="right"/>
              <w:ind w:right="500"/>
              <w:spacing w:after="0"/>
              <w:rPr>
                <w:sz w:val="20"/>
                <w:szCs w:val="20"/>
                <w:color w:val="auto"/>
              </w:rPr>
            </w:pPr>
            <w:r>
              <w:rPr>
                <w:rFonts w:ascii="Arial" w:cs="Arial" w:eastAsia="Arial" w:hAnsi="Arial"/>
                <w:sz w:val="15"/>
                <w:szCs w:val="15"/>
                <w:color w:val="auto"/>
              </w:rPr>
              <w:t>19.5%</w:t>
            </w:r>
          </w:p>
        </w:tc>
        <w:tc>
          <w:tcPr>
            <w:tcW w:w="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98"/>
              </w:rPr>
              <w:t>22.2%</w:t>
            </w:r>
          </w:p>
        </w:tc>
      </w:tr>
      <w:tr>
        <w:trPr>
          <w:trHeight w:val="188"/>
        </w:trPr>
        <w:tc>
          <w:tcPr>
            <w:tcW w:w="79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GMNA</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18.7%</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23.4%</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18.9%</w:t>
            </w:r>
          </w:p>
        </w:tc>
        <w:tc>
          <w:tcPr>
            <w:tcW w:w="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8"/>
              </w:rPr>
              <w:t>21.7%</w:t>
            </w:r>
          </w:p>
        </w:tc>
      </w:tr>
      <w:tr>
        <w:trPr>
          <w:trHeight w:val="188"/>
        </w:trPr>
        <w:tc>
          <w:tcPr>
            <w:tcW w:w="7940" w:type="dxa"/>
            <w:vAlign w:val="bottom"/>
          </w:tcPr>
          <w:p>
            <w:pPr>
              <w:ind w:left="380"/>
              <w:spacing w:after="0"/>
              <w:rPr>
                <w:sz w:val="20"/>
                <w:szCs w:val="20"/>
                <w:color w:val="auto"/>
              </w:rPr>
            </w:pPr>
            <w:r>
              <w:rPr>
                <w:rFonts w:ascii="Arial" w:cs="Arial" w:eastAsia="Arial" w:hAnsi="Arial"/>
                <w:sz w:val="15"/>
                <w:szCs w:val="15"/>
                <w:color w:val="auto"/>
              </w:rPr>
              <w:t>Total GMIO (a) (b) (c)</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9.9%</w:t>
            </w:r>
          </w:p>
        </w:tc>
        <w:tc>
          <w:tcPr>
            <w:tcW w:w="6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rPr>
              <w:t>9.4%</w:t>
            </w:r>
          </w:p>
        </w:tc>
        <w:tc>
          <w:tcPr>
            <w:tcW w:w="960" w:type="dxa"/>
            <w:vAlign w:val="bottom"/>
            <w:gridSpan w:val="2"/>
          </w:tcPr>
          <w:p>
            <w:pPr>
              <w:jc w:val="right"/>
              <w:ind w:right="500"/>
              <w:spacing w:after="0"/>
              <w:rPr>
                <w:sz w:val="20"/>
                <w:szCs w:val="20"/>
                <w:color w:val="auto"/>
              </w:rPr>
            </w:pPr>
            <w:r>
              <w:rPr>
                <w:rFonts w:ascii="Arial" w:cs="Arial" w:eastAsia="Arial" w:hAnsi="Arial"/>
                <w:sz w:val="15"/>
                <w:szCs w:val="15"/>
                <w:color w:val="auto"/>
              </w:rPr>
              <w:t>9.8%</w:t>
            </w:r>
          </w:p>
        </w:tc>
        <w:tc>
          <w:tcPr>
            <w:tcW w:w="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rPr>
              <w:t>9.5%</w:t>
            </w:r>
          </w:p>
        </w:tc>
      </w:tr>
      <w:tr>
        <w:trPr>
          <w:trHeight w:val="188"/>
        </w:trPr>
        <w:tc>
          <w:tcPr>
            <w:tcW w:w="794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Worldwide</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b w:val="1"/>
                <w:bCs w:val="1"/>
                <w:color w:val="auto"/>
              </w:rPr>
              <w:t>11.9%</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b w:val="1"/>
                <w:bCs w:val="1"/>
                <w:color w:val="auto"/>
              </w:rPr>
              <w:t>13.0%</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b w:val="1"/>
                <w:bCs w:val="1"/>
                <w:color w:val="auto"/>
              </w:rPr>
              <w:t>11.7%</w:t>
            </w:r>
          </w:p>
        </w:tc>
        <w:tc>
          <w:tcPr>
            <w:tcW w:w="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12.6%</w:t>
            </w:r>
          </w:p>
        </w:tc>
      </w:tr>
      <w:tr>
        <w:trPr>
          <w:trHeight w:val="282"/>
        </w:trPr>
        <w:tc>
          <w:tcPr>
            <w:tcW w:w="7940" w:type="dxa"/>
            <w:vAlign w:val="bottom"/>
          </w:tcPr>
          <w:p>
            <w:pPr>
              <w:spacing w:after="0"/>
              <w:rPr>
                <w:sz w:val="20"/>
                <w:szCs w:val="20"/>
                <w:color w:val="auto"/>
              </w:rPr>
            </w:pPr>
            <w:r>
              <w:rPr>
                <w:rFonts w:ascii="Arial" w:cs="Arial" w:eastAsia="Arial" w:hAnsi="Arial"/>
                <w:sz w:val="15"/>
                <w:szCs w:val="15"/>
                <w:b w:val="1"/>
                <w:bCs w:val="1"/>
                <w:color w:val="auto"/>
              </w:rPr>
              <w:t>U.S. Retail/Fleet Mix (a)</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9"/>
        </w:trPr>
        <w:tc>
          <w:tcPr>
            <w:tcW w:w="79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 Fleet Sales – Cars</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29.8%</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40.3%</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color w:val="auto"/>
              </w:rPr>
              <w:t>27.3%</w:t>
            </w:r>
          </w:p>
        </w:tc>
        <w:tc>
          <w:tcPr>
            <w:tcW w:w="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8"/>
              </w:rPr>
              <w:t>32.5%</w:t>
            </w:r>
          </w:p>
        </w:tc>
      </w:tr>
      <w:tr>
        <w:trPr>
          <w:trHeight w:val="188"/>
        </w:trPr>
        <w:tc>
          <w:tcPr>
            <w:tcW w:w="7940" w:type="dxa"/>
            <w:vAlign w:val="bottom"/>
          </w:tcPr>
          <w:p>
            <w:pPr>
              <w:ind w:left="380"/>
              <w:spacing w:after="0"/>
              <w:rPr>
                <w:sz w:val="20"/>
                <w:szCs w:val="20"/>
                <w:color w:val="auto"/>
              </w:rPr>
            </w:pPr>
            <w:r>
              <w:rPr>
                <w:rFonts w:ascii="Arial" w:cs="Arial" w:eastAsia="Arial" w:hAnsi="Arial"/>
                <w:sz w:val="15"/>
                <w:szCs w:val="15"/>
                <w:color w:val="auto"/>
              </w:rPr>
              <w:t>% Fleet Sales – Trucks</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21.2%</w:t>
            </w:r>
          </w:p>
        </w:tc>
        <w:tc>
          <w:tcPr>
            <w:tcW w:w="6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rPr>
              <w:t>21.7%</w:t>
            </w:r>
          </w:p>
        </w:tc>
        <w:tc>
          <w:tcPr>
            <w:tcW w:w="960" w:type="dxa"/>
            <w:vAlign w:val="bottom"/>
            <w:gridSpan w:val="2"/>
          </w:tcPr>
          <w:p>
            <w:pPr>
              <w:jc w:val="right"/>
              <w:ind w:right="500"/>
              <w:spacing w:after="0"/>
              <w:rPr>
                <w:sz w:val="20"/>
                <w:szCs w:val="20"/>
                <w:color w:val="auto"/>
              </w:rPr>
            </w:pPr>
            <w:r>
              <w:rPr>
                <w:rFonts w:ascii="Arial" w:cs="Arial" w:eastAsia="Arial" w:hAnsi="Arial"/>
                <w:sz w:val="15"/>
                <w:szCs w:val="15"/>
                <w:color w:val="auto"/>
              </w:rPr>
              <w:t>22.0%</w:t>
            </w:r>
          </w:p>
        </w:tc>
        <w:tc>
          <w:tcPr>
            <w:tcW w:w="60" w:type="dxa"/>
            <w:vAlign w:val="bottom"/>
          </w:tcPr>
          <w:p>
            <w:pPr>
              <w:spacing w:after="0"/>
              <w:rPr>
                <w:sz w:val="16"/>
                <w:szCs w:val="16"/>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98"/>
              </w:rPr>
              <w:t>22.2%</w:t>
            </w:r>
          </w:p>
        </w:tc>
      </w:tr>
      <w:tr>
        <w:trPr>
          <w:trHeight w:val="188"/>
        </w:trPr>
        <w:tc>
          <w:tcPr>
            <w:tcW w:w="794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Vehicles</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5"/>
                <w:szCs w:val="15"/>
                <w:b w:val="1"/>
                <w:bCs w:val="1"/>
                <w:color w:val="auto"/>
              </w:rPr>
              <w:t>25.1%</w:t>
            </w:r>
          </w:p>
        </w:tc>
        <w:tc>
          <w:tcPr>
            <w:tcW w:w="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b w:val="1"/>
                <w:bCs w:val="1"/>
                <w:color w:val="auto"/>
              </w:rPr>
              <w:t>29.5%</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b w:val="1"/>
                <w:bCs w:val="1"/>
                <w:color w:val="auto"/>
              </w:rPr>
              <w:t>24.3%</w:t>
            </w:r>
          </w:p>
        </w:tc>
        <w:tc>
          <w:tcPr>
            <w:tcW w:w="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26.6%</w:t>
            </w:r>
          </w:p>
        </w:tc>
      </w:tr>
      <w:tr>
        <w:trPr>
          <w:trHeight w:val="281"/>
        </w:trPr>
        <w:tc>
          <w:tcPr>
            <w:tcW w:w="7940" w:type="dxa"/>
            <w:vAlign w:val="bottom"/>
          </w:tcPr>
          <w:p>
            <w:pPr>
              <w:spacing w:after="0"/>
              <w:rPr>
                <w:sz w:val="20"/>
                <w:szCs w:val="20"/>
                <w:color w:val="auto"/>
              </w:rPr>
            </w:pPr>
            <w:r>
              <w:rPr>
                <w:rFonts w:ascii="Arial" w:cs="Arial" w:eastAsia="Arial" w:hAnsi="Arial"/>
                <w:sz w:val="15"/>
                <w:szCs w:val="15"/>
                <w:color w:val="auto"/>
              </w:rPr>
              <w:t>GMNA Capacity Utilization (d)</w:t>
            </w:r>
          </w:p>
        </w:tc>
        <w:tc>
          <w:tcPr>
            <w:tcW w:w="1000" w:type="dxa"/>
            <w:vAlign w:val="bottom"/>
            <w:gridSpan w:val="2"/>
          </w:tcPr>
          <w:p>
            <w:pPr>
              <w:jc w:val="right"/>
              <w:ind w:right="520"/>
              <w:spacing w:after="0"/>
              <w:rPr>
                <w:sz w:val="20"/>
                <w:szCs w:val="20"/>
                <w:color w:val="auto"/>
              </w:rPr>
            </w:pPr>
            <w:r>
              <w:rPr>
                <w:rFonts w:ascii="Arial" w:cs="Arial" w:eastAsia="Arial" w:hAnsi="Arial"/>
                <w:sz w:val="15"/>
                <w:szCs w:val="15"/>
                <w:color w:val="auto"/>
              </w:rPr>
              <w:t>53.3%</w:t>
            </w:r>
          </w:p>
        </w:tc>
        <w:tc>
          <w:tcPr>
            <w:tcW w:w="60" w:type="dxa"/>
            <w:vAlign w:val="bottom"/>
          </w:tcPr>
          <w:p>
            <w:pPr>
              <w:spacing w:after="0"/>
              <w:rPr>
                <w:sz w:val="24"/>
                <w:szCs w:val="2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5"/>
                <w:szCs w:val="15"/>
                <w:color w:val="auto"/>
              </w:rPr>
              <w:t>79.0%</w:t>
            </w:r>
          </w:p>
        </w:tc>
        <w:tc>
          <w:tcPr>
            <w:tcW w:w="960" w:type="dxa"/>
            <w:vAlign w:val="bottom"/>
            <w:gridSpan w:val="2"/>
          </w:tcPr>
          <w:p>
            <w:pPr>
              <w:jc w:val="right"/>
              <w:ind w:right="500"/>
              <w:spacing w:after="0"/>
              <w:rPr>
                <w:sz w:val="20"/>
                <w:szCs w:val="20"/>
                <w:color w:val="auto"/>
              </w:rPr>
            </w:pPr>
            <w:r>
              <w:rPr>
                <w:rFonts w:ascii="Arial" w:cs="Arial" w:eastAsia="Arial" w:hAnsi="Arial"/>
                <w:sz w:val="15"/>
                <w:szCs w:val="15"/>
                <w:color w:val="auto"/>
              </w:rPr>
              <w:t>43.4%</w:t>
            </w:r>
          </w:p>
        </w:tc>
        <w:tc>
          <w:tcPr>
            <w:tcW w:w="60" w:type="dxa"/>
            <w:vAlign w:val="bottom"/>
          </w:tcPr>
          <w:p>
            <w:pPr>
              <w:spacing w:after="0"/>
              <w:rPr>
                <w:sz w:val="24"/>
                <w:szCs w:val="2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5"/>
                <w:szCs w:val="15"/>
                <w:color w:val="auto"/>
                <w:w w:val="98"/>
              </w:rPr>
              <w:t>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239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03" w:lineRule="exact"/>
        <w:rPr>
          <w:sz w:val="20"/>
          <w:szCs w:val="20"/>
          <w:color w:val="auto"/>
        </w:rPr>
      </w:pPr>
    </w:p>
    <w:p>
      <w:pPr>
        <w:ind w:left="446" w:right="200" w:hanging="446"/>
        <w:spacing w:after="0" w:line="264" w:lineRule="auto"/>
        <w:tabs>
          <w:tab w:leader="none" w:pos="446" w:val="left"/>
        </w:tabs>
        <w:numPr>
          <w:ilvl w:val="0"/>
          <w:numId w:val="8"/>
        </w:numPr>
        <w:rPr>
          <w:rFonts w:ascii="Arial" w:cs="Arial" w:eastAsia="Arial" w:hAnsi="Arial"/>
          <w:sz w:val="15"/>
          <w:szCs w:val="15"/>
          <w:color w:val="auto"/>
        </w:rPr>
      </w:pPr>
      <w:r>
        <w:rPr>
          <w:rFonts w:ascii="Arial" w:cs="Arial" w:eastAsia="Arial" w:hAnsi="Arial"/>
          <w:sz w:val="15"/>
          <w:szCs w:val="15"/>
          <w:color w:val="auto"/>
        </w:rPr>
        <w:t>Vehicle sales, market share, U.S. retail/fleet mix and GMNA capacity utilization will not be affected by fresh-start reporting; therefore, for the three and nine months ended September 30, 2009, our vehicle sales and production volume for the period July 10, 2009 through September 30, 2009 is presented with Old GM’s vehicle sales and production volume for the periods July 1, 2009 through July 9, 2009 and January 1, 2009 through July 9, 2009 for comparison purposes.</w:t>
      </w:r>
    </w:p>
    <w:p>
      <w:pPr>
        <w:spacing w:after="0" w:line="1" w:lineRule="exact"/>
        <w:rPr>
          <w:rFonts w:ascii="Arial" w:cs="Arial" w:eastAsia="Arial" w:hAnsi="Arial"/>
          <w:sz w:val="15"/>
          <w:szCs w:val="15"/>
          <w:color w:val="auto"/>
        </w:rPr>
      </w:pPr>
    </w:p>
    <w:p>
      <w:pPr>
        <w:ind w:left="446" w:right="360" w:hanging="446"/>
        <w:spacing w:after="0" w:line="261" w:lineRule="auto"/>
        <w:tabs>
          <w:tab w:leader="none" w:pos="446"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Consistent with industry practice, vehicle sales information includes estimates of industry sales in certain countries where public reporting is not legally required or otherwise available on a consistent basis.</w:t>
      </w:r>
    </w:p>
    <w:p>
      <w:pPr>
        <w:spacing w:after="0" w:line="1" w:lineRule="exact"/>
        <w:rPr>
          <w:rFonts w:ascii="Arial" w:cs="Arial" w:eastAsia="Arial" w:hAnsi="Arial"/>
          <w:sz w:val="15"/>
          <w:szCs w:val="15"/>
          <w:color w:val="auto"/>
        </w:rPr>
      </w:pPr>
    </w:p>
    <w:p>
      <w:pPr>
        <w:ind w:left="446" w:right="180" w:hanging="446"/>
        <w:spacing w:after="0" w:line="261" w:lineRule="auto"/>
        <w:tabs>
          <w:tab w:leader="none" w:pos="446"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GM Daewoo, Shanghai GM and SAIC-GM Wuling Automobile Co., Ltd. (SGMW) and FAW-GM Light Duty Commercial joint venture sales. Ownership of 34% in SGMW and 50% in FAW-GM, under the joint venture agreement, allows for significant rights as a member as well as the contractual right to report SGMW and FAW-GM Light Duty Commercial sales in China as part of global market share.</w:t>
      </w:r>
    </w:p>
    <w:p>
      <w:pPr>
        <w:spacing w:after="0" w:line="1" w:lineRule="exact"/>
        <w:rPr>
          <w:rFonts w:ascii="Arial" w:cs="Arial" w:eastAsia="Arial" w:hAnsi="Arial"/>
          <w:sz w:val="15"/>
          <w:szCs w:val="15"/>
          <w:color w:val="auto"/>
        </w:rPr>
      </w:pPr>
    </w:p>
    <w:p>
      <w:pPr>
        <w:ind w:left="446" w:hanging="446"/>
        <w:spacing w:after="0"/>
        <w:tabs>
          <w:tab w:leader="none" w:pos="446" w:val="left"/>
        </w:tabs>
        <w:numPr>
          <w:ilvl w:val="0"/>
          <w:numId w:val="8"/>
        </w:numPr>
        <w:rPr>
          <w:rFonts w:ascii="Arial" w:cs="Arial" w:eastAsia="Arial" w:hAnsi="Arial"/>
          <w:sz w:val="15"/>
          <w:szCs w:val="15"/>
          <w:color w:val="auto"/>
        </w:rPr>
      </w:pPr>
      <w:r>
        <w:rPr>
          <w:rFonts w:ascii="Arial" w:cs="Arial" w:eastAsia="Arial" w:hAnsi="Arial"/>
          <w:sz w:val="15"/>
          <w:szCs w:val="15"/>
          <w:color w:val="auto"/>
        </w:rPr>
        <w:t>Two shift rated, annualized.</w:t>
      </w:r>
    </w:p>
    <w:p>
      <w:pPr>
        <w:spacing w:after="0" w:line="139"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6"/>
          </w:cols>
          <w:pgMar w:left="234" w:top="258" w:right="219" w:bottom="1440" w:gutter="0" w:footer="0" w:header="0"/>
        </w:sectPr>
      </w:pPr>
    </w:p>
    <w:bookmarkStart w:id="18" w:name="page19"/>
    <w:bookmarkEnd w:id="18"/>
    <w:p>
      <w:pPr>
        <w:jc w:val="center"/>
        <w:ind w:right="-5"/>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5"/>
        <w:spacing w:after="0"/>
        <w:rPr>
          <w:sz w:val="20"/>
          <w:szCs w:val="20"/>
          <w:color w:val="auto"/>
        </w:rPr>
      </w:pPr>
      <w:r>
        <w:rPr>
          <w:rFonts w:ascii="Arial" w:cs="Arial" w:eastAsia="Arial" w:hAnsi="Arial"/>
          <w:sz w:val="15"/>
          <w:szCs w:val="15"/>
          <w:b w:val="1"/>
          <w:bCs w:val="1"/>
          <w:color w:val="auto"/>
        </w:rPr>
        <w:t>Operating Statistics</w:t>
      </w:r>
    </w:p>
    <w:p>
      <w:pPr>
        <w:spacing w:after="0" w:line="151" w:lineRule="exact"/>
        <w:rPr>
          <w:sz w:val="20"/>
          <w:szCs w:val="20"/>
          <w:color w:val="auto"/>
        </w:rPr>
      </w:pPr>
    </w:p>
    <w:p>
      <w:pPr>
        <w:jc w:val="center"/>
        <w:ind w:right="-5"/>
        <w:spacing w:after="0"/>
        <w:rPr>
          <w:sz w:val="20"/>
          <w:szCs w:val="20"/>
          <w:color w:val="auto"/>
        </w:rPr>
      </w:pPr>
      <w:r>
        <w:rPr>
          <w:rFonts w:ascii="Arial" w:cs="Arial" w:eastAsia="Arial" w:hAnsi="Arial"/>
          <w:sz w:val="15"/>
          <w:szCs w:val="15"/>
          <w:i w:val="1"/>
          <w:iCs w:val="1"/>
          <w:color w:val="auto"/>
        </w:rPr>
        <w:t>(Unaudited)</w:t>
      </w:r>
    </w:p>
    <w:p>
      <w:pPr>
        <w:spacing w:after="0" w:line="190" w:lineRule="exact"/>
        <w:rPr>
          <w:sz w:val="20"/>
          <w:szCs w:val="20"/>
          <w:color w:val="auto"/>
        </w:rPr>
      </w:pPr>
    </w:p>
    <w:tbl>
      <w:tblPr>
        <w:tblLayout w:type="fixed"/>
        <w:tblInd w:w="6" w:type="dxa"/>
        <w:tblCellMar>
          <w:top w:w="0" w:type="dxa"/>
          <w:left w:w="0" w:type="dxa"/>
          <w:bottom w:w="0" w:type="dxa"/>
          <w:right w:w="0" w:type="dxa"/>
        </w:tblCellMar>
      </w:tblPr>
      <w:tr>
        <w:trPr>
          <w:trHeight w:val="138"/>
        </w:trPr>
        <w:tc>
          <w:tcPr>
            <w:tcW w:w="9160" w:type="dxa"/>
            <w:vAlign w:val="bottom"/>
          </w:tcPr>
          <w:p>
            <w:pPr>
              <w:spacing w:after="0"/>
              <w:rPr>
                <w:sz w:val="12"/>
                <w:szCs w:val="12"/>
                <w:color w:val="auto"/>
              </w:rPr>
            </w:pPr>
          </w:p>
        </w:tc>
        <w:tc>
          <w:tcPr>
            <w:tcW w:w="118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2"/>
                <w:szCs w:val="12"/>
                <w:b w:val="1"/>
                <w:bCs w:val="1"/>
                <w:color w:val="auto"/>
                <w:w w:val="78"/>
              </w:rPr>
              <w:t>Successor</w:t>
            </w:r>
          </w:p>
        </w:tc>
        <w:tc>
          <w:tcPr>
            <w:tcW w:w="400" w:type="dxa"/>
            <w:vAlign w:val="bottom"/>
          </w:tcPr>
          <w:p>
            <w:pPr>
              <w:spacing w:after="0"/>
              <w:rPr>
                <w:sz w:val="12"/>
                <w:szCs w:val="12"/>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Predecessor</w:t>
            </w:r>
          </w:p>
        </w:tc>
        <w:tc>
          <w:tcPr>
            <w:tcW w:w="0" w:type="dxa"/>
            <w:vAlign w:val="bottom"/>
          </w:tcPr>
          <w:p>
            <w:pPr>
              <w:spacing w:after="0"/>
              <w:rPr>
                <w:sz w:val="1"/>
                <w:szCs w:val="1"/>
                <w:color w:val="auto"/>
              </w:rPr>
            </w:pPr>
          </w:p>
        </w:tc>
      </w:tr>
      <w:tr>
        <w:trPr>
          <w:trHeight w:val="110"/>
        </w:trPr>
        <w:tc>
          <w:tcPr>
            <w:tcW w:w="9160" w:type="dxa"/>
            <w:vAlign w:val="bottom"/>
          </w:tcPr>
          <w:p>
            <w:pPr>
              <w:spacing w:after="0"/>
              <w:rPr>
                <w:sz w:val="9"/>
                <w:szCs w:val="9"/>
                <w:color w:val="auto"/>
              </w:rPr>
            </w:pPr>
          </w:p>
        </w:tc>
        <w:tc>
          <w:tcPr>
            <w:tcW w:w="72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7"/>
              </w:rPr>
              <w:t>September 30,</w:t>
            </w:r>
          </w:p>
        </w:tc>
        <w:tc>
          <w:tcPr>
            <w:tcW w:w="46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7"/>
              </w:rPr>
              <w:t>December 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916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2009</w:t>
            </w:r>
          </w:p>
        </w:tc>
        <w:tc>
          <w:tcPr>
            <w:tcW w:w="46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Worldwide Employment (thousands)</w:t>
            </w:r>
          </w:p>
        </w:tc>
        <w:tc>
          <w:tcPr>
            <w:tcW w:w="720" w:type="dxa"/>
            <w:vAlign w:val="bottom"/>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9160" w:type="dxa"/>
            <w:vAlign w:val="bottom"/>
          </w:tcPr>
          <w:p>
            <w:pPr>
              <w:ind w:left="380"/>
              <w:spacing w:after="0"/>
              <w:rPr>
                <w:sz w:val="20"/>
                <w:szCs w:val="20"/>
                <w:color w:val="auto"/>
              </w:rPr>
            </w:pPr>
            <w:r>
              <w:rPr>
                <w:rFonts w:ascii="Arial" w:cs="Arial" w:eastAsia="Arial" w:hAnsi="Arial"/>
                <w:sz w:val="15"/>
                <w:szCs w:val="15"/>
                <w:color w:val="auto"/>
              </w:rPr>
              <w:t>GMNA (b)</w:t>
            </w:r>
          </w:p>
        </w:tc>
        <w:tc>
          <w:tcPr>
            <w:tcW w:w="11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5"/>
                <w:szCs w:val="15"/>
                <w:color w:val="auto"/>
              </w:rPr>
              <w:t>92</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1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GMIO</w:t>
            </w:r>
          </w:p>
        </w:tc>
        <w:tc>
          <w:tcPr>
            <w:tcW w:w="118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115</w:t>
            </w: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160" w:type="dxa"/>
            <w:vAlign w:val="bottom"/>
          </w:tcPr>
          <w:p>
            <w:pPr>
              <w:ind w:left="380"/>
              <w:spacing w:after="0"/>
              <w:rPr>
                <w:sz w:val="20"/>
                <w:szCs w:val="20"/>
                <w:color w:val="auto"/>
              </w:rPr>
            </w:pPr>
            <w:r>
              <w:rPr>
                <w:rFonts w:ascii="Arial" w:cs="Arial" w:eastAsia="Arial" w:hAnsi="Arial"/>
                <w:sz w:val="15"/>
                <w:szCs w:val="15"/>
                <w:color w:val="auto"/>
              </w:rPr>
              <w:t>Corporate and Other</w:t>
            </w:r>
          </w:p>
        </w:tc>
        <w:tc>
          <w:tcPr>
            <w:tcW w:w="11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5"/>
                <w:szCs w:val="15"/>
                <w:color w:val="auto"/>
              </w:rPr>
              <w:t>2</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16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Worldwide</w:t>
            </w:r>
          </w:p>
        </w:tc>
        <w:tc>
          <w:tcPr>
            <w:tcW w:w="118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5"/>
                <w:szCs w:val="15"/>
                <w:b w:val="1"/>
                <w:bCs w:val="1"/>
                <w:color w:val="auto"/>
              </w:rPr>
              <w:t>209</w:t>
            </w: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243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160" w:type="dxa"/>
            <w:vAlign w:val="bottom"/>
          </w:tcPr>
          <w:p>
            <w:pPr>
              <w:ind w:left="380"/>
              <w:spacing w:after="0"/>
              <w:rPr>
                <w:sz w:val="20"/>
                <w:szCs w:val="20"/>
                <w:color w:val="auto"/>
              </w:rPr>
            </w:pPr>
            <w:r>
              <w:rPr>
                <w:rFonts w:ascii="Arial" w:cs="Arial" w:eastAsia="Arial" w:hAnsi="Arial"/>
                <w:sz w:val="15"/>
                <w:szCs w:val="15"/>
                <w:color w:val="auto"/>
              </w:rPr>
              <w:t>United States – Salaried (a) (c)</w:t>
            </w:r>
          </w:p>
        </w:tc>
        <w:tc>
          <w:tcPr>
            <w:tcW w:w="11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5"/>
                <w:szCs w:val="15"/>
                <w:color w:val="auto"/>
              </w:rPr>
              <w:t>27</w:t>
            </w:r>
          </w:p>
        </w:tc>
        <w:tc>
          <w:tcPr>
            <w:tcW w:w="4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89"/>
        </w:trPr>
        <w:tc>
          <w:tcPr>
            <w:tcW w:w="91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United States – Hourly (a) (b)</w:t>
            </w:r>
          </w:p>
        </w:tc>
        <w:tc>
          <w:tcPr>
            <w:tcW w:w="118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48</w:t>
            </w: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239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900" cy="7620"/>
                    </a:xfrm>
                    <a:prstGeom prst="rect">
                      <a:avLst/>
                    </a:prstGeom>
                    <a:noFill/>
                  </pic:spPr>
                </pic:pic>
              </a:graphicData>
            </a:graphic>
          </wp:anchor>
        </w:drawing>
      </w:r>
    </w:p>
    <w:p>
      <w:pPr>
        <w:spacing w:after="0" w:line="102" w:lineRule="exact"/>
        <w:rPr>
          <w:sz w:val="20"/>
          <w:szCs w:val="20"/>
          <w:color w:val="auto"/>
        </w:rPr>
      </w:pPr>
    </w:p>
    <w:p>
      <w:pPr>
        <w:ind w:left="446" w:hanging="446"/>
        <w:spacing w:after="0"/>
        <w:tabs>
          <w:tab w:leader="none" w:pos="446"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employees in GMNA and Corporate and other.</w:t>
      </w:r>
    </w:p>
    <w:p>
      <w:pPr>
        <w:spacing w:after="0" w:line="21" w:lineRule="exact"/>
        <w:rPr>
          <w:rFonts w:ascii="Arial" w:cs="Arial" w:eastAsia="Arial" w:hAnsi="Arial"/>
          <w:sz w:val="15"/>
          <w:szCs w:val="15"/>
          <w:color w:val="auto"/>
        </w:rPr>
      </w:pPr>
    </w:p>
    <w:p>
      <w:pPr>
        <w:ind w:left="446" w:right="80" w:hanging="446"/>
        <w:spacing w:after="0" w:line="280" w:lineRule="auto"/>
        <w:tabs>
          <w:tab w:leader="none" w:pos="446"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nine months ended September 30, 2009, 7,000 U.S. hourly employees elected to participate in Old GM’s 2009 Special Attrition Program, which was introduced in February of 2009. In addition, 6,000 U.S. hourly employees elected to participate in Old GM’s Second Special Attrition Program, which was introduced in June of 2009.</w:t>
      </w:r>
    </w:p>
    <w:p>
      <w:pPr>
        <w:ind w:left="446" w:hanging="446"/>
        <w:spacing w:after="0"/>
        <w:tabs>
          <w:tab w:leader="none" w:pos="446" w:val="left"/>
        </w:tabs>
        <w:numPr>
          <w:ilvl w:val="0"/>
          <w:numId w:val="9"/>
        </w:numPr>
        <w:rPr>
          <w:rFonts w:ascii="Arial" w:cs="Arial" w:eastAsia="Arial" w:hAnsi="Arial"/>
          <w:sz w:val="14"/>
          <w:szCs w:val="14"/>
          <w:color w:val="auto"/>
        </w:rPr>
      </w:pPr>
      <w:r>
        <w:rPr>
          <w:rFonts w:ascii="Arial" w:cs="Arial" w:eastAsia="Arial" w:hAnsi="Arial"/>
          <w:sz w:val="14"/>
          <w:szCs w:val="14"/>
          <w:color w:val="auto"/>
        </w:rPr>
        <w:t>Subsequent to September 30, 2009, 3,000 U.S. salaried employees have irrevocably accepted the 2009 Salaried Window Program option or the GM Severance Program option.</w:t>
      </w:r>
    </w:p>
    <w:p>
      <w:pPr>
        <w:spacing w:after="0" w:line="205" w:lineRule="exact"/>
        <w:rPr>
          <w:sz w:val="20"/>
          <w:szCs w:val="20"/>
          <w:color w:val="auto"/>
        </w:rPr>
      </w:pPr>
    </w:p>
    <w:tbl>
      <w:tblPr>
        <w:tblLayout w:type="fixed"/>
        <w:tblInd w:w="6" w:type="dxa"/>
        <w:tblCellMar>
          <w:top w:w="0" w:type="dxa"/>
          <w:left w:w="0" w:type="dxa"/>
          <w:bottom w:w="0" w:type="dxa"/>
          <w:right w:w="0" w:type="dxa"/>
        </w:tblCellMar>
      </w:tblPr>
      <w:tr>
        <w:trPr>
          <w:trHeight w:val="200"/>
        </w:trPr>
        <w:tc>
          <w:tcPr>
            <w:tcW w:w="2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2"/>
                <w:szCs w:val="12"/>
                <w:b w:val="1"/>
                <w:bCs w:val="1"/>
                <w:color w:val="auto"/>
                <w:w w:val="78"/>
              </w:rPr>
              <w:t>Successor</w:t>
            </w:r>
          </w:p>
        </w:tc>
        <w:tc>
          <w:tcPr>
            <w:tcW w:w="68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635"/>
              <w:spacing w:after="0"/>
              <w:rPr>
                <w:sz w:val="20"/>
                <w:szCs w:val="20"/>
                <w:color w:val="auto"/>
              </w:rPr>
            </w:pPr>
            <w:r>
              <w:rPr>
                <w:rFonts w:ascii="Arial" w:cs="Arial" w:eastAsia="Arial" w:hAnsi="Arial"/>
                <w:sz w:val="12"/>
                <w:szCs w:val="12"/>
                <w:b w:val="1"/>
                <w:bCs w:val="1"/>
                <w:color w:val="auto"/>
              </w:rPr>
              <w:t>Predecessor</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10"/>
        </w:trPr>
        <w:tc>
          <w:tcPr>
            <w:tcW w:w="29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57"/>
              <w:spacing w:after="0" w:line="110" w:lineRule="exact"/>
              <w:rPr>
                <w:sz w:val="20"/>
                <w:szCs w:val="20"/>
                <w:color w:val="auto"/>
              </w:rPr>
            </w:pPr>
            <w:r>
              <w:rPr>
                <w:rFonts w:ascii="Arial" w:cs="Arial" w:eastAsia="Arial" w:hAnsi="Arial"/>
                <w:sz w:val="12"/>
                <w:szCs w:val="12"/>
                <w:b w:val="1"/>
                <w:bCs w:val="1"/>
                <w:color w:val="auto"/>
                <w:w w:val="86"/>
              </w:rPr>
              <w:t>July 10, 2009</w:t>
            </w:r>
          </w:p>
        </w:tc>
        <w:tc>
          <w:tcPr>
            <w:tcW w:w="680" w:type="dxa"/>
            <w:vAlign w:val="bottom"/>
            <w:tcBorders>
              <w:righ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July 1, 2009</w:t>
            </w:r>
          </w:p>
        </w:tc>
        <w:tc>
          <w:tcPr>
            <w:tcW w:w="300" w:type="dxa"/>
            <w:vAlign w:val="bottom"/>
          </w:tcPr>
          <w:p>
            <w:pPr>
              <w:spacing w:after="0"/>
              <w:rPr>
                <w:sz w:val="9"/>
                <w:szCs w:val="9"/>
                <w:color w:val="auto"/>
              </w:rPr>
            </w:pPr>
          </w:p>
        </w:tc>
        <w:tc>
          <w:tcPr>
            <w:tcW w:w="80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89"/>
              </w:rPr>
              <w:t>January 1, 2009</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right="35"/>
              <w:spacing w:after="0" w:line="110" w:lineRule="exact"/>
              <w:rPr>
                <w:sz w:val="20"/>
                <w:szCs w:val="20"/>
                <w:color w:val="auto"/>
              </w:rPr>
            </w:pPr>
            <w:r>
              <w:rPr>
                <w:rFonts w:ascii="Arial" w:cs="Arial" w:eastAsia="Arial" w:hAnsi="Arial"/>
                <w:sz w:val="12"/>
                <w:szCs w:val="12"/>
                <w:b w:val="1"/>
                <w:bCs w:val="1"/>
                <w:color w:val="auto"/>
                <w:w w:val="91"/>
              </w:rPr>
              <w:t>Three Months</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55"/>
              <w:spacing w:after="0" w:line="110" w:lineRule="exact"/>
              <w:rPr>
                <w:sz w:val="20"/>
                <w:szCs w:val="20"/>
                <w:color w:val="auto"/>
              </w:rPr>
            </w:pPr>
            <w:r>
              <w:rPr>
                <w:rFonts w:ascii="Arial" w:cs="Arial" w:eastAsia="Arial" w:hAnsi="Arial"/>
                <w:sz w:val="12"/>
                <w:szCs w:val="12"/>
                <w:b w:val="1"/>
                <w:bCs w:val="1"/>
                <w:color w:val="auto"/>
                <w:w w:val="88"/>
              </w:rPr>
              <w:t>Nine Months</w:t>
            </w:r>
          </w:p>
        </w:tc>
        <w:tc>
          <w:tcPr>
            <w:tcW w:w="20" w:type="dxa"/>
            <w:vAlign w:val="bottom"/>
          </w:tcPr>
          <w:p>
            <w:pPr>
              <w:spacing w:after="0"/>
              <w:rPr>
                <w:sz w:val="9"/>
                <w:szCs w:val="9"/>
                <w:color w:val="auto"/>
              </w:rPr>
            </w:pPr>
          </w:p>
        </w:tc>
      </w:tr>
      <w:tr>
        <w:trPr>
          <w:trHeight w:val="129"/>
        </w:trPr>
        <w:tc>
          <w:tcPr>
            <w:tcW w:w="2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57"/>
              <w:spacing w:after="0" w:line="129" w:lineRule="exact"/>
              <w:rPr>
                <w:sz w:val="20"/>
                <w:szCs w:val="20"/>
                <w:color w:val="auto"/>
              </w:rPr>
            </w:pPr>
            <w:r>
              <w:rPr>
                <w:rFonts w:ascii="Arial" w:cs="Arial" w:eastAsia="Arial" w:hAnsi="Arial"/>
                <w:sz w:val="12"/>
                <w:szCs w:val="12"/>
                <w:b w:val="1"/>
                <w:bCs w:val="1"/>
                <w:color w:val="auto"/>
                <w:w w:val="88"/>
              </w:rPr>
              <w:t>through</w:t>
            </w:r>
          </w:p>
        </w:tc>
        <w:tc>
          <w:tcPr>
            <w:tcW w:w="68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through</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5"/>
              <w:spacing w:after="0" w:line="129" w:lineRule="exact"/>
              <w:rPr>
                <w:sz w:val="20"/>
                <w:szCs w:val="20"/>
                <w:color w:val="auto"/>
              </w:rPr>
            </w:pPr>
            <w:r>
              <w:rPr>
                <w:rFonts w:ascii="Arial" w:cs="Arial" w:eastAsia="Arial" w:hAnsi="Arial"/>
                <w:sz w:val="12"/>
                <w:szCs w:val="12"/>
                <w:b w:val="1"/>
                <w:bCs w:val="1"/>
                <w:color w:val="auto"/>
                <w:w w:val="88"/>
              </w:rPr>
              <w:t>through</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5"/>
              <w:spacing w:after="0" w:line="129" w:lineRule="exact"/>
              <w:rPr>
                <w:sz w:val="20"/>
                <w:szCs w:val="20"/>
                <w:color w:val="auto"/>
              </w:rPr>
            </w:pPr>
            <w:r>
              <w:rPr>
                <w:rFonts w:ascii="Arial" w:cs="Arial" w:eastAsia="Arial" w:hAnsi="Arial"/>
                <w:sz w:val="12"/>
                <w:szCs w:val="12"/>
                <w:b w:val="1"/>
                <w:bCs w:val="1"/>
                <w:color w:val="auto"/>
                <w:w w:val="87"/>
              </w:rPr>
              <w:t>Ended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87"/>
              </w:rPr>
              <w:t>Ended</w:t>
            </w:r>
          </w:p>
        </w:tc>
      </w:tr>
      <w:tr>
        <w:trPr>
          <w:trHeight w:val="140"/>
        </w:trPr>
        <w:tc>
          <w:tcPr>
            <w:tcW w:w="2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September 30, 2009</w:t>
            </w:r>
          </w:p>
        </w:tc>
        <w:tc>
          <w:tcPr>
            <w:tcW w:w="6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6"/>
              </w:rPr>
              <w:t>July 9, 2009</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2"/>
                <w:szCs w:val="12"/>
                <w:b w:val="1"/>
                <w:bCs w:val="1"/>
                <w:color w:val="auto"/>
                <w:w w:val="88"/>
              </w:rPr>
              <w:t>July 9, 2009</w:t>
            </w:r>
          </w:p>
        </w:tc>
        <w:tc>
          <w:tcPr>
            <w:tcW w:w="58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September 30, 2008</w:t>
            </w:r>
          </w:p>
        </w:tc>
        <w:tc>
          <w:tcPr>
            <w:tcW w:w="560" w:type="dxa"/>
            <w:vAlign w:val="bottom"/>
          </w:tcPr>
          <w:p>
            <w:pPr>
              <w:spacing w:after="0"/>
              <w:rPr>
                <w:sz w:val="12"/>
                <w:szCs w:val="1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September 30, 2008</w:t>
            </w:r>
          </w:p>
        </w:tc>
        <w:tc>
          <w:tcPr>
            <w:tcW w:w="20" w:type="dxa"/>
            <w:vAlign w:val="bottom"/>
          </w:tcPr>
          <w:p>
            <w:pPr>
              <w:spacing w:after="0"/>
              <w:rPr>
                <w:sz w:val="12"/>
                <w:szCs w:val="12"/>
                <w:color w:val="auto"/>
              </w:rPr>
            </w:pPr>
          </w:p>
        </w:tc>
      </w:tr>
      <w:tr>
        <w:trPr>
          <w:trHeight w:val="180"/>
        </w:trPr>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Worldwide Payroll (billions)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680" w:type="dxa"/>
            <w:vAlign w:val="bottom"/>
            <w:tcBorders>
              <w:right w:val="single" w:sz="8" w:color="auto"/>
            </w:tcBorders>
            <w:shd w:val="clear" w:color="auto" w:fill="CCEEFF"/>
          </w:tcPr>
          <w:p>
            <w:pPr>
              <w:spacing w:after="0"/>
              <w:rPr>
                <w:sz w:val="15"/>
                <w:szCs w:val="15"/>
                <w:color w:val="auto"/>
              </w:rPr>
            </w:pP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w:t>
            </w:r>
          </w:p>
        </w:tc>
        <w:tc>
          <w:tcPr>
            <w:tcW w:w="20" w:type="dxa"/>
            <w:vAlign w:val="bottom"/>
          </w:tcPr>
          <w:p>
            <w:pPr>
              <w:spacing w:after="0"/>
              <w:rPr>
                <w:sz w:val="15"/>
                <w:szCs w:val="15"/>
                <w:color w:val="auto"/>
              </w:rPr>
            </w:pPr>
          </w:p>
        </w:tc>
      </w:tr>
      <w:tr>
        <w:trPr>
          <w:trHeight w:val="316"/>
        </w:trPr>
        <w:tc>
          <w:tcPr>
            <w:tcW w:w="2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gridSpan w:val="2"/>
          </w:tcPr>
          <w:p>
            <w:pPr>
              <w:jc w:val="right"/>
              <w:ind w:right="444"/>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46"/>
          </w:cols>
          <w:pgMar w:left="234" w:top="258" w:right="21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Managerial Statements of Operations</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(Dollars in millions)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(Not audited or reviewed)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2"/>
                <w:szCs w:val="12"/>
                <w:b w:val="1"/>
                <w:bCs w:val="1"/>
                <w:color w:val="auto"/>
                <w:w w:val="78"/>
              </w:rPr>
              <w:t>Successor</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4"/>
          </w:tcPr>
          <w:p>
            <w:pPr>
              <w:jc w:val="right"/>
              <w:ind w:right="880"/>
              <w:spacing w:after="0"/>
              <w:rPr>
                <w:sz w:val="20"/>
                <w:szCs w:val="20"/>
                <w:color w:val="auto"/>
              </w:rPr>
            </w:pPr>
            <w:r>
              <w:rPr>
                <w:rFonts w:ascii="Arial" w:cs="Arial" w:eastAsia="Arial" w:hAnsi="Arial"/>
                <w:sz w:val="12"/>
                <w:szCs w:val="12"/>
                <w:b w:val="1"/>
                <w:bCs w:val="1"/>
                <w:color w:val="auto"/>
                <w:w w:val="91"/>
              </w:rPr>
              <w:t>Predecessor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ind w:right="46"/>
              <w:spacing w:after="0" w:line="110" w:lineRule="exact"/>
              <w:rPr>
                <w:sz w:val="20"/>
                <w:szCs w:val="20"/>
                <w:color w:val="auto"/>
              </w:rPr>
            </w:pPr>
            <w:r>
              <w:rPr>
                <w:rFonts w:ascii="Arial" w:cs="Arial" w:eastAsia="Arial" w:hAnsi="Arial"/>
                <w:sz w:val="12"/>
                <w:szCs w:val="12"/>
                <w:b w:val="1"/>
                <w:bCs w:val="1"/>
                <w:color w:val="auto"/>
                <w:w w:val="89"/>
              </w:rPr>
              <w:t>July 10, 2009</w:t>
            </w:r>
          </w:p>
        </w:tc>
        <w:tc>
          <w:tcPr>
            <w:tcW w:w="5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6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July 1, 2009</w:t>
            </w:r>
          </w:p>
        </w:tc>
        <w:tc>
          <w:tcPr>
            <w:tcW w:w="94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January 1, 2009</w:t>
            </w: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w w:val="91"/>
              </w:rPr>
              <w:t>Three Months</w:t>
            </w:r>
          </w:p>
        </w:tc>
        <w:tc>
          <w:tcPr>
            <w:tcW w:w="2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ind w:right="85"/>
              <w:spacing w:after="0" w:line="110" w:lineRule="exact"/>
              <w:rPr>
                <w:sz w:val="20"/>
                <w:szCs w:val="20"/>
                <w:color w:val="auto"/>
              </w:rPr>
            </w:pPr>
            <w:r>
              <w:rPr>
                <w:rFonts w:ascii="Arial" w:cs="Arial" w:eastAsia="Arial" w:hAnsi="Arial"/>
                <w:sz w:val="12"/>
                <w:szCs w:val="12"/>
                <w:b w:val="1"/>
                <w:bCs w:val="1"/>
                <w:color w:val="auto"/>
                <w:w w:val="94"/>
              </w:rPr>
              <w:t>Nine Months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Borders>
              <w:right w:val="single" w:sz="8" w:color="auto"/>
            </w:tcBorders>
            <w:gridSpan w:val="2"/>
          </w:tcPr>
          <w:p>
            <w:pPr>
              <w:jc w:val="center"/>
              <w:ind w:right="680"/>
              <w:spacing w:after="0" w:line="129" w:lineRule="exact"/>
              <w:rPr>
                <w:sz w:val="20"/>
                <w:szCs w:val="20"/>
                <w:color w:val="auto"/>
              </w:rPr>
            </w:pPr>
            <w:r>
              <w:rPr>
                <w:rFonts w:ascii="Arial" w:cs="Arial" w:eastAsia="Arial" w:hAnsi="Arial"/>
                <w:sz w:val="12"/>
                <w:szCs w:val="12"/>
                <w:b w:val="1"/>
                <w:bCs w:val="1"/>
                <w:color w:val="auto"/>
                <w:w w:val="90"/>
              </w:rPr>
              <w:t>Through</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540"/>
              <w:spacing w:after="0" w:line="129" w:lineRule="exact"/>
              <w:rPr>
                <w:sz w:val="20"/>
                <w:szCs w:val="20"/>
                <w:color w:val="auto"/>
              </w:rPr>
            </w:pPr>
            <w:r>
              <w:rPr>
                <w:rFonts w:ascii="Arial" w:cs="Arial" w:eastAsia="Arial" w:hAnsi="Arial"/>
                <w:sz w:val="12"/>
                <w:szCs w:val="12"/>
                <w:b w:val="1"/>
                <w:bCs w:val="1"/>
                <w:color w:val="auto"/>
                <w:w w:val="86"/>
              </w:rPr>
              <w:t>Through</w:t>
            </w:r>
          </w:p>
        </w:tc>
        <w:tc>
          <w:tcPr>
            <w:tcW w:w="80" w:type="dxa"/>
            <w:vAlign w:val="bottom"/>
          </w:tcPr>
          <w:p>
            <w:pPr>
              <w:spacing w:after="0"/>
              <w:rPr>
                <w:sz w:val="11"/>
                <w:szCs w:val="11"/>
                <w:color w:val="auto"/>
              </w:rPr>
            </w:pPr>
          </w:p>
        </w:tc>
        <w:tc>
          <w:tcPr>
            <w:tcW w:w="860" w:type="dxa"/>
            <w:vAlign w:val="bottom"/>
            <w:gridSpan w:val="2"/>
          </w:tcPr>
          <w:p>
            <w:pPr>
              <w:jc w:val="right"/>
              <w:ind w:right="320"/>
              <w:spacing w:after="0" w:line="129" w:lineRule="exact"/>
              <w:rPr>
                <w:sz w:val="20"/>
                <w:szCs w:val="20"/>
                <w:color w:val="auto"/>
              </w:rPr>
            </w:pPr>
            <w:r>
              <w:rPr>
                <w:rFonts w:ascii="Arial" w:cs="Arial" w:eastAsia="Arial" w:hAnsi="Arial"/>
                <w:sz w:val="12"/>
                <w:szCs w:val="12"/>
                <w:b w:val="1"/>
                <w:bCs w:val="1"/>
                <w:color w:val="auto"/>
              </w:rPr>
              <w:t>Through</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580"/>
              <w:spacing w:after="0" w:line="129" w:lineRule="exact"/>
              <w:rPr>
                <w:sz w:val="20"/>
                <w:szCs w:val="20"/>
                <w:color w:val="auto"/>
              </w:rPr>
            </w:pPr>
            <w:r>
              <w:rPr>
                <w:rFonts w:ascii="Arial" w:cs="Arial" w:eastAsia="Arial" w:hAnsi="Arial"/>
                <w:sz w:val="12"/>
                <w:szCs w:val="12"/>
                <w:b w:val="1"/>
                <w:bCs w:val="1"/>
                <w:color w:val="auto"/>
              </w:rPr>
              <w:t>Ended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40"/>
              <w:spacing w:after="0" w:line="129"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6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2"/>
                <w:szCs w:val="12"/>
                <w:b w:val="1"/>
                <w:bCs w:val="1"/>
                <w:color w:val="auto"/>
                <w:w w:val="87"/>
              </w:rPr>
              <w:t>September 30, 2009</w:t>
            </w:r>
          </w:p>
        </w:tc>
        <w:tc>
          <w:tcPr>
            <w:tcW w:w="360" w:type="dxa"/>
            <w:vAlign w:val="bottom"/>
          </w:tcPr>
          <w:p>
            <w:pPr>
              <w:spacing w:after="0"/>
              <w:rPr>
                <w:sz w:val="12"/>
                <w:szCs w:val="12"/>
                <w:color w:val="auto"/>
              </w:rPr>
            </w:pP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July 9, 2009</w:t>
            </w: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8"/>
              </w:rPr>
              <w:t>July 9, 2009</w:t>
            </w:r>
          </w:p>
        </w:tc>
        <w:tc>
          <w:tcPr>
            <w:tcW w:w="320" w:type="dxa"/>
            <w:vAlign w:val="bottom"/>
          </w:tcPr>
          <w:p>
            <w:pPr>
              <w:spacing w:after="0"/>
              <w:rPr>
                <w:sz w:val="12"/>
                <w:szCs w:val="12"/>
                <w:color w:val="auto"/>
              </w:rPr>
            </w:pP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September 30, 2008</w:t>
            </w:r>
          </w:p>
        </w:tc>
        <w:tc>
          <w:tcPr>
            <w:tcW w:w="220" w:type="dxa"/>
            <w:vAlign w:val="bottom"/>
          </w:tcPr>
          <w:p>
            <w:pPr>
              <w:spacing w:after="0"/>
              <w:rPr>
                <w:sz w:val="12"/>
                <w:szCs w:val="12"/>
                <w:color w:val="auto"/>
              </w:rPr>
            </w:pP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w w:val="94"/>
              </w:rPr>
              <w:t>September 30, 2008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sales and revenue</w:t>
            </w: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tcPr>
          <w:p>
            <w:pPr>
              <w:ind w:left="360"/>
              <w:spacing w:after="0"/>
              <w:rPr>
                <w:sz w:val="20"/>
                <w:szCs w:val="20"/>
                <w:color w:val="auto"/>
              </w:rPr>
            </w:pPr>
            <w:r>
              <w:rPr>
                <w:rFonts w:ascii="Arial" w:cs="Arial" w:eastAsia="Arial" w:hAnsi="Arial"/>
                <w:sz w:val="15"/>
                <w:szCs w:val="15"/>
                <w:color w:val="auto"/>
              </w:rPr>
              <w:t>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5"/>
                <w:szCs w:val="15"/>
                <w:color w:val="auto"/>
              </w:rPr>
              <w:t>26,274</w:t>
            </w:r>
          </w:p>
        </w:tc>
        <w:tc>
          <w:tcPr>
            <w:tcW w:w="3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60"/>
              <w:spacing w:after="0"/>
              <w:rPr>
                <w:sz w:val="20"/>
                <w:szCs w:val="20"/>
                <w:color w:val="auto"/>
              </w:rPr>
            </w:pPr>
            <w:r>
              <w:rPr>
                <w:rFonts w:ascii="Arial" w:cs="Arial" w:eastAsia="Arial" w:hAnsi="Arial"/>
                <w:sz w:val="15"/>
                <w:szCs w:val="15"/>
                <w:color w:val="auto"/>
              </w:rPr>
              <w:t>1,629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46,786</w:t>
            </w:r>
          </w:p>
        </w:tc>
        <w:tc>
          <w:tcPr>
            <w:tcW w:w="44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37,503</w:t>
            </w:r>
          </w:p>
        </w:tc>
        <w:tc>
          <w:tcPr>
            <w:tcW w:w="34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117,120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revenue</w:t>
            </w:r>
          </w:p>
        </w:tc>
        <w:tc>
          <w:tcPr>
            <w:tcW w:w="120" w:type="dxa"/>
            <w:vAlign w:val="bottom"/>
            <w:shd w:val="clear" w:color="auto" w:fill="CCEEFF"/>
          </w:tcPr>
          <w:p>
            <w:pPr>
              <w:spacing w:after="0"/>
              <w:rPr>
                <w:sz w:val="16"/>
                <w:szCs w:val="16"/>
                <w:color w:val="auto"/>
              </w:rPr>
            </w:pPr>
          </w:p>
        </w:tc>
        <w:tc>
          <w:tcPr>
            <w:tcW w:w="14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78</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328</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305</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60"/>
              <w:spacing w:after="0"/>
              <w:rPr>
                <w:sz w:val="20"/>
                <w:szCs w:val="20"/>
                <w:color w:val="auto"/>
              </w:rPr>
            </w:pPr>
            <w:r>
              <w:rPr>
                <w:rFonts w:ascii="Arial" w:cs="Arial" w:eastAsia="Arial" w:hAnsi="Arial"/>
                <w:sz w:val="15"/>
                <w:szCs w:val="15"/>
                <w:color w:val="auto"/>
              </w:rPr>
              <w:t>Total net sales and revenue</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5"/>
                <w:szCs w:val="15"/>
                <w:color w:val="auto"/>
              </w:rPr>
              <w:t>26,352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5"/>
                <w:szCs w:val="15"/>
                <w:color w:val="auto"/>
              </w:rPr>
              <w:t>1,637</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47,114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37,808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118,201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Costs and expenses</w:t>
            </w: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tcPr>
          <w:p>
            <w:pPr>
              <w:ind w:left="36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5"/>
                <w:szCs w:val="15"/>
                <w:color w:val="auto"/>
              </w:rPr>
              <w:t>24,765</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5"/>
                <w:szCs w:val="15"/>
                <w:color w:val="auto"/>
              </w:rPr>
              <w:t>1,943</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57,473</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34,521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116,219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Selling, general and administrative expense</w:t>
            </w:r>
          </w:p>
        </w:tc>
        <w:tc>
          <w:tcPr>
            <w:tcW w:w="120" w:type="dxa"/>
            <w:vAlign w:val="bottom"/>
            <w:shd w:val="clear" w:color="auto" w:fill="CCEEFF"/>
          </w:tcPr>
          <w:p>
            <w:pPr>
              <w:spacing w:after="0"/>
              <w:rPr>
                <w:sz w:val="16"/>
                <w:szCs w:val="16"/>
                <w:color w:val="auto"/>
              </w:rPr>
            </w:pPr>
          </w:p>
        </w:tc>
        <w:tc>
          <w:tcPr>
            <w:tcW w:w="14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2,653</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732</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6,230</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3,251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tcPr>
          <w:p>
            <w:pPr>
              <w:ind w:left="360"/>
              <w:spacing w:after="0"/>
              <w:rPr>
                <w:sz w:val="20"/>
                <w:szCs w:val="20"/>
                <w:color w:val="auto"/>
              </w:rPr>
            </w:pPr>
            <w:r>
              <w:rPr>
                <w:rFonts w:ascii="Arial" w:cs="Arial" w:eastAsia="Arial" w:hAnsi="Arial"/>
                <w:sz w:val="15"/>
                <w:szCs w:val="15"/>
                <w:color w:val="auto"/>
              </w:rPr>
              <w:t>Other expenses, net</w:t>
            </w: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(17)</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1,323</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919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5,226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costs and expenses</w:t>
            </w:r>
          </w:p>
        </w:tc>
        <w:tc>
          <w:tcPr>
            <w:tcW w:w="120" w:type="dxa"/>
            <w:vAlign w:val="bottom"/>
            <w:shd w:val="clear" w:color="auto" w:fill="CCEEFF"/>
          </w:tcPr>
          <w:p>
            <w:pPr>
              <w:spacing w:after="0"/>
              <w:rPr>
                <w:sz w:val="16"/>
                <w:szCs w:val="16"/>
                <w:color w:val="auto"/>
              </w:rPr>
            </w:pPr>
          </w:p>
        </w:tc>
        <w:tc>
          <w:tcPr>
            <w:tcW w:w="14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27,401</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2,696</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65,026</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38,691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720"/>
              <w:spacing w:after="0"/>
              <w:rPr>
                <w:sz w:val="20"/>
                <w:szCs w:val="20"/>
                <w:color w:val="auto"/>
              </w:rPr>
            </w:pPr>
            <w:r>
              <w:rPr>
                <w:rFonts w:ascii="Arial" w:cs="Arial" w:eastAsia="Arial" w:hAnsi="Arial"/>
                <w:sz w:val="15"/>
                <w:szCs w:val="15"/>
                <w:color w:val="auto"/>
              </w:rPr>
              <w:t>Operating loss</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(1,049)</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(1,059)</w:t>
            </w: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(17,912)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(883)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(13,948)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Equity in income (loss) of GMAC</w:t>
            </w:r>
          </w:p>
        </w:tc>
        <w:tc>
          <w:tcPr>
            <w:tcW w:w="120" w:type="dxa"/>
            <w:vAlign w:val="bottom"/>
            <w:shd w:val="clear" w:color="auto" w:fill="CCEEFF"/>
          </w:tcPr>
          <w:p>
            <w:pPr>
              <w:spacing w:after="0"/>
              <w:rPr>
                <w:sz w:val="16"/>
                <w:szCs w:val="16"/>
                <w:color w:val="auto"/>
              </w:rPr>
            </w:pPr>
          </w:p>
        </w:tc>
        <w:tc>
          <w:tcPr>
            <w:tcW w:w="14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1,373</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(1,235)</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(4,777)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Interest expense</w:t>
            </w: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(356)</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(823)</w:t>
            </w: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(5,428)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(595)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(2,217)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and other non-operating income, net</w:t>
            </w:r>
          </w:p>
        </w:tc>
        <w:tc>
          <w:tcPr>
            <w:tcW w:w="120" w:type="dxa"/>
            <w:vAlign w:val="bottom"/>
            <w:shd w:val="clear" w:color="auto" w:fill="CCEEFF"/>
          </w:tcPr>
          <w:p>
            <w:pPr>
              <w:spacing w:after="0"/>
              <w:rPr>
                <w:sz w:val="16"/>
                <w:szCs w:val="16"/>
                <w:color w:val="auto"/>
              </w:rPr>
            </w:pPr>
          </w:p>
        </w:tc>
        <w:tc>
          <w:tcPr>
            <w:tcW w:w="14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334</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23</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827</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Gain (loss) on extinguishment of debt</w:t>
            </w: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(1,088)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43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Reorganization gains, net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80,720</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79,563</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5"/>
                <w:szCs w:val="15"/>
                <w:color w:val="auto"/>
              </w:rPr>
              <w:t>Income (loss) before income taxes and equity income</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(1,071)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5"/>
                <w:szCs w:val="15"/>
                <w:color w:val="auto"/>
              </w:rPr>
              <w:t>78,861</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57,335</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(2,592)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(20,680)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 (benefit)</w:t>
            </w:r>
          </w:p>
        </w:tc>
        <w:tc>
          <w:tcPr>
            <w:tcW w:w="120" w:type="dxa"/>
            <w:vAlign w:val="bottom"/>
            <w:shd w:val="clear" w:color="auto" w:fill="CCEEFF"/>
          </w:tcPr>
          <w:p>
            <w:pPr>
              <w:spacing w:after="0"/>
              <w:rPr>
                <w:sz w:val="16"/>
                <w:szCs w:val="16"/>
                <w:color w:val="auto"/>
              </w:rPr>
            </w:pPr>
          </w:p>
        </w:tc>
        <w:tc>
          <w:tcPr>
            <w:tcW w:w="144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5"/>
                <w:szCs w:val="15"/>
                <w:color w:val="auto"/>
              </w:rPr>
              <w:t>135</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(522)</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(1,080)</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Equity income, net of tax</w:t>
            </w: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5"/>
                <w:szCs w:val="15"/>
                <w:color w:val="auto"/>
              </w:rPr>
              <w:t>212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278</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50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Managerial net income (loss)</w:t>
            </w:r>
          </w:p>
        </w:tc>
        <w:tc>
          <w:tcPr>
            <w:tcW w:w="120" w:type="dxa"/>
            <w:vAlign w:val="bottom"/>
            <w:shd w:val="clear" w:color="auto" w:fill="CCEEFF"/>
          </w:tcPr>
          <w:p>
            <w:pPr>
              <w:spacing w:after="0"/>
              <w:rPr>
                <w:sz w:val="16"/>
                <w:szCs w:val="16"/>
                <w:color w:val="auto"/>
              </w:rPr>
            </w:pPr>
          </w:p>
        </w:tc>
        <w:tc>
          <w:tcPr>
            <w:tcW w:w="14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(994)</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79,398</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58,693</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(2,610)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(21,399)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Less: Managerial net (income) loss attributable to noncontrolling</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tcPr>
          <w:p>
            <w:pPr>
              <w:ind w:left="160"/>
              <w:spacing w:after="0"/>
              <w:rPr>
                <w:sz w:val="20"/>
                <w:szCs w:val="20"/>
                <w:color w:val="auto"/>
              </w:rPr>
            </w:pPr>
            <w:r>
              <w:rPr>
                <w:rFonts w:ascii="Arial" w:cs="Arial" w:eastAsia="Arial" w:hAnsi="Arial"/>
                <w:sz w:val="15"/>
                <w:szCs w:val="15"/>
                <w:color w:val="auto"/>
              </w:rPr>
              <w:t>interests</w:t>
            </w: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(157)</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5"/>
                <w:szCs w:val="15"/>
                <w:color w:val="auto"/>
              </w:rPr>
              <w:t>(40)</w:t>
            </w: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216</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color w:val="auto"/>
              </w:rPr>
              <w:t>58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Managerial net income (loss) attributable to stockholders</w:t>
            </w:r>
          </w:p>
        </w:tc>
        <w:tc>
          <w:tcPr>
            <w:tcW w:w="120" w:type="dxa"/>
            <w:vAlign w:val="bottom"/>
            <w:shd w:val="clear" w:color="auto" w:fill="CCEEFF"/>
          </w:tcPr>
          <w:p>
            <w:pPr>
              <w:spacing w:after="0"/>
              <w:rPr>
                <w:sz w:val="16"/>
                <w:szCs w:val="16"/>
                <w:color w:val="auto"/>
              </w:rPr>
            </w:pPr>
          </w:p>
        </w:tc>
        <w:tc>
          <w:tcPr>
            <w:tcW w:w="14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(1,151)</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79,358</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58,909</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(2,552)</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(21,347)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40" w:type="dxa"/>
            <w:vAlign w:val="bottom"/>
          </w:tcPr>
          <w:p>
            <w:pPr>
              <w:spacing w:after="0"/>
              <w:rPr>
                <w:sz w:val="20"/>
                <w:szCs w:val="20"/>
                <w:color w:val="auto"/>
              </w:rPr>
            </w:pPr>
            <w:r>
              <w:rPr>
                <w:rFonts w:ascii="Arial" w:cs="Arial" w:eastAsia="Arial" w:hAnsi="Arial"/>
                <w:sz w:val="15"/>
                <w:szCs w:val="15"/>
                <w:color w:val="auto"/>
              </w:rPr>
              <w:t>Less: Accumulated preferred dividends</w:t>
            </w:r>
          </w:p>
        </w:tc>
        <w:tc>
          <w:tcPr>
            <w:tcW w:w="120" w:type="dxa"/>
            <w:vAlign w:val="bottom"/>
          </w:tcPr>
          <w:p>
            <w:pPr>
              <w:spacing w:after="0"/>
              <w:rPr>
                <w:sz w:val="16"/>
                <w:szCs w:val="16"/>
                <w:color w:val="auto"/>
              </w:rPr>
            </w:pPr>
          </w:p>
        </w:tc>
        <w:tc>
          <w:tcPr>
            <w:tcW w:w="144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5"/>
                <w:szCs w:val="15"/>
                <w:color w:val="auto"/>
              </w:rPr>
              <w:t>146</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Managerial net income (loss) attributable to common</w:t>
            </w: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80" w:type="dxa"/>
            <w:vAlign w:val="bottom"/>
            <w:tcBorders>
              <w:right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(1,297)</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79,358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58,909</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(2,552)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(21,347)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4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58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5"/>
                <w:szCs w:val="15"/>
                <w:color w:val="auto"/>
              </w:rPr>
              <w:t>11</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58" w:right="21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General Motors Company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Managerial Balance Sheets</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(Dollars in millions)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color w:val="auto"/>
        </w:rPr>
        <w:t>Not audited or reviewed</w:t>
      </w:r>
      <w:r>
        <w:rPr>
          <w:rFonts w:ascii="Arial" w:cs="Arial" w:eastAsia="Arial" w:hAnsi="Arial"/>
          <w:sz w:val="15"/>
          <w:szCs w:val="15"/>
          <w:i w:val="1"/>
          <w:iCs w:val="1"/>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9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2"/>
                <w:szCs w:val="12"/>
                <w:b w:val="1"/>
                <w:bCs w:val="1"/>
                <w:color w:val="auto"/>
                <w:w w:val="78"/>
              </w:rPr>
              <w:t>Successor</w:t>
            </w:r>
          </w:p>
        </w:tc>
        <w:tc>
          <w:tcPr>
            <w:tcW w:w="300" w:type="dxa"/>
            <w:vAlign w:val="bottom"/>
          </w:tcPr>
          <w:p>
            <w:pPr>
              <w:spacing w:after="0"/>
              <w:rPr>
                <w:sz w:val="17"/>
                <w:szCs w:val="17"/>
                <w:color w:val="auto"/>
              </w:rPr>
            </w:pP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w w:val="99"/>
              </w:rPr>
              <w:t>Predecessor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720" w:type="dxa"/>
            <w:vAlign w:val="bottom"/>
            <w:tcBorders>
              <w:top w:val="single" w:sz="8" w:color="auto"/>
            </w:tcBorders>
            <w:gridSpan w:val="2"/>
          </w:tcPr>
          <w:p>
            <w:pPr>
              <w:spacing w:after="0" w:line="110" w:lineRule="exact"/>
              <w:rPr>
                <w:sz w:val="20"/>
                <w:szCs w:val="20"/>
                <w:color w:val="auto"/>
              </w:rPr>
            </w:pPr>
            <w:r>
              <w:rPr>
                <w:rFonts w:ascii="Arial" w:cs="Arial" w:eastAsia="Arial" w:hAnsi="Arial"/>
                <w:sz w:val="12"/>
                <w:szCs w:val="12"/>
                <w:b w:val="1"/>
                <w:bCs w:val="1"/>
                <w:color w:val="auto"/>
                <w:w w:val="85"/>
              </w:rPr>
              <w:t>September 30,</w:t>
            </w:r>
          </w:p>
        </w:tc>
        <w:tc>
          <w:tcPr>
            <w:tcW w:w="52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Borders>
              <w:top w:val="single" w:sz="8" w:color="auto"/>
            </w:tcBorders>
            <w:gridSpan w:val="2"/>
          </w:tcPr>
          <w:p>
            <w:pPr>
              <w:ind w:left="20"/>
              <w:spacing w:after="0" w:line="110" w:lineRule="exact"/>
              <w:rPr>
                <w:sz w:val="20"/>
                <w:szCs w:val="20"/>
                <w:color w:val="auto"/>
              </w:rPr>
            </w:pPr>
            <w:r>
              <w:rPr>
                <w:rFonts w:ascii="Arial" w:cs="Arial" w:eastAsia="Arial" w:hAnsi="Arial"/>
                <w:sz w:val="12"/>
                <w:szCs w:val="12"/>
                <w:b w:val="1"/>
                <w:bCs w:val="1"/>
                <w:color w:val="auto"/>
                <w:w w:val="84"/>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4"/>
              <w:spacing w:after="0"/>
              <w:rPr>
                <w:sz w:val="20"/>
                <w:szCs w:val="20"/>
                <w:color w:val="auto"/>
              </w:rPr>
            </w:pPr>
            <w:r>
              <w:rPr>
                <w:rFonts w:ascii="Arial" w:cs="Arial" w:eastAsia="Arial" w:hAnsi="Arial"/>
                <w:sz w:val="12"/>
                <w:szCs w:val="12"/>
                <w:b w:val="1"/>
                <w:bCs w:val="1"/>
                <w:color w:val="auto"/>
              </w:rPr>
              <w:t>2009</w:t>
            </w:r>
          </w:p>
        </w:tc>
        <w:tc>
          <w:tcPr>
            <w:tcW w:w="5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4"/>
              <w:spacing w:after="0"/>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080" w:type="dxa"/>
            <w:vAlign w:val="bottom"/>
            <w:shd w:val="clear" w:color="auto" w:fill="CCEEFF"/>
          </w:tcPr>
          <w:p>
            <w:pPr>
              <w:ind w:left="4080"/>
              <w:spacing w:after="0"/>
              <w:rPr>
                <w:sz w:val="20"/>
                <w:szCs w:val="20"/>
                <w:color w:val="auto"/>
              </w:rPr>
            </w:pPr>
            <w:r>
              <w:rPr>
                <w:rFonts w:ascii="Arial" w:cs="Arial" w:eastAsia="Arial" w:hAnsi="Arial"/>
                <w:sz w:val="15"/>
                <w:szCs w:val="15"/>
                <w:b w:val="1"/>
                <w:bCs w:val="1"/>
                <w:color w:val="auto"/>
              </w:rPr>
              <w:t>ASSETS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25,092</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14,053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Marketable securities</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137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cash and marketable securities</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25,229</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14,194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Restricted cash and marketable securities</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17,987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and notes receivable, net</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6,895</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Inventories</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9,812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13,195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Assets held for sale</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492</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Equipment on operating leases, net</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2,708</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5,142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current assets and deferred income taxes</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1,722</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360"/>
              <w:spacing w:after="0"/>
              <w:rPr>
                <w:sz w:val="20"/>
                <w:szCs w:val="20"/>
                <w:color w:val="auto"/>
              </w:rPr>
            </w:pPr>
            <w:r>
              <w:rPr>
                <w:rFonts w:ascii="Arial" w:cs="Arial" w:eastAsia="Arial" w:hAnsi="Arial"/>
                <w:sz w:val="15"/>
                <w:szCs w:val="15"/>
                <w:color w:val="auto"/>
              </w:rPr>
              <w:t>Total current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9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64,845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43,595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Non-Current Assets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Equity in net assets of nonconsolidated affiliates</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2,245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Property, net</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35,700</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Intangible assets, net</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201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income taxes</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557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Prepaid pension</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123</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Equipment on operating leases, net</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Restricted cash and marketable securities</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2,327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2,589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assets</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1,451</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360"/>
              <w:spacing w:after="0"/>
              <w:rPr>
                <w:sz w:val="20"/>
                <w:szCs w:val="20"/>
                <w:color w:val="auto"/>
              </w:rPr>
            </w:pPr>
            <w:r>
              <w:rPr>
                <w:rFonts w:ascii="Arial" w:cs="Arial" w:eastAsia="Arial" w:hAnsi="Arial"/>
                <w:sz w:val="15"/>
                <w:szCs w:val="15"/>
                <w:color w:val="auto"/>
              </w:rPr>
              <w:t>Total non-current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9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42,606</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47,444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107,451</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91,039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3380"/>
              <w:spacing w:after="0"/>
              <w:rPr>
                <w:sz w:val="20"/>
                <w:szCs w:val="20"/>
                <w:color w:val="auto"/>
              </w:rPr>
            </w:pPr>
            <w:r>
              <w:rPr>
                <w:rFonts w:ascii="Arial" w:cs="Arial" w:eastAsia="Arial" w:hAnsi="Arial"/>
                <w:sz w:val="15"/>
                <w:szCs w:val="15"/>
                <w:b w:val="1"/>
                <w:bCs w:val="1"/>
                <w:color w:val="auto"/>
              </w:rPr>
              <w:t>LIABILITIES AND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9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Current Liabilities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Accounts payable (principally trade)</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20,213</w:t>
            </w:r>
          </w:p>
        </w:tc>
        <w:tc>
          <w:tcPr>
            <w:tcW w:w="3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22,259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Short-term debt and current portion of long-term debt</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12,842</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Liabilities held for sale</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492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Postretirement benefits other than pensions</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1,625</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Accrued expenses</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24,575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32,428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current liabilities</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59,747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75,608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spacing w:after="0"/>
              <w:rPr>
                <w:sz w:val="20"/>
                <w:szCs w:val="20"/>
                <w:color w:val="auto"/>
              </w:rPr>
            </w:pPr>
            <w:r>
              <w:rPr>
                <w:rFonts w:ascii="Arial" w:cs="Arial" w:eastAsia="Arial" w:hAnsi="Arial"/>
                <w:sz w:val="15"/>
                <w:szCs w:val="15"/>
                <w:b w:val="1"/>
                <w:bCs w:val="1"/>
                <w:color w:val="auto"/>
              </w:rPr>
              <w:t>Non-Current Liabilities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Long-term debt</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4,197</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Postretirement benefits other than pensions</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30,077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28,919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Pensions</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27,549</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Other liabilities and deferred income taxes</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14,035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17,392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non-current liabilities</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75,858</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100,507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135,605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w w:val="99"/>
              </w:rPr>
              <w:t>176,115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80" w:type="dxa"/>
            <w:vAlign w:val="bottom"/>
          </w:tcPr>
          <w:p>
            <w:pPr>
              <w:spacing w:after="0"/>
              <w:rPr>
                <w:sz w:val="20"/>
                <w:szCs w:val="20"/>
                <w:color w:val="auto"/>
              </w:rPr>
            </w:pPr>
            <w:r>
              <w:rPr>
                <w:rFonts w:ascii="Arial" w:cs="Arial" w:eastAsia="Arial" w:hAnsi="Arial"/>
                <w:sz w:val="15"/>
                <w:szCs w:val="15"/>
                <w:color w:val="auto"/>
              </w:rPr>
              <w:t>Preferred stock, $0.01 par value (1,000,000,000 shares authorized, 360,000,000 shares issued and 100,000,000 shares outstanding at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80" w:type="dxa"/>
            <w:vAlign w:val="bottom"/>
          </w:tcPr>
          <w:p>
            <w:pPr>
              <w:ind w:left="160"/>
              <w:spacing w:after="0"/>
              <w:rPr>
                <w:sz w:val="20"/>
                <w:szCs w:val="20"/>
                <w:color w:val="auto"/>
              </w:rPr>
            </w:pPr>
            <w:r>
              <w:rPr>
                <w:rFonts w:ascii="Arial" w:cs="Arial" w:eastAsia="Arial" w:hAnsi="Arial"/>
                <w:sz w:val="15"/>
                <w:szCs w:val="15"/>
                <w:color w:val="auto"/>
              </w:rPr>
              <w:t>September 30, 2009)</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2,500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Deficit</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spacing w:after="0"/>
              <w:rPr>
                <w:sz w:val="20"/>
                <w:szCs w:val="20"/>
                <w:color w:val="auto"/>
              </w:rPr>
            </w:pPr>
            <w:r>
              <w:rPr>
                <w:rFonts w:ascii="Arial" w:cs="Arial" w:eastAsia="Arial" w:hAnsi="Arial"/>
                <w:sz w:val="15"/>
                <w:szCs w:val="15"/>
                <w:b w:val="1"/>
                <w:bCs w:val="1"/>
                <w:color w:val="auto"/>
              </w:rPr>
              <w:t>Old GM</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Preferred stock, no par value (6,000,000 shares authorized, no shares issued and outstanding)</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Preference stock, $0.10 par value (100,000,000 shares authorized, no shares issued and outstanding)</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Stock, $1 2/3 par value common stock (2,000,000,000 shares authorized, 800,937,541 shares issued and outstanding at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December 31, 2008)</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spacing w:after="0"/>
              <w:rPr>
                <w:sz w:val="20"/>
                <w:szCs w:val="20"/>
                <w:color w:val="auto"/>
              </w:rPr>
            </w:pPr>
            <w:r>
              <w:rPr>
                <w:rFonts w:ascii="Arial" w:cs="Arial" w:eastAsia="Arial" w:hAnsi="Arial"/>
                <w:sz w:val="15"/>
                <w:szCs w:val="15"/>
                <w:b w:val="1"/>
                <w:bCs w:val="1"/>
                <w:color w:val="auto"/>
              </w:rPr>
              <w:t>General Motors Company</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Common stock, $0.01 par value (2,500,000,000 shares authorized, 500,000,000 shares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issued and 412,500,000 outstanding at September 30, 2009)</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5"/>
                <w:szCs w:val="15"/>
                <w:color w:val="auto"/>
              </w:rPr>
              <w:t>5</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Capital surplus (principally additional paid-in capital)</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17,512</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16,489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Retained earnings (Accumulated deficit)</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(13,011)</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(70,727)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ind w:left="360"/>
              <w:spacing w:after="0"/>
              <w:rPr>
                <w:sz w:val="20"/>
                <w:szCs w:val="20"/>
                <w:color w:val="auto"/>
              </w:rPr>
            </w:pPr>
            <w:r>
              <w:rPr>
                <w:rFonts w:ascii="Arial" w:cs="Arial" w:eastAsia="Arial" w:hAnsi="Arial"/>
                <w:sz w:val="15"/>
                <w:szCs w:val="15"/>
                <w:color w:val="auto"/>
              </w:rPr>
              <w:t>Accumulated other comprehensive loss</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5"/>
                <w:szCs w:val="15"/>
                <w:color w:val="auto"/>
              </w:rPr>
              <w:t>(35,557)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5"/>
                <w:szCs w:val="15"/>
                <w:color w:val="auto"/>
              </w:rPr>
              <w:t>(32,339)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 stockholders’ deficit</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(31,051)</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(85,560)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80" w:type="dxa"/>
            <w:vAlign w:val="bottom"/>
          </w:tcPr>
          <w:p>
            <w:pPr>
              <w:spacing w:after="0"/>
              <w:rPr>
                <w:sz w:val="20"/>
                <w:szCs w:val="20"/>
                <w:color w:val="auto"/>
              </w:rPr>
            </w:pPr>
            <w:r>
              <w:rPr>
                <w:rFonts w:ascii="Arial" w:cs="Arial" w:eastAsia="Arial" w:hAnsi="Arial"/>
                <w:sz w:val="15"/>
                <w:szCs w:val="15"/>
                <w:color w:val="auto"/>
              </w:rPr>
              <w:t>Noncontrolling interests</w:t>
            </w:r>
          </w:p>
        </w:tc>
        <w:tc>
          <w:tcPr>
            <w:tcW w:w="1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397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5"/>
                <w:szCs w:val="15"/>
                <w:color w:val="auto"/>
              </w:rPr>
              <w:t>Total deficit</w:t>
            </w:r>
          </w:p>
        </w:tc>
        <w:tc>
          <w:tcPr>
            <w:tcW w:w="1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(30,654)</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(85,076)</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Liabilities and Deficit</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100" w:type="dxa"/>
            <w:vAlign w:val="bottom"/>
            <w:gridSpan w:val="2"/>
            <w:vMerge w:val="continue"/>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11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5"/>
                <w:szCs w:val="15"/>
                <w:color w:val="auto"/>
              </w:rPr>
              <w:t>107,451</w:t>
            </w:r>
          </w:p>
        </w:tc>
        <w:tc>
          <w:tcPr>
            <w:tcW w:w="3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91,039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jc w:val="right"/>
              <w:ind w:right="3224"/>
              <w:spacing w:after="0"/>
              <w:rPr>
                <w:sz w:val="20"/>
                <w:szCs w:val="20"/>
                <w:color w:val="auto"/>
              </w:rPr>
            </w:pPr>
            <w:r>
              <w:rPr>
                <w:rFonts w:ascii="Arial" w:cs="Arial" w:eastAsia="Arial" w:hAnsi="Arial"/>
                <w:sz w:val="15"/>
                <w:szCs w:val="15"/>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58" w:right="219" w:bottom="1440" w:gutter="0" w:footer="0" w:header="0"/>
        </w:sectPr>
      </w:pPr>
    </w:p>
    <w:bookmarkStart w:id="21" w:name="page22"/>
    <w:bookmarkEnd w:id="21"/>
    <w:p>
      <w:pPr>
        <w:jc w:val="right"/>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-81915</wp:posOffset>
            </wp:positionV>
            <wp:extent cx="4023995" cy="51441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23995" cy="5144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0"/>
        <w:spacing w:after="0"/>
        <w:rPr>
          <w:sz w:val="20"/>
          <w:szCs w:val="20"/>
          <w:color w:val="auto"/>
        </w:rPr>
      </w:pPr>
      <w:r>
        <w:rPr>
          <w:rFonts w:ascii="Arial" w:cs="Arial" w:eastAsia="Arial" w:hAnsi="Arial"/>
          <w:sz w:val="44"/>
          <w:szCs w:val="44"/>
          <w:b w:val="1"/>
          <w:bCs w:val="1"/>
          <w:color w:val="auto"/>
        </w:rPr>
        <w:t>General Motors Company</w:t>
      </w:r>
    </w:p>
    <w:p>
      <w:pPr>
        <w:spacing w:after="0" w:line="200" w:lineRule="exact"/>
        <w:rPr>
          <w:sz w:val="20"/>
          <w:szCs w:val="20"/>
          <w:color w:val="auto"/>
        </w:rPr>
      </w:pPr>
    </w:p>
    <w:p>
      <w:pPr>
        <w:spacing w:after="0" w:line="308"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auto"/>
        </w:rPr>
        <w:t>Preliminary Results</w:t>
      </w:r>
    </w:p>
    <w:p>
      <w:pPr>
        <w:spacing w:after="0" w:line="48" w:lineRule="exact"/>
        <w:rPr>
          <w:sz w:val="20"/>
          <w:szCs w:val="20"/>
          <w:color w:val="auto"/>
        </w:rPr>
      </w:pPr>
    </w:p>
    <w:p>
      <w:pPr>
        <w:jc w:val="center"/>
        <w:ind w:right="1140"/>
        <w:spacing w:after="0"/>
        <w:rPr>
          <w:sz w:val="20"/>
          <w:szCs w:val="20"/>
          <w:color w:val="auto"/>
        </w:rPr>
      </w:pPr>
      <w:r>
        <w:rPr>
          <w:rFonts w:ascii="Arial" w:cs="Arial" w:eastAsia="Arial" w:hAnsi="Arial"/>
          <w:sz w:val="32"/>
          <w:szCs w:val="32"/>
          <w:b w:val="1"/>
          <w:bCs w:val="1"/>
          <w:color w:val="auto"/>
        </w:rPr>
        <w:t>July 10, 2009 – Sept. 30, 2009</w:t>
      </w:r>
    </w:p>
    <w:p>
      <w:pPr>
        <w:spacing w:after="0" w:line="190" w:lineRule="exact"/>
        <w:rPr>
          <w:sz w:val="20"/>
          <w:szCs w:val="20"/>
          <w:color w:val="auto"/>
        </w:rPr>
      </w:pPr>
    </w:p>
    <w:p>
      <w:pPr>
        <w:ind w:left="3140"/>
        <w:spacing w:after="0"/>
        <w:rPr>
          <w:sz w:val="20"/>
          <w:szCs w:val="20"/>
          <w:color w:val="auto"/>
        </w:rPr>
      </w:pPr>
      <w:r>
        <w:rPr>
          <w:rFonts w:ascii="Arial" w:cs="Arial" w:eastAsia="Arial" w:hAnsi="Arial"/>
          <w:sz w:val="38"/>
          <w:szCs w:val="38"/>
          <w:color w:val="auto"/>
        </w:rPr>
        <w:t>Nov 16, 2009</w:t>
      </w:r>
    </w:p>
    <w:p>
      <w:pPr>
        <w:sectPr>
          <w:pgSz w:w="11900" w:h="16838" w:orient="portrait"/>
          <w:cols w:equalWidth="0" w:num="1">
            <w:col w:w="9680"/>
          </w:cols>
          <w:pgMar w:left="1440" w:top="204" w:right="779" w:bottom="1440" w:gutter="0" w:footer="0" w:header="0"/>
        </w:sectPr>
      </w:pPr>
    </w:p>
    <w:bookmarkStart w:id="22" w:name="page23"/>
    <w:bookmarkEnd w:id="22"/>
    <w:p>
      <w:pP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Forward Looking Statements</w:t>
      </w:r>
    </w:p>
    <w:p>
      <w:pPr>
        <w:spacing w:after="0" w:line="200" w:lineRule="exact"/>
        <w:rPr>
          <w:sz w:val="20"/>
          <w:szCs w:val="20"/>
          <w:color w:val="auto"/>
        </w:rPr>
      </w:pPr>
    </w:p>
    <w:p>
      <w:pPr>
        <w:spacing w:after="0" w:line="394" w:lineRule="exact"/>
        <w:rPr>
          <w:sz w:val="20"/>
          <w:szCs w:val="20"/>
          <w:color w:val="auto"/>
        </w:rPr>
      </w:pPr>
    </w:p>
    <w:p>
      <w:pPr>
        <w:ind w:left="300" w:right="1360"/>
        <w:spacing w:after="0" w:line="241" w:lineRule="auto"/>
        <w:rPr>
          <w:sz w:val="20"/>
          <w:szCs w:val="20"/>
          <w:color w:val="auto"/>
        </w:rPr>
      </w:pPr>
      <w:r>
        <w:rPr>
          <w:rFonts w:ascii="Arial" w:cs="Arial" w:eastAsia="Arial" w:hAnsi="Arial"/>
          <w:sz w:val="22"/>
          <w:szCs w:val="22"/>
          <w:i w:val="1"/>
          <w:iCs w:val="1"/>
          <w:color w:val="auto"/>
        </w:rPr>
        <w:t>In this presentation and in related comments by our management, our use of the words “expect,” “anticipate,” “ensure,” “promote,” “target,” “believe,” “improve,” “intend,” “enable,” “continue,” “will,”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comply with the requirements of our credit agreements with the U.S. Treasury as well as the EDC and VEBA; our ability to maintain adequate liquidity and financing sources and an appropriate level of debt; our ability to realize production efficiencies and to achieve reductions in costs as a result of our restructuring initiatives and labor modifications; our ability to restore consumers’ confidence in our viability as a continuing entity and our ability to continue to attract customers, particularly for our new products, including cars and crossover vehicles; significant changes in the competitive environment and the effect of competition on our markets, including on our pricing policies; and overall strength and stability of general economic conditions and of the automotive industry, both in the United States and in global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w:t>
      </w:r>
    </w:p>
    <w:p>
      <w:pPr>
        <w:sectPr>
          <w:pgSz w:w="11900" w:h="16838" w:orient="portrait"/>
          <w:cols w:equalWidth="0" w:num="1">
            <w:col w:w="9280"/>
          </w:cols>
          <w:pgMar w:left="1420" w:top="587" w:right="1199" w:bottom="1440" w:gutter="0" w:footer="0" w:header="0"/>
        </w:sectPr>
      </w:pPr>
    </w:p>
    <w:bookmarkStart w:id="23" w:name="page24"/>
    <w:bookmarkEnd w:id="23"/>
    <w:p>
      <w:pPr>
        <w:ind w:left="845"/>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Preliminary Managerial Results</w:t>
      </w:r>
    </w:p>
    <w:p>
      <w:pPr>
        <w:spacing w:after="0" w:line="390" w:lineRule="exact"/>
        <w:rPr>
          <w:sz w:val="20"/>
          <w:szCs w:val="20"/>
          <w:color w:val="auto"/>
        </w:rPr>
      </w:pPr>
    </w:p>
    <w:p>
      <w:pPr>
        <w:ind w:left="425" w:right="560" w:hanging="425"/>
        <w:spacing w:after="0" w:line="223" w:lineRule="auto"/>
        <w:tabs>
          <w:tab w:leader="none" w:pos="425" w:val="left"/>
        </w:tabs>
        <w:numPr>
          <w:ilvl w:val="0"/>
          <w:numId w:val="10"/>
        </w:numPr>
        <w:rPr>
          <w:rFonts w:ascii="Arial" w:cs="Arial" w:eastAsia="Arial" w:hAnsi="Arial"/>
          <w:sz w:val="29"/>
          <w:szCs w:val="29"/>
          <w:color w:val="auto"/>
        </w:rPr>
      </w:pPr>
      <w:r>
        <w:rPr>
          <w:rFonts w:ascii="Arial" w:cs="Arial" w:eastAsia="Arial" w:hAnsi="Arial"/>
          <w:sz w:val="29"/>
          <w:szCs w:val="29"/>
          <w:color w:val="auto"/>
        </w:rPr>
        <w:t>General Motors Company is a private company and voluntary filer with United States Securities &amp; Exchange Commission (SEC)</w:t>
      </w:r>
    </w:p>
    <w:p>
      <w:pPr>
        <w:spacing w:after="0" w:line="1" w:lineRule="exact"/>
        <w:rPr>
          <w:rFonts w:ascii="Arial" w:cs="Arial" w:eastAsia="Arial" w:hAnsi="Arial"/>
          <w:sz w:val="29"/>
          <w:szCs w:val="29"/>
          <w:color w:val="auto"/>
        </w:rPr>
      </w:pPr>
    </w:p>
    <w:p>
      <w:pPr>
        <w:ind w:left="925" w:right="140" w:hanging="353"/>
        <w:spacing w:after="0" w:line="216" w:lineRule="auto"/>
        <w:rPr>
          <w:rFonts w:ascii="Arial" w:cs="Arial" w:eastAsia="Arial" w:hAnsi="Arial"/>
          <w:sz w:val="29"/>
          <w:szCs w:val="29"/>
          <w:color w:val="auto"/>
        </w:rPr>
      </w:pPr>
      <w:r>
        <w:rPr>
          <w:rFonts w:ascii="Arial" w:cs="Arial" w:eastAsia="Arial" w:hAnsi="Arial"/>
          <w:sz w:val="27"/>
          <w:szCs w:val="27"/>
          <w:color w:val="auto"/>
        </w:rPr>
        <w:t>– Per agreement with SEC, GM will file under Form 8-K unaudited condensed consolidated managerial financial statements for period July 10 – Sept. 30, 2009 and include information related to Old GM</w:t>
      </w:r>
    </w:p>
    <w:p>
      <w:pPr>
        <w:spacing w:after="0" w:line="69" w:lineRule="exact"/>
        <w:rPr>
          <w:rFonts w:ascii="Arial" w:cs="Arial" w:eastAsia="Arial" w:hAnsi="Arial"/>
          <w:sz w:val="29"/>
          <w:szCs w:val="29"/>
          <w:color w:val="auto"/>
        </w:rPr>
      </w:pPr>
    </w:p>
    <w:p>
      <w:pPr>
        <w:ind w:left="425" w:right="1260" w:hanging="425"/>
        <w:spacing w:after="0" w:line="223" w:lineRule="auto"/>
        <w:tabs>
          <w:tab w:leader="none" w:pos="425" w:val="left"/>
        </w:tabs>
        <w:numPr>
          <w:ilvl w:val="0"/>
          <w:numId w:val="10"/>
        </w:numPr>
        <w:rPr>
          <w:rFonts w:ascii="Arial" w:cs="Arial" w:eastAsia="Arial" w:hAnsi="Arial"/>
          <w:sz w:val="29"/>
          <w:szCs w:val="29"/>
          <w:color w:val="auto"/>
        </w:rPr>
      </w:pPr>
      <w:r>
        <w:rPr>
          <w:rFonts w:ascii="Arial" w:cs="Arial" w:eastAsia="Arial" w:hAnsi="Arial"/>
          <w:sz w:val="29"/>
          <w:szCs w:val="29"/>
          <w:color w:val="auto"/>
        </w:rPr>
        <w:t>Consolidated managerial financial statements do not comply with Generally Accepted Accounting Principles (GAAP)</w:t>
      </w:r>
    </w:p>
    <w:p>
      <w:pPr>
        <w:spacing w:after="0" w:line="1" w:lineRule="exact"/>
        <w:rPr>
          <w:rFonts w:ascii="Arial" w:cs="Arial" w:eastAsia="Arial" w:hAnsi="Arial"/>
          <w:sz w:val="29"/>
          <w:szCs w:val="29"/>
          <w:color w:val="auto"/>
        </w:rPr>
      </w:pPr>
    </w:p>
    <w:p>
      <w:pPr>
        <w:ind w:left="565"/>
        <w:spacing w:after="0" w:line="236" w:lineRule="auto"/>
        <w:rPr>
          <w:rFonts w:ascii="Arial" w:cs="Arial" w:eastAsia="Arial" w:hAnsi="Arial"/>
          <w:sz w:val="29"/>
          <w:szCs w:val="29"/>
          <w:color w:val="auto"/>
        </w:rPr>
      </w:pPr>
      <w:r>
        <w:rPr>
          <w:rFonts w:ascii="Arial" w:cs="Arial" w:eastAsia="Arial" w:hAnsi="Arial"/>
          <w:sz w:val="27"/>
          <w:szCs w:val="27"/>
          <w:color w:val="auto"/>
        </w:rPr>
        <w:t>–  Assets &amp; liabilities valued at historical cost basis (Old GM prior to 363 sale)</w:t>
      </w:r>
    </w:p>
    <w:p>
      <w:pPr>
        <w:ind w:left="925" w:right="420" w:hanging="353"/>
        <w:spacing w:after="0" w:line="213" w:lineRule="auto"/>
        <w:rPr>
          <w:rFonts w:ascii="Arial" w:cs="Arial" w:eastAsia="Arial" w:hAnsi="Arial"/>
          <w:sz w:val="29"/>
          <w:szCs w:val="29"/>
          <w:color w:val="auto"/>
        </w:rPr>
      </w:pPr>
      <w:r>
        <w:rPr>
          <w:rFonts w:ascii="Arial" w:cs="Arial" w:eastAsia="Arial" w:hAnsi="Arial"/>
          <w:sz w:val="27"/>
          <w:szCs w:val="27"/>
          <w:color w:val="auto"/>
        </w:rPr>
        <w:t>– Fixed asset impairment testing and benefit plan remeasurementshave not been performed</w:t>
      </w:r>
    </w:p>
    <w:p>
      <w:pPr>
        <w:spacing w:after="0" w:line="1" w:lineRule="exact"/>
        <w:rPr>
          <w:rFonts w:ascii="Arial" w:cs="Arial" w:eastAsia="Arial" w:hAnsi="Arial"/>
          <w:sz w:val="29"/>
          <w:szCs w:val="29"/>
          <w:color w:val="auto"/>
        </w:rPr>
      </w:pPr>
    </w:p>
    <w:p>
      <w:pPr>
        <w:ind w:left="925" w:right="980" w:hanging="353"/>
        <w:spacing w:after="0" w:line="209" w:lineRule="auto"/>
        <w:rPr>
          <w:rFonts w:ascii="Arial" w:cs="Arial" w:eastAsia="Arial" w:hAnsi="Arial"/>
          <w:sz w:val="29"/>
          <w:szCs w:val="29"/>
          <w:color w:val="auto"/>
        </w:rPr>
      </w:pPr>
      <w:r>
        <w:rPr>
          <w:rFonts w:ascii="Arial" w:cs="Arial" w:eastAsia="Arial" w:hAnsi="Arial"/>
          <w:sz w:val="27"/>
          <w:szCs w:val="27"/>
          <w:color w:val="auto"/>
        </w:rPr>
        <w:t>– Results do not reflect application of fresh-start reporting and other adjustments and will change significantly when these adjustments are applied to comply with GAAP</w:t>
      </w:r>
    </w:p>
    <w:p>
      <w:pPr>
        <w:ind w:left="925" w:right="400" w:hanging="353"/>
        <w:spacing w:after="0" w:line="225" w:lineRule="auto"/>
        <w:rPr>
          <w:rFonts w:ascii="Arial" w:cs="Arial" w:eastAsia="Arial" w:hAnsi="Arial"/>
          <w:sz w:val="29"/>
          <w:szCs w:val="29"/>
          <w:color w:val="auto"/>
        </w:rPr>
      </w:pPr>
      <w:r>
        <w:rPr>
          <w:rFonts w:ascii="Arial" w:cs="Arial" w:eastAsia="Arial" w:hAnsi="Arial"/>
          <w:sz w:val="27"/>
          <w:szCs w:val="27"/>
          <w:color w:val="auto"/>
        </w:rPr>
        <w:t>– We will continue to analyze time periods in which revenues and expenses were recorded along with allocation of certain assets and liabilities</w:t>
      </w:r>
    </w:p>
    <w:p>
      <w:pPr>
        <w:spacing w:after="0" w:line="66" w:lineRule="exact"/>
        <w:rPr>
          <w:rFonts w:ascii="Arial" w:cs="Arial" w:eastAsia="Arial" w:hAnsi="Arial"/>
          <w:sz w:val="29"/>
          <w:szCs w:val="29"/>
          <w:color w:val="auto"/>
        </w:rPr>
      </w:pPr>
    </w:p>
    <w:p>
      <w:pPr>
        <w:ind w:left="425" w:right="1100" w:hanging="425"/>
        <w:spacing w:after="0" w:line="228" w:lineRule="auto"/>
        <w:tabs>
          <w:tab w:leader="none" w:pos="425" w:val="left"/>
        </w:tabs>
        <w:numPr>
          <w:ilvl w:val="0"/>
          <w:numId w:val="10"/>
        </w:numPr>
        <w:rPr>
          <w:rFonts w:ascii="Arial" w:cs="Arial" w:eastAsia="Arial" w:hAnsi="Arial"/>
          <w:sz w:val="29"/>
          <w:szCs w:val="29"/>
          <w:color w:val="auto"/>
        </w:rPr>
      </w:pPr>
      <w:r>
        <w:rPr>
          <w:rFonts w:ascii="Arial" w:cs="Arial" w:eastAsia="Arial" w:hAnsi="Arial"/>
          <w:sz w:val="29"/>
          <w:szCs w:val="29"/>
          <w:color w:val="auto"/>
        </w:rPr>
        <w:t>GM is a new entity and financial statements are not comparable to those of Old GM</w:t>
      </w:r>
    </w:p>
    <w:p>
      <w:pPr>
        <w:spacing w:after="0" w:line="83" w:lineRule="exact"/>
        <w:rPr>
          <w:rFonts w:ascii="Arial" w:cs="Arial" w:eastAsia="Arial" w:hAnsi="Arial"/>
          <w:sz w:val="29"/>
          <w:szCs w:val="29"/>
          <w:color w:val="auto"/>
        </w:rPr>
      </w:pPr>
    </w:p>
    <w:p>
      <w:pPr>
        <w:ind w:left="425" w:right="660" w:hanging="425"/>
        <w:spacing w:after="0" w:line="220" w:lineRule="auto"/>
        <w:tabs>
          <w:tab w:leader="none" w:pos="425" w:val="left"/>
        </w:tabs>
        <w:numPr>
          <w:ilvl w:val="0"/>
          <w:numId w:val="10"/>
        </w:numPr>
        <w:rPr>
          <w:rFonts w:ascii="Arial" w:cs="Arial" w:eastAsia="Arial" w:hAnsi="Arial"/>
          <w:sz w:val="29"/>
          <w:szCs w:val="29"/>
          <w:color w:val="auto"/>
        </w:rPr>
      </w:pPr>
      <w:r>
        <w:rPr>
          <w:rFonts w:ascii="Arial" w:cs="Arial" w:eastAsia="Arial" w:hAnsi="Arial"/>
          <w:sz w:val="29"/>
          <w:szCs w:val="29"/>
          <w:color w:val="auto"/>
        </w:rPr>
        <w:t>In 2010, GM will file Forms 10-Q and 10-K, including GAAP compliant financials, for periods ending Sept. 30, 2009 and Dec. 31, 2009, respectively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w:t>
      </w:r>
    </w:p>
    <w:p>
      <w:pPr>
        <w:sectPr>
          <w:pgSz w:w="11900" w:h="16838" w:orient="portrait"/>
          <w:cols w:equalWidth="0" w:num="1">
            <w:col w:w="10125"/>
          </w:cols>
          <w:pgMar w:left="575" w:top="587" w:right="1199" w:bottom="1440" w:gutter="0" w:footer="0" w:header="0"/>
        </w:sectPr>
      </w:pPr>
    </w:p>
    <w:bookmarkStart w:id="24" w:name="page25"/>
    <w:bookmarkEnd w:id="24"/>
    <w:p>
      <w:pPr>
        <w:ind w:left="845"/>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Changes in Presentation</w:t>
      </w:r>
    </w:p>
    <w:p>
      <w:pPr>
        <w:spacing w:after="0" w:line="200" w:lineRule="exact"/>
        <w:rPr>
          <w:sz w:val="20"/>
          <w:szCs w:val="20"/>
          <w:color w:val="auto"/>
        </w:rPr>
      </w:pPr>
    </w:p>
    <w:p>
      <w:pPr>
        <w:spacing w:after="0" w:line="227" w:lineRule="exact"/>
        <w:rPr>
          <w:sz w:val="20"/>
          <w:szCs w:val="20"/>
          <w:color w:val="auto"/>
        </w:rPr>
      </w:pPr>
    </w:p>
    <w:p>
      <w:pPr>
        <w:ind w:left="425" w:right="1340" w:hanging="425"/>
        <w:spacing w:after="0" w:line="254" w:lineRule="auto"/>
        <w:tabs>
          <w:tab w:leader="none" w:pos="425" w:val="left"/>
        </w:tabs>
        <w:numPr>
          <w:ilvl w:val="0"/>
          <w:numId w:val="11"/>
        </w:numPr>
        <w:rPr>
          <w:rFonts w:ascii="Arial" w:cs="Arial" w:eastAsia="Arial" w:hAnsi="Arial"/>
          <w:sz w:val="32"/>
          <w:szCs w:val="32"/>
          <w:color w:val="auto"/>
        </w:rPr>
      </w:pPr>
      <w:r>
        <w:rPr>
          <w:rFonts w:ascii="Arial" w:cs="Arial" w:eastAsia="Arial" w:hAnsi="Arial"/>
          <w:sz w:val="32"/>
          <w:szCs w:val="32"/>
          <w:color w:val="auto"/>
        </w:rPr>
        <w:t>Q3 2009 preliminary managerial financial results have been segregated into two periods</w:t>
      </w:r>
    </w:p>
    <w:p>
      <w:pPr>
        <w:spacing w:after="0" w:line="52"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July 1 through July 9 Old GM</w:t>
      </w:r>
    </w:p>
    <w:p>
      <w:pPr>
        <w:spacing w:after="0" w:line="66"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July 10 through Sept 30 New GM</w:t>
      </w:r>
    </w:p>
    <w:p>
      <w:pPr>
        <w:spacing w:after="0" w:line="148" w:lineRule="exact"/>
        <w:rPr>
          <w:sz w:val="20"/>
          <w:szCs w:val="20"/>
          <w:color w:val="auto"/>
        </w:rPr>
      </w:pPr>
    </w:p>
    <w:p>
      <w:pPr>
        <w:ind w:left="925" w:right="1000" w:hanging="361"/>
        <w:spacing w:after="0" w:line="267" w:lineRule="auto"/>
        <w:tabs>
          <w:tab w:leader="none" w:pos="925" w:val="left"/>
        </w:tabs>
        <w:numPr>
          <w:ilvl w:val="0"/>
          <w:numId w:val="12"/>
        </w:numPr>
        <w:rPr>
          <w:rFonts w:ascii="Arial" w:cs="Arial" w:eastAsia="Arial" w:hAnsi="Arial"/>
          <w:sz w:val="28"/>
          <w:szCs w:val="28"/>
          <w:color w:val="auto"/>
        </w:rPr>
      </w:pPr>
      <w:r>
        <w:rPr>
          <w:rFonts w:ascii="Arial" w:cs="Arial" w:eastAsia="Arial" w:hAnsi="Arial"/>
          <w:sz w:val="28"/>
          <w:szCs w:val="28"/>
          <w:color w:val="auto"/>
        </w:rPr>
        <w:t>Former Europe, Latin America/Africa/Middle East and Asia Pacific segments combined into GMIO Segment</w:t>
      </w:r>
    </w:p>
    <w:p>
      <w:pPr>
        <w:spacing w:after="0" w:line="13" w:lineRule="exact"/>
        <w:rPr>
          <w:sz w:val="20"/>
          <w:szCs w:val="20"/>
          <w:color w:val="auto"/>
        </w:rPr>
      </w:pPr>
    </w:p>
    <w:p>
      <w:pPr>
        <w:ind w:left="925" w:right="580" w:hanging="353"/>
        <w:spacing w:after="0" w:line="267" w:lineRule="auto"/>
        <w:rPr>
          <w:sz w:val="20"/>
          <w:szCs w:val="20"/>
          <w:color w:val="auto"/>
        </w:rPr>
      </w:pPr>
      <w:r>
        <w:rPr>
          <w:rFonts w:ascii="Arial" w:cs="Arial" w:eastAsia="Arial" w:hAnsi="Arial"/>
          <w:sz w:val="28"/>
          <w:szCs w:val="28"/>
          <w:color w:val="auto"/>
        </w:rPr>
        <w:t>– Consistent with operating structure to streamline business and speed decision making</w:t>
      </w:r>
    </w:p>
    <w:p>
      <w:pPr>
        <w:spacing w:after="0" w:line="74" w:lineRule="exact"/>
        <w:rPr>
          <w:sz w:val="20"/>
          <w:szCs w:val="20"/>
          <w:color w:val="auto"/>
        </w:rPr>
      </w:pPr>
    </w:p>
    <w:p>
      <w:pPr>
        <w:ind w:left="425" w:right="100" w:hanging="425"/>
        <w:spacing w:after="0" w:line="249" w:lineRule="auto"/>
        <w:tabs>
          <w:tab w:leader="none" w:pos="425" w:val="left"/>
        </w:tabs>
        <w:numPr>
          <w:ilvl w:val="0"/>
          <w:numId w:val="13"/>
        </w:numPr>
        <w:rPr>
          <w:rFonts w:ascii="Arial" w:cs="Arial" w:eastAsia="Arial" w:hAnsi="Arial"/>
          <w:sz w:val="32"/>
          <w:szCs w:val="32"/>
          <w:color w:val="auto"/>
        </w:rPr>
      </w:pPr>
      <w:r>
        <w:rPr>
          <w:rFonts w:ascii="Arial" w:cs="Arial" w:eastAsia="Arial" w:hAnsi="Arial"/>
          <w:sz w:val="32"/>
          <w:szCs w:val="32"/>
          <w:color w:val="auto"/>
        </w:rPr>
        <w:t>Due to lack of significant influence over GMAC, GM has changed accounting treatment for investment to cost method from prior equity method</w:t>
      </w:r>
    </w:p>
    <w:p>
      <w:pPr>
        <w:spacing w:after="0" w:line="62" w:lineRule="exact"/>
        <w:rPr>
          <w:rFonts w:ascii="Arial" w:cs="Arial" w:eastAsia="Arial" w:hAnsi="Arial"/>
          <w:sz w:val="32"/>
          <w:szCs w:val="32"/>
          <w:color w:val="auto"/>
        </w:rPr>
      </w:pPr>
    </w:p>
    <w:p>
      <w:pPr>
        <w:ind w:left="925" w:right="1120" w:hanging="353"/>
        <w:spacing w:after="0" w:line="267" w:lineRule="auto"/>
        <w:rPr>
          <w:rFonts w:ascii="Arial" w:cs="Arial" w:eastAsia="Arial" w:hAnsi="Arial"/>
          <w:sz w:val="32"/>
          <w:szCs w:val="32"/>
          <w:color w:val="auto"/>
        </w:rPr>
      </w:pPr>
      <w:r>
        <w:rPr>
          <w:rFonts w:ascii="Arial" w:cs="Arial" w:eastAsia="Arial" w:hAnsi="Arial"/>
          <w:sz w:val="28"/>
          <w:szCs w:val="28"/>
          <w:color w:val="auto"/>
        </w:rPr>
        <w:t>– GM’s common equity ownership in GMAC is 24.5%, 9.9% is held directly, and 14.6% is held in an independent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3</w:t>
      </w:r>
    </w:p>
    <w:p>
      <w:pPr>
        <w:sectPr>
          <w:pgSz w:w="11900" w:h="16838" w:orient="portrait"/>
          <w:cols w:equalWidth="0" w:num="1">
            <w:col w:w="10125"/>
          </w:cols>
          <w:pgMar w:left="575" w:top="587" w:right="1199" w:bottom="1440" w:gutter="0" w:footer="0" w:header="0"/>
        </w:sectPr>
      </w:pPr>
    </w:p>
    <w:bookmarkStart w:id="25" w:name="page26"/>
    <w:bookmarkEnd w:id="25"/>
    <w:p>
      <w:pPr>
        <w:ind w:left="845"/>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Highlight of Major Achievements</w:t>
      </w:r>
    </w:p>
    <w:p>
      <w:pPr>
        <w:spacing w:after="0" w:line="200" w:lineRule="exact"/>
        <w:rPr>
          <w:sz w:val="20"/>
          <w:szCs w:val="20"/>
          <w:color w:val="auto"/>
        </w:rPr>
      </w:pPr>
    </w:p>
    <w:p>
      <w:pPr>
        <w:spacing w:after="0" w:line="227" w:lineRule="exact"/>
        <w:rPr>
          <w:sz w:val="20"/>
          <w:szCs w:val="20"/>
          <w:color w:val="auto"/>
        </w:rPr>
      </w:pPr>
    </w:p>
    <w:p>
      <w:pPr>
        <w:ind w:left="425" w:hanging="425"/>
        <w:spacing w:after="0"/>
        <w:tabs>
          <w:tab w:leader="none" w:pos="425" w:val="left"/>
        </w:tabs>
        <w:numPr>
          <w:ilvl w:val="0"/>
          <w:numId w:val="14"/>
        </w:numPr>
        <w:rPr>
          <w:rFonts w:ascii="Arial" w:cs="Arial" w:eastAsia="Arial" w:hAnsi="Arial"/>
          <w:sz w:val="32"/>
          <w:szCs w:val="32"/>
          <w:color w:val="auto"/>
        </w:rPr>
      </w:pPr>
      <w:r>
        <w:rPr>
          <w:rFonts w:ascii="Arial" w:cs="Arial" w:eastAsia="Arial" w:hAnsi="Arial"/>
          <w:sz w:val="32"/>
          <w:szCs w:val="32"/>
          <w:color w:val="auto"/>
        </w:rPr>
        <w:t>Encouraging vehicle launches globally</w:t>
      </w:r>
    </w:p>
    <w:p>
      <w:pPr>
        <w:spacing w:after="0" w:line="87" w:lineRule="exact"/>
        <w:rPr>
          <w:rFonts w:ascii="Arial" w:cs="Arial" w:eastAsia="Arial" w:hAnsi="Arial"/>
          <w:sz w:val="32"/>
          <w:szCs w:val="32"/>
          <w:color w:val="auto"/>
        </w:rPr>
      </w:pPr>
    </w:p>
    <w:p>
      <w:pPr>
        <w:ind w:left="925" w:right="820" w:hanging="353"/>
        <w:spacing w:after="0" w:line="267" w:lineRule="auto"/>
        <w:rPr>
          <w:rFonts w:ascii="Arial" w:cs="Arial" w:eastAsia="Arial" w:hAnsi="Arial"/>
          <w:sz w:val="32"/>
          <w:szCs w:val="32"/>
          <w:color w:val="auto"/>
        </w:rPr>
      </w:pPr>
      <w:r>
        <w:rPr>
          <w:rFonts w:ascii="Arial" w:cs="Arial" w:eastAsia="Arial" w:hAnsi="Arial"/>
          <w:sz w:val="28"/>
          <w:szCs w:val="28"/>
          <w:color w:val="auto"/>
        </w:rPr>
        <w:t>– U.S.: Chevrolet Camaro &amp; Equinox, Cadillac SRX, Buick LaCrosse, GMC Terrain</w:t>
      </w:r>
    </w:p>
    <w:p>
      <w:pPr>
        <w:ind w:left="925" w:right="680" w:hanging="353"/>
        <w:spacing w:after="0" w:line="267" w:lineRule="auto"/>
        <w:rPr>
          <w:rFonts w:ascii="Arial" w:cs="Arial" w:eastAsia="Arial" w:hAnsi="Arial"/>
          <w:sz w:val="32"/>
          <w:szCs w:val="32"/>
          <w:color w:val="auto"/>
        </w:rPr>
      </w:pPr>
      <w:r>
        <w:rPr>
          <w:rFonts w:ascii="Arial" w:cs="Arial" w:eastAsia="Arial" w:hAnsi="Arial"/>
          <w:sz w:val="28"/>
          <w:szCs w:val="28"/>
          <w:color w:val="auto"/>
        </w:rPr>
        <w:t>– GMIO: Holden Cruze, Daewoo Matiz Creative, Chevrolet Agile, Opel Astra</w:t>
      </w:r>
    </w:p>
    <w:p>
      <w:pPr>
        <w:spacing w:after="0" w:line="74" w:lineRule="exact"/>
        <w:rPr>
          <w:rFonts w:ascii="Arial" w:cs="Arial" w:eastAsia="Arial" w:hAnsi="Arial"/>
          <w:sz w:val="32"/>
          <w:szCs w:val="32"/>
          <w:color w:val="auto"/>
        </w:rPr>
      </w:pPr>
    </w:p>
    <w:p>
      <w:pPr>
        <w:ind w:left="425" w:hanging="425"/>
        <w:spacing w:after="0"/>
        <w:tabs>
          <w:tab w:leader="none" w:pos="425" w:val="left"/>
        </w:tabs>
        <w:numPr>
          <w:ilvl w:val="0"/>
          <w:numId w:val="14"/>
        </w:numPr>
        <w:rPr>
          <w:rFonts w:ascii="Arial" w:cs="Arial" w:eastAsia="Arial" w:hAnsi="Arial"/>
          <w:sz w:val="32"/>
          <w:szCs w:val="32"/>
          <w:color w:val="auto"/>
        </w:rPr>
      </w:pPr>
      <w:r>
        <w:rPr>
          <w:rFonts w:ascii="Arial" w:cs="Arial" w:eastAsia="Arial" w:hAnsi="Arial"/>
          <w:sz w:val="32"/>
          <w:szCs w:val="32"/>
          <w:color w:val="auto"/>
        </w:rPr>
        <w:t>Fewer brands, dealers &amp; nameplates</w:t>
      </w:r>
    </w:p>
    <w:p>
      <w:pPr>
        <w:spacing w:after="0" w:line="149" w:lineRule="exact"/>
        <w:rPr>
          <w:rFonts w:ascii="Arial" w:cs="Arial" w:eastAsia="Arial" w:hAnsi="Arial"/>
          <w:sz w:val="32"/>
          <w:szCs w:val="32"/>
          <w:color w:val="auto"/>
        </w:rPr>
      </w:pPr>
    </w:p>
    <w:p>
      <w:pPr>
        <w:ind w:left="425" w:hanging="425"/>
        <w:spacing w:after="0"/>
        <w:tabs>
          <w:tab w:leader="none" w:pos="425" w:val="left"/>
        </w:tabs>
        <w:numPr>
          <w:ilvl w:val="0"/>
          <w:numId w:val="14"/>
        </w:numPr>
        <w:rPr>
          <w:rFonts w:ascii="Arial" w:cs="Arial" w:eastAsia="Arial" w:hAnsi="Arial"/>
          <w:sz w:val="32"/>
          <w:szCs w:val="32"/>
          <w:color w:val="auto"/>
        </w:rPr>
      </w:pPr>
      <w:r>
        <w:rPr>
          <w:rFonts w:ascii="Arial" w:cs="Arial" w:eastAsia="Arial" w:hAnsi="Arial"/>
          <w:sz w:val="32"/>
          <w:szCs w:val="32"/>
          <w:color w:val="auto"/>
        </w:rPr>
        <w:t>Significantly improved cost structure</w:t>
      </w:r>
    </w:p>
    <w:p>
      <w:pPr>
        <w:spacing w:after="0" w:line="87"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Competitive wage structure in place</w:t>
      </w:r>
    </w:p>
    <w:p>
      <w:pPr>
        <w:spacing w:after="0" w:line="66" w:lineRule="exact"/>
        <w:rPr>
          <w:rFonts w:ascii="Arial" w:cs="Arial" w:eastAsia="Arial" w:hAnsi="Arial"/>
          <w:sz w:val="32"/>
          <w:szCs w:val="32"/>
          <w:color w:val="auto"/>
        </w:rPr>
      </w:pPr>
    </w:p>
    <w:p>
      <w:pPr>
        <w:ind w:left="925" w:right="1240" w:hanging="353"/>
        <w:spacing w:after="0" w:line="267" w:lineRule="auto"/>
        <w:rPr>
          <w:rFonts w:ascii="Arial" w:cs="Arial" w:eastAsia="Arial" w:hAnsi="Arial"/>
          <w:sz w:val="32"/>
          <w:szCs w:val="32"/>
          <w:color w:val="auto"/>
        </w:rPr>
      </w:pPr>
      <w:r>
        <w:rPr>
          <w:rFonts w:ascii="Arial" w:cs="Arial" w:eastAsia="Arial" w:hAnsi="Arial"/>
          <w:sz w:val="28"/>
          <w:szCs w:val="28"/>
          <w:color w:val="auto"/>
        </w:rPr>
        <w:t>– ~19% reduction in total U.S. employment from YE 2008 through September 30</w:t>
      </w:r>
    </w:p>
    <w:p>
      <w:pPr>
        <w:spacing w:after="0" w:line="74" w:lineRule="exact"/>
        <w:rPr>
          <w:rFonts w:ascii="Arial" w:cs="Arial" w:eastAsia="Arial" w:hAnsi="Arial"/>
          <w:sz w:val="32"/>
          <w:szCs w:val="32"/>
          <w:color w:val="auto"/>
        </w:rPr>
      </w:pPr>
    </w:p>
    <w:p>
      <w:pPr>
        <w:ind w:left="425" w:hanging="425"/>
        <w:spacing w:after="0"/>
        <w:tabs>
          <w:tab w:leader="none" w:pos="425" w:val="left"/>
        </w:tabs>
        <w:numPr>
          <w:ilvl w:val="0"/>
          <w:numId w:val="14"/>
        </w:numPr>
        <w:rPr>
          <w:rFonts w:ascii="Arial" w:cs="Arial" w:eastAsia="Arial" w:hAnsi="Arial"/>
          <w:sz w:val="32"/>
          <w:szCs w:val="32"/>
          <w:color w:val="auto"/>
        </w:rPr>
      </w:pPr>
      <w:r>
        <w:rPr>
          <w:rFonts w:ascii="Arial" w:cs="Arial" w:eastAsia="Arial" w:hAnsi="Arial"/>
          <w:sz w:val="32"/>
          <w:szCs w:val="32"/>
          <w:color w:val="auto"/>
        </w:rPr>
        <w:t>Healthier balance sheet with lower leverage</w:t>
      </w:r>
    </w:p>
    <w:p>
      <w:pPr>
        <w:spacing w:after="0" w:line="149" w:lineRule="exact"/>
        <w:rPr>
          <w:rFonts w:ascii="Arial" w:cs="Arial" w:eastAsia="Arial" w:hAnsi="Arial"/>
          <w:sz w:val="32"/>
          <w:szCs w:val="32"/>
          <w:color w:val="auto"/>
        </w:rPr>
      </w:pPr>
    </w:p>
    <w:p>
      <w:pPr>
        <w:ind w:left="425" w:hanging="425"/>
        <w:spacing w:after="0"/>
        <w:tabs>
          <w:tab w:leader="none" w:pos="425" w:val="left"/>
        </w:tabs>
        <w:numPr>
          <w:ilvl w:val="0"/>
          <w:numId w:val="14"/>
        </w:numPr>
        <w:rPr>
          <w:rFonts w:ascii="Arial" w:cs="Arial" w:eastAsia="Arial" w:hAnsi="Arial"/>
          <w:sz w:val="32"/>
          <w:szCs w:val="32"/>
          <w:color w:val="auto"/>
        </w:rPr>
      </w:pPr>
      <w:r>
        <w:rPr>
          <w:rFonts w:ascii="Arial" w:cs="Arial" w:eastAsia="Arial" w:hAnsi="Arial"/>
          <w:sz w:val="32"/>
          <w:szCs w:val="32"/>
          <w:color w:val="auto"/>
        </w:rPr>
        <w:t>Resolution of Delphi restructuring</w:t>
      </w:r>
    </w:p>
    <w:p>
      <w:pPr>
        <w:spacing w:after="0" w:line="149" w:lineRule="exact"/>
        <w:rPr>
          <w:rFonts w:ascii="Arial" w:cs="Arial" w:eastAsia="Arial" w:hAnsi="Arial"/>
          <w:sz w:val="32"/>
          <w:szCs w:val="32"/>
          <w:color w:val="auto"/>
        </w:rPr>
      </w:pPr>
    </w:p>
    <w:p>
      <w:pPr>
        <w:ind w:left="425" w:hanging="425"/>
        <w:spacing w:after="0"/>
        <w:tabs>
          <w:tab w:leader="none" w:pos="425" w:val="left"/>
        </w:tabs>
        <w:numPr>
          <w:ilvl w:val="0"/>
          <w:numId w:val="14"/>
        </w:numPr>
        <w:rPr>
          <w:rFonts w:ascii="Arial" w:cs="Arial" w:eastAsia="Arial" w:hAnsi="Arial"/>
          <w:sz w:val="32"/>
          <w:szCs w:val="32"/>
          <w:color w:val="auto"/>
        </w:rPr>
      </w:pPr>
      <w:r>
        <w:rPr>
          <w:rFonts w:ascii="Arial" w:cs="Arial" w:eastAsia="Arial" w:hAnsi="Arial"/>
          <w:sz w:val="32"/>
          <w:szCs w:val="32"/>
          <w:color w:val="auto"/>
        </w:rPr>
        <w:t>New BOD and leaner executive team</w:t>
      </w:r>
    </w:p>
    <w:p>
      <w:pPr>
        <w:spacing w:after="0" w:line="149" w:lineRule="exact"/>
        <w:rPr>
          <w:rFonts w:ascii="Arial" w:cs="Arial" w:eastAsia="Arial" w:hAnsi="Arial"/>
          <w:sz w:val="32"/>
          <w:szCs w:val="32"/>
          <w:color w:val="auto"/>
        </w:rPr>
      </w:pPr>
    </w:p>
    <w:p>
      <w:pPr>
        <w:ind w:left="425" w:hanging="425"/>
        <w:spacing w:after="0"/>
        <w:tabs>
          <w:tab w:leader="none" w:pos="425" w:val="left"/>
        </w:tabs>
        <w:numPr>
          <w:ilvl w:val="0"/>
          <w:numId w:val="14"/>
        </w:numPr>
        <w:rPr>
          <w:rFonts w:ascii="Arial" w:cs="Arial" w:eastAsia="Arial" w:hAnsi="Arial"/>
          <w:sz w:val="32"/>
          <w:szCs w:val="32"/>
          <w:color w:val="auto"/>
        </w:rPr>
      </w:pPr>
      <w:r>
        <w:rPr>
          <w:rFonts w:ascii="Arial" w:cs="Arial" w:eastAsia="Arial" w:hAnsi="Arial"/>
          <w:sz w:val="32"/>
          <w:szCs w:val="32"/>
          <w:color w:val="auto"/>
        </w:rPr>
        <w:t>New operating structure</w:t>
      </w:r>
    </w:p>
    <w:p>
      <w:pPr>
        <w:spacing w:after="0" w:line="149" w:lineRule="exact"/>
        <w:rPr>
          <w:rFonts w:ascii="Arial" w:cs="Arial" w:eastAsia="Arial" w:hAnsi="Arial"/>
          <w:sz w:val="32"/>
          <w:szCs w:val="32"/>
          <w:color w:val="auto"/>
        </w:rPr>
      </w:pPr>
    </w:p>
    <w:p>
      <w:pPr>
        <w:ind w:left="425" w:hanging="425"/>
        <w:spacing w:after="0"/>
        <w:tabs>
          <w:tab w:leader="none" w:pos="425" w:val="left"/>
        </w:tabs>
        <w:numPr>
          <w:ilvl w:val="0"/>
          <w:numId w:val="14"/>
        </w:numPr>
        <w:rPr>
          <w:rFonts w:ascii="Arial" w:cs="Arial" w:eastAsia="Arial" w:hAnsi="Arial"/>
          <w:sz w:val="32"/>
          <w:szCs w:val="32"/>
          <w:color w:val="auto"/>
        </w:rPr>
      </w:pPr>
      <w:r>
        <w:rPr>
          <w:rFonts w:ascii="Arial" w:cs="Arial" w:eastAsia="Arial" w:hAnsi="Arial"/>
          <w:sz w:val="32"/>
          <w:szCs w:val="32"/>
          <w:color w:val="auto"/>
        </w:rPr>
        <w:t>Accelerating change in GM’s culture</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4</w:t>
      </w:r>
    </w:p>
    <w:p>
      <w:pPr>
        <w:sectPr>
          <w:pgSz w:w="11900" w:h="16838" w:orient="portrait"/>
          <w:cols w:equalWidth="0" w:num="1">
            <w:col w:w="10125"/>
          </w:cols>
          <w:pgMar w:left="575" w:top="587" w:right="1199" w:bottom="1440" w:gutter="0" w:footer="0" w:header="0"/>
        </w:sectPr>
      </w:pPr>
    </w:p>
    <w:bookmarkStart w:id="26" w:name="page27"/>
    <w:bookmarkEnd w:id="26"/>
    <w:p>
      <w:pPr>
        <w:ind w:left="40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Preliminary Results Overview</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4540" w:type="dxa"/>
            <w:vAlign w:val="bottom"/>
          </w:tcPr>
          <w:p>
            <w:pPr>
              <w:spacing w:after="0"/>
              <w:rPr>
                <w:sz w:val="24"/>
                <w:szCs w:val="24"/>
                <w:color w:val="auto"/>
              </w:rPr>
            </w:pPr>
          </w:p>
        </w:tc>
        <w:tc>
          <w:tcPr>
            <w:tcW w:w="1980" w:type="dxa"/>
            <w:vAlign w:val="bottom"/>
          </w:tcPr>
          <w:p>
            <w:pPr>
              <w:jc w:val="center"/>
              <w:ind w:left="60"/>
              <w:spacing w:after="0"/>
              <w:rPr>
                <w:sz w:val="20"/>
                <w:szCs w:val="20"/>
                <w:color w:val="auto"/>
              </w:rPr>
            </w:pPr>
            <w:r>
              <w:rPr>
                <w:rFonts w:ascii="Arial" w:cs="Arial" w:eastAsia="Arial" w:hAnsi="Arial"/>
                <w:sz w:val="28"/>
                <w:szCs w:val="28"/>
                <w:b w:val="1"/>
                <w:bCs w:val="1"/>
                <w:color w:val="FFFFFF"/>
              </w:rPr>
              <w:t>3Q 2009</w:t>
            </w:r>
          </w:p>
        </w:tc>
        <w:tc>
          <w:tcPr>
            <w:tcW w:w="2180" w:type="dxa"/>
            <w:vAlign w:val="bottom"/>
          </w:tcPr>
          <w:p>
            <w:pPr>
              <w:jc w:val="center"/>
              <w:ind w:left="284"/>
              <w:spacing w:after="0"/>
              <w:rPr>
                <w:sz w:val="20"/>
                <w:szCs w:val="20"/>
                <w:color w:val="auto"/>
              </w:rPr>
            </w:pPr>
            <w:r>
              <w:rPr>
                <w:rFonts w:ascii="Arial" w:cs="Arial" w:eastAsia="Arial" w:hAnsi="Arial"/>
                <w:sz w:val="28"/>
                <w:szCs w:val="28"/>
                <w:b w:val="1"/>
                <w:bCs w:val="1"/>
                <w:color w:val="FFFFFF"/>
              </w:rPr>
              <w:t>Status vs.</w:t>
            </w:r>
          </w:p>
        </w:tc>
      </w:tr>
      <w:tr>
        <w:trPr>
          <w:trHeight w:val="375"/>
        </w:trPr>
        <w:tc>
          <w:tcPr>
            <w:tcW w:w="4540" w:type="dxa"/>
            <w:vAlign w:val="bottom"/>
          </w:tcPr>
          <w:p>
            <w:pPr>
              <w:spacing w:after="0"/>
              <w:rPr>
                <w:sz w:val="24"/>
                <w:szCs w:val="24"/>
                <w:color w:val="auto"/>
              </w:rPr>
            </w:pPr>
          </w:p>
        </w:tc>
        <w:tc>
          <w:tcPr>
            <w:tcW w:w="1980" w:type="dxa"/>
            <w:vAlign w:val="bottom"/>
          </w:tcPr>
          <w:p>
            <w:pPr>
              <w:jc w:val="center"/>
              <w:ind w:left="40"/>
              <w:spacing w:after="0"/>
              <w:rPr>
                <w:sz w:val="20"/>
                <w:szCs w:val="20"/>
                <w:color w:val="auto"/>
              </w:rPr>
            </w:pPr>
            <w:r>
              <w:rPr>
                <w:rFonts w:ascii="Arial" w:cs="Arial" w:eastAsia="Arial" w:hAnsi="Arial"/>
                <w:sz w:val="28"/>
                <w:szCs w:val="28"/>
                <w:b w:val="1"/>
                <w:bCs w:val="1"/>
                <w:color w:val="FFFFFF"/>
              </w:rPr>
              <w:t>Actual</w:t>
            </w:r>
          </w:p>
        </w:tc>
        <w:tc>
          <w:tcPr>
            <w:tcW w:w="2180" w:type="dxa"/>
            <w:vAlign w:val="bottom"/>
          </w:tcPr>
          <w:p>
            <w:pPr>
              <w:jc w:val="center"/>
              <w:ind w:left="284"/>
              <w:spacing w:after="0"/>
              <w:rPr>
                <w:sz w:val="20"/>
                <w:szCs w:val="20"/>
                <w:color w:val="auto"/>
              </w:rPr>
            </w:pPr>
            <w:r>
              <w:rPr>
                <w:rFonts w:ascii="Arial" w:cs="Arial" w:eastAsia="Arial" w:hAnsi="Arial"/>
                <w:sz w:val="28"/>
                <w:szCs w:val="28"/>
                <w:b w:val="1"/>
                <w:bCs w:val="1"/>
                <w:color w:val="FFFFFF"/>
              </w:rPr>
              <w:t>H1 2009</w:t>
            </w:r>
          </w:p>
        </w:tc>
      </w:tr>
      <w:tr>
        <w:trPr>
          <w:trHeight w:val="372"/>
        </w:trPr>
        <w:tc>
          <w:tcPr>
            <w:tcW w:w="4540" w:type="dxa"/>
            <w:vAlign w:val="bottom"/>
          </w:tcPr>
          <w:p>
            <w:pPr>
              <w:spacing w:after="0"/>
              <w:rPr>
                <w:sz w:val="20"/>
                <w:szCs w:val="20"/>
                <w:color w:val="auto"/>
              </w:rPr>
            </w:pPr>
            <w:r>
              <w:rPr>
                <w:rFonts w:ascii="Arial" w:cs="Arial" w:eastAsia="Arial" w:hAnsi="Arial"/>
                <w:sz w:val="25"/>
                <w:szCs w:val="25"/>
                <w:color w:val="auto"/>
              </w:rPr>
              <w:t>Global Market Share</w:t>
            </w:r>
          </w:p>
        </w:tc>
        <w:tc>
          <w:tcPr>
            <w:tcW w:w="1980" w:type="dxa"/>
            <w:vAlign w:val="bottom"/>
          </w:tcPr>
          <w:p>
            <w:pPr>
              <w:jc w:val="right"/>
              <w:ind w:right="440"/>
              <w:spacing w:after="0"/>
              <w:rPr>
                <w:sz w:val="20"/>
                <w:szCs w:val="20"/>
                <w:color w:val="auto"/>
              </w:rPr>
            </w:pPr>
            <w:r>
              <w:rPr>
                <w:rFonts w:ascii="Arial" w:cs="Arial" w:eastAsia="Arial" w:hAnsi="Arial"/>
                <w:sz w:val="25"/>
                <w:szCs w:val="25"/>
                <w:color w:val="auto"/>
              </w:rPr>
              <w:t>11.9%</w:t>
            </w:r>
          </w:p>
        </w:tc>
        <w:tc>
          <w:tcPr>
            <w:tcW w:w="2180" w:type="dxa"/>
            <w:vAlign w:val="bottom"/>
          </w:tcPr>
          <w:p>
            <w:pPr>
              <w:jc w:val="center"/>
              <w:ind w:left="244"/>
              <w:spacing w:after="0"/>
              <w:rPr>
                <w:sz w:val="20"/>
                <w:szCs w:val="20"/>
                <w:color w:val="auto"/>
              </w:rPr>
            </w:pPr>
            <w:r>
              <w:rPr>
                <w:rFonts w:ascii="Arial" w:cs="Arial" w:eastAsia="Arial" w:hAnsi="Arial"/>
                <w:sz w:val="25"/>
                <w:szCs w:val="25"/>
                <w:color w:val="auto"/>
                <w:w w:val="98"/>
              </w:rPr>
              <w:t>0.3 p.p. increase</w:t>
            </w:r>
          </w:p>
        </w:tc>
      </w:tr>
      <w:tr>
        <w:trPr>
          <w:trHeight w:val="223"/>
        </w:trPr>
        <w:tc>
          <w:tcPr>
            <w:tcW w:w="4540" w:type="dxa"/>
            <w:vAlign w:val="bottom"/>
          </w:tcPr>
          <w:p>
            <w:pPr>
              <w:ind w:left="100"/>
              <w:spacing w:after="0"/>
              <w:rPr>
                <w:sz w:val="20"/>
                <w:szCs w:val="20"/>
                <w:color w:val="auto"/>
              </w:rPr>
            </w:pPr>
            <w:r>
              <w:rPr>
                <w:rFonts w:ascii="Arial" w:cs="Arial" w:eastAsia="Arial" w:hAnsi="Arial"/>
                <w:sz w:val="19"/>
                <w:szCs w:val="19"/>
                <w:i w:val="1"/>
                <w:iCs w:val="1"/>
                <w:color w:val="auto"/>
              </w:rPr>
              <w:t>U.S. Market Share</w:t>
            </w:r>
          </w:p>
        </w:tc>
        <w:tc>
          <w:tcPr>
            <w:tcW w:w="1980" w:type="dxa"/>
            <w:vAlign w:val="bottom"/>
          </w:tcPr>
          <w:p>
            <w:pPr>
              <w:jc w:val="center"/>
              <w:ind w:left="60"/>
              <w:spacing w:after="0"/>
              <w:rPr>
                <w:sz w:val="20"/>
                <w:szCs w:val="20"/>
                <w:color w:val="auto"/>
              </w:rPr>
            </w:pPr>
            <w:r>
              <w:rPr>
                <w:rFonts w:ascii="Arial" w:cs="Arial" w:eastAsia="Arial" w:hAnsi="Arial"/>
                <w:sz w:val="19"/>
                <w:szCs w:val="19"/>
                <w:i w:val="1"/>
                <w:iCs w:val="1"/>
                <w:color w:val="auto"/>
                <w:w w:val="96"/>
              </w:rPr>
              <w:t>19.5%</w:t>
            </w:r>
          </w:p>
        </w:tc>
        <w:tc>
          <w:tcPr>
            <w:tcW w:w="2180" w:type="dxa"/>
            <w:vAlign w:val="bottom"/>
          </w:tcPr>
          <w:p>
            <w:pPr>
              <w:jc w:val="center"/>
              <w:ind w:left="264"/>
              <w:spacing w:after="0"/>
              <w:rPr>
                <w:sz w:val="20"/>
                <w:szCs w:val="20"/>
                <w:color w:val="auto"/>
              </w:rPr>
            </w:pPr>
            <w:r>
              <w:rPr>
                <w:rFonts w:ascii="Arial" w:cs="Arial" w:eastAsia="Arial" w:hAnsi="Arial"/>
                <w:sz w:val="19"/>
                <w:szCs w:val="19"/>
                <w:i w:val="1"/>
                <w:iCs w:val="1"/>
                <w:color w:val="auto"/>
                <w:w w:val="98"/>
              </w:rPr>
              <w:t>Unchanged</w:t>
            </w:r>
          </w:p>
        </w:tc>
      </w:tr>
      <w:tr>
        <w:trPr>
          <w:trHeight w:val="246"/>
        </w:trPr>
        <w:tc>
          <w:tcPr>
            <w:tcW w:w="4540" w:type="dxa"/>
            <w:vAlign w:val="bottom"/>
          </w:tcPr>
          <w:p>
            <w:pPr>
              <w:ind w:left="100"/>
              <w:spacing w:after="0"/>
              <w:rPr>
                <w:sz w:val="20"/>
                <w:szCs w:val="20"/>
                <w:color w:val="auto"/>
              </w:rPr>
            </w:pPr>
            <w:r>
              <w:rPr>
                <w:rFonts w:ascii="Arial" w:cs="Arial" w:eastAsia="Arial" w:hAnsi="Arial"/>
                <w:sz w:val="19"/>
                <w:szCs w:val="19"/>
                <w:i w:val="1"/>
                <w:iCs w:val="1"/>
                <w:color w:val="auto"/>
              </w:rPr>
              <w:t>China Market Share</w:t>
            </w:r>
          </w:p>
        </w:tc>
        <w:tc>
          <w:tcPr>
            <w:tcW w:w="1980" w:type="dxa"/>
            <w:vAlign w:val="bottom"/>
          </w:tcPr>
          <w:p>
            <w:pPr>
              <w:jc w:val="center"/>
              <w:ind w:left="60"/>
              <w:spacing w:after="0"/>
              <w:rPr>
                <w:sz w:val="20"/>
                <w:szCs w:val="20"/>
                <w:color w:val="auto"/>
              </w:rPr>
            </w:pPr>
            <w:r>
              <w:rPr>
                <w:rFonts w:ascii="Arial" w:cs="Arial" w:eastAsia="Arial" w:hAnsi="Arial"/>
                <w:sz w:val="19"/>
                <w:szCs w:val="19"/>
                <w:i w:val="1"/>
                <w:iCs w:val="1"/>
                <w:color w:val="auto"/>
                <w:w w:val="96"/>
              </w:rPr>
              <w:t>13.5%</w:t>
            </w:r>
          </w:p>
        </w:tc>
        <w:tc>
          <w:tcPr>
            <w:tcW w:w="2180" w:type="dxa"/>
            <w:vAlign w:val="bottom"/>
          </w:tcPr>
          <w:p>
            <w:pPr>
              <w:jc w:val="center"/>
              <w:ind w:left="284"/>
              <w:spacing w:after="0"/>
              <w:rPr>
                <w:sz w:val="20"/>
                <w:szCs w:val="20"/>
                <w:color w:val="auto"/>
              </w:rPr>
            </w:pPr>
            <w:r>
              <w:rPr>
                <w:rFonts w:ascii="Arial" w:cs="Arial" w:eastAsia="Arial" w:hAnsi="Arial"/>
                <w:sz w:val="19"/>
                <w:szCs w:val="19"/>
                <w:i w:val="1"/>
                <w:iCs w:val="1"/>
                <w:color w:val="auto"/>
                <w:w w:val="98"/>
              </w:rPr>
              <w:t>0.1 ppt. increase</w:t>
            </w:r>
          </w:p>
        </w:tc>
      </w:tr>
      <w:tr>
        <w:trPr>
          <w:trHeight w:val="400"/>
        </w:trPr>
        <w:tc>
          <w:tcPr>
            <w:tcW w:w="4540" w:type="dxa"/>
            <w:vAlign w:val="bottom"/>
          </w:tcPr>
          <w:p>
            <w:pPr>
              <w:spacing w:after="0"/>
              <w:rPr>
                <w:sz w:val="20"/>
                <w:szCs w:val="20"/>
                <w:color w:val="auto"/>
              </w:rPr>
            </w:pPr>
            <w:r>
              <w:rPr>
                <w:rFonts w:ascii="Arial" w:cs="Arial" w:eastAsia="Arial" w:hAnsi="Arial"/>
                <w:sz w:val="25"/>
                <w:szCs w:val="25"/>
                <w:color w:val="auto"/>
              </w:rPr>
              <w:t>Ending U.S. Dealer Inventory (000’s)</w:t>
            </w:r>
          </w:p>
        </w:tc>
        <w:tc>
          <w:tcPr>
            <w:tcW w:w="1980" w:type="dxa"/>
            <w:vAlign w:val="bottom"/>
          </w:tcPr>
          <w:p>
            <w:pPr>
              <w:jc w:val="center"/>
              <w:ind w:left="40"/>
              <w:spacing w:after="0"/>
              <w:rPr>
                <w:sz w:val="20"/>
                <w:szCs w:val="20"/>
                <w:color w:val="auto"/>
              </w:rPr>
            </w:pPr>
            <w:r>
              <w:rPr>
                <w:rFonts w:ascii="Arial" w:cs="Arial" w:eastAsia="Arial" w:hAnsi="Arial"/>
                <w:sz w:val="25"/>
                <w:szCs w:val="25"/>
                <w:color w:val="auto"/>
                <w:w w:val="99"/>
              </w:rPr>
              <w:t>424K</w:t>
            </w:r>
          </w:p>
        </w:tc>
        <w:tc>
          <w:tcPr>
            <w:tcW w:w="2180" w:type="dxa"/>
            <w:vAlign w:val="bottom"/>
          </w:tcPr>
          <w:p>
            <w:pPr>
              <w:jc w:val="center"/>
              <w:ind w:left="284"/>
              <w:spacing w:after="0"/>
              <w:rPr>
                <w:sz w:val="20"/>
                <w:szCs w:val="20"/>
                <w:color w:val="auto"/>
              </w:rPr>
            </w:pPr>
            <w:r>
              <w:rPr>
                <w:rFonts w:ascii="Arial" w:cs="Arial" w:eastAsia="Arial" w:hAnsi="Arial"/>
                <w:sz w:val="25"/>
                <w:szCs w:val="25"/>
                <w:color w:val="auto"/>
                <w:w w:val="98"/>
              </w:rPr>
              <w:t>158K reduction</w:t>
            </w:r>
          </w:p>
        </w:tc>
      </w:tr>
      <w:tr>
        <w:trPr>
          <w:trHeight w:val="246"/>
        </w:trPr>
        <w:tc>
          <w:tcPr>
            <w:tcW w:w="45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80" w:type="dxa"/>
            <w:vAlign w:val="bottom"/>
          </w:tcPr>
          <w:p>
            <w:pPr>
              <w:jc w:val="center"/>
              <w:ind w:left="284"/>
              <w:spacing w:after="0"/>
              <w:rPr>
                <w:sz w:val="20"/>
                <w:szCs w:val="20"/>
                <w:color w:val="auto"/>
              </w:rPr>
            </w:pPr>
            <w:r>
              <w:rPr>
                <w:rFonts w:ascii="Arial" w:cs="Arial" w:eastAsia="Arial" w:hAnsi="Arial"/>
                <w:sz w:val="19"/>
                <w:szCs w:val="19"/>
                <w:i w:val="1"/>
                <w:iCs w:val="1"/>
                <w:color w:val="auto"/>
              </w:rPr>
              <w:t>(vs. June 30)</w:t>
            </w:r>
          </w:p>
        </w:tc>
      </w:tr>
    </w:tbl>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7000" w:type="dxa"/>
            <w:vAlign w:val="bottom"/>
          </w:tcPr>
          <w:p>
            <w:pPr>
              <w:spacing w:after="0"/>
              <w:rPr>
                <w:sz w:val="20"/>
                <w:szCs w:val="20"/>
                <w:color w:val="auto"/>
              </w:rPr>
            </w:pPr>
            <w:r>
              <w:rPr>
                <w:rFonts w:ascii="Arial" w:cs="Arial" w:eastAsia="Arial" w:hAnsi="Arial"/>
                <w:sz w:val="28"/>
                <w:szCs w:val="28"/>
                <w:b w:val="1"/>
                <w:bCs w:val="1"/>
                <w:color w:val="FFFFFF"/>
              </w:rPr>
              <w:t>July 10 – Sept. 30 Preliminary Managerial Results</w:t>
            </w:r>
          </w:p>
        </w:tc>
        <w:tc>
          <w:tcPr>
            <w:tcW w:w="1380" w:type="dxa"/>
            <w:vAlign w:val="bottom"/>
          </w:tcPr>
          <w:p>
            <w:pPr>
              <w:ind w:left="360"/>
              <w:spacing w:after="0"/>
              <w:rPr>
                <w:sz w:val="20"/>
                <w:szCs w:val="20"/>
                <w:color w:val="auto"/>
              </w:rPr>
            </w:pPr>
            <w:r>
              <w:rPr>
                <w:rFonts w:ascii="Arial" w:cs="Arial" w:eastAsia="Arial" w:hAnsi="Arial"/>
                <w:sz w:val="28"/>
                <w:szCs w:val="28"/>
                <w:b w:val="1"/>
                <w:bCs w:val="1"/>
                <w:color w:val="FFFFFF"/>
                <w:w w:val="98"/>
              </w:rPr>
              <w:t>$Billion</w:t>
            </w:r>
          </w:p>
        </w:tc>
      </w:tr>
      <w:tr>
        <w:trPr>
          <w:trHeight w:val="394"/>
        </w:trPr>
        <w:tc>
          <w:tcPr>
            <w:tcW w:w="7000" w:type="dxa"/>
            <w:vAlign w:val="bottom"/>
          </w:tcPr>
          <w:p>
            <w:pPr>
              <w:spacing w:after="0"/>
              <w:rPr>
                <w:sz w:val="20"/>
                <w:szCs w:val="20"/>
                <w:color w:val="auto"/>
              </w:rPr>
            </w:pPr>
            <w:r>
              <w:rPr>
                <w:rFonts w:ascii="Arial" w:cs="Arial" w:eastAsia="Arial" w:hAnsi="Arial"/>
                <w:sz w:val="22"/>
                <w:szCs w:val="22"/>
                <w:color w:val="auto"/>
              </w:rPr>
              <w:t>Net Revenue</w:t>
            </w:r>
          </w:p>
        </w:tc>
        <w:tc>
          <w:tcPr>
            <w:tcW w:w="1380" w:type="dxa"/>
            <w:vAlign w:val="bottom"/>
          </w:tcPr>
          <w:p>
            <w:pPr>
              <w:jc w:val="center"/>
              <w:ind w:left="271"/>
              <w:spacing w:after="0"/>
              <w:rPr>
                <w:sz w:val="20"/>
                <w:szCs w:val="20"/>
                <w:color w:val="auto"/>
              </w:rPr>
            </w:pPr>
            <w:r>
              <w:rPr>
                <w:rFonts w:ascii="Arial" w:cs="Arial" w:eastAsia="Arial" w:hAnsi="Arial"/>
                <w:sz w:val="22"/>
                <w:szCs w:val="22"/>
                <w:color w:val="auto"/>
              </w:rPr>
              <w:t>$26.5</w:t>
            </w:r>
          </w:p>
        </w:tc>
      </w:tr>
      <w:tr>
        <w:trPr>
          <w:trHeight w:val="388"/>
        </w:trPr>
        <w:tc>
          <w:tcPr>
            <w:tcW w:w="7000" w:type="dxa"/>
            <w:vAlign w:val="bottom"/>
          </w:tcPr>
          <w:p>
            <w:pPr>
              <w:spacing w:after="0"/>
              <w:rPr>
                <w:sz w:val="20"/>
                <w:szCs w:val="20"/>
                <w:color w:val="auto"/>
              </w:rPr>
            </w:pPr>
            <w:r>
              <w:rPr>
                <w:rFonts w:ascii="Arial" w:cs="Arial" w:eastAsia="Arial" w:hAnsi="Arial"/>
                <w:sz w:val="22"/>
                <w:szCs w:val="22"/>
                <w:color w:val="auto"/>
              </w:rPr>
              <w:t>EBIT</w:t>
            </w:r>
          </w:p>
        </w:tc>
        <w:tc>
          <w:tcPr>
            <w:tcW w:w="1380" w:type="dxa"/>
            <w:vAlign w:val="bottom"/>
          </w:tcPr>
          <w:p>
            <w:pPr>
              <w:jc w:val="center"/>
              <w:ind w:left="291"/>
              <w:spacing w:after="0"/>
              <w:rPr>
                <w:sz w:val="20"/>
                <w:szCs w:val="20"/>
                <w:color w:val="auto"/>
              </w:rPr>
            </w:pPr>
            <w:r>
              <w:rPr>
                <w:rFonts w:ascii="Arial" w:cs="Arial" w:eastAsia="Arial" w:hAnsi="Arial"/>
                <w:sz w:val="22"/>
                <w:szCs w:val="22"/>
                <w:color w:val="auto"/>
              </w:rPr>
              <w:t>$(0.3)</w:t>
            </w:r>
          </w:p>
        </w:tc>
      </w:tr>
      <w:tr>
        <w:trPr>
          <w:trHeight w:val="331"/>
        </w:trPr>
        <w:tc>
          <w:tcPr>
            <w:tcW w:w="7000" w:type="dxa"/>
            <w:vAlign w:val="bottom"/>
          </w:tcPr>
          <w:p>
            <w:pPr>
              <w:ind w:left="160"/>
              <w:spacing w:after="0"/>
              <w:rPr>
                <w:sz w:val="20"/>
                <w:szCs w:val="20"/>
                <w:color w:val="auto"/>
              </w:rPr>
            </w:pPr>
            <w:r>
              <w:rPr>
                <w:rFonts w:ascii="Arial" w:cs="Arial" w:eastAsia="Arial" w:hAnsi="Arial"/>
                <w:sz w:val="19"/>
                <w:szCs w:val="19"/>
                <w:color w:val="auto"/>
              </w:rPr>
              <w:t>Net Interest</w:t>
            </w:r>
          </w:p>
        </w:tc>
        <w:tc>
          <w:tcPr>
            <w:tcW w:w="1380" w:type="dxa"/>
            <w:vAlign w:val="bottom"/>
          </w:tcPr>
          <w:p>
            <w:pPr>
              <w:jc w:val="center"/>
              <w:ind w:left="291"/>
              <w:spacing w:after="0"/>
              <w:rPr>
                <w:sz w:val="20"/>
                <w:szCs w:val="20"/>
                <w:color w:val="auto"/>
              </w:rPr>
            </w:pPr>
            <w:r>
              <w:rPr>
                <w:rFonts w:ascii="Arial" w:cs="Arial" w:eastAsia="Arial" w:hAnsi="Arial"/>
                <w:sz w:val="19"/>
                <w:szCs w:val="19"/>
                <w:color w:val="auto"/>
              </w:rPr>
              <w:t>$(0.2)</w:t>
            </w:r>
          </w:p>
        </w:tc>
      </w:tr>
      <w:tr>
        <w:trPr>
          <w:trHeight w:val="341"/>
        </w:trPr>
        <w:tc>
          <w:tcPr>
            <w:tcW w:w="7000" w:type="dxa"/>
            <w:vAlign w:val="bottom"/>
          </w:tcPr>
          <w:p>
            <w:pPr>
              <w:ind w:left="140"/>
              <w:spacing w:after="0"/>
              <w:rPr>
                <w:sz w:val="20"/>
                <w:szCs w:val="20"/>
                <w:color w:val="auto"/>
              </w:rPr>
            </w:pPr>
            <w:r>
              <w:rPr>
                <w:rFonts w:ascii="Arial" w:cs="Arial" w:eastAsia="Arial" w:hAnsi="Arial"/>
                <w:sz w:val="19"/>
                <w:szCs w:val="19"/>
                <w:color w:val="auto"/>
              </w:rPr>
              <w:t>Special Items</w:t>
            </w:r>
          </w:p>
        </w:tc>
        <w:tc>
          <w:tcPr>
            <w:tcW w:w="1380" w:type="dxa"/>
            <w:vAlign w:val="bottom"/>
          </w:tcPr>
          <w:p>
            <w:pPr>
              <w:jc w:val="center"/>
              <w:ind w:left="291"/>
              <w:spacing w:after="0"/>
              <w:rPr>
                <w:sz w:val="20"/>
                <w:szCs w:val="20"/>
                <w:color w:val="auto"/>
              </w:rPr>
            </w:pPr>
            <w:r>
              <w:rPr>
                <w:rFonts w:ascii="Arial" w:cs="Arial" w:eastAsia="Arial" w:hAnsi="Arial"/>
                <w:sz w:val="19"/>
                <w:szCs w:val="19"/>
                <w:color w:val="auto"/>
              </w:rPr>
              <w:t>$(0.5)</w:t>
            </w:r>
          </w:p>
        </w:tc>
      </w:tr>
      <w:tr>
        <w:trPr>
          <w:trHeight w:val="386"/>
        </w:trPr>
        <w:tc>
          <w:tcPr>
            <w:tcW w:w="7000" w:type="dxa"/>
            <w:vAlign w:val="bottom"/>
          </w:tcPr>
          <w:p>
            <w:pPr>
              <w:spacing w:after="0"/>
              <w:rPr>
                <w:sz w:val="20"/>
                <w:szCs w:val="20"/>
                <w:color w:val="auto"/>
              </w:rPr>
            </w:pPr>
            <w:r>
              <w:rPr>
                <w:rFonts w:ascii="Arial" w:cs="Arial" w:eastAsia="Arial" w:hAnsi="Arial"/>
                <w:sz w:val="22"/>
                <w:szCs w:val="22"/>
                <w:color w:val="auto"/>
              </w:rPr>
              <w:t>EBT</w:t>
            </w:r>
          </w:p>
        </w:tc>
        <w:tc>
          <w:tcPr>
            <w:tcW w:w="1380" w:type="dxa"/>
            <w:vAlign w:val="bottom"/>
          </w:tcPr>
          <w:p>
            <w:pPr>
              <w:jc w:val="center"/>
              <w:ind w:left="291"/>
              <w:spacing w:after="0"/>
              <w:rPr>
                <w:sz w:val="20"/>
                <w:szCs w:val="20"/>
                <w:color w:val="auto"/>
              </w:rPr>
            </w:pPr>
            <w:r>
              <w:rPr>
                <w:rFonts w:ascii="Arial" w:cs="Arial" w:eastAsia="Arial" w:hAnsi="Arial"/>
                <w:sz w:val="22"/>
                <w:szCs w:val="22"/>
                <w:color w:val="auto"/>
              </w:rPr>
              <w:t>$(1.0)</w:t>
            </w:r>
          </w:p>
        </w:tc>
      </w:tr>
      <w:tr>
        <w:trPr>
          <w:trHeight w:val="388"/>
        </w:trPr>
        <w:tc>
          <w:tcPr>
            <w:tcW w:w="7000" w:type="dxa"/>
            <w:vAlign w:val="bottom"/>
          </w:tcPr>
          <w:p>
            <w:pPr>
              <w:spacing w:after="0"/>
              <w:rPr>
                <w:sz w:val="20"/>
                <w:szCs w:val="20"/>
                <w:color w:val="auto"/>
              </w:rPr>
            </w:pPr>
            <w:r>
              <w:rPr>
                <w:rFonts w:ascii="Arial" w:cs="Arial" w:eastAsia="Arial" w:hAnsi="Arial"/>
                <w:sz w:val="22"/>
                <w:szCs w:val="22"/>
                <w:color w:val="auto"/>
              </w:rPr>
              <w:t>Total Managerial Income/(Loss)</w:t>
            </w:r>
          </w:p>
        </w:tc>
        <w:tc>
          <w:tcPr>
            <w:tcW w:w="1380" w:type="dxa"/>
            <w:vAlign w:val="bottom"/>
          </w:tcPr>
          <w:p>
            <w:pPr>
              <w:jc w:val="center"/>
              <w:ind w:left="291"/>
              <w:spacing w:after="0"/>
              <w:rPr>
                <w:sz w:val="20"/>
                <w:szCs w:val="20"/>
                <w:color w:val="auto"/>
              </w:rPr>
            </w:pPr>
            <w:r>
              <w:rPr>
                <w:rFonts w:ascii="Arial" w:cs="Arial" w:eastAsia="Arial" w:hAnsi="Arial"/>
                <w:sz w:val="22"/>
                <w:szCs w:val="22"/>
                <w:color w:val="auto"/>
              </w:rPr>
              <w:t>$(1.2)</w:t>
            </w:r>
          </w:p>
        </w:tc>
      </w:tr>
      <w:tr>
        <w:trPr>
          <w:trHeight w:val="388"/>
        </w:trPr>
        <w:tc>
          <w:tcPr>
            <w:tcW w:w="7000" w:type="dxa"/>
            <w:vAlign w:val="bottom"/>
          </w:tcPr>
          <w:p>
            <w:pPr>
              <w:spacing w:after="0"/>
              <w:rPr>
                <w:sz w:val="20"/>
                <w:szCs w:val="20"/>
                <w:color w:val="auto"/>
              </w:rPr>
            </w:pPr>
            <w:r>
              <w:rPr>
                <w:rFonts w:ascii="Arial" w:cs="Arial" w:eastAsia="Arial" w:hAnsi="Arial"/>
                <w:sz w:val="22"/>
                <w:szCs w:val="22"/>
                <w:color w:val="auto"/>
              </w:rPr>
              <w:t>Managerial OCF (Before Special Items)</w:t>
            </w:r>
          </w:p>
        </w:tc>
        <w:tc>
          <w:tcPr>
            <w:tcW w:w="1380" w:type="dxa"/>
            <w:vAlign w:val="bottom"/>
          </w:tcPr>
          <w:p>
            <w:pPr>
              <w:jc w:val="center"/>
              <w:ind w:left="271"/>
              <w:spacing w:after="0"/>
              <w:rPr>
                <w:sz w:val="20"/>
                <w:szCs w:val="20"/>
                <w:color w:val="auto"/>
              </w:rPr>
            </w:pPr>
            <w:r>
              <w:rPr>
                <w:rFonts w:ascii="Arial" w:cs="Arial" w:eastAsia="Arial" w:hAnsi="Arial"/>
                <w:sz w:val="22"/>
                <w:szCs w:val="22"/>
                <w:color w:val="auto"/>
              </w:rPr>
              <w:t>$3.3</w:t>
            </w:r>
          </w:p>
        </w:tc>
      </w:tr>
      <w:tr>
        <w:trPr>
          <w:trHeight w:val="343"/>
        </w:trPr>
        <w:tc>
          <w:tcPr>
            <w:tcW w:w="7000" w:type="dxa"/>
            <w:vAlign w:val="bottom"/>
          </w:tcPr>
          <w:p>
            <w:pPr>
              <w:spacing w:after="0"/>
              <w:rPr>
                <w:sz w:val="20"/>
                <w:szCs w:val="20"/>
                <w:color w:val="auto"/>
              </w:rPr>
            </w:pPr>
            <w:r>
              <w:rPr>
                <w:rFonts w:ascii="Arial" w:cs="Arial" w:eastAsia="Arial" w:hAnsi="Arial"/>
                <w:sz w:val="19"/>
                <w:szCs w:val="19"/>
                <w:i w:val="1"/>
                <w:iCs w:val="1"/>
                <w:color w:val="auto"/>
              </w:rPr>
              <w:t>Memo: EBITDA (Before Special Items)</w:t>
            </w:r>
          </w:p>
        </w:tc>
        <w:tc>
          <w:tcPr>
            <w:tcW w:w="1380" w:type="dxa"/>
            <w:vAlign w:val="bottom"/>
          </w:tcPr>
          <w:p>
            <w:pPr>
              <w:jc w:val="center"/>
              <w:ind w:left="271"/>
              <w:spacing w:after="0"/>
              <w:rPr>
                <w:sz w:val="20"/>
                <w:szCs w:val="20"/>
                <w:color w:val="auto"/>
              </w:rPr>
            </w:pPr>
            <w:r>
              <w:rPr>
                <w:rFonts w:ascii="Arial" w:cs="Arial" w:eastAsia="Arial" w:hAnsi="Arial"/>
                <w:sz w:val="19"/>
                <w:szCs w:val="19"/>
                <w:i w:val="1"/>
                <w:iCs w:val="1"/>
                <w:color w:val="auto"/>
                <w:w w:val="97"/>
              </w:rPr>
              <w:t>$1.5</w:t>
            </w:r>
          </w:p>
        </w:tc>
      </w:tr>
    </w:tbl>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40" w:type="dxa"/>
            <w:vAlign w:val="bottom"/>
          </w:tcPr>
          <w:p>
            <w:pPr>
              <w:spacing w:after="0"/>
              <w:rPr>
                <w:sz w:val="20"/>
                <w:szCs w:val="20"/>
                <w:color w:val="auto"/>
              </w:rPr>
            </w:pPr>
            <w:r>
              <w:rPr>
                <w:rFonts w:ascii="Arial" w:cs="Arial" w:eastAsia="Arial" w:hAnsi="Arial"/>
                <w:sz w:val="22"/>
                <w:szCs w:val="22"/>
                <w:color w:val="auto"/>
              </w:rPr>
              <w:t>September 30 Cash Balance</w:t>
            </w:r>
          </w:p>
        </w:tc>
        <w:tc>
          <w:tcPr>
            <w:tcW w:w="2920" w:type="dxa"/>
            <w:vAlign w:val="bottom"/>
            <w:vMerge w:val="restart"/>
          </w:tcPr>
          <w:p>
            <w:pPr>
              <w:jc w:val="right"/>
              <w:spacing w:after="0"/>
              <w:rPr>
                <w:sz w:val="20"/>
                <w:szCs w:val="20"/>
                <w:color w:val="auto"/>
              </w:rPr>
            </w:pPr>
            <w:r>
              <w:rPr>
                <w:rFonts w:ascii="Arial" w:cs="Arial" w:eastAsia="Arial" w:hAnsi="Arial"/>
                <w:sz w:val="22"/>
                <w:szCs w:val="22"/>
                <w:color w:val="auto"/>
              </w:rPr>
              <w:t>$42.6</w:t>
            </w:r>
          </w:p>
        </w:tc>
        <w:tc>
          <w:tcPr>
            <w:tcW w:w="0" w:type="dxa"/>
            <w:vAlign w:val="bottom"/>
          </w:tcPr>
          <w:p>
            <w:pPr>
              <w:spacing w:after="0"/>
              <w:rPr>
                <w:sz w:val="1"/>
                <w:szCs w:val="1"/>
                <w:color w:val="auto"/>
              </w:rPr>
            </w:pPr>
          </w:p>
        </w:tc>
      </w:tr>
      <w:tr>
        <w:trPr>
          <w:trHeight w:val="162"/>
        </w:trPr>
        <w:tc>
          <w:tcPr>
            <w:tcW w:w="5240" w:type="dxa"/>
            <w:vAlign w:val="bottom"/>
            <w:vMerge w:val="restart"/>
          </w:tcPr>
          <w:p>
            <w:pPr>
              <w:ind w:left="160"/>
              <w:spacing w:after="0"/>
              <w:rPr>
                <w:sz w:val="20"/>
                <w:szCs w:val="20"/>
                <w:color w:val="auto"/>
              </w:rPr>
            </w:pPr>
            <w:r>
              <w:rPr>
                <w:rFonts w:ascii="Arial" w:cs="Arial" w:eastAsia="Arial" w:hAnsi="Arial"/>
                <w:sz w:val="19"/>
                <w:szCs w:val="19"/>
                <w:i w:val="1"/>
                <w:iCs w:val="1"/>
                <w:color w:val="auto"/>
              </w:rPr>
              <w:t>Including $17.4B in escrow</w:t>
            </w:r>
          </w:p>
        </w:tc>
        <w:tc>
          <w:tcPr>
            <w:tcW w:w="2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5240" w:type="dxa"/>
            <w:vAlign w:val="bottom"/>
            <w:vMerge w:val="continue"/>
          </w:tcPr>
          <w:p>
            <w:pPr>
              <w:spacing w:after="0"/>
              <w:rPr>
                <w:sz w:val="7"/>
                <w:szCs w:val="7"/>
                <w:color w:val="auto"/>
              </w:rPr>
            </w:pPr>
          </w:p>
        </w:tc>
        <w:tc>
          <w:tcPr>
            <w:tcW w:w="2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5</w:t>
      </w:r>
    </w:p>
    <w:p>
      <w:pPr>
        <w:sectPr>
          <w:pgSz w:w="11900" w:h="16838" w:orient="portrait"/>
          <w:cols w:equalWidth="0" w:num="1">
            <w:col w:w="9680"/>
          </w:cols>
          <w:pgMar w:left="1020" w:top="587" w:right="1199" w:bottom="1440" w:gutter="0" w:footer="0" w:header="0"/>
        </w:sectPr>
      </w:pPr>
    </w:p>
    <w:bookmarkStart w:id="27" w:name="page28"/>
    <w:bookmarkEnd w:id="27"/>
    <w:p>
      <w:pPr>
        <w:ind w:left="1021"/>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Q3 Global Sales Results</w:t>
      </w:r>
    </w:p>
    <w:p>
      <w:pPr>
        <w:spacing w:after="0" w:line="200" w:lineRule="exact"/>
        <w:rPr>
          <w:sz w:val="20"/>
          <w:szCs w:val="20"/>
          <w:color w:val="auto"/>
        </w:rPr>
      </w:pPr>
    </w:p>
    <w:p>
      <w:pPr>
        <w:spacing w:after="0" w:line="215" w:lineRule="exact"/>
        <w:rPr>
          <w:sz w:val="20"/>
          <w:szCs w:val="20"/>
          <w:color w:val="auto"/>
        </w:rPr>
      </w:pPr>
    </w:p>
    <w:tbl>
      <w:tblPr>
        <w:tblLayout w:type="fixed"/>
        <w:tblInd w:w="761" w:type="dxa"/>
        <w:tblCellMar>
          <w:top w:w="0" w:type="dxa"/>
          <w:left w:w="0" w:type="dxa"/>
          <w:bottom w:w="0" w:type="dxa"/>
          <w:right w:w="0" w:type="dxa"/>
        </w:tblCellMar>
      </w:tblPr>
      <w:tr>
        <w:trPr>
          <w:trHeight w:val="226"/>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60" w:type="dxa"/>
            <w:vAlign w:val="bottom"/>
          </w:tcPr>
          <w:p>
            <w:pPr>
              <w:jc w:val="center"/>
              <w:ind w:left="226"/>
              <w:spacing w:after="0"/>
              <w:rPr>
                <w:sz w:val="20"/>
                <w:szCs w:val="20"/>
                <w:color w:val="auto"/>
              </w:rPr>
            </w:pPr>
            <w:r>
              <w:rPr>
                <w:rFonts w:ascii="Arial" w:cs="Arial" w:eastAsia="Arial" w:hAnsi="Arial"/>
                <w:sz w:val="19"/>
                <w:szCs w:val="19"/>
                <w:color w:val="auto"/>
                <w:w w:val="96"/>
              </w:rPr>
              <w:t>Memo:</w:t>
            </w:r>
          </w:p>
        </w:tc>
        <w:tc>
          <w:tcPr>
            <w:tcW w:w="0" w:type="dxa"/>
            <w:vAlign w:val="bottom"/>
          </w:tcPr>
          <w:p>
            <w:pPr>
              <w:spacing w:after="0"/>
              <w:rPr>
                <w:sz w:val="1"/>
                <w:szCs w:val="1"/>
                <w:color w:val="auto"/>
              </w:rPr>
            </w:pPr>
          </w:p>
        </w:tc>
      </w:tr>
      <w:tr>
        <w:trPr>
          <w:trHeight w:val="259"/>
        </w:trPr>
        <w:tc>
          <w:tcPr>
            <w:tcW w:w="34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60" w:type="dxa"/>
            <w:vAlign w:val="bottom"/>
          </w:tcPr>
          <w:p>
            <w:pPr>
              <w:jc w:val="center"/>
              <w:ind w:left="186"/>
              <w:spacing w:after="0"/>
              <w:rPr>
                <w:sz w:val="20"/>
                <w:szCs w:val="20"/>
                <w:color w:val="auto"/>
              </w:rPr>
            </w:pPr>
            <w:r>
              <w:rPr>
                <w:rFonts w:ascii="Arial" w:cs="Arial" w:eastAsia="Arial" w:hAnsi="Arial"/>
                <w:sz w:val="19"/>
                <w:szCs w:val="19"/>
                <w:color w:val="auto"/>
                <w:w w:val="99"/>
              </w:rPr>
              <w:t>Viability Plan</w:t>
            </w:r>
          </w:p>
        </w:tc>
        <w:tc>
          <w:tcPr>
            <w:tcW w:w="0" w:type="dxa"/>
            <w:vAlign w:val="bottom"/>
          </w:tcPr>
          <w:p>
            <w:pPr>
              <w:spacing w:after="0"/>
              <w:rPr>
                <w:sz w:val="1"/>
                <w:szCs w:val="1"/>
                <w:color w:val="auto"/>
              </w:rPr>
            </w:pPr>
          </w:p>
        </w:tc>
      </w:tr>
      <w:tr>
        <w:trPr>
          <w:trHeight w:val="247"/>
        </w:trPr>
        <w:tc>
          <w:tcPr>
            <w:tcW w:w="3400" w:type="dxa"/>
            <w:vAlign w:val="bottom"/>
            <w:vMerge w:val="restart"/>
          </w:tcPr>
          <w:p>
            <w:pPr>
              <w:spacing w:after="0"/>
              <w:rPr>
                <w:sz w:val="20"/>
                <w:szCs w:val="20"/>
                <w:color w:val="auto"/>
              </w:rPr>
            </w:pPr>
            <w:r>
              <w:rPr>
                <w:rFonts w:ascii="Arial" w:cs="Arial" w:eastAsia="Arial" w:hAnsi="Arial"/>
                <w:sz w:val="19"/>
                <w:szCs w:val="19"/>
                <w:b w:val="1"/>
                <w:bCs w:val="1"/>
                <w:color w:val="auto"/>
              </w:rPr>
              <w:t>Total Global</w:t>
            </w:r>
          </w:p>
        </w:tc>
        <w:tc>
          <w:tcPr>
            <w:tcW w:w="1480" w:type="dxa"/>
            <w:vAlign w:val="bottom"/>
          </w:tcPr>
          <w:p>
            <w:pPr>
              <w:jc w:val="center"/>
              <w:ind w:left="126"/>
              <w:spacing w:after="0"/>
              <w:rPr>
                <w:sz w:val="20"/>
                <w:szCs w:val="20"/>
                <w:color w:val="auto"/>
              </w:rPr>
            </w:pPr>
            <w:r>
              <w:rPr>
                <w:rFonts w:ascii="Arial" w:cs="Arial" w:eastAsia="Arial" w:hAnsi="Arial"/>
                <w:sz w:val="19"/>
                <w:szCs w:val="19"/>
                <w:color w:val="auto"/>
                <w:w w:val="98"/>
              </w:rPr>
              <w:t>1Q09</w:t>
            </w:r>
          </w:p>
        </w:tc>
        <w:tc>
          <w:tcPr>
            <w:tcW w:w="1340" w:type="dxa"/>
            <w:vAlign w:val="bottom"/>
          </w:tcPr>
          <w:p>
            <w:pPr>
              <w:jc w:val="center"/>
              <w:spacing w:after="0"/>
              <w:rPr>
                <w:sz w:val="20"/>
                <w:szCs w:val="20"/>
                <w:color w:val="auto"/>
              </w:rPr>
            </w:pPr>
            <w:r>
              <w:rPr>
                <w:rFonts w:ascii="Arial" w:cs="Arial" w:eastAsia="Arial" w:hAnsi="Arial"/>
                <w:sz w:val="19"/>
                <w:szCs w:val="19"/>
                <w:color w:val="auto"/>
                <w:w w:val="98"/>
              </w:rPr>
              <w:t>2Q09</w:t>
            </w:r>
          </w:p>
        </w:tc>
        <w:tc>
          <w:tcPr>
            <w:tcW w:w="1260" w:type="dxa"/>
            <w:vAlign w:val="bottom"/>
          </w:tcPr>
          <w:p>
            <w:pPr>
              <w:jc w:val="center"/>
              <w:ind w:left="106"/>
              <w:spacing w:after="0"/>
              <w:rPr>
                <w:sz w:val="20"/>
                <w:szCs w:val="20"/>
                <w:color w:val="auto"/>
              </w:rPr>
            </w:pPr>
            <w:r>
              <w:rPr>
                <w:rFonts w:ascii="Arial" w:cs="Arial" w:eastAsia="Arial" w:hAnsi="Arial"/>
                <w:sz w:val="19"/>
                <w:szCs w:val="19"/>
                <w:color w:val="auto"/>
                <w:w w:val="98"/>
              </w:rPr>
              <w:t>3Q09</w:t>
            </w:r>
          </w:p>
        </w:tc>
        <w:tc>
          <w:tcPr>
            <w:tcW w:w="1360" w:type="dxa"/>
            <w:vAlign w:val="bottom"/>
          </w:tcPr>
          <w:p>
            <w:pPr>
              <w:jc w:val="center"/>
              <w:ind w:left="246"/>
              <w:spacing w:after="0"/>
              <w:rPr>
                <w:sz w:val="20"/>
                <w:szCs w:val="20"/>
                <w:color w:val="auto"/>
              </w:rPr>
            </w:pPr>
            <w:r>
              <w:rPr>
                <w:rFonts w:ascii="Arial" w:cs="Arial" w:eastAsia="Arial" w:hAnsi="Arial"/>
                <w:sz w:val="19"/>
                <w:szCs w:val="19"/>
                <w:color w:val="auto"/>
                <w:w w:val="97"/>
              </w:rPr>
              <w:t>3Q09 *</w:t>
            </w:r>
          </w:p>
        </w:tc>
        <w:tc>
          <w:tcPr>
            <w:tcW w:w="0" w:type="dxa"/>
            <w:vAlign w:val="bottom"/>
          </w:tcPr>
          <w:p>
            <w:pPr>
              <w:spacing w:after="0"/>
              <w:rPr>
                <w:sz w:val="1"/>
                <w:szCs w:val="1"/>
                <w:color w:val="auto"/>
              </w:rPr>
            </w:pPr>
          </w:p>
        </w:tc>
      </w:tr>
      <w:tr>
        <w:trPr>
          <w:trHeight w:val="247"/>
        </w:trPr>
        <w:tc>
          <w:tcPr>
            <w:tcW w:w="3400" w:type="dxa"/>
            <w:vAlign w:val="bottom"/>
            <w:vMerge w:val="continue"/>
          </w:tcPr>
          <w:p>
            <w:pPr>
              <w:spacing w:after="0"/>
              <w:rPr>
                <w:sz w:val="21"/>
                <w:szCs w:val="21"/>
                <w:color w:val="auto"/>
              </w:rPr>
            </w:pPr>
          </w:p>
        </w:tc>
        <w:tc>
          <w:tcPr>
            <w:tcW w:w="14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400" w:type="dxa"/>
            <w:vAlign w:val="bottom"/>
          </w:tcPr>
          <w:p>
            <w:pPr>
              <w:spacing w:after="0"/>
              <w:rPr>
                <w:sz w:val="20"/>
                <w:szCs w:val="20"/>
                <w:color w:val="auto"/>
              </w:rPr>
            </w:pPr>
            <w:r>
              <w:rPr>
                <w:rFonts w:ascii="Arial" w:cs="Arial" w:eastAsia="Arial" w:hAnsi="Arial"/>
                <w:sz w:val="19"/>
                <w:szCs w:val="19"/>
                <w:color w:val="auto"/>
              </w:rPr>
              <w:t>- Net Revenue ($B)</w:t>
            </w:r>
          </w:p>
        </w:tc>
        <w:tc>
          <w:tcPr>
            <w:tcW w:w="1480" w:type="dxa"/>
            <w:vAlign w:val="bottom"/>
          </w:tcPr>
          <w:p>
            <w:pPr>
              <w:jc w:val="center"/>
              <w:ind w:left="106"/>
              <w:spacing w:after="0"/>
              <w:rPr>
                <w:sz w:val="20"/>
                <w:szCs w:val="20"/>
                <w:color w:val="auto"/>
              </w:rPr>
            </w:pPr>
            <w:r>
              <w:rPr>
                <w:rFonts w:ascii="Arial" w:cs="Arial" w:eastAsia="Arial" w:hAnsi="Arial"/>
                <w:sz w:val="19"/>
                <w:szCs w:val="19"/>
                <w:color w:val="auto"/>
                <w:w w:val="97"/>
              </w:rPr>
              <w:t>22.4</w:t>
            </w:r>
          </w:p>
        </w:tc>
        <w:tc>
          <w:tcPr>
            <w:tcW w:w="1340" w:type="dxa"/>
            <w:vAlign w:val="bottom"/>
          </w:tcPr>
          <w:p>
            <w:pPr>
              <w:jc w:val="center"/>
              <w:spacing w:after="0"/>
              <w:rPr>
                <w:sz w:val="20"/>
                <w:szCs w:val="20"/>
                <w:color w:val="auto"/>
              </w:rPr>
            </w:pPr>
            <w:r>
              <w:rPr>
                <w:rFonts w:ascii="Arial" w:cs="Arial" w:eastAsia="Arial" w:hAnsi="Arial"/>
                <w:sz w:val="19"/>
                <w:szCs w:val="19"/>
                <w:color w:val="auto"/>
              </w:rPr>
              <w:t>23.1</w:t>
            </w:r>
          </w:p>
        </w:tc>
        <w:tc>
          <w:tcPr>
            <w:tcW w:w="1260" w:type="dxa"/>
            <w:vAlign w:val="bottom"/>
          </w:tcPr>
          <w:p>
            <w:pPr>
              <w:jc w:val="center"/>
              <w:ind w:left="86"/>
              <w:spacing w:after="0"/>
              <w:rPr>
                <w:sz w:val="20"/>
                <w:szCs w:val="20"/>
                <w:color w:val="auto"/>
              </w:rPr>
            </w:pPr>
            <w:r>
              <w:rPr>
                <w:rFonts w:ascii="Arial" w:cs="Arial" w:eastAsia="Arial" w:hAnsi="Arial"/>
                <w:sz w:val="19"/>
                <w:szCs w:val="19"/>
                <w:color w:val="auto"/>
                <w:w w:val="97"/>
              </w:rPr>
              <w:t>28.0</w:t>
            </w:r>
          </w:p>
        </w:tc>
        <w:tc>
          <w:tcPr>
            <w:tcW w:w="1360" w:type="dxa"/>
            <w:vAlign w:val="bottom"/>
          </w:tcPr>
          <w:p>
            <w:pPr>
              <w:jc w:val="center"/>
              <w:ind w:left="266"/>
              <w:spacing w:after="0"/>
              <w:rPr>
                <w:sz w:val="20"/>
                <w:szCs w:val="20"/>
                <w:color w:val="auto"/>
              </w:rPr>
            </w:pPr>
            <w:r>
              <w:rPr>
                <w:rFonts w:ascii="Arial" w:cs="Arial" w:eastAsia="Arial" w:hAnsi="Arial"/>
                <w:sz w:val="19"/>
                <w:szCs w:val="19"/>
                <w:color w:val="auto"/>
                <w:w w:val="97"/>
              </w:rPr>
              <w:t>23.5</w:t>
            </w:r>
          </w:p>
        </w:tc>
        <w:tc>
          <w:tcPr>
            <w:tcW w:w="0" w:type="dxa"/>
            <w:vAlign w:val="bottom"/>
          </w:tcPr>
          <w:p>
            <w:pPr>
              <w:spacing w:after="0"/>
              <w:rPr>
                <w:sz w:val="1"/>
                <w:szCs w:val="1"/>
                <w:color w:val="auto"/>
              </w:rPr>
            </w:pPr>
          </w:p>
        </w:tc>
      </w:tr>
      <w:tr>
        <w:trPr>
          <w:trHeight w:val="247"/>
        </w:trPr>
        <w:tc>
          <w:tcPr>
            <w:tcW w:w="3400" w:type="dxa"/>
            <w:vAlign w:val="bottom"/>
          </w:tcPr>
          <w:p>
            <w:pPr>
              <w:spacing w:after="0"/>
              <w:rPr>
                <w:sz w:val="20"/>
                <w:szCs w:val="20"/>
                <w:color w:val="auto"/>
              </w:rPr>
            </w:pPr>
            <w:r>
              <w:rPr>
                <w:rFonts w:ascii="Arial" w:cs="Arial" w:eastAsia="Arial" w:hAnsi="Arial"/>
                <w:sz w:val="19"/>
                <w:szCs w:val="19"/>
                <w:color w:val="auto"/>
              </w:rPr>
              <w:t>- Industry SAAR (Mil)</w:t>
            </w:r>
          </w:p>
        </w:tc>
        <w:tc>
          <w:tcPr>
            <w:tcW w:w="1480" w:type="dxa"/>
            <w:vAlign w:val="bottom"/>
          </w:tcPr>
          <w:p>
            <w:pPr>
              <w:jc w:val="center"/>
              <w:ind w:left="106"/>
              <w:spacing w:after="0"/>
              <w:rPr>
                <w:sz w:val="20"/>
                <w:szCs w:val="20"/>
                <w:color w:val="auto"/>
              </w:rPr>
            </w:pPr>
            <w:r>
              <w:rPr>
                <w:rFonts w:ascii="Arial" w:cs="Arial" w:eastAsia="Arial" w:hAnsi="Arial"/>
                <w:sz w:val="19"/>
                <w:szCs w:val="19"/>
                <w:color w:val="auto"/>
                <w:w w:val="97"/>
              </w:rPr>
              <w:t>57.7</w:t>
            </w:r>
          </w:p>
        </w:tc>
        <w:tc>
          <w:tcPr>
            <w:tcW w:w="1340" w:type="dxa"/>
            <w:vAlign w:val="bottom"/>
          </w:tcPr>
          <w:p>
            <w:pPr>
              <w:jc w:val="center"/>
              <w:spacing w:after="0"/>
              <w:rPr>
                <w:sz w:val="20"/>
                <w:szCs w:val="20"/>
                <w:color w:val="auto"/>
              </w:rPr>
            </w:pPr>
            <w:r>
              <w:rPr>
                <w:rFonts w:ascii="Arial" w:cs="Arial" w:eastAsia="Arial" w:hAnsi="Arial"/>
                <w:sz w:val="19"/>
                <w:szCs w:val="19"/>
                <w:color w:val="auto"/>
              </w:rPr>
              <w:t>62.7</w:t>
            </w:r>
          </w:p>
        </w:tc>
        <w:tc>
          <w:tcPr>
            <w:tcW w:w="1260" w:type="dxa"/>
            <w:vAlign w:val="bottom"/>
          </w:tcPr>
          <w:p>
            <w:pPr>
              <w:jc w:val="center"/>
              <w:ind w:left="86"/>
              <w:spacing w:after="0"/>
              <w:rPr>
                <w:sz w:val="20"/>
                <w:szCs w:val="20"/>
                <w:color w:val="auto"/>
              </w:rPr>
            </w:pPr>
            <w:r>
              <w:rPr>
                <w:rFonts w:ascii="Arial" w:cs="Arial" w:eastAsia="Arial" w:hAnsi="Arial"/>
                <w:sz w:val="19"/>
                <w:szCs w:val="19"/>
                <w:color w:val="auto"/>
                <w:w w:val="97"/>
              </w:rPr>
              <w:t>67.8</w:t>
            </w:r>
          </w:p>
        </w:tc>
        <w:tc>
          <w:tcPr>
            <w:tcW w:w="1360" w:type="dxa"/>
            <w:vAlign w:val="bottom"/>
          </w:tcPr>
          <w:p>
            <w:pPr>
              <w:jc w:val="center"/>
              <w:ind w:left="226"/>
              <w:spacing w:after="0"/>
              <w:rPr>
                <w:sz w:val="20"/>
                <w:szCs w:val="20"/>
                <w:color w:val="auto"/>
              </w:rPr>
            </w:pPr>
            <w:r>
              <w:rPr>
                <w:rFonts w:ascii="Arial" w:cs="Arial" w:eastAsia="Arial" w:hAnsi="Arial"/>
                <w:sz w:val="19"/>
                <w:szCs w:val="19"/>
                <w:color w:val="auto"/>
                <w:w w:val="97"/>
              </w:rPr>
              <w:t>56.5</w:t>
            </w:r>
          </w:p>
        </w:tc>
        <w:tc>
          <w:tcPr>
            <w:tcW w:w="0" w:type="dxa"/>
            <w:vAlign w:val="bottom"/>
          </w:tcPr>
          <w:p>
            <w:pPr>
              <w:spacing w:after="0"/>
              <w:rPr>
                <w:sz w:val="1"/>
                <w:szCs w:val="1"/>
                <w:color w:val="auto"/>
              </w:rPr>
            </w:pPr>
          </w:p>
        </w:tc>
      </w:tr>
      <w:tr>
        <w:trPr>
          <w:trHeight w:val="247"/>
        </w:trPr>
        <w:tc>
          <w:tcPr>
            <w:tcW w:w="3400" w:type="dxa"/>
            <w:vAlign w:val="bottom"/>
          </w:tcPr>
          <w:p>
            <w:pPr>
              <w:spacing w:after="0"/>
              <w:rPr>
                <w:sz w:val="20"/>
                <w:szCs w:val="20"/>
                <w:color w:val="auto"/>
              </w:rPr>
            </w:pPr>
            <w:r>
              <w:rPr>
                <w:rFonts w:ascii="Arial" w:cs="Arial" w:eastAsia="Arial" w:hAnsi="Arial"/>
                <w:sz w:val="19"/>
                <w:szCs w:val="19"/>
                <w:color w:val="auto"/>
              </w:rPr>
              <w:t>- Market Share</w:t>
            </w:r>
          </w:p>
        </w:tc>
        <w:tc>
          <w:tcPr>
            <w:tcW w:w="1480" w:type="dxa"/>
            <w:vAlign w:val="bottom"/>
          </w:tcPr>
          <w:p>
            <w:pPr>
              <w:jc w:val="center"/>
              <w:ind w:left="126"/>
              <w:spacing w:after="0"/>
              <w:rPr>
                <w:sz w:val="20"/>
                <w:szCs w:val="20"/>
                <w:color w:val="auto"/>
              </w:rPr>
            </w:pPr>
            <w:r>
              <w:rPr>
                <w:rFonts w:ascii="Arial" w:cs="Arial" w:eastAsia="Arial" w:hAnsi="Arial"/>
                <w:sz w:val="19"/>
                <w:szCs w:val="19"/>
                <w:color w:val="auto"/>
              </w:rPr>
              <w:t>11.2%</w:t>
            </w:r>
          </w:p>
        </w:tc>
        <w:tc>
          <w:tcPr>
            <w:tcW w:w="1340" w:type="dxa"/>
            <w:vAlign w:val="bottom"/>
          </w:tcPr>
          <w:p>
            <w:pPr>
              <w:jc w:val="center"/>
              <w:ind w:right="6"/>
              <w:spacing w:after="0"/>
              <w:rPr>
                <w:sz w:val="20"/>
                <w:szCs w:val="20"/>
                <w:color w:val="auto"/>
              </w:rPr>
            </w:pPr>
            <w:r>
              <w:rPr>
                <w:rFonts w:ascii="Arial" w:cs="Arial" w:eastAsia="Arial" w:hAnsi="Arial"/>
                <w:sz w:val="19"/>
                <w:szCs w:val="19"/>
                <w:color w:val="auto"/>
                <w:w w:val="96"/>
              </w:rPr>
              <w:t>11.9%</w:t>
            </w:r>
          </w:p>
        </w:tc>
        <w:tc>
          <w:tcPr>
            <w:tcW w:w="1260" w:type="dxa"/>
            <w:vAlign w:val="bottom"/>
          </w:tcPr>
          <w:p>
            <w:pPr>
              <w:jc w:val="center"/>
              <w:ind w:left="66"/>
              <w:spacing w:after="0"/>
              <w:rPr>
                <w:sz w:val="20"/>
                <w:szCs w:val="20"/>
                <w:color w:val="auto"/>
              </w:rPr>
            </w:pPr>
            <w:r>
              <w:rPr>
                <w:rFonts w:ascii="Arial" w:cs="Arial" w:eastAsia="Arial" w:hAnsi="Arial"/>
                <w:sz w:val="19"/>
                <w:szCs w:val="19"/>
                <w:color w:val="auto"/>
              </w:rPr>
              <w:t>11.9%</w:t>
            </w:r>
          </w:p>
        </w:tc>
        <w:tc>
          <w:tcPr>
            <w:tcW w:w="1360" w:type="dxa"/>
            <w:vAlign w:val="bottom"/>
          </w:tcPr>
          <w:p>
            <w:pPr>
              <w:jc w:val="center"/>
              <w:ind w:left="206"/>
              <w:spacing w:after="0"/>
              <w:rPr>
                <w:sz w:val="20"/>
                <w:szCs w:val="20"/>
                <w:color w:val="auto"/>
              </w:rPr>
            </w:pPr>
            <w:r>
              <w:rPr>
                <w:rFonts w:ascii="Arial" w:cs="Arial" w:eastAsia="Arial" w:hAnsi="Arial"/>
                <w:sz w:val="19"/>
                <w:szCs w:val="19"/>
                <w:color w:val="auto"/>
              </w:rPr>
              <w:t>11.2%</w:t>
            </w:r>
          </w:p>
        </w:tc>
        <w:tc>
          <w:tcPr>
            <w:tcW w:w="0" w:type="dxa"/>
            <w:vAlign w:val="bottom"/>
          </w:tcPr>
          <w:p>
            <w:pPr>
              <w:spacing w:after="0"/>
              <w:rPr>
                <w:sz w:val="1"/>
                <w:szCs w:val="1"/>
                <w:color w:val="auto"/>
              </w:rPr>
            </w:pPr>
          </w:p>
        </w:tc>
      </w:tr>
      <w:tr>
        <w:trPr>
          <w:trHeight w:val="364"/>
        </w:trPr>
        <w:tc>
          <w:tcPr>
            <w:tcW w:w="3400" w:type="dxa"/>
            <w:vAlign w:val="bottom"/>
          </w:tcPr>
          <w:p>
            <w:pPr>
              <w:spacing w:after="0"/>
              <w:rPr>
                <w:sz w:val="20"/>
                <w:szCs w:val="20"/>
                <w:color w:val="auto"/>
              </w:rPr>
            </w:pPr>
            <w:r>
              <w:rPr>
                <w:rFonts w:ascii="Arial" w:cs="Arial" w:eastAsia="Arial" w:hAnsi="Arial"/>
                <w:sz w:val="19"/>
                <w:szCs w:val="19"/>
                <w:color w:val="auto"/>
              </w:rPr>
              <w:t>- Production Volume (000)</w:t>
            </w:r>
          </w:p>
        </w:tc>
        <w:tc>
          <w:tcPr>
            <w:tcW w:w="1480" w:type="dxa"/>
            <w:vAlign w:val="bottom"/>
          </w:tcPr>
          <w:p>
            <w:pPr>
              <w:jc w:val="center"/>
              <w:ind w:left="106"/>
              <w:spacing w:after="0"/>
              <w:rPr>
                <w:sz w:val="20"/>
                <w:szCs w:val="20"/>
                <w:color w:val="auto"/>
              </w:rPr>
            </w:pPr>
            <w:r>
              <w:rPr>
                <w:rFonts w:ascii="Arial" w:cs="Arial" w:eastAsia="Arial" w:hAnsi="Arial"/>
                <w:sz w:val="19"/>
                <w:szCs w:val="19"/>
                <w:color w:val="auto"/>
              </w:rPr>
              <w:t>1,330</w:t>
            </w:r>
          </w:p>
        </w:tc>
        <w:tc>
          <w:tcPr>
            <w:tcW w:w="1340" w:type="dxa"/>
            <w:vAlign w:val="bottom"/>
          </w:tcPr>
          <w:p>
            <w:pPr>
              <w:jc w:val="center"/>
              <w:spacing w:after="0"/>
              <w:rPr>
                <w:sz w:val="20"/>
                <w:szCs w:val="20"/>
                <w:color w:val="auto"/>
              </w:rPr>
            </w:pPr>
            <w:r>
              <w:rPr>
                <w:rFonts w:ascii="Arial" w:cs="Arial" w:eastAsia="Arial" w:hAnsi="Arial"/>
                <w:sz w:val="19"/>
                <w:szCs w:val="19"/>
                <w:color w:val="auto"/>
                <w:w w:val="96"/>
              </w:rPr>
              <w:t>1,538</w:t>
            </w:r>
          </w:p>
        </w:tc>
        <w:tc>
          <w:tcPr>
            <w:tcW w:w="1260" w:type="dxa"/>
            <w:vAlign w:val="bottom"/>
          </w:tcPr>
          <w:p>
            <w:pPr>
              <w:jc w:val="center"/>
              <w:ind w:left="66"/>
              <w:spacing w:after="0"/>
              <w:rPr>
                <w:sz w:val="20"/>
                <w:szCs w:val="20"/>
                <w:color w:val="auto"/>
              </w:rPr>
            </w:pPr>
            <w:r>
              <w:rPr>
                <w:rFonts w:ascii="Arial" w:cs="Arial" w:eastAsia="Arial" w:hAnsi="Arial"/>
                <w:sz w:val="19"/>
                <w:szCs w:val="19"/>
                <w:color w:val="auto"/>
                <w:w w:val="96"/>
              </w:rPr>
              <w:t>1,697</w:t>
            </w:r>
          </w:p>
        </w:tc>
        <w:tc>
          <w:tcPr>
            <w:tcW w:w="1360" w:type="dxa"/>
            <w:vAlign w:val="bottom"/>
          </w:tcPr>
          <w:p>
            <w:pPr>
              <w:jc w:val="center"/>
              <w:ind w:left="246"/>
              <w:spacing w:after="0"/>
              <w:rPr>
                <w:sz w:val="20"/>
                <w:szCs w:val="20"/>
                <w:color w:val="auto"/>
              </w:rPr>
            </w:pPr>
            <w:r>
              <w:rPr>
                <w:rFonts w:ascii="Arial" w:cs="Arial" w:eastAsia="Arial" w:hAnsi="Arial"/>
                <w:sz w:val="19"/>
                <w:szCs w:val="19"/>
                <w:color w:val="auto"/>
                <w:w w:val="94"/>
              </w:rPr>
              <w:t>N/A</w:t>
            </w:r>
          </w:p>
        </w:tc>
        <w:tc>
          <w:tcPr>
            <w:tcW w:w="0" w:type="dxa"/>
            <w:vAlign w:val="bottom"/>
          </w:tcPr>
          <w:p>
            <w:pPr>
              <w:spacing w:after="0"/>
              <w:rPr>
                <w:sz w:val="1"/>
                <w:szCs w:val="1"/>
                <w:color w:val="auto"/>
              </w:rPr>
            </w:pPr>
          </w:p>
        </w:tc>
      </w:tr>
      <w:tr>
        <w:trPr>
          <w:trHeight w:val="247"/>
        </w:trPr>
        <w:tc>
          <w:tcPr>
            <w:tcW w:w="3400" w:type="dxa"/>
            <w:vAlign w:val="bottom"/>
          </w:tcPr>
          <w:p>
            <w:pPr>
              <w:spacing w:after="0"/>
              <w:rPr>
                <w:sz w:val="20"/>
                <w:szCs w:val="20"/>
                <w:color w:val="auto"/>
              </w:rPr>
            </w:pPr>
            <w:r>
              <w:rPr>
                <w:rFonts w:ascii="Arial" w:cs="Arial" w:eastAsia="Arial" w:hAnsi="Arial"/>
                <w:sz w:val="19"/>
                <w:szCs w:val="19"/>
                <w:color w:val="auto"/>
              </w:rPr>
              <w:t>- Deliveries (000)</w:t>
            </w:r>
          </w:p>
        </w:tc>
        <w:tc>
          <w:tcPr>
            <w:tcW w:w="1480" w:type="dxa"/>
            <w:vAlign w:val="bottom"/>
          </w:tcPr>
          <w:p>
            <w:pPr>
              <w:jc w:val="center"/>
              <w:ind w:left="106"/>
              <w:spacing w:after="0"/>
              <w:rPr>
                <w:sz w:val="20"/>
                <w:szCs w:val="20"/>
                <w:color w:val="auto"/>
              </w:rPr>
            </w:pPr>
            <w:r>
              <w:rPr>
                <w:rFonts w:ascii="Arial" w:cs="Arial" w:eastAsia="Arial" w:hAnsi="Arial"/>
                <w:sz w:val="19"/>
                <w:szCs w:val="19"/>
                <w:color w:val="auto"/>
              </w:rPr>
              <w:t>1,617</w:t>
            </w:r>
          </w:p>
        </w:tc>
        <w:tc>
          <w:tcPr>
            <w:tcW w:w="1340" w:type="dxa"/>
            <w:vAlign w:val="bottom"/>
          </w:tcPr>
          <w:p>
            <w:pPr>
              <w:jc w:val="center"/>
              <w:spacing w:after="0"/>
              <w:rPr>
                <w:sz w:val="20"/>
                <w:szCs w:val="20"/>
                <w:color w:val="auto"/>
              </w:rPr>
            </w:pPr>
            <w:r>
              <w:rPr>
                <w:rFonts w:ascii="Arial" w:cs="Arial" w:eastAsia="Arial" w:hAnsi="Arial"/>
                <w:sz w:val="19"/>
                <w:szCs w:val="19"/>
                <w:color w:val="auto"/>
                <w:w w:val="96"/>
              </w:rPr>
              <w:t>1,937</w:t>
            </w:r>
          </w:p>
        </w:tc>
        <w:tc>
          <w:tcPr>
            <w:tcW w:w="1260" w:type="dxa"/>
            <w:vAlign w:val="bottom"/>
          </w:tcPr>
          <w:p>
            <w:pPr>
              <w:jc w:val="center"/>
              <w:ind w:left="66"/>
              <w:spacing w:after="0"/>
              <w:rPr>
                <w:sz w:val="20"/>
                <w:szCs w:val="20"/>
                <w:color w:val="auto"/>
              </w:rPr>
            </w:pPr>
            <w:r>
              <w:rPr>
                <w:rFonts w:ascii="Arial" w:cs="Arial" w:eastAsia="Arial" w:hAnsi="Arial"/>
                <w:sz w:val="19"/>
                <w:szCs w:val="19"/>
                <w:color w:val="auto"/>
                <w:w w:val="96"/>
              </w:rPr>
              <w:t>1,969</w:t>
            </w:r>
          </w:p>
        </w:tc>
        <w:tc>
          <w:tcPr>
            <w:tcW w:w="1360" w:type="dxa"/>
            <w:vAlign w:val="bottom"/>
          </w:tcPr>
          <w:p>
            <w:pPr>
              <w:jc w:val="center"/>
              <w:ind w:left="246"/>
              <w:spacing w:after="0"/>
              <w:rPr>
                <w:sz w:val="20"/>
                <w:szCs w:val="20"/>
                <w:color w:val="auto"/>
              </w:rPr>
            </w:pPr>
            <w:r>
              <w:rPr>
                <w:rFonts w:ascii="Arial" w:cs="Arial" w:eastAsia="Arial" w:hAnsi="Arial"/>
                <w:sz w:val="19"/>
                <w:szCs w:val="19"/>
                <w:color w:val="auto"/>
                <w:w w:val="96"/>
              </w:rPr>
              <w:t>1,554</w:t>
            </w:r>
          </w:p>
        </w:tc>
        <w:tc>
          <w:tcPr>
            <w:tcW w:w="0" w:type="dxa"/>
            <w:vAlign w:val="bottom"/>
          </w:tcPr>
          <w:p>
            <w:pPr>
              <w:spacing w:after="0"/>
              <w:rPr>
                <w:sz w:val="1"/>
                <w:szCs w:val="1"/>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9"/>
                <w:szCs w:val="19"/>
                <w:b w:val="1"/>
                <w:bCs w:val="1"/>
                <w:color w:val="auto"/>
              </w:rPr>
              <w:t>GMNA</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400" w:type="dxa"/>
            <w:vAlign w:val="bottom"/>
          </w:tcPr>
          <w:p>
            <w:pPr>
              <w:spacing w:after="0"/>
              <w:rPr>
                <w:sz w:val="20"/>
                <w:szCs w:val="20"/>
                <w:color w:val="auto"/>
              </w:rPr>
            </w:pPr>
            <w:r>
              <w:rPr>
                <w:rFonts w:ascii="Arial" w:cs="Arial" w:eastAsia="Arial" w:hAnsi="Arial"/>
                <w:sz w:val="19"/>
                <w:szCs w:val="19"/>
                <w:color w:val="auto"/>
              </w:rPr>
              <w:t>- GMNA Net Revenue ($B)</w:t>
            </w:r>
          </w:p>
        </w:tc>
        <w:tc>
          <w:tcPr>
            <w:tcW w:w="1480" w:type="dxa"/>
            <w:vAlign w:val="bottom"/>
          </w:tcPr>
          <w:p>
            <w:pPr>
              <w:jc w:val="center"/>
              <w:ind w:left="106"/>
              <w:spacing w:after="0"/>
              <w:rPr>
                <w:sz w:val="20"/>
                <w:szCs w:val="20"/>
                <w:color w:val="auto"/>
              </w:rPr>
            </w:pPr>
            <w:r>
              <w:rPr>
                <w:rFonts w:ascii="Arial" w:cs="Arial" w:eastAsia="Arial" w:hAnsi="Arial"/>
                <w:sz w:val="19"/>
                <w:szCs w:val="19"/>
                <w:color w:val="auto"/>
                <w:w w:val="97"/>
              </w:rPr>
              <w:t>12.3</w:t>
            </w:r>
          </w:p>
        </w:tc>
        <w:tc>
          <w:tcPr>
            <w:tcW w:w="1340" w:type="dxa"/>
            <w:vAlign w:val="bottom"/>
          </w:tcPr>
          <w:p>
            <w:pPr>
              <w:jc w:val="center"/>
              <w:spacing w:after="0"/>
              <w:rPr>
                <w:sz w:val="20"/>
                <w:szCs w:val="20"/>
                <w:color w:val="auto"/>
              </w:rPr>
            </w:pPr>
            <w:r>
              <w:rPr>
                <w:rFonts w:ascii="Arial" w:cs="Arial" w:eastAsia="Arial" w:hAnsi="Arial"/>
                <w:sz w:val="19"/>
                <w:szCs w:val="19"/>
                <w:color w:val="auto"/>
              </w:rPr>
              <w:t>11.4</w:t>
            </w:r>
          </w:p>
        </w:tc>
        <w:tc>
          <w:tcPr>
            <w:tcW w:w="1260" w:type="dxa"/>
            <w:vAlign w:val="bottom"/>
          </w:tcPr>
          <w:p>
            <w:pPr>
              <w:jc w:val="center"/>
              <w:ind w:left="86"/>
              <w:spacing w:after="0"/>
              <w:rPr>
                <w:sz w:val="20"/>
                <w:szCs w:val="20"/>
                <w:color w:val="auto"/>
              </w:rPr>
            </w:pPr>
            <w:r>
              <w:rPr>
                <w:rFonts w:ascii="Arial" w:cs="Arial" w:eastAsia="Arial" w:hAnsi="Arial"/>
                <w:sz w:val="19"/>
                <w:szCs w:val="19"/>
                <w:color w:val="auto"/>
                <w:w w:val="97"/>
              </w:rPr>
              <w:t>15.5</w:t>
            </w:r>
          </w:p>
        </w:tc>
        <w:tc>
          <w:tcPr>
            <w:tcW w:w="1360" w:type="dxa"/>
            <w:vAlign w:val="bottom"/>
          </w:tcPr>
          <w:p>
            <w:pPr>
              <w:jc w:val="center"/>
              <w:ind w:left="266"/>
              <w:spacing w:after="0"/>
              <w:rPr>
                <w:sz w:val="20"/>
                <w:szCs w:val="20"/>
                <w:color w:val="auto"/>
              </w:rPr>
            </w:pPr>
            <w:r>
              <w:rPr>
                <w:rFonts w:ascii="Arial" w:cs="Arial" w:eastAsia="Arial" w:hAnsi="Arial"/>
                <w:sz w:val="19"/>
                <w:szCs w:val="19"/>
                <w:color w:val="auto"/>
                <w:w w:val="97"/>
              </w:rPr>
              <w:t>14.7</w:t>
            </w:r>
          </w:p>
        </w:tc>
        <w:tc>
          <w:tcPr>
            <w:tcW w:w="0" w:type="dxa"/>
            <w:vAlign w:val="bottom"/>
          </w:tcPr>
          <w:p>
            <w:pPr>
              <w:spacing w:after="0"/>
              <w:rPr>
                <w:sz w:val="1"/>
                <w:szCs w:val="1"/>
                <w:color w:val="auto"/>
              </w:rPr>
            </w:pPr>
          </w:p>
        </w:tc>
      </w:tr>
      <w:tr>
        <w:trPr>
          <w:trHeight w:val="259"/>
        </w:trPr>
        <w:tc>
          <w:tcPr>
            <w:tcW w:w="3400" w:type="dxa"/>
            <w:vAlign w:val="bottom"/>
          </w:tcPr>
          <w:p>
            <w:pPr>
              <w:spacing w:after="0"/>
              <w:rPr>
                <w:sz w:val="20"/>
                <w:szCs w:val="20"/>
                <w:color w:val="auto"/>
              </w:rPr>
            </w:pPr>
            <w:r>
              <w:rPr>
                <w:rFonts w:ascii="Arial" w:cs="Arial" w:eastAsia="Arial" w:hAnsi="Arial"/>
                <w:sz w:val="19"/>
                <w:szCs w:val="19"/>
                <w:color w:val="auto"/>
              </w:rPr>
              <w:t>- U.S. Industry SAAR (Mil)</w:t>
            </w:r>
          </w:p>
        </w:tc>
        <w:tc>
          <w:tcPr>
            <w:tcW w:w="1480" w:type="dxa"/>
            <w:vAlign w:val="bottom"/>
          </w:tcPr>
          <w:p>
            <w:pPr>
              <w:jc w:val="right"/>
              <w:ind w:right="386"/>
              <w:spacing w:after="0"/>
              <w:rPr>
                <w:sz w:val="20"/>
                <w:szCs w:val="20"/>
                <w:color w:val="auto"/>
              </w:rPr>
            </w:pPr>
            <w:r>
              <w:rPr>
                <w:rFonts w:ascii="Arial" w:cs="Arial" w:eastAsia="Arial" w:hAnsi="Arial"/>
                <w:sz w:val="19"/>
                <w:szCs w:val="19"/>
                <w:color w:val="auto"/>
              </w:rPr>
              <w:t>9.7</w:t>
            </w:r>
          </w:p>
        </w:tc>
        <w:tc>
          <w:tcPr>
            <w:tcW w:w="1340" w:type="dxa"/>
            <w:vAlign w:val="bottom"/>
          </w:tcPr>
          <w:p>
            <w:pPr>
              <w:jc w:val="center"/>
              <w:spacing w:after="0"/>
              <w:rPr>
                <w:sz w:val="20"/>
                <w:szCs w:val="20"/>
                <w:color w:val="auto"/>
              </w:rPr>
            </w:pPr>
            <w:r>
              <w:rPr>
                <w:rFonts w:ascii="Arial" w:cs="Arial" w:eastAsia="Arial" w:hAnsi="Arial"/>
                <w:sz w:val="19"/>
                <w:szCs w:val="19"/>
                <w:color w:val="auto"/>
                <w:w w:val="98"/>
              </w:rPr>
              <w:t>9.8</w:t>
            </w:r>
          </w:p>
        </w:tc>
        <w:tc>
          <w:tcPr>
            <w:tcW w:w="1260" w:type="dxa"/>
            <w:vAlign w:val="bottom"/>
          </w:tcPr>
          <w:p>
            <w:pPr>
              <w:jc w:val="center"/>
              <w:ind w:left="86"/>
              <w:spacing w:after="0"/>
              <w:rPr>
                <w:sz w:val="20"/>
                <w:szCs w:val="20"/>
                <w:color w:val="auto"/>
              </w:rPr>
            </w:pPr>
            <w:r>
              <w:rPr>
                <w:rFonts w:ascii="Arial" w:cs="Arial" w:eastAsia="Arial" w:hAnsi="Arial"/>
                <w:sz w:val="19"/>
                <w:szCs w:val="19"/>
                <w:color w:val="auto"/>
                <w:w w:val="97"/>
              </w:rPr>
              <w:t>11.7</w:t>
            </w:r>
          </w:p>
        </w:tc>
        <w:tc>
          <w:tcPr>
            <w:tcW w:w="1360" w:type="dxa"/>
            <w:vAlign w:val="bottom"/>
          </w:tcPr>
          <w:p>
            <w:pPr>
              <w:jc w:val="center"/>
              <w:ind w:left="266"/>
              <w:spacing w:after="0"/>
              <w:rPr>
                <w:sz w:val="20"/>
                <w:szCs w:val="20"/>
                <w:color w:val="auto"/>
              </w:rPr>
            </w:pPr>
            <w:r>
              <w:rPr>
                <w:rFonts w:ascii="Arial" w:cs="Arial" w:eastAsia="Arial" w:hAnsi="Arial"/>
                <w:sz w:val="19"/>
                <w:szCs w:val="19"/>
                <w:color w:val="auto"/>
                <w:w w:val="97"/>
              </w:rPr>
              <w:t>10.8</w:t>
            </w:r>
          </w:p>
        </w:tc>
        <w:tc>
          <w:tcPr>
            <w:tcW w:w="0" w:type="dxa"/>
            <w:vAlign w:val="bottom"/>
          </w:tcPr>
          <w:p>
            <w:pPr>
              <w:spacing w:after="0"/>
              <w:rPr>
                <w:sz w:val="1"/>
                <w:szCs w:val="1"/>
                <w:color w:val="auto"/>
              </w:rPr>
            </w:pPr>
          </w:p>
        </w:tc>
      </w:tr>
      <w:tr>
        <w:trPr>
          <w:trHeight w:val="247"/>
        </w:trPr>
        <w:tc>
          <w:tcPr>
            <w:tcW w:w="3400" w:type="dxa"/>
            <w:vAlign w:val="bottom"/>
          </w:tcPr>
          <w:p>
            <w:pPr>
              <w:spacing w:after="0"/>
              <w:rPr>
                <w:sz w:val="20"/>
                <w:szCs w:val="20"/>
                <w:color w:val="auto"/>
              </w:rPr>
            </w:pPr>
            <w:r>
              <w:rPr>
                <w:rFonts w:ascii="Arial" w:cs="Arial" w:eastAsia="Arial" w:hAnsi="Arial"/>
                <w:sz w:val="19"/>
                <w:szCs w:val="19"/>
                <w:color w:val="auto"/>
              </w:rPr>
              <w:t>- U.S. Market Share</w:t>
            </w:r>
          </w:p>
        </w:tc>
        <w:tc>
          <w:tcPr>
            <w:tcW w:w="1480" w:type="dxa"/>
            <w:vAlign w:val="bottom"/>
          </w:tcPr>
          <w:p>
            <w:pPr>
              <w:jc w:val="center"/>
              <w:ind w:left="126"/>
              <w:spacing w:after="0"/>
              <w:rPr>
                <w:sz w:val="20"/>
                <w:szCs w:val="20"/>
                <w:color w:val="auto"/>
              </w:rPr>
            </w:pPr>
            <w:r>
              <w:rPr>
                <w:rFonts w:ascii="Arial" w:cs="Arial" w:eastAsia="Arial" w:hAnsi="Arial"/>
                <w:sz w:val="19"/>
                <w:szCs w:val="19"/>
                <w:color w:val="auto"/>
              </w:rPr>
              <w:t>18.4%</w:t>
            </w:r>
          </w:p>
        </w:tc>
        <w:tc>
          <w:tcPr>
            <w:tcW w:w="1340" w:type="dxa"/>
            <w:vAlign w:val="bottom"/>
          </w:tcPr>
          <w:p>
            <w:pPr>
              <w:jc w:val="center"/>
              <w:ind w:right="6"/>
              <w:spacing w:after="0"/>
              <w:rPr>
                <w:sz w:val="20"/>
                <w:szCs w:val="20"/>
                <w:color w:val="auto"/>
              </w:rPr>
            </w:pPr>
            <w:r>
              <w:rPr>
                <w:rFonts w:ascii="Arial" w:cs="Arial" w:eastAsia="Arial" w:hAnsi="Arial"/>
                <w:sz w:val="19"/>
                <w:szCs w:val="19"/>
                <w:color w:val="auto"/>
                <w:w w:val="96"/>
              </w:rPr>
              <w:t>20.5%</w:t>
            </w:r>
          </w:p>
        </w:tc>
        <w:tc>
          <w:tcPr>
            <w:tcW w:w="1260" w:type="dxa"/>
            <w:vAlign w:val="bottom"/>
          </w:tcPr>
          <w:p>
            <w:pPr>
              <w:jc w:val="center"/>
              <w:ind w:left="66"/>
              <w:spacing w:after="0"/>
              <w:rPr>
                <w:sz w:val="20"/>
                <w:szCs w:val="20"/>
                <w:color w:val="auto"/>
              </w:rPr>
            </w:pPr>
            <w:r>
              <w:rPr>
                <w:rFonts w:ascii="Arial" w:cs="Arial" w:eastAsia="Arial" w:hAnsi="Arial"/>
                <w:sz w:val="19"/>
                <w:szCs w:val="19"/>
                <w:color w:val="auto"/>
              </w:rPr>
              <w:t>19.5%</w:t>
            </w:r>
          </w:p>
        </w:tc>
        <w:tc>
          <w:tcPr>
            <w:tcW w:w="1360" w:type="dxa"/>
            <w:vAlign w:val="bottom"/>
          </w:tcPr>
          <w:p>
            <w:pPr>
              <w:jc w:val="center"/>
              <w:ind w:left="206"/>
              <w:spacing w:after="0"/>
              <w:rPr>
                <w:sz w:val="20"/>
                <w:szCs w:val="20"/>
                <w:color w:val="auto"/>
              </w:rPr>
            </w:pPr>
            <w:r>
              <w:rPr>
                <w:rFonts w:ascii="Arial" w:cs="Arial" w:eastAsia="Arial" w:hAnsi="Arial"/>
                <w:sz w:val="19"/>
                <w:szCs w:val="19"/>
                <w:color w:val="auto"/>
              </w:rPr>
              <w:t>18.8%</w:t>
            </w:r>
          </w:p>
        </w:tc>
        <w:tc>
          <w:tcPr>
            <w:tcW w:w="0" w:type="dxa"/>
            <w:vAlign w:val="bottom"/>
          </w:tcPr>
          <w:p>
            <w:pPr>
              <w:spacing w:after="0"/>
              <w:rPr>
                <w:sz w:val="1"/>
                <w:szCs w:val="1"/>
                <w:color w:val="auto"/>
              </w:rPr>
            </w:pPr>
          </w:p>
        </w:tc>
      </w:tr>
      <w:tr>
        <w:trPr>
          <w:trHeight w:val="353"/>
        </w:trPr>
        <w:tc>
          <w:tcPr>
            <w:tcW w:w="3400" w:type="dxa"/>
            <w:vAlign w:val="bottom"/>
          </w:tcPr>
          <w:p>
            <w:pPr>
              <w:spacing w:after="0"/>
              <w:rPr>
                <w:sz w:val="20"/>
                <w:szCs w:val="20"/>
                <w:color w:val="auto"/>
              </w:rPr>
            </w:pPr>
            <w:r>
              <w:rPr>
                <w:rFonts w:ascii="Arial" w:cs="Arial" w:eastAsia="Arial" w:hAnsi="Arial"/>
                <w:sz w:val="19"/>
                <w:szCs w:val="19"/>
                <w:color w:val="auto"/>
              </w:rPr>
              <w:t>- GMNA Production Volume (000)</w:t>
            </w:r>
          </w:p>
        </w:tc>
        <w:tc>
          <w:tcPr>
            <w:tcW w:w="1480" w:type="dxa"/>
            <w:vAlign w:val="bottom"/>
          </w:tcPr>
          <w:p>
            <w:pPr>
              <w:jc w:val="right"/>
              <w:ind w:right="386"/>
              <w:spacing w:after="0"/>
              <w:rPr>
                <w:sz w:val="20"/>
                <w:szCs w:val="20"/>
                <w:color w:val="auto"/>
              </w:rPr>
            </w:pPr>
            <w:r>
              <w:rPr>
                <w:rFonts w:ascii="Arial" w:cs="Arial" w:eastAsia="Arial" w:hAnsi="Arial"/>
                <w:sz w:val="19"/>
                <w:szCs w:val="19"/>
                <w:color w:val="auto"/>
              </w:rPr>
              <w:t>371</w:t>
            </w:r>
          </w:p>
        </w:tc>
        <w:tc>
          <w:tcPr>
            <w:tcW w:w="1340" w:type="dxa"/>
            <w:vAlign w:val="bottom"/>
          </w:tcPr>
          <w:p>
            <w:pPr>
              <w:jc w:val="center"/>
              <w:spacing w:after="0"/>
              <w:rPr>
                <w:sz w:val="20"/>
                <w:szCs w:val="20"/>
                <w:color w:val="auto"/>
              </w:rPr>
            </w:pPr>
            <w:r>
              <w:rPr>
                <w:rFonts w:ascii="Arial" w:cs="Arial" w:eastAsia="Arial" w:hAnsi="Arial"/>
                <w:sz w:val="19"/>
                <w:szCs w:val="19"/>
                <w:color w:val="auto"/>
                <w:w w:val="94"/>
              </w:rPr>
              <w:t>395</w:t>
            </w:r>
          </w:p>
        </w:tc>
        <w:tc>
          <w:tcPr>
            <w:tcW w:w="1260" w:type="dxa"/>
            <w:vAlign w:val="bottom"/>
          </w:tcPr>
          <w:p>
            <w:pPr>
              <w:jc w:val="center"/>
              <w:ind w:left="86"/>
              <w:spacing w:after="0"/>
              <w:rPr>
                <w:sz w:val="20"/>
                <w:szCs w:val="20"/>
                <w:color w:val="auto"/>
              </w:rPr>
            </w:pPr>
            <w:r>
              <w:rPr>
                <w:rFonts w:ascii="Arial" w:cs="Arial" w:eastAsia="Arial" w:hAnsi="Arial"/>
                <w:sz w:val="19"/>
                <w:szCs w:val="19"/>
                <w:color w:val="auto"/>
              </w:rPr>
              <w:t>531</w:t>
            </w:r>
          </w:p>
        </w:tc>
        <w:tc>
          <w:tcPr>
            <w:tcW w:w="1360" w:type="dxa"/>
            <w:vAlign w:val="bottom"/>
          </w:tcPr>
          <w:p>
            <w:pPr>
              <w:jc w:val="center"/>
              <w:ind w:left="246"/>
              <w:spacing w:after="0"/>
              <w:rPr>
                <w:sz w:val="20"/>
                <w:szCs w:val="20"/>
                <w:color w:val="auto"/>
              </w:rPr>
            </w:pPr>
            <w:r>
              <w:rPr>
                <w:rFonts w:ascii="Arial" w:cs="Arial" w:eastAsia="Arial" w:hAnsi="Arial"/>
                <w:sz w:val="19"/>
                <w:szCs w:val="19"/>
                <w:color w:val="auto"/>
                <w:w w:val="94"/>
              </w:rPr>
              <w:t>532</w:t>
            </w:r>
          </w:p>
        </w:tc>
        <w:tc>
          <w:tcPr>
            <w:tcW w:w="0" w:type="dxa"/>
            <w:vAlign w:val="bottom"/>
          </w:tcPr>
          <w:p>
            <w:pPr>
              <w:spacing w:after="0"/>
              <w:rPr>
                <w:sz w:val="1"/>
                <w:szCs w:val="1"/>
                <w:color w:val="auto"/>
              </w:rPr>
            </w:pPr>
          </w:p>
        </w:tc>
      </w:tr>
      <w:tr>
        <w:trPr>
          <w:trHeight w:val="259"/>
        </w:trPr>
        <w:tc>
          <w:tcPr>
            <w:tcW w:w="3400" w:type="dxa"/>
            <w:vAlign w:val="bottom"/>
          </w:tcPr>
          <w:p>
            <w:pPr>
              <w:spacing w:after="0"/>
              <w:rPr>
                <w:sz w:val="20"/>
                <w:szCs w:val="20"/>
                <w:color w:val="auto"/>
              </w:rPr>
            </w:pPr>
            <w:r>
              <w:rPr>
                <w:rFonts w:ascii="Arial" w:cs="Arial" w:eastAsia="Arial" w:hAnsi="Arial"/>
                <w:sz w:val="19"/>
                <w:szCs w:val="19"/>
                <w:color w:val="auto"/>
              </w:rPr>
              <w:t>- GMNA Deliveries (000)</w:t>
            </w:r>
          </w:p>
        </w:tc>
        <w:tc>
          <w:tcPr>
            <w:tcW w:w="1480" w:type="dxa"/>
            <w:vAlign w:val="bottom"/>
          </w:tcPr>
          <w:p>
            <w:pPr>
              <w:jc w:val="right"/>
              <w:ind w:right="386"/>
              <w:spacing w:after="0"/>
              <w:rPr>
                <w:sz w:val="20"/>
                <w:szCs w:val="20"/>
                <w:color w:val="auto"/>
              </w:rPr>
            </w:pPr>
            <w:r>
              <w:rPr>
                <w:rFonts w:ascii="Arial" w:cs="Arial" w:eastAsia="Arial" w:hAnsi="Arial"/>
                <w:sz w:val="19"/>
                <w:szCs w:val="19"/>
                <w:color w:val="auto"/>
              </w:rPr>
              <w:t>501</w:t>
            </w:r>
          </w:p>
        </w:tc>
        <w:tc>
          <w:tcPr>
            <w:tcW w:w="1340" w:type="dxa"/>
            <w:vAlign w:val="bottom"/>
          </w:tcPr>
          <w:p>
            <w:pPr>
              <w:jc w:val="center"/>
              <w:spacing w:after="0"/>
              <w:rPr>
                <w:sz w:val="20"/>
                <w:szCs w:val="20"/>
                <w:color w:val="auto"/>
              </w:rPr>
            </w:pPr>
            <w:r>
              <w:rPr>
                <w:rFonts w:ascii="Arial" w:cs="Arial" w:eastAsia="Arial" w:hAnsi="Arial"/>
                <w:sz w:val="19"/>
                <w:szCs w:val="19"/>
                <w:color w:val="auto"/>
                <w:w w:val="94"/>
              </w:rPr>
              <w:t>657</w:t>
            </w:r>
          </w:p>
        </w:tc>
        <w:tc>
          <w:tcPr>
            <w:tcW w:w="1260" w:type="dxa"/>
            <w:vAlign w:val="bottom"/>
          </w:tcPr>
          <w:p>
            <w:pPr>
              <w:jc w:val="center"/>
              <w:ind w:left="86"/>
              <w:spacing w:after="0"/>
              <w:rPr>
                <w:sz w:val="20"/>
                <w:szCs w:val="20"/>
                <w:color w:val="auto"/>
              </w:rPr>
            </w:pPr>
            <w:r>
              <w:rPr>
                <w:rFonts w:ascii="Arial" w:cs="Arial" w:eastAsia="Arial" w:hAnsi="Arial"/>
                <w:sz w:val="19"/>
                <w:szCs w:val="19"/>
                <w:color w:val="auto"/>
              </w:rPr>
              <w:t>691</w:t>
            </w:r>
          </w:p>
        </w:tc>
        <w:tc>
          <w:tcPr>
            <w:tcW w:w="1360" w:type="dxa"/>
            <w:vAlign w:val="bottom"/>
          </w:tcPr>
          <w:p>
            <w:pPr>
              <w:jc w:val="center"/>
              <w:ind w:left="246"/>
              <w:spacing w:after="0"/>
              <w:rPr>
                <w:sz w:val="20"/>
                <w:szCs w:val="20"/>
                <w:color w:val="auto"/>
              </w:rPr>
            </w:pPr>
            <w:r>
              <w:rPr>
                <w:rFonts w:ascii="Arial" w:cs="Arial" w:eastAsia="Arial" w:hAnsi="Arial"/>
                <w:sz w:val="19"/>
                <w:szCs w:val="19"/>
                <w:color w:val="auto"/>
                <w:w w:val="94"/>
              </w:rPr>
              <w:t>621</w:t>
            </w:r>
          </w:p>
        </w:tc>
        <w:tc>
          <w:tcPr>
            <w:tcW w:w="0" w:type="dxa"/>
            <w:vAlign w:val="bottom"/>
          </w:tcPr>
          <w:p>
            <w:pPr>
              <w:spacing w:after="0"/>
              <w:rPr>
                <w:sz w:val="1"/>
                <w:szCs w:val="1"/>
                <w:color w:val="auto"/>
              </w:rPr>
            </w:pPr>
          </w:p>
        </w:tc>
      </w:tr>
      <w:tr>
        <w:trPr>
          <w:trHeight w:val="376"/>
        </w:trPr>
        <w:tc>
          <w:tcPr>
            <w:tcW w:w="3400" w:type="dxa"/>
            <w:vAlign w:val="bottom"/>
          </w:tcPr>
          <w:p>
            <w:pPr>
              <w:spacing w:after="0"/>
              <w:rPr>
                <w:sz w:val="20"/>
                <w:szCs w:val="20"/>
                <w:color w:val="auto"/>
              </w:rPr>
            </w:pPr>
            <w:r>
              <w:rPr>
                <w:rFonts w:ascii="Arial" w:cs="Arial" w:eastAsia="Arial" w:hAnsi="Arial"/>
                <w:sz w:val="19"/>
                <w:szCs w:val="19"/>
                <w:b w:val="1"/>
                <w:bCs w:val="1"/>
                <w:color w:val="auto"/>
              </w:rPr>
              <w:t>GMIO</w:t>
            </w: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400" w:type="dxa"/>
            <w:vAlign w:val="bottom"/>
          </w:tcPr>
          <w:p>
            <w:pPr>
              <w:spacing w:after="0"/>
              <w:rPr>
                <w:sz w:val="20"/>
                <w:szCs w:val="20"/>
                <w:color w:val="auto"/>
              </w:rPr>
            </w:pPr>
            <w:r>
              <w:rPr>
                <w:rFonts w:ascii="Arial" w:cs="Arial" w:eastAsia="Arial" w:hAnsi="Arial"/>
                <w:sz w:val="19"/>
                <w:szCs w:val="19"/>
                <w:color w:val="auto"/>
              </w:rPr>
              <w:t>- Net Revenue ($B)</w:t>
            </w:r>
          </w:p>
        </w:tc>
        <w:tc>
          <w:tcPr>
            <w:tcW w:w="1480" w:type="dxa"/>
            <w:vAlign w:val="bottom"/>
          </w:tcPr>
          <w:p>
            <w:pPr>
              <w:jc w:val="center"/>
              <w:ind w:left="106"/>
              <w:spacing w:after="0"/>
              <w:rPr>
                <w:sz w:val="20"/>
                <w:szCs w:val="20"/>
                <w:color w:val="auto"/>
              </w:rPr>
            </w:pPr>
            <w:r>
              <w:rPr>
                <w:rFonts w:ascii="Arial" w:cs="Arial" w:eastAsia="Arial" w:hAnsi="Arial"/>
                <w:sz w:val="19"/>
                <w:szCs w:val="19"/>
                <w:color w:val="auto"/>
                <w:w w:val="97"/>
              </w:rPr>
              <w:t>11.2</w:t>
            </w:r>
          </w:p>
        </w:tc>
        <w:tc>
          <w:tcPr>
            <w:tcW w:w="1340" w:type="dxa"/>
            <w:vAlign w:val="bottom"/>
          </w:tcPr>
          <w:p>
            <w:pPr>
              <w:jc w:val="center"/>
              <w:spacing w:after="0"/>
              <w:rPr>
                <w:sz w:val="20"/>
                <w:szCs w:val="20"/>
                <w:color w:val="auto"/>
              </w:rPr>
            </w:pPr>
            <w:r>
              <w:rPr>
                <w:rFonts w:ascii="Arial" w:cs="Arial" w:eastAsia="Arial" w:hAnsi="Arial"/>
                <w:sz w:val="19"/>
                <w:szCs w:val="19"/>
                <w:color w:val="auto"/>
              </w:rPr>
              <w:t>11.7</w:t>
            </w:r>
          </w:p>
        </w:tc>
        <w:tc>
          <w:tcPr>
            <w:tcW w:w="1260" w:type="dxa"/>
            <w:vAlign w:val="bottom"/>
          </w:tcPr>
          <w:p>
            <w:pPr>
              <w:jc w:val="center"/>
              <w:ind w:left="86"/>
              <w:spacing w:after="0"/>
              <w:rPr>
                <w:sz w:val="20"/>
                <w:szCs w:val="20"/>
                <w:color w:val="auto"/>
              </w:rPr>
            </w:pPr>
            <w:r>
              <w:rPr>
                <w:rFonts w:ascii="Arial" w:cs="Arial" w:eastAsia="Arial" w:hAnsi="Arial"/>
                <w:sz w:val="19"/>
                <w:szCs w:val="19"/>
                <w:color w:val="auto"/>
                <w:w w:val="97"/>
              </w:rPr>
              <w:t>12.9</w:t>
            </w:r>
          </w:p>
        </w:tc>
        <w:tc>
          <w:tcPr>
            <w:tcW w:w="1360" w:type="dxa"/>
            <w:vAlign w:val="bottom"/>
          </w:tcPr>
          <w:p>
            <w:pPr>
              <w:jc w:val="center"/>
              <w:ind w:left="246"/>
              <w:spacing w:after="0"/>
              <w:rPr>
                <w:sz w:val="20"/>
                <w:szCs w:val="20"/>
                <w:color w:val="auto"/>
              </w:rPr>
            </w:pPr>
            <w:r>
              <w:rPr>
                <w:rFonts w:ascii="Arial" w:cs="Arial" w:eastAsia="Arial" w:hAnsi="Arial"/>
                <w:sz w:val="19"/>
                <w:szCs w:val="19"/>
                <w:color w:val="auto"/>
                <w:w w:val="98"/>
              </w:rPr>
              <w:t>9.4</w:t>
            </w:r>
          </w:p>
        </w:tc>
        <w:tc>
          <w:tcPr>
            <w:tcW w:w="0" w:type="dxa"/>
            <w:vAlign w:val="bottom"/>
          </w:tcPr>
          <w:p>
            <w:pPr>
              <w:spacing w:after="0"/>
              <w:rPr>
                <w:sz w:val="1"/>
                <w:szCs w:val="1"/>
                <w:color w:val="auto"/>
              </w:rPr>
            </w:pPr>
          </w:p>
        </w:tc>
      </w:tr>
      <w:tr>
        <w:trPr>
          <w:trHeight w:val="247"/>
        </w:trPr>
        <w:tc>
          <w:tcPr>
            <w:tcW w:w="3400" w:type="dxa"/>
            <w:vAlign w:val="bottom"/>
          </w:tcPr>
          <w:p>
            <w:pPr>
              <w:spacing w:after="0"/>
              <w:rPr>
                <w:sz w:val="20"/>
                <w:szCs w:val="20"/>
                <w:color w:val="auto"/>
              </w:rPr>
            </w:pPr>
            <w:r>
              <w:rPr>
                <w:rFonts w:ascii="Arial" w:cs="Arial" w:eastAsia="Arial" w:hAnsi="Arial"/>
                <w:sz w:val="19"/>
                <w:szCs w:val="19"/>
                <w:color w:val="auto"/>
              </w:rPr>
              <w:t>- Market Share</w:t>
            </w:r>
          </w:p>
        </w:tc>
        <w:tc>
          <w:tcPr>
            <w:tcW w:w="1480" w:type="dxa"/>
            <w:vAlign w:val="bottom"/>
          </w:tcPr>
          <w:p>
            <w:pPr>
              <w:jc w:val="right"/>
              <w:ind w:right="346"/>
              <w:spacing w:after="0"/>
              <w:rPr>
                <w:sz w:val="20"/>
                <w:szCs w:val="20"/>
                <w:color w:val="auto"/>
              </w:rPr>
            </w:pPr>
            <w:r>
              <w:rPr>
                <w:rFonts w:ascii="Arial" w:cs="Arial" w:eastAsia="Arial" w:hAnsi="Arial"/>
                <w:sz w:val="19"/>
                <w:szCs w:val="19"/>
                <w:color w:val="auto"/>
              </w:rPr>
              <w:t>9.6%</w:t>
            </w:r>
          </w:p>
        </w:tc>
        <w:tc>
          <w:tcPr>
            <w:tcW w:w="1340" w:type="dxa"/>
            <w:vAlign w:val="bottom"/>
          </w:tcPr>
          <w:p>
            <w:pPr>
              <w:jc w:val="center"/>
              <w:ind w:right="6"/>
              <w:spacing w:after="0"/>
              <w:rPr>
                <w:sz w:val="20"/>
                <w:szCs w:val="20"/>
                <w:color w:val="auto"/>
              </w:rPr>
            </w:pPr>
            <w:r>
              <w:rPr>
                <w:rFonts w:ascii="Arial" w:cs="Arial" w:eastAsia="Arial" w:hAnsi="Arial"/>
                <w:sz w:val="19"/>
                <w:szCs w:val="19"/>
                <w:color w:val="auto"/>
              </w:rPr>
              <w:t>9.9%</w:t>
            </w:r>
          </w:p>
        </w:tc>
        <w:tc>
          <w:tcPr>
            <w:tcW w:w="1260" w:type="dxa"/>
            <w:vAlign w:val="bottom"/>
          </w:tcPr>
          <w:p>
            <w:pPr>
              <w:jc w:val="center"/>
              <w:ind w:left="66"/>
              <w:spacing w:after="0"/>
              <w:rPr>
                <w:sz w:val="20"/>
                <w:szCs w:val="20"/>
                <w:color w:val="auto"/>
              </w:rPr>
            </w:pPr>
            <w:r>
              <w:rPr>
                <w:rFonts w:ascii="Arial" w:cs="Arial" w:eastAsia="Arial" w:hAnsi="Arial"/>
                <w:sz w:val="19"/>
                <w:szCs w:val="19"/>
                <w:color w:val="auto"/>
                <w:w w:val="96"/>
              </w:rPr>
              <w:t>9.9%</w:t>
            </w:r>
          </w:p>
        </w:tc>
        <w:tc>
          <w:tcPr>
            <w:tcW w:w="1360" w:type="dxa"/>
            <w:vAlign w:val="bottom"/>
          </w:tcPr>
          <w:p>
            <w:pPr>
              <w:jc w:val="center"/>
              <w:ind w:left="246"/>
              <w:spacing w:after="0"/>
              <w:rPr>
                <w:sz w:val="20"/>
                <w:szCs w:val="20"/>
                <w:color w:val="auto"/>
              </w:rPr>
            </w:pPr>
            <w:r>
              <w:rPr>
                <w:rFonts w:ascii="Arial" w:cs="Arial" w:eastAsia="Arial" w:hAnsi="Arial"/>
                <w:sz w:val="19"/>
                <w:szCs w:val="19"/>
                <w:color w:val="auto"/>
                <w:w w:val="96"/>
              </w:rPr>
              <w:t>8.9%</w:t>
            </w:r>
          </w:p>
        </w:tc>
        <w:tc>
          <w:tcPr>
            <w:tcW w:w="0" w:type="dxa"/>
            <w:vAlign w:val="bottom"/>
          </w:tcPr>
          <w:p>
            <w:pPr>
              <w:spacing w:after="0"/>
              <w:rPr>
                <w:sz w:val="1"/>
                <w:szCs w:val="1"/>
                <w:color w:val="auto"/>
              </w:rPr>
            </w:pPr>
          </w:p>
        </w:tc>
      </w:tr>
      <w:tr>
        <w:trPr>
          <w:trHeight w:val="353"/>
        </w:trPr>
        <w:tc>
          <w:tcPr>
            <w:tcW w:w="3400" w:type="dxa"/>
            <w:vAlign w:val="bottom"/>
          </w:tcPr>
          <w:p>
            <w:pPr>
              <w:spacing w:after="0"/>
              <w:rPr>
                <w:sz w:val="20"/>
                <w:szCs w:val="20"/>
                <w:color w:val="auto"/>
              </w:rPr>
            </w:pPr>
            <w:r>
              <w:rPr>
                <w:rFonts w:ascii="Arial" w:cs="Arial" w:eastAsia="Arial" w:hAnsi="Arial"/>
                <w:sz w:val="19"/>
                <w:szCs w:val="19"/>
                <w:color w:val="auto"/>
              </w:rPr>
              <w:t>- Production Volume (000)</w:t>
            </w:r>
          </w:p>
        </w:tc>
        <w:tc>
          <w:tcPr>
            <w:tcW w:w="1480" w:type="dxa"/>
            <w:vAlign w:val="bottom"/>
          </w:tcPr>
          <w:p>
            <w:pPr>
              <w:jc w:val="right"/>
              <w:ind w:right="386"/>
              <w:spacing w:after="0"/>
              <w:rPr>
                <w:sz w:val="20"/>
                <w:szCs w:val="20"/>
                <w:color w:val="auto"/>
              </w:rPr>
            </w:pPr>
            <w:r>
              <w:rPr>
                <w:rFonts w:ascii="Arial" w:cs="Arial" w:eastAsia="Arial" w:hAnsi="Arial"/>
                <w:sz w:val="19"/>
                <w:szCs w:val="19"/>
                <w:color w:val="auto"/>
              </w:rPr>
              <w:t>959</w:t>
            </w:r>
          </w:p>
        </w:tc>
        <w:tc>
          <w:tcPr>
            <w:tcW w:w="1340" w:type="dxa"/>
            <w:vAlign w:val="bottom"/>
          </w:tcPr>
          <w:p>
            <w:pPr>
              <w:jc w:val="center"/>
              <w:spacing w:after="0"/>
              <w:rPr>
                <w:sz w:val="20"/>
                <w:szCs w:val="20"/>
                <w:color w:val="auto"/>
              </w:rPr>
            </w:pPr>
            <w:r>
              <w:rPr>
                <w:rFonts w:ascii="Arial" w:cs="Arial" w:eastAsia="Arial" w:hAnsi="Arial"/>
                <w:sz w:val="19"/>
                <w:szCs w:val="19"/>
                <w:color w:val="auto"/>
                <w:w w:val="96"/>
              </w:rPr>
              <w:t>1,143</w:t>
            </w:r>
          </w:p>
        </w:tc>
        <w:tc>
          <w:tcPr>
            <w:tcW w:w="1260" w:type="dxa"/>
            <w:vAlign w:val="bottom"/>
          </w:tcPr>
          <w:p>
            <w:pPr>
              <w:jc w:val="center"/>
              <w:ind w:left="66"/>
              <w:spacing w:after="0"/>
              <w:rPr>
                <w:sz w:val="20"/>
                <w:szCs w:val="20"/>
                <w:color w:val="auto"/>
              </w:rPr>
            </w:pPr>
            <w:r>
              <w:rPr>
                <w:rFonts w:ascii="Arial" w:cs="Arial" w:eastAsia="Arial" w:hAnsi="Arial"/>
                <w:sz w:val="19"/>
                <w:szCs w:val="19"/>
                <w:color w:val="auto"/>
                <w:w w:val="96"/>
              </w:rPr>
              <w:t>1,166</w:t>
            </w:r>
          </w:p>
        </w:tc>
        <w:tc>
          <w:tcPr>
            <w:tcW w:w="1360" w:type="dxa"/>
            <w:vAlign w:val="bottom"/>
          </w:tcPr>
          <w:p>
            <w:pPr>
              <w:jc w:val="center"/>
              <w:ind w:left="246"/>
              <w:spacing w:after="0"/>
              <w:rPr>
                <w:sz w:val="20"/>
                <w:szCs w:val="20"/>
                <w:color w:val="auto"/>
              </w:rPr>
            </w:pPr>
            <w:r>
              <w:rPr>
                <w:rFonts w:ascii="Arial" w:cs="Arial" w:eastAsia="Arial" w:hAnsi="Arial"/>
                <w:sz w:val="19"/>
                <w:szCs w:val="19"/>
                <w:color w:val="auto"/>
                <w:w w:val="94"/>
              </w:rPr>
              <w:t>N/A</w:t>
            </w:r>
          </w:p>
        </w:tc>
        <w:tc>
          <w:tcPr>
            <w:tcW w:w="0" w:type="dxa"/>
            <w:vAlign w:val="bottom"/>
          </w:tcPr>
          <w:p>
            <w:pPr>
              <w:spacing w:after="0"/>
              <w:rPr>
                <w:sz w:val="1"/>
                <w:szCs w:val="1"/>
                <w:color w:val="auto"/>
              </w:rPr>
            </w:pPr>
          </w:p>
        </w:tc>
      </w:tr>
      <w:tr>
        <w:trPr>
          <w:trHeight w:val="259"/>
        </w:trPr>
        <w:tc>
          <w:tcPr>
            <w:tcW w:w="3400" w:type="dxa"/>
            <w:vAlign w:val="bottom"/>
          </w:tcPr>
          <w:p>
            <w:pPr>
              <w:spacing w:after="0"/>
              <w:rPr>
                <w:sz w:val="20"/>
                <w:szCs w:val="20"/>
                <w:color w:val="auto"/>
              </w:rPr>
            </w:pPr>
            <w:r>
              <w:rPr>
                <w:rFonts w:ascii="Arial" w:cs="Arial" w:eastAsia="Arial" w:hAnsi="Arial"/>
                <w:sz w:val="19"/>
                <w:szCs w:val="19"/>
                <w:color w:val="auto"/>
              </w:rPr>
              <w:t>- Deliveries (000)</w:t>
            </w:r>
          </w:p>
        </w:tc>
        <w:tc>
          <w:tcPr>
            <w:tcW w:w="1480" w:type="dxa"/>
            <w:vAlign w:val="bottom"/>
          </w:tcPr>
          <w:p>
            <w:pPr>
              <w:jc w:val="center"/>
              <w:ind w:left="106"/>
              <w:spacing w:after="0"/>
              <w:rPr>
                <w:sz w:val="20"/>
                <w:szCs w:val="20"/>
                <w:color w:val="auto"/>
              </w:rPr>
            </w:pPr>
            <w:r>
              <w:rPr>
                <w:rFonts w:ascii="Arial" w:cs="Arial" w:eastAsia="Arial" w:hAnsi="Arial"/>
                <w:sz w:val="19"/>
                <w:szCs w:val="19"/>
                <w:color w:val="auto"/>
              </w:rPr>
              <w:t>1,116</w:t>
            </w:r>
          </w:p>
        </w:tc>
        <w:tc>
          <w:tcPr>
            <w:tcW w:w="1340" w:type="dxa"/>
            <w:vAlign w:val="bottom"/>
          </w:tcPr>
          <w:p>
            <w:pPr>
              <w:jc w:val="center"/>
              <w:spacing w:after="0"/>
              <w:rPr>
                <w:sz w:val="20"/>
                <w:szCs w:val="20"/>
                <w:color w:val="auto"/>
              </w:rPr>
            </w:pPr>
            <w:r>
              <w:rPr>
                <w:rFonts w:ascii="Arial" w:cs="Arial" w:eastAsia="Arial" w:hAnsi="Arial"/>
                <w:sz w:val="19"/>
                <w:szCs w:val="19"/>
                <w:color w:val="auto"/>
                <w:w w:val="96"/>
              </w:rPr>
              <w:t>1,281</w:t>
            </w:r>
          </w:p>
        </w:tc>
        <w:tc>
          <w:tcPr>
            <w:tcW w:w="1260" w:type="dxa"/>
            <w:vAlign w:val="bottom"/>
          </w:tcPr>
          <w:p>
            <w:pPr>
              <w:jc w:val="center"/>
              <w:ind w:left="66"/>
              <w:spacing w:after="0"/>
              <w:rPr>
                <w:sz w:val="20"/>
                <w:szCs w:val="20"/>
                <w:color w:val="auto"/>
              </w:rPr>
            </w:pPr>
            <w:r>
              <w:rPr>
                <w:rFonts w:ascii="Arial" w:cs="Arial" w:eastAsia="Arial" w:hAnsi="Arial"/>
                <w:sz w:val="19"/>
                <w:szCs w:val="19"/>
                <w:color w:val="auto"/>
                <w:w w:val="96"/>
              </w:rPr>
              <w:t>1,278</w:t>
            </w:r>
          </w:p>
        </w:tc>
        <w:tc>
          <w:tcPr>
            <w:tcW w:w="1360" w:type="dxa"/>
            <w:vAlign w:val="bottom"/>
          </w:tcPr>
          <w:p>
            <w:pPr>
              <w:jc w:val="center"/>
              <w:ind w:left="246"/>
              <w:spacing w:after="0"/>
              <w:rPr>
                <w:sz w:val="20"/>
                <w:szCs w:val="20"/>
                <w:color w:val="auto"/>
              </w:rPr>
            </w:pPr>
            <w:r>
              <w:rPr>
                <w:rFonts w:ascii="Arial" w:cs="Arial" w:eastAsia="Arial" w:hAnsi="Arial"/>
                <w:sz w:val="19"/>
                <w:szCs w:val="19"/>
                <w:color w:val="auto"/>
                <w:w w:val="94"/>
              </w:rPr>
              <w:t>933</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101" w:right="440"/>
        <w:spacing w:after="0" w:line="258" w:lineRule="auto"/>
        <w:rPr>
          <w:sz w:val="20"/>
          <w:szCs w:val="20"/>
          <w:color w:val="auto"/>
        </w:rPr>
      </w:pPr>
      <w:r>
        <w:rPr>
          <w:rFonts w:ascii="Arial" w:cs="Arial" w:eastAsia="Arial" w:hAnsi="Arial"/>
          <w:sz w:val="14"/>
          <w:szCs w:val="14"/>
          <w:color w:val="auto"/>
        </w:rPr>
        <w:t>Production includes consolidated operations, proportion of JV volume allocated per JV agreement &amp; third party facilities when GM engineering resources, tooling and material is used in exchange for an assembly fee</w:t>
      </w:r>
    </w:p>
    <w:p>
      <w:pPr>
        <w:spacing w:after="0" w:line="54" w:lineRule="exact"/>
        <w:rPr>
          <w:sz w:val="20"/>
          <w:szCs w:val="20"/>
          <w:color w:val="auto"/>
        </w:rPr>
      </w:pPr>
    </w:p>
    <w:p>
      <w:pPr>
        <w:ind w:left="81" w:right="240" w:hanging="81"/>
        <w:spacing w:after="0" w:line="258" w:lineRule="auto"/>
        <w:tabs>
          <w:tab w:leader="none" w:pos="93" w:val="left"/>
        </w:tabs>
        <w:numPr>
          <w:ilvl w:val="0"/>
          <w:numId w:val="15"/>
        </w:numPr>
        <w:rPr>
          <w:rFonts w:ascii="Arial" w:cs="Arial" w:eastAsia="Arial" w:hAnsi="Arial"/>
          <w:sz w:val="14"/>
          <w:szCs w:val="14"/>
          <w:color w:val="auto"/>
        </w:rPr>
      </w:pPr>
      <w:r>
        <w:rPr>
          <w:rFonts w:ascii="Arial" w:cs="Arial" w:eastAsia="Arial" w:hAnsi="Arial"/>
          <w:sz w:val="14"/>
          <w:szCs w:val="14"/>
          <w:color w:val="auto"/>
        </w:rPr>
        <w:t>Viability Plan based on 5/31 plan filed with U.S. Bankruptcy court in support of 363 sale, adjusted to include full year consolidation of GME and other items (see supplemental slides for detail)</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6</w:t>
      </w:r>
    </w:p>
    <w:p>
      <w:pPr>
        <w:sectPr>
          <w:pgSz w:w="11900" w:h="16838" w:orient="portrait"/>
          <w:cols w:equalWidth="0" w:num="1">
            <w:col w:w="10301"/>
          </w:cols>
          <w:pgMar w:left="399" w:top="587" w:right="1199" w:bottom="1440" w:gutter="0" w:footer="0" w:header="0"/>
        </w:sectPr>
      </w:pPr>
    </w:p>
    <w:bookmarkStart w:id="28" w:name="page29"/>
    <w:bookmarkEnd w:id="28"/>
    <w:p>
      <w:pPr>
        <w:ind w:left="102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27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4405" cy="5427980"/>
                    </a:xfrm>
                    <a:prstGeom prst="rect">
                      <a:avLst/>
                    </a:prstGeom>
                    <a:noFill/>
                  </pic:spPr>
                </pic:pic>
              </a:graphicData>
            </a:graphic>
          </wp:anchor>
        </w:drawing>
        <w:t>U.S. Market Performance 2009 Oct CYTD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333"/>
        </w:trPr>
        <w:tc>
          <w:tcPr>
            <w:tcW w:w="460" w:type="dxa"/>
            <w:vAlign w:val="bottom"/>
          </w:tcPr>
          <w:p>
            <w:pPr>
              <w:jc w:val="right"/>
              <w:ind w:right="6"/>
              <w:spacing w:after="0"/>
              <w:rPr>
                <w:sz w:val="20"/>
                <w:szCs w:val="20"/>
                <w:color w:val="auto"/>
              </w:rPr>
            </w:pPr>
            <w:r>
              <w:rPr>
                <w:rFonts w:ascii="Arial" w:cs="Arial" w:eastAsia="Arial" w:hAnsi="Arial"/>
                <w:sz w:val="19"/>
                <w:szCs w:val="19"/>
                <w:b w:val="1"/>
                <w:bCs w:val="1"/>
                <w:color w:val="auto"/>
                <w:w w:val="89"/>
              </w:rPr>
              <w:t>25%</w:t>
            </w:r>
          </w:p>
        </w:tc>
        <w:tc>
          <w:tcPr>
            <w:tcW w:w="3400" w:type="dxa"/>
            <w:vAlign w:val="bottom"/>
            <w:gridSpan w:val="2"/>
          </w:tcPr>
          <w:p>
            <w:pPr>
              <w:jc w:val="center"/>
              <w:ind w:left="467"/>
              <w:spacing w:after="0"/>
              <w:rPr>
                <w:sz w:val="20"/>
                <w:szCs w:val="20"/>
                <w:color w:val="auto"/>
              </w:rPr>
            </w:pPr>
            <w:r>
              <w:rPr>
                <w:rFonts w:ascii="Arial" w:cs="Arial" w:eastAsia="Arial" w:hAnsi="Arial"/>
                <w:sz w:val="22"/>
                <w:szCs w:val="22"/>
                <w:b w:val="1"/>
                <w:bCs w:val="1"/>
                <w:color w:val="auto"/>
              </w:rPr>
              <w:t>Total Share</w:t>
            </w:r>
          </w:p>
        </w:tc>
        <w:tc>
          <w:tcPr>
            <w:tcW w:w="1160" w:type="dxa"/>
            <w:vAlign w:val="bottom"/>
          </w:tcPr>
          <w:p>
            <w:pPr>
              <w:spacing w:after="0"/>
              <w:rPr>
                <w:sz w:val="24"/>
                <w:szCs w:val="24"/>
                <w:color w:val="auto"/>
              </w:rPr>
            </w:pPr>
          </w:p>
        </w:tc>
        <w:tc>
          <w:tcPr>
            <w:tcW w:w="1780" w:type="dxa"/>
            <w:vAlign w:val="bottom"/>
          </w:tcPr>
          <w:p>
            <w:pPr>
              <w:jc w:val="right"/>
              <w:ind w:right="1209"/>
              <w:spacing w:after="0"/>
              <w:rPr>
                <w:sz w:val="20"/>
                <w:szCs w:val="20"/>
                <w:color w:val="auto"/>
              </w:rPr>
            </w:pPr>
            <w:r>
              <w:rPr>
                <w:rFonts w:ascii="Arial" w:cs="Arial" w:eastAsia="Arial" w:hAnsi="Arial"/>
                <w:sz w:val="19"/>
                <w:szCs w:val="19"/>
                <w:b w:val="1"/>
                <w:bCs w:val="1"/>
                <w:color w:val="auto"/>
              </w:rPr>
              <w:t>25%</w:t>
            </w:r>
          </w:p>
        </w:tc>
        <w:tc>
          <w:tcPr>
            <w:tcW w:w="2460" w:type="dxa"/>
            <w:vAlign w:val="bottom"/>
          </w:tcPr>
          <w:p>
            <w:pPr>
              <w:jc w:val="right"/>
              <w:ind w:right="851"/>
              <w:spacing w:after="0"/>
              <w:rPr>
                <w:sz w:val="20"/>
                <w:szCs w:val="20"/>
                <w:color w:val="auto"/>
              </w:rPr>
            </w:pPr>
            <w:r>
              <w:rPr>
                <w:rFonts w:ascii="Arial" w:cs="Arial" w:eastAsia="Arial" w:hAnsi="Arial"/>
                <w:sz w:val="22"/>
                <w:szCs w:val="22"/>
                <w:b w:val="1"/>
                <w:bCs w:val="1"/>
                <w:color w:val="auto"/>
              </w:rPr>
              <w:t>Retail Share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5"/>
        </w:trPr>
        <w:tc>
          <w:tcPr>
            <w:tcW w:w="460" w:type="dxa"/>
            <w:vAlign w:val="bottom"/>
          </w:tcPr>
          <w:p>
            <w:pPr>
              <w:spacing w:after="0"/>
              <w:rPr>
                <w:sz w:val="24"/>
                <w:szCs w:val="24"/>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20.8%</w:t>
            </w:r>
          </w:p>
        </w:tc>
        <w:tc>
          <w:tcPr>
            <w:tcW w:w="1740" w:type="dxa"/>
            <w:vAlign w:val="bottom"/>
            <w:vMerge w:val="restart"/>
          </w:tcPr>
          <w:p>
            <w:pPr>
              <w:jc w:val="right"/>
              <w:ind w:right="1104"/>
              <w:spacing w:after="0"/>
              <w:rPr>
                <w:sz w:val="20"/>
                <w:szCs w:val="20"/>
                <w:color w:val="auto"/>
              </w:rPr>
            </w:pPr>
            <w:r>
              <w:rPr>
                <w:rFonts w:ascii="Arial" w:cs="Arial" w:eastAsia="Arial" w:hAnsi="Arial"/>
                <w:sz w:val="18"/>
                <w:szCs w:val="18"/>
                <w:b w:val="1"/>
                <w:bCs w:val="1"/>
                <w:color w:val="auto"/>
              </w:rPr>
              <w:t>20.4%</w:t>
            </w: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w w:val="88"/>
              </w:rPr>
              <w:t>20.6%</w:t>
            </w:r>
            <w:r>
              <w:rPr>
                <w:rFonts w:ascii="Arial" w:cs="Arial" w:eastAsia="Arial" w:hAnsi="Arial"/>
                <w:sz w:val="35"/>
                <w:szCs w:val="35"/>
                <w:b w:val="1"/>
                <w:bCs w:val="1"/>
                <w:color w:val="auto"/>
                <w:w w:val="88"/>
                <w:vertAlign w:val="superscript"/>
              </w:rPr>
              <w:t>20.8%</w:t>
            </w:r>
          </w:p>
        </w:tc>
        <w:tc>
          <w:tcPr>
            <w:tcW w:w="1780" w:type="dxa"/>
            <w:vAlign w:val="bottom"/>
          </w:tcPr>
          <w:p>
            <w:pPr>
              <w:jc w:val="right"/>
              <w:ind w:right="509"/>
              <w:spacing w:after="0"/>
              <w:rPr>
                <w:sz w:val="20"/>
                <w:szCs w:val="20"/>
                <w:color w:val="auto"/>
              </w:rPr>
            </w:pPr>
            <w:r>
              <w:rPr>
                <w:rFonts w:ascii="Arial" w:cs="Arial" w:eastAsia="Arial" w:hAnsi="Arial"/>
                <w:sz w:val="18"/>
                <w:szCs w:val="18"/>
                <w:b w:val="1"/>
                <w:bCs w:val="1"/>
                <w:color w:val="auto"/>
              </w:rPr>
              <w:t>21.1%</w:t>
            </w:r>
          </w:p>
        </w:tc>
        <w:tc>
          <w:tcPr>
            <w:tcW w:w="2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6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2460" w:type="dxa"/>
            <w:vAlign w:val="bottom"/>
            <w:vMerge w:val="restart"/>
          </w:tcPr>
          <w:p>
            <w:pPr>
              <w:jc w:val="right"/>
              <w:ind w:right="831"/>
              <w:spacing w:after="0" w:line="201" w:lineRule="exact"/>
              <w:rPr>
                <w:sz w:val="20"/>
                <w:szCs w:val="20"/>
                <w:color w:val="auto"/>
              </w:rPr>
            </w:pPr>
            <w:r>
              <w:rPr>
                <w:rFonts w:ascii="Arial" w:cs="Arial" w:eastAsia="Arial" w:hAnsi="Arial"/>
                <w:sz w:val="18"/>
                <w:szCs w:val="18"/>
                <w:b w:val="1"/>
                <w:bCs w:val="1"/>
                <w:color w:val="auto"/>
              </w:rPr>
              <w:t>19.9%</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4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740" w:type="dxa"/>
            <w:vAlign w:val="bottom"/>
          </w:tcPr>
          <w:p>
            <w:pPr>
              <w:jc w:val="right"/>
              <w:ind w:right="604"/>
              <w:spacing w:after="0" w:line="78" w:lineRule="exact"/>
              <w:rPr>
                <w:sz w:val="20"/>
                <w:szCs w:val="20"/>
                <w:color w:val="auto"/>
              </w:rPr>
            </w:pPr>
            <w:r>
              <w:rPr>
                <w:rFonts w:ascii="Arial" w:cs="Arial" w:eastAsia="Arial" w:hAnsi="Arial"/>
                <w:sz w:val="8"/>
                <w:szCs w:val="8"/>
                <w:b w:val="1"/>
                <w:bCs w:val="1"/>
                <w:color w:val="auto"/>
              </w:rPr>
              <w:t>20.2%</w:t>
            </w:r>
          </w:p>
        </w:tc>
        <w:tc>
          <w:tcPr>
            <w:tcW w:w="1160" w:type="dxa"/>
            <w:vAlign w:val="bottom"/>
          </w:tcPr>
          <w:p>
            <w:pPr>
              <w:spacing w:after="0"/>
              <w:rPr>
                <w:sz w:val="6"/>
                <w:szCs w:val="6"/>
                <w:color w:val="auto"/>
              </w:rPr>
            </w:pPr>
          </w:p>
        </w:tc>
        <w:tc>
          <w:tcPr>
            <w:tcW w:w="1780" w:type="dxa"/>
            <w:vAlign w:val="bottom"/>
            <w:vMerge w:val="restart"/>
          </w:tcPr>
          <w:p>
            <w:pPr>
              <w:jc w:val="right"/>
              <w:ind w:right="1209"/>
              <w:spacing w:after="0"/>
              <w:rPr>
                <w:sz w:val="20"/>
                <w:szCs w:val="20"/>
                <w:color w:val="auto"/>
              </w:rPr>
            </w:pPr>
            <w:r>
              <w:rPr>
                <w:rFonts w:ascii="Arial" w:cs="Arial" w:eastAsia="Arial" w:hAnsi="Arial"/>
                <w:sz w:val="19"/>
                <w:szCs w:val="19"/>
                <w:b w:val="1"/>
                <w:bCs w:val="1"/>
                <w:color w:val="auto"/>
              </w:rPr>
              <w:t>20%</w:t>
            </w:r>
          </w:p>
        </w:tc>
        <w:tc>
          <w:tcPr>
            <w:tcW w:w="2460" w:type="dxa"/>
            <w:vAlign w:val="bottom"/>
            <w:vMerge w:val="continue"/>
          </w:tcPr>
          <w:p>
            <w:pPr>
              <w:spacing w:after="0"/>
              <w:rPr>
                <w:sz w:val="6"/>
                <w:szCs w:val="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157"/>
        </w:trPr>
        <w:tc>
          <w:tcPr>
            <w:tcW w:w="460" w:type="dxa"/>
            <w:vAlign w:val="bottom"/>
            <w:vMerge w:val="restart"/>
          </w:tcPr>
          <w:p>
            <w:pPr>
              <w:jc w:val="right"/>
              <w:ind w:right="6"/>
              <w:spacing w:after="0"/>
              <w:rPr>
                <w:sz w:val="20"/>
                <w:szCs w:val="20"/>
                <w:color w:val="auto"/>
              </w:rPr>
            </w:pPr>
            <w:r>
              <w:rPr>
                <w:rFonts w:ascii="Arial" w:cs="Arial" w:eastAsia="Arial" w:hAnsi="Arial"/>
                <w:sz w:val="19"/>
                <w:szCs w:val="19"/>
                <w:b w:val="1"/>
                <w:bCs w:val="1"/>
                <w:color w:val="auto"/>
                <w:w w:val="89"/>
              </w:rPr>
              <w:t>20%</w:t>
            </w:r>
          </w:p>
        </w:tc>
        <w:tc>
          <w:tcPr>
            <w:tcW w:w="1660" w:type="dxa"/>
            <w:vAlign w:val="bottom"/>
            <w:vMerge w:val="restart"/>
          </w:tcPr>
          <w:p>
            <w:pPr>
              <w:jc w:val="right"/>
              <w:ind w:right="967"/>
              <w:spacing w:after="0"/>
              <w:rPr>
                <w:sz w:val="20"/>
                <w:szCs w:val="20"/>
                <w:color w:val="auto"/>
              </w:rPr>
            </w:pPr>
            <w:r>
              <w:rPr>
                <w:rFonts w:ascii="Arial" w:cs="Arial" w:eastAsia="Arial" w:hAnsi="Arial"/>
                <w:sz w:val="18"/>
                <w:szCs w:val="18"/>
                <w:b w:val="1"/>
                <w:bCs w:val="1"/>
                <w:color w:val="auto"/>
              </w:rPr>
              <w:t>19.3%</w:t>
            </w:r>
          </w:p>
        </w:tc>
        <w:tc>
          <w:tcPr>
            <w:tcW w:w="1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19.3%</w:t>
            </w:r>
          </w:p>
        </w:tc>
        <w:tc>
          <w:tcPr>
            <w:tcW w:w="11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60" w:type="dxa"/>
            <w:vAlign w:val="bottom"/>
            <w:vMerge w:val="continue"/>
          </w:tcPr>
          <w:p>
            <w:pPr>
              <w:spacing w:after="0"/>
              <w:rPr>
                <w:sz w:val="13"/>
                <w:szCs w:val="13"/>
                <w:color w:val="auto"/>
              </w:rPr>
            </w:pPr>
          </w:p>
        </w:tc>
        <w:tc>
          <w:tcPr>
            <w:tcW w:w="166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11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2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2"/>
        </w:trPr>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40" w:type="dxa"/>
            <w:vAlign w:val="bottom"/>
            <w:vMerge w:val="restart"/>
          </w:tcPr>
          <w:p>
            <w:pPr>
              <w:jc w:val="right"/>
              <w:ind w:right="264"/>
              <w:spacing w:after="0"/>
              <w:rPr>
                <w:sz w:val="20"/>
                <w:szCs w:val="20"/>
                <w:color w:val="auto"/>
              </w:rPr>
            </w:pPr>
            <w:r>
              <w:rPr>
                <w:rFonts w:ascii="Arial" w:cs="Arial" w:eastAsia="Arial" w:hAnsi="Arial"/>
                <w:sz w:val="18"/>
                <w:szCs w:val="18"/>
                <w:b w:val="1"/>
                <w:bCs w:val="1"/>
                <w:color w:val="auto"/>
              </w:rPr>
              <w:t>18.7%</w:t>
            </w:r>
          </w:p>
        </w:tc>
        <w:tc>
          <w:tcPr>
            <w:tcW w:w="1160" w:type="dxa"/>
            <w:vAlign w:val="bottom"/>
          </w:tcPr>
          <w:p>
            <w:pPr>
              <w:spacing w:after="0"/>
              <w:rPr>
                <w:sz w:val="24"/>
                <w:szCs w:val="24"/>
                <w:color w:val="auto"/>
              </w:rPr>
            </w:pPr>
          </w:p>
        </w:tc>
        <w:tc>
          <w:tcPr>
            <w:tcW w:w="1780" w:type="dxa"/>
            <w:vAlign w:val="bottom"/>
          </w:tcPr>
          <w:p>
            <w:pPr>
              <w:jc w:val="right"/>
              <w:ind w:right="409"/>
              <w:spacing w:after="0"/>
              <w:rPr>
                <w:sz w:val="20"/>
                <w:szCs w:val="20"/>
                <w:color w:val="auto"/>
              </w:rPr>
            </w:pPr>
            <w:r>
              <w:rPr>
                <w:rFonts w:ascii="Arial" w:cs="Arial" w:eastAsia="Arial" w:hAnsi="Arial"/>
                <w:sz w:val="18"/>
                <w:szCs w:val="18"/>
                <w:b w:val="1"/>
                <w:bCs w:val="1"/>
                <w:color w:val="auto"/>
              </w:rPr>
              <w:t>19.0%</w:t>
            </w:r>
          </w:p>
        </w:tc>
        <w:tc>
          <w:tcPr>
            <w:tcW w:w="2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60" w:type="dxa"/>
            <w:vAlign w:val="bottom"/>
          </w:tcPr>
          <w:p>
            <w:pPr>
              <w:spacing w:after="0"/>
              <w:rPr>
                <w:sz w:val="8"/>
                <w:szCs w:val="8"/>
                <w:color w:val="auto"/>
              </w:rPr>
            </w:pPr>
          </w:p>
        </w:tc>
        <w:tc>
          <w:tcPr>
            <w:tcW w:w="1660" w:type="dxa"/>
            <w:vAlign w:val="bottom"/>
            <w:vMerge w:val="restart"/>
          </w:tcPr>
          <w:p>
            <w:pPr>
              <w:jc w:val="right"/>
              <w:ind w:right="247"/>
              <w:spacing w:after="0" w:line="288" w:lineRule="exact"/>
              <w:rPr>
                <w:sz w:val="20"/>
                <w:szCs w:val="20"/>
                <w:color w:val="auto"/>
              </w:rPr>
            </w:pPr>
            <w:r>
              <w:rPr>
                <w:rFonts w:ascii="Arial" w:cs="Arial" w:eastAsia="Arial" w:hAnsi="Arial"/>
                <w:sz w:val="17"/>
                <w:szCs w:val="17"/>
                <w:b w:val="1"/>
                <w:bCs w:val="1"/>
                <w:color w:val="auto"/>
              </w:rPr>
              <w:t>18.1%</w:t>
            </w:r>
            <w:r>
              <w:rPr>
                <w:rFonts w:ascii="Arial" w:cs="Arial" w:eastAsia="Arial" w:hAnsi="Arial"/>
                <w:sz w:val="33"/>
                <w:szCs w:val="33"/>
                <w:b w:val="1"/>
                <w:bCs w:val="1"/>
                <w:color w:val="auto"/>
                <w:vertAlign w:val="subscript"/>
              </w:rPr>
              <w:t>17.9%</w:t>
            </w:r>
          </w:p>
        </w:tc>
        <w:tc>
          <w:tcPr>
            <w:tcW w:w="174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18.0%</w:t>
            </w:r>
          </w:p>
        </w:tc>
        <w:tc>
          <w:tcPr>
            <w:tcW w:w="2460" w:type="dxa"/>
            <w:vAlign w:val="bottom"/>
            <w:vMerge w:val="restart"/>
          </w:tcPr>
          <w:p>
            <w:pPr>
              <w:jc w:val="right"/>
              <w:ind w:right="611"/>
              <w:spacing w:after="0"/>
              <w:rPr>
                <w:sz w:val="20"/>
                <w:szCs w:val="20"/>
                <w:color w:val="auto"/>
              </w:rPr>
            </w:pPr>
            <w:r>
              <w:rPr>
                <w:rFonts w:ascii="Arial" w:cs="Arial" w:eastAsia="Arial" w:hAnsi="Arial"/>
                <w:sz w:val="18"/>
                <w:szCs w:val="18"/>
                <w:b w:val="1"/>
                <w:bCs w:val="1"/>
                <w:color w:val="auto"/>
              </w:rPr>
              <w:t>17.7%</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246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60" w:type="dxa"/>
            <w:vAlign w:val="bottom"/>
          </w:tcPr>
          <w:p>
            <w:pPr>
              <w:jc w:val="right"/>
              <w:ind w:right="1271"/>
              <w:spacing w:after="0" w:line="207" w:lineRule="exact"/>
              <w:rPr>
                <w:sz w:val="20"/>
                <w:szCs w:val="20"/>
                <w:color w:val="auto"/>
              </w:rPr>
            </w:pPr>
            <w:r>
              <w:rPr>
                <w:rFonts w:ascii="Arial" w:cs="Arial" w:eastAsia="Arial" w:hAnsi="Arial"/>
                <w:sz w:val="13"/>
                <w:szCs w:val="13"/>
                <w:b w:val="1"/>
                <w:bCs w:val="1"/>
                <w:color w:val="auto"/>
              </w:rPr>
              <w:t xml:space="preserve">17.2% </w:t>
            </w:r>
            <w:r>
              <w:rPr>
                <w:rFonts w:ascii="Arial" w:cs="Arial" w:eastAsia="Arial" w:hAnsi="Arial"/>
                <w:sz w:val="23"/>
                <w:szCs w:val="23"/>
                <w:b w:val="1"/>
                <w:bCs w:val="1"/>
                <w:color w:val="auto"/>
                <w:vertAlign w:val="superscript"/>
              </w:rPr>
              <w:t>17.4%</w:t>
            </w:r>
          </w:p>
        </w:tc>
        <w:tc>
          <w:tcPr>
            <w:tcW w:w="900" w:type="dxa"/>
            <w:vAlign w:val="bottom"/>
            <w:vMerge w:val="restart"/>
          </w:tcPr>
          <w:p>
            <w:pPr>
              <w:jc w:val="right"/>
              <w:ind w:right="252"/>
              <w:spacing w:after="0"/>
              <w:rPr>
                <w:sz w:val="20"/>
                <w:szCs w:val="20"/>
                <w:color w:val="auto"/>
              </w:rPr>
            </w:pPr>
            <w:r>
              <w:rPr>
                <w:rFonts w:ascii="Arial" w:cs="Arial" w:eastAsia="Arial" w:hAnsi="Arial"/>
                <w:sz w:val="18"/>
                <w:szCs w:val="18"/>
                <w:b w:val="1"/>
                <w:bCs w:val="1"/>
                <w:color w:val="auto"/>
              </w:rPr>
              <w:t>17.0%</w:t>
            </w:r>
          </w:p>
        </w:tc>
        <w:tc>
          <w:tcPr>
            <w:tcW w:w="0" w:type="dxa"/>
            <w:vAlign w:val="bottom"/>
          </w:tcPr>
          <w:p>
            <w:pPr>
              <w:spacing w:after="0"/>
              <w:rPr>
                <w:sz w:val="1"/>
                <w:szCs w:val="1"/>
                <w:color w:val="auto"/>
              </w:rPr>
            </w:pPr>
          </w:p>
        </w:tc>
      </w:tr>
      <w:tr>
        <w:trPr>
          <w:trHeight w:val="234"/>
        </w:trPr>
        <w:tc>
          <w:tcPr>
            <w:tcW w:w="460" w:type="dxa"/>
            <w:vAlign w:val="bottom"/>
            <w:vMerge w:val="restart"/>
          </w:tcPr>
          <w:p>
            <w:pPr>
              <w:jc w:val="right"/>
              <w:ind w:right="6"/>
              <w:spacing w:after="0"/>
              <w:rPr>
                <w:sz w:val="20"/>
                <w:szCs w:val="20"/>
                <w:color w:val="auto"/>
              </w:rPr>
            </w:pPr>
            <w:r>
              <w:rPr>
                <w:rFonts w:ascii="Arial" w:cs="Arial" w:eastAsia="Arial" w:hAnsi="Arial"/>
                <w:sz w:val="19"/>
                <w:szCs w:val="19"/>
                <w:b w:val="1"/>
                <w:bCs w:val="1"/>
                <w:color w:val="auto"/>
                <w:w w:val="89"/>
              </w:rPr>
              <w:t>15%</w:t>
            </w:r>
          </w:p>
        </w:tc>
        <w:tc>
          <w:tcPr>
            <w:tcW w:w="16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80" w:type="dxa"/>
            <w:vAlign w:val="bottom"/>
            <w:vMerge w:val="restart"/>
          </w:tcPr>
          <w:p>
            <w:pPr>
              <w:jc w:val="right"/>
              <w:ind w:right="1209"/>
              <w:spacing w:after="0"/>
              <w:rPr>
                <w:sz w:val="20"/>
                <w:szCs w:val="20"/>
                <w:color w:val="auto"/>
              </w:rPr>
            </w:pPr>
            <w:r>
              <w:rPr>
                <w:rFonts w:ascii="Arial" w:cs="Arial" w:eastAsia="Arial" w:hAnsi="Arial"/>
                <w:sz w:val="19"/>
                <w:szCs w:val="19"/>
                <w:b w:val="1"/>
                <w:bCs w:val="1"/>
                <w:color w:val="auto"/>
              </w:rPr>
              <w:t>15%</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460" w:type="dxa"/>
            <w:vAlign w:val="bottom"/>
            <w:vMerge w:val="continue"/>
          </w:tcPr>
          <w:p>
            <w:pPr>
              <w:spacing w:after="0"/>
              <w:rPr>
                <w:sz w:val="8"/>
                <w:szCs w:val="8"/>
                <w:color w:val="auto"/>
              </w:rPr>
            </w:pPr>
          </w:p>
        </w:tc>
        <w:tc>
          <w:tcPr>
            <w:tcW w:w="16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250"/>
        </w:trPr>
        <w:tc>
          <w:tcPr>
            <w:tcW w:w="1340" w:type="dxa"/>
            <w:vAlign w:val="bottom"/>
          </w:tcPr>
          <w:p>
            <w:pPr>
              <w:ind w:left="40"/>
              <w:spacing w:after="0"/>
              <w:rPr>
                <w:sz w:val="20"/>
                <w:szCs w:val="20"/>
                <w:color w:val="auto"/>
              </w:rPr>
            </w:pPr>
            <w:r>
              <w:rPr>
                <w:rFonts w:ascii="Arial" w:cs="Arial" w:eastAsia="Arial" w:hAnsi="Arial"/>
                <w:sz w:val="19"/>
                <w:szCs w:val="19"/>
                <w:b w:val="1"/>
                <w:bCs w:val="1"/>
                <w:color w:val="auto"/>
              </w:rPr>
              <w:t>10%</w:t>
            </w:r>
          </w:p>
        </w:tc>
        <w:tc>
          <w:tcPr>
            <w:tcW w:w="1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40" w:type="dxa"/>
            <w:vAlign w:val="bottom"/>
            <w:gridSpan w:val="2"/>
          </w:tcPr>
          <w:p>
            <w:pPr>
              <w:jc w:val="right"/>
              <w:ind w:right="506"/>
              <w:spacing w:after="0"/>
              <w:rPr>
                <w:sz w:val="20"/>
                <w:szCs w:val="20"/>
                <w:color w:val="auto"/>
              </w:rPr>
            </w:pPr>
            <w:r>
              <w:rPr>
                <w:rFonts w:ascii="Arial" w:cs="Arial" w:eastAsia="Arial" w:hAnsi="Arial"/>
                <w:sz w:val="19"/>
                <w:szCs w:val="19"/>
                <w:b w:val="1"/>
                <w:bCs w:val="1"/>
                <w:color w:val="auto"/>
              </w:rPr>
              <w:t>10%</w:t>
            </w: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260"/>
              <w:spacing w:after="0"/>
              <w:rPr>
                <w:sz w:val="20"/>
                <w:szCs w:val="20"/>
                <w:color w:val="auto"/>
              </w:rPr>
            </w:pPr>
            <w:r>
              <w:rPr>
                <w:rFonts w:ascii="Arial" w:cs="Arial" w:eastAsia="Arial" w:hAnsi="Arial"/>
                <w:sz w:val="19"/>
                <w:szCs w:val="19"/>
                <w:b w:val="1"/>
                <w:bCs w:val="1"/>
                <w:color w:val="auto"/>
              </w:rPr>
              <w:t>Jan-09</w:t>
            </w:r>
          </w:p>
        </w:tc>
        <w:tc>
          <w:tcPr>
            <w:tcW w:w="1500" w:type="dxa"/>
            <w:vAlign w:val="bottom"/>
          </w:tcPr>
          <w:p>
            <w:pPr>
              <w:ind w:left="240"/>
              <w:spacing w:after="0"/>
              <w:rPr>
                <w:sz w:val="20"/>
                <w:szCs w:val="20"/>
                <w:color w:val="auto"/>
              </w:rPr>
            </w:pPr>
            <w:r>
              <w:rPr>
                <w:rFonts w:ascii="Arial" w:cs="Arial" w:eastAsia="Arial" w:hAnsi="Arial"/>
                <w:sz w:val="19"/>
                <w:szCs w:val="19"/>
                <w:b w:val="1"/>
                <w:bCs w:val="1"/>
                <w:color w:val="auto"/>
              </w:rPr>
              <w:t>Apr-09</w:t>
            </w:r>
          </w:p>
        </w:tc>
        <w:tc>
          <w:tcPr>
            <w:tcW w:w="840" w:type="dxa"/>
            <w:vAlign w:val="bottom"/>
          </w:tcPr>
          <w:p>
            <w:pPr>
              <w:ind w:left="100"/>
              <w:spacing w:after="0"/>
              <w:rPr>
                <w:sz w:val="20"/>
                <w:szCs w:val="20"/>
                <w:color w:val="auto"/>
              </w:rPr>
            </w:pPr>
            <w:r>
              <w:rPr>
                <w:rFonts w:ascii="Arial" w:cs="Arial" w:eastAsia="Arial" w:hAnsi="Arial"/>
                <w:sz w:val="19"/>
                <w:szCs w:val="19"/>
                <w:b w:val="1"/>
                <w:bCs w:val="1"/>
                <w:color w:val="auto"/>
              </w:rPr>
              <w:t>Jul-09</w:t>
            </w:r>
          </w:p>
        </w:tc>
        <w:tc>
          <w:tcPr>
            <w:tcW w:w="1620" w:type="dxa"/>
            <w:vAlign w:val="bottom"/>
            <w:gridSpan w:val="2"/>
          </w:tcPr>
          <w:p>
            <w:pPr>
              <w:ind w:left="580"/>
              <w:spacing w:after="0"/>
              <w:rPr>
                <w:sz w:val="20"/>
                <w:szCs w:val="20"/>
                <w:color w:val="auto"/>
              </w:rPr>
            </w:pPr>
            <w:r>
              <w:rPr>
                <w:rFonts w:ascii="Arial" w:cs="Arial" w:eastAsia="Arial" w:hAnsi="Arial"/>
                <w:sz w:val="19"/>
                <w:szCs w:val="19"/>
                <w:b w:val="1"/>
                <w:bCs w:val="1"/>
                <w:color w:val="auto"/>
              </w:rPr>
              <w:t>Oct-09</w:t>
            </w:r>
          </w:p>
        </w:tc>
        <w:tc>
          <w:tcPr>
            <w:tcW w:w="84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9"/>
              </w:rPr>
              <w:t>Jan-09</w:t>
            </w:r>
          </w:p>
        </w:tc>
        <w:tc>
          <w:tcPr>
            <w:tcW w:w="1620" w:type="dxa"/>
            <w:vAlign w:val="bottom"/>
            <w:gridSpan w:val="2"/>
            <w:vMerge w:val="restart"/>
          </w:tcPr>
          <w:p>
            <w:pPr>
              <w:ind w:left="620"/>
              <w:spacing w:after="0"/>
              <w:rPr>
                <w:sz w:val="20"/>
                <w:szCs w:val="20"/>
                <w:color w:val="auto"/>
              </w:rPr>
            </w:pPr>
            <w:r>
              <w:rPr>
                <w:rFonts w:ascii="Arial" w:cs="Arial" w:eastAsia="Arial" w:hAnsi="Arial"/>
                <w:sz w:val="19"/>
                <w:szCs w:val="19"/>
                <w:b w:val="1"/>
                <w:bCs w:val="1"/>
                <w:color w:val="auto"/>
              </w:rPr>
              <w:t>Apr-09</w:t>
            </w:r>
          </w:p>
        </w:tc>
        <w:tc>
          <w:tcPr>
            <w:tcW w:w="1640" w:type="dxa"/>
            <w:vAlign w:val="bottom"/>
            <w:gridSpan w:val="2"/>
            <w:vMerge w:val="restart"/>
          </w:tcPr>
          <w:p>
            <w:pPr>
              <w:ind w:left="420"/>
              <w:spacing w:after="0"/>
              <w:rPr>
                <w:sz w:val="20"/>
                <w:szCs w:val="20"/>
                <w:color w:val="auto"/>
              </w:rPr>
            </w:pPr>
            <w:r>
              <w:rPr>
                <w:rFonts w:ascii="Arial" w:cs="Arial" w:eastAsia="Arial" w:hAnsi="Arial"/>
                <w:sz w:val="19"/>
                <w:szCs w:val="19"/>
                <w:b w:val="1"/>
                <w:bCs w:val="1"/>
                <w:color w:val="auto"/>
              </w:rPr>
              <w:t>Jul-09</w:t>
            </w:r>
          </w:p>
        </w:tc>
        <w:tc>
          <w:tcPr>
            <w:tcW w:w="700" w:type="dxa"/>
            <w:vAlign w:val="bottom"/>
            <w:vMerge w:val="restart"/>
          </w:tcPr>
          <w:p>
            <w:pPr>
              <w:jc w:val="center"/>
              <w:ind w:left="26"/>
              <w:spacing w:after="0"/>
              <w:rPr>
                <w:sz w:val="20"/>
                <w:szCs w:val="20"/>
                <w:color w:val="auto"/>
              </w:rPr>
            </w:pPr>
            <w:r>
              <w:rPr>
                <w:rFonts w:ascii="Arial" w:cs="Arial" w:eastAsia="Arial" w:hAnsi="Arial"/>
                <w:sz w:val="19"/>
                <w:szCs w:val="19"/>
                <w:b w:val="1"/>
                <w:bCs w:val="1"/>
                <w:color w:val="auto"/>
                <w:w w:val="98"/>
              </w:rPr>
              <w:t>Oct-09</w:t>
            </w:r>
          </w:p>
        </w:tc>
        <w:tc>
          <w:tcPr>
            <w:tcW w:w="0" w:type="dxa"/>
            <w:vAlign w:val="bottom"/>
          </w:tcPr>
          <w:p>
            <w:pPr>
              <w:spacing w:after="0"/>
              <w:rPr>
                <w:sz w:val="1"/>
                <w:szCs w:val="1"/>
                <w:color w:val="auto"/>
              </w:rPr>
            </w:pPr>
          </w:p>
        </w:tc>
      </w:tr>
      <w:tr>
        <w:trPr>
          <w:trHeight w:val="71"/>
        </w:trPr>
        <w:tc>
          <w:tcPr>
            <w:tcW w:w="13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7"/>
        </w:trPr>
        <w:tc>
          <w:tcPr>
            <w:tcW w:w="1340" w:type="dxa"/>
            <w:vAlign w:val="bottom"/>
          </w:tcPr>
          <w:p>
            <w:pPr>
              <w:spacing w:after="0"/>
              <w:rPr>
                <w:sz w:val="20"/>
                <w:szCs w:val="20"/>
                <w:color w:val="auto"/>
              </w:rPr>
            </w:pPr>
            <w:r>
              <w:rPr>
                <w:rFonts w:ascii="Arial" w:cs="Arial" w:eastAsia="Arial" w:hAnsi="Arial"/>
                <w:sz w:val="19"/>
                <w:szCs w:val="19"/>
                <w:b w:val="1"/>
                <w:bCs w:val="1"/>
                <w:color w:val="FFFFFF"/>
              </w:rPr>
              <w:t>Core Brands</w:t>
            </w:r>
          </w:p>
        </w:tc>
        <w:tc>
          <w:tcPr>
            <w:tcW w:w="1500" w:type="dxa"/>
            <w:vAlign w:val="bottom"/>
          </w:tcPr>
          <w:p>
            <w:pPr>
              <w:jc w:val="center"/>
              <w:ind w:left="626"/>
              <w:spacing w:after="0"/>
              <w:rPr>
                <w:sz w:val="20"/>
                <w:szCs w:val="20"/>
                <w:color w:val="auto"/>
              </w:rPr>
            </w:pPr>
            <w:r>
              <w:rPr>
                <w:rFonts w:ascii="Arial" w:cs="Arial" w:eastAsia="Arial" w:hAnsi="Arial"/>
                <w:sz w:val="19"/>
                <w:szCs w:val="19"/>
                <w:b w:val="1"/>
                <w:bCs w:val="1"/>
                <w:color w:val="FFFFFF"/>
              </w:rPr>
              <w:t>Jan</w:t>
            </w:r>
          </w:p>
        </w:tc>
        <w:tc>
          <w:tcPr>
            <w:tcW w:w="840" w:type="dxa"/>
            <w:vAlign w:val="bottom"/>
          </w:tcPr>
          <w:p>
            <w:pPr>
              <w:jc w:val="center"/>
              <w:spacing w:after="0"/>
              <w:rPr>
                <w:sz w:val="20"/>
                <w:szCs w:val="20"/>
                <w:color w:val="auto"/>
              </w:rPr>
            </w:pPr>
            <w:r>
              <w:rPr>
                <w:rFonts w:ascii="Arial" w:cs="Arial" w:eastAsia="Arial" w:hAnsi="Arial"/>
                <w:sz w:val="19"/>
                <w:szCs w:val="19"/>
                <w:b w:val="1"/>
                <w:bCs w:val="1"/>
                <w:color w:val="FFFFFF"/>
              </w:rPr>
              <w:t>Feb</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FFFFFF"/>
              </w:rPr>
              <w:t>Mar</w:t>
            </w:r>
          </w:p>
        </w:tc>
        <w:tc>
          <w:tcPr>
            <w:tcW w:w="800" w:type="dxa"/>
            <w:vAlign w:val="bottom"/>
          </w:tcPr>
          <w:p>
            <w:pPr>
              <w:jc w:val="center"/>
              <w:spacing w:after="0"/>
              <w:rPr>
                <w:sz w:val="20"/>
                <w:szCs w:val="20"/>
                <w:color w:val="auto"/>
              </w:rPr>
            </w:pPr>
            <w:r>
              <w:rPr>
                <w:rFonts w:ascii="Arial" w:cs="Arial" w:eastAsia="Arial" w:hAnsi="Arial"/>
                <w:sz w:val="19"/>
                <w:szCs w:val="19"/>
                <w:b w:val="1"/>
                <w:bCs w:val="1"/>
                <w:color w:val="FFFFFF"/>
                <w:w w:val="97"/>
              </w:rPr>
              <w:t>Apr</w:t>
            </w:r>
          </w:p>
        </w:tc>
        <w:tc>
          <w:tcPr>
            <w:tcW w:w="840" w:type="dxa"/>
            <w:vAlign w:val="bottom"/>
          </w:tcPr>
          <w:p>
            <w:pPr>
              <w:jc w:val="center"/>
              <w:spacing w:after="0"/>
              <w:rPr>
                <w:sz w:val="20"/>
                <w:szCs w:val="20"/>
                <w:color w:val="auto"/>
              </w:rPr>
            </w:pPr>
            <w:r>
              <w:rPr>
                <w:rFonts w:ascii="Arial" w:cs="Arial" w:eastAsia="Arial" w:hAnsi="Arial"/>
                <w:sz w:val="19"/>
                <w:szCs w:val="19"/>
                <w:b w:val="1"/>
                <w:bCs w:val="1"/>
                <w:color w:val="FFFFFF"/>
                <w:w w:val="97"/>
              </w:rPr>
              <w:t>May</w:t>
            </w:r>
          </w:p>
        </w:tc>
        <w:tc>
          <w:tcPr>
            <w:tcW w:w="800" w:type="dxa"/>
            <w:vAlign w:val="bottom"/>
          </w:tcPr>
          <w:p>
            <w:pPr>
              <w:jc w:val="center"/>
              <w:spacing w:after="0"/>
              <w:rPr>
                <w:sz w:val="20"/>
                <w:szCs w:val="20"/>
                <w:color w:val="auto"/>
              </w:rPr>
            </w:pPr>
            <w:r>
              <w:rPr>
                <w:rFonts w:ascii="Arial" w:cs="Arial" w:eastAsia="Arial" w:hAnsi="Arial"/>
                <w:sz w:val="19"/>
                <w:szCs w:val="19"/>
                <w:b w:val="1"/>
                <w:bCs w:val="1"/>
                <w:color w:val="FFFFFF"/>
              </w:rPr>
              <w:t>Jun</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FFFFFF"/>
                <w:w w:val="94"/>
              </w:rPr>
              <w:t>Jul</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FFFFFF"/>
                <w:w w:val="97"/>
              </w:rPr>
              <w:t>Aug</w:t>
            </w:r>
          </w:p>
        </w:tc>
        <w:tc>
          <w:tcPr>
            <w:tcW w:w="820" w:type="dxa"/>
            <w:vAlign w:val="bottom"/>
          </w:tcPr>
          <w:p>
            <w:pPr>
              <w:jc w:val="center"/>
              <w:spacing w:after="0"/>
              <w:rPr>
                <w:sz w:val="20"/>
                <w:szCs w:val="20"/>
                <w:color w:val="auto"/>
              </w:rPr>
            </w:pPr>
            <w:r>
              <w:rPr>
                <w:rFonts w:ascii="Arial" w:cs="Arial" w:eastAsia="Arial" w:hAnsi="Arial"/>
                <w:sz w:val="19"/>
                <w:szCs w:val="19"/>
                <w:b w:val="1"/>
                <w:bCs w:val="1"/>
                <w:color w:val="FFFFFF"/>
                <w:w w:val="97"/>
              </w:rPr>
              <w:t>Sep</w:t>
            </w:r>
          </w:p>
        </w:tc>
        <w:tc>
          <w:tcPr>
            <w:tcW w:w="700" w:type="dxa"/>
            <w:vAlign w:val="bottom"/>
          </w:tcPr>
          <w:p>
            <w:pPr>
              <w:jc w:val="center"/>
              <w:ind w:left="46"/>
              <w:spacing w:after="0"/>
              <w:rPr>
                <w:sz w:val="20"/>
                <w:szCs w:val="20"/>
                <w:color w:val="auto"/>
              </w:rPr>
            </w:pPr>
            <w:r>
              <w:rPr>
                <w:rFonts w:ascii="Arial" w:cs="Arial" w:eastAsia="Arial" w:hAnsi="Arial"/>
                <w:sz w:val="19"/>
                <w:szCs w:val="19"/>
                <w:b w:val="1"/>
                <w:bCs w:val="1"/>
                <w:color w:val="FFFFFF"/>
              </w:rPr>
              <w:t>Oct</w:t>
            </w:r>
          </w:p>
        </w:tc>
        <w:tc>
          <w:tcPr>
            <w:tcW w:w="0" w:type="dxa"/>
            <w:vAlign w:val="bottom"/>
          </w:tcPr>
          <w:p>
            <w:pPr>
              <w:spacing w:after="0"/>
              <w:rPr>
                <w:sz w:val="1"/>
                <w:szCs w:val="1"/>
                <w:color w:val="auto"/>
              </w:rPr>
            </w:pPr>
          </w:p>
        </w:tc>
      </w:tr>
      <w:tr>
        <w:trPr>
          <w:trHeight w:val="353"/>
        </w:trPr>
        <w:tc>
          <w:tcPr>
            <w:tcW w:w="1340" w:type="dxa"/>
            <w:vAlign w:val="bottom"/>
          </w:tcPr>
          <w:p>
            <w:pPr>
              <w:spacing w:after="0"/>
              <w:rPr>
                <w:sz w:val="20"/>
                <w:szCs w:val="20"/>
                <w:color w:val="auto"/>
              </w:rPr>
            </w:pPr>
            <w:r>
              <w:rPr>
                <w:rFonts w:ascii="Arial" w:cs="Arial" w:eastAsia="Arial" w:hAnsi="Arial"/>
                <w:sz w:val="19"/>
                <w:szCs w:val="19"/>
                <w:color w:val="auto"/>
              </w:rPr>
              <w:t>Total Share</w:t>
            </w:r>
          </w:p>
        </w:tc>
        <w:tc>
          <w:tcPr>
            <w:tcW w:w="1500" w:type="dxa"/>
            <w:vAlign w:val="bottom"/>
          </w:tcPr>
          <w:p>
            <w:pPr>
              <w:jc w:val="center"/>
              <w:ind w:left="626"/>
              <w:spacing w:after="0"/>
              <w:rPr>
                <w:sz w:val="20"/>
                <w:szCs w:val="20"/>
                <w:color w:val="auto"/>
              </w:rPr>
            </w:pPr>
            <w:r>
              <w:rPr>
                <w:rFonts w:ascii="Arial" w:cs="Arial" w:eastAsia="Arial" w:hAnsi="Arial"/>
                <w:sz w:val="19"/>
                <w:szCs w:val="19"/>
                <w:color w:val="auto"/>
              </w:rPr>
              <w:t>16.7%</w:t>
            </w:r>
          </w:p>
        </w:tc>
        <w:tc>
          <w:tcPr>
            <w:tcW w:w="840" w:type="dxa"/>
            <w:vAlign w:val="bottom"/>
          </w:tcPr>
          <w:p>
            <w:pPr>
              <w:jc w:val="center"/>
              <w:spacing w:after="0"/>
              <w:rPr>
                <w:sz w:val="20"/>
                <w:szCs w:val="20"/>
                <w:color w:val="auto"/>
              </w:rPr>
            </w:pPr>
            <w:r>
              <w:rPr>
                <w:rFonts w:ascii="Arial" w:cs="Arial" w:eastAsia="Arial" w:hAnsi="Arial"/>
                <w:sz w:val="19"/>
                <w:szCs w:val="19"/>
                <w:color w:val="auto"/>
              </w:rPr>
              <w:t>15.0%</w:t>
            </w:r>
          </w:p>
        </w:tc>
        <w:tc>
          <w:tcPr>
            <w:tcW w:w="820" w:type="dxa"/>
            <w:vAlign w:val="bottom"/>
          </w:tcPr>
          <w:p>
            <w:pPr>
              <w:jc w:val="center"/>
              <w:spacing w:after="0"/>
              <w:rPr>
                <w:sz w:val="20"/>
                <w:szCs w:val="20"/>
                <w:color w:val="auto"/>
              </w:rPr>
            </w:pPr>
            <w:r>
              <w:rPr>
                <w:rFonts w:ascii="Arial" w:cs="Arial" w:eastAsia="Arial" w:hAnsi="Arial"/>
                <w:sz w:val="19"/>
                <w:szCs w:val="19"/>
                <w:color w:val="auto"/>
                <w:w w:val="96"/>
              </w:rPr>
              <w:t>14.8%</w:t>
            </w:r>
          </w:p>
        </w:tc>
        <w:tc>
          <w:tcPr>
            <w:tcW w:w="800" w:type="dxa"/>
            <w:vAlign w:val="bottom"/>
          </w:tcPr>
          <w:p>
            <w:pPr>
              <w:jc w:val="center"/>
              <w:spacing w:after="0"/>
              <w:rPr>
                <w:sz w:val="20"/>
                <w:szCs w:val="20"/>
                <w:color w:val="auto"/>
              </w:rPr>
            </w:pPr>
            <w:r>
              <w:rPr>
                <w:rFonts w:ascii="Arial" w:cs="Arial" w:eastAsia="Arial" w:hAnsi="Arial"/>
                <w:sz w:val="19"/>
                <w:szCs w:val="19"/>
                <w:color w:val="auto"/>
              </w:rPr>
              <w:t>18.4%</w:t>
            </w:r>
          </w:p>
        </w:tc>
        <w:tc>
          <w:tcPr>
            <w:tcW w:w="840" w:type="dxa"/>
            <w:vAlign w:val="bottom"/>
          </w:tcPr>
          <w:p>
            <w:pPr>
              <w:jc w:val="center"/>
              <w:spacing w:after="0"/>
              <w:rPr>
                <w:sz w:val="20"/>
                <w:szCs w:val="20"/>
                <w:color w:val="auto"/>
              </w:rPr>
            </w:pPr>
            <w:r>
              <w:rPr>
                <w:rFonts w:ascii="Arial" w:cs="Arial" w:eastAsia="Arial" w:hAnsi="Arial"/>
                <w:sz w:val="19"/>
                <w:szCs w:val="19"/>
                <w:color w:val="auto"/>
                <w:w w:val="96"/>
              </w:rPr>
              <w:t>18.0%</w:t>
            </w:r>
          </w:p>
        </w:tc>
        <w:tc>
          <w:tcPr>
            <w:tcW w:w="800" w:type="dxa"/>
            <w:vAlign w:val="bottom"/>
          </w:tcPr>
          <w:p>
            <w:pPr>
              <w:jc w:val="center"/>
              <w:spacing w:after="0"/>
              <w:rPr>
                <w:sz w:val="20"/>
                <w:szCs w:val="20"/>
                <w:color w:val="auto"/>
              </w:rPr>
            </w:pPr>
            <w:r>
              <w:rPr>
                <w:rFonts w:ascii="Arial" w:cs="Arial" w:eastAsia="Arial" w:hAnsi="Arial"/>
                <w:sz w:val="19"/>
                <w:szCs w:val="19"/>
                <w:color w:val="auto"/>
                <w:w w:val="96"/>
              </w:rPr>
              <w:t>16.4%</w:t>
            </w:r>
          </w:p>
        </w:tc>
        <w:tc>
          <w:tcPr>
            <w:tcW w:w="820" w:type="dxa"/>
            <w:vAlign w:val="bottom"/>
          </w:tcPr>
          <w:p>
            <w:pPr>
              <w:jc w:val="center"/>
              <w:spacing w:after="0"/>
              <w:rPr>
                <w:sz w:val="20"/>
                <w:szCs w:val="20"/>
                <w:color w:val="auto"/>
              </w:rPr>
            </w:pPr>
            <w:r>
              <w:rPr>
                <w:rFonts w:ascii="Arial" w:cs="Arial" w:eastAsia="Arial" w:hAnsi="Arial"/>
                <w:sz w:val="19"/>
                <w:szCs w:val="19"/>
                <w:color w:val="auto"/>
              </w:rPr>
              <w:t>15.8%</w:t>
            </w:r>
          </w:p>
        </w:tc>
        <w:tc>
          <w:tcPr>
            <w:tcW w:w="820" w:type="dxa"/>
            <w:vAlign w:val="bottom"/>
          </w:tcPr>
          <w:p>
            <w:pPr>
              <w:jc w:val="center"/>
              <w:spacing w:after="0"/>
              <w:rPr>
                <w:sz w:val="20"/>
                <w:szCs w:val="20"/>
                <w:color w:val="auto"/>
              </w:rPr>
            </w:pPr>
            <w:r>
              <w:rPr>
                <w:rFonts w:ascii="Arial" w:cs="Arial" w:eastAsia="Arial" w:hAnsi="Arial"/>
                <w:sz w:val="19"/>
                <w:szCs w:val="19"/>
                <w:color w:val="auto"/>
              </w:rPr>
              <w:t>16.2%</w:t>
            </w:r>
          </w:p>
        </w:tc>
        <w:tc>
          <w:tcPr>
            <w:tcW w:w="820" w:type="dxa"/>
            <w:vAlign w:val="bottom"/>
          </w:tcPr>
          <w:p>
            <w:pPr>
              <w:jc w:val="center"/>
              <w:spacing w:after="0"/>
              <w:rPr>
                <w:sz w:val="20"/>
                <w:szCs w:val="20"/>
                <w:color w:val="auto"/>
              </w:rPr>
            </w:pPr>
            <w:r>
              <w:rPr>
                <w:rFonts w:ascii="Arial" w:cs="Arial" w:eastAsia="Arial" w:hAnsi="Arial"/>
                <w:sz w:val="19"/>
                <w:szCs w:val="19"/>
                <w:color w:val="auto"/>
                <w:w w:val="96"/>
              </w:rPr>
              <w:t>18.6%</w:t>
            </w:r>
          </w:p>
        </w:tc>
        <w:tc>
          <w:tcPr>
            <w:tcW w:w="700" w:type="dxa"/>
            <w:vAlign w:val="bottom"/>
          </w:tcPr>
          <w:p>
            <w:pPr>
              <w:jc w:val="center"/>
              <w:ind w:left="26"/>
              <w:spacing w:after="0"/>
              <w:rPr>
                <w:sz w:val="20"/>
                <w:szCs w:val="20"/>
                <w:color w:val="auto"/>
              </w:rPr>
            </w:pPr>
            <w:r>
              <w:rPr>
                <w:rFonts w:ascii="Arial" w:cs="Arial" w:eastAsia="Arial" w:hAnsi="Arial"/>
                <w:sz w:val="19"/>
                <w:szCs w:val="19"/>
                <w:color w:val="auto"/>
              </w:rPr>
              <w:t>19.0%</w:t>
            </w:r>
          </w:p>
        </w:tc>
        <w:tc>
          <w:tcPr>
            <w:tcW w:w="0" w:type="dxa"/>
            <w:vAlign w:val="bottom"/>
          </w:tcPr>
          <w:p>
            <w:pPr>
              <w:spacing w:after="0"/>
              <w:rPr>
                <w:sz w:val="1"/>
                <w:szCs w:val="1"/>
                <w:color w:val="auto"/>
              </w:rPr>
            </w:pPr>
          </w:p>
        </w:tc>
      </w:tr>
      <w:tr>
        <w:trPr>
          <w:trHeight w:val="353"/>
        </w:trPr>
        <w:tc>
          <w:tcPr>
            <w:tcW w:w="1340" w:type="dxa"/>
            <w:vAlign w:val="bottom"/>
          </w:tcPr>
          <w:p>
            <w:pPr>
              <w:spacing w:after="0"/>
              <w:rPr>
                <w:sz w:val="20"/>
                <w:szCs w:val="20"/>
                <w:color w:val="auto"/>
              </w:rPr>
            </w:pPr>
            <w:r>
              <w:rPr>
                <w:rFonts w:ascii="Arial" w:cs="Arial" w:eastAsia="Arial" w:hAnsi="Arial"/>
                <w:sz w:val="19"/>
                <w:szCs w:val="19"/>
                <w:color w:val="auto"/>
              </w:rPr>
              <w:t>Retail Share</w:t>
            </w:r>
          </w:p>
        </w:tc>
        <w:tc>
          <w:tcPr>
            <w:tcW w:w="1500" w:type="dxa"/>
            <w:vAlign w:val="bottom"/>
          </w:tcPr>
          <w:p>
            <w:pPr>
              <w:jc w:val="center"/>
              <w:ind w:left="626"/>
              <w:spacing w:after="0"/>
              <w:rPr>
                <w:sz w:val="20"/>
                <w:szCs w:val="20"/>
                <w:color w:val="auto"/>
              </w:rPr>
            </w:pPr>
            <w:r>
              <w:rPr>
                <w:rFonts w:ascii="Arial" w:cs="Arial" w:eastAsia="Arial" w:hAnsi="Arial"/>
                <w:sz w:val="19"/>
                <w:szCs w:val="19"/>
                <w:color w:val="auto"/>
              </w:rPr>
              <w:t>18.1%</w:t>
            </w:r>
          </w:p>
        </w:tc>
        <w:tc>
          <w:tcPr>
            <w:tcW w:w="840" w:type="dxa"/>
            <w:vAlign w:val="bottom"/>
          </w:tcPr>
          <w:p>
            <w:pPr>
              <w:jc w:val="center"/>
              <w:spacing w:after="0"/>
              <w:rPr>
                <w:sz w:val="20"/>
                <w:szCs w:val="20"/>
                <w:color w:val="auto"/>
              </w:rPr>
            </w:pPr>
            <w:r>
              <w:rPr>
                <w:rFonts w:ascii="Arial" w:cs="Arial" w:eastAsia="Arial" w:hAnsi="Arial"/>
                <w:sz w:val="19"/>
                <w:szCs w:val="19"/>
                <w:color w:val="auto"/>
              </w:rPr>
              <w:t>16.1%</w:t>
            </w:r>
          </w:p>
        </w:tc>
        <w:tc>
          <w:tcPr>
            <w:tcW w:w="820" w:type="dxa"/>
            <w:vAlign w:val="bottom"/>
          </w:tcPr>
          <w:p>
            <w:pPr>
              <w:jc w:val="center"/>
              <w:spacing w:after="0"/>
              <w:rPr>
                <w:sz w:val="20"/>
                <w:szCs w:val="20"/>
                <w:color w:val="auto"/>
              </w:rPr>
            </w:pPr>
            <w:r>
              <w:rPr>
                <w:rFonts w:ascii="Arial" w:cs="Arial" w:eastAsia="Arial" w:hAnsi="Arial"/>
                <w:sz w:val="19"/>
                <w:szCs w:val="19"/>
                <w:color w:val="auto"/>
                <w:w w:val="96"/>
              </w:rPr>
              <w:t>15.1%</w:t>
            </w:r>
          </w:p>
        </w:tc>
        <w:tc>
          <w:tcPr>
            <w:tcW w:w="800" w:type="dxa"/>
            <w:vAlign w:val="bottom"/>
          </w:tcPr>
          <w:p>
            <w:pPr>
              <w:jc w:val="center"/>
              <w:spacing w:after="0"/>
              <w:rPr>
                <w:sz w:val="20"/>
                <w:szCs w:val="20"/>
                <w:color w:val="auto"/>
              </w:rPr>
            </w:pPr>
            <w:r>
              <w:rPr>
                <w:rFonts w:ascii="Arial" w:cs="Arial" w:eastAsia="Arial" w:hAnsi="Arial"/>
                <w:sz w:val="19"/>
                <w:szCs w:val="19"/>
                <w:color w:val="auto"/>
              </w:rPr>
              <w:t>14.7%</w:t>
            </w:r>
          </w:p>
        </w:tc>
        <w:tc>
          <w:tcPr>
            <w:tcW w:w="840" w:type="dxa"/>
            <w:vAlign w:val="bottom"/>
          </w:tcPr>
          <w:p>
            <w:pPr>
              <w:jc w:val="center"/>
              <w:spacing w:after="0"/>
              <w:rPr>
                <w:sz w:val="20"/>
                <w:szCs w:val="20"/>
                <w:color w:val="auto"/>
              </w:rPr>
            </w:pPr>
            <w:r>
              <w:rPr>
                <w:rFonts w:ascii="Arial" w:cs="Arial" w:eastAsia="Arial" w:hAnsi="Arial"/>
                <w:sz w:val="19"/>
                <w:szCs w:val="19"/>
                <w:color w:val="auto"/>
                <w:w w:val="96"/>
              </w:rPr>
              <w:t>14.8%</w:t>
            </w:r>
          </w:p>
        </w:tc>
        <w:tc>
          <w:tcPr>
            <w:tcW w:w="800" w:type="dxa"/>
            <w:vAlign w:val="bottom"/>
          </w:tcPr>
          <w:p>
            <w:pPr>
              <w:jc w:val="center"/>
              <w:spacing w:after="0"/>
              <w:rPr>
                <w:sz w:val="20"/>
                <w:szCs w:val="20"/>
                <w:color w:val="auto"/>
              </w:rPr>
            </w:pPr>
            <w:r>
              <w:rPr>
                <w:rFonts w:ascii="Arial" w:cs="Arial" w:eastAsia="Arial" w:hAnsi="Arial"/>
                <w:sz w:val="19"/>
                <w:szCs w:val="19"/>
                <w:color w:val="auto"/>
                <w:w w:val="96"/>
              </w:rPr>
              <w:t>16.0%</w:t>
            </w:r>
          </w:p>
        </w:tc>
        <w:tc>
          <w:tcPr>
            <w:tcW w:w="820" w:type="dxa"/>
            <w:vAlign w:val="bottom"/>
          </w:tcPr>
          <w:p>
            <w:pPr>
              <w:jc w:val="center"/>
              <w:spacing w:after="0"/>
              <w:rPr>
                <w:sz w:val="20"/>
                <w:szCs w:val="20"/>
                <w:color w:val="auto"/>
              </w:rPr>
            </w:pPr>
            <w:r>
              <w:rPr>
                <w:rFonts w:ascii="Arial" w:cs="Arial" w:eastAsia="Arial" w:hAnsi="Arial"/>
                <w:sz w:val="19"/>
                <w:szCs w:val="19"/>
                <w:color w:val="auto"/>
              </w:rPr>
              <w:t>14.7%</w:t>
            </w:r>
          </w:p>
        </w:tc>
        <w:tc>
          <w:tcPr>
            <w:tcW w:w="820" w:type="dxa"/>
            <w:vAlign w:val="bottom"/>
          </w:tcPr>
          <w:p>
            <w:pPr>
              <w:jc w:val="center"/>
              <w:spacing w:after="0"/>
              <w:rPr>
                <w:sz w:val="20"/>
                <w:szCs w:val="20"/>
                <w:color w:val="auto"/>
              </w:rPr>
            </w:pPr>
            <w:r>
              <w:rPr>
                <w:rFonts w:ascii="Arial" w:cs="Arial" w:eastAsia="Arial" w:hAnsi="Arial"/>
                <w:sz w:val="19"/>
                <w:szCs w:val="19"/>
                <w:color w:val="auto"/>
              </w:rPr>
              <w:t>13.8%</w:t>
            </w:r>
          </w:p>
        </w:tc>
        <w:tc>
          <w:tcPr>
            <w:tcW w:w="820" w:type="dxa"/>
            <w:vAlign w:val="bottom"/>
          </w:tcPr>
          <w:p>
            <w:pPr>
              <w:jc w:val="center"/>
              <w:spacing w:after="0"/>
              <w:rPr>
                <w:sz w:val="20"/>
                <w:szCs w:val="20"/>
                <w:color w:val="auto"/>
              </w:rPr>
            </w:pPr>
            <w:r>
              <w:rPr>
                <w:rFonts w:ascii="Arial" w:cs="Arial" w:eastAsia="Arial" w:hAnsi="Arial"/>
                <w:sz w:val="19"/>
                <w:szCs w:val="19"/>
                <w:color w:val="auto"/>
                <w:w w:val="96"/>
              </w:rPr>
              <w:t>15.7%</w:t>
            </w:r>
          </w:p>
        </w:tc>
        <w:tc>
          <w:tcPr>
            <w:tcW w:w="700" w:type="dxa"/>
            <w:vAlign w:val="bottom"/>
          </w:tcPr>
          <w:p>
            <w:pPr>
              <w:jc w:val="center"/>
              <w:ind w:left="26"/>
              <w:spacing w:after="0"/>
              <w:rPr>
                <w:sz w:val="20"/>
                <w:szCs w:val="20"/>
                <w:color w:val="auto"/>
              </w:rPr>
            </w:pPr>
            <w:r>
              <w:rPr>
                <w:rFonts w:ascii="Arial" w:cs="Arial" w:eastAsia="Arial" w:hAnsi="Arial"/>
                <w:sz w:val="19"/>
                <w:szCs w:val="19"/>
                <w:color w:val="auto"/>
              </w:rPr>
              <w:t>18.5%</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All data prior to July 10, 2009 refers to Old GM. New GM acquired operations from Old GM on July 10, 2009</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7</w:t>
      </w:r>
    </w:p>
    <w:p>
      <w:pPr>
        <w:sectPr>
          <w:pgSz w:w="11900" w:h="16838" w:orient="portrait"/>
          <w:cols w:equalWidth="0" w:num="1">
            <w:col w:w="10300"/>
          </w:cols>
          <w:pgMar w:left="500" w:top="740" w:right="1099" w:bottom="1440" w:gutter="0" w:footer="0" w:header="0"/>
        </w:sectPr>
      </w:pPr>
    </w:p>
    <w:bookmarkStart w:id="29" w:name="page30"/>
    <w:bookmarkEnd w:id="29"/>
    <w:p>
      <w:pPr>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U.S. Product Launch Performance</w:t>
      </w:r>
    </w:p>
    <w:p>
      <w:pPr>
        <w:sectPr>
          <w:pgSz w:w="11900" w:h="16838" w:orient="portrait"/>
          <w:cols w:equalWidth="0" w:num="1">
            <w:col w:w="9280"/>
          </w:cols>
          <w:pgMar w:left="1420" w:top="587" w:right="119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1480"/>
        <w:spacing w:after="0"/>
        <w:rPr>
          <w:sz w:val="20"/>
          <w:szCs w:val="20"/>
          <w:color w:val="auto"/>
        </w:rPr>
      </w:pPr>
      <w:r>
        <w:rPr>
          <w:rFonts w:ascii="Arial" w:cs="Arial" w:eastAsia="Arial" w:hAnsi="Arial"/>
          <w:sz w:val="28"/>
          <w:szCs w:val="28"/>
          <w:b w:val="1"/>
          <w:bCs w:val="1"/>
          <w:color w:val="FFFFFF"/>
        </w:rPr>
        <w:t>2010 Chevrolet</w:t>
      </w:r>
    </w:p>
    <w:p>
      <w:pPr>
        <w:spacing w:after="0" w:line="53" w:lineRule="exact"/>
        <w:rPr>
          <w:sz w:val="20"/>
          <w:szCs w:val="20"/>
          <w:color w:val="auto"/>
        </w:rPr>
      </w:pPr>
    </w:p>
    <w:p>
      <w:pPr>
        <w:ind w:left="1480"/>
        <w:spacing w:after="0"/>
        <w:rPr>
          <w:sz w:val="20"/>
          <w:szCs w:val="20"/>
          <w:color w:val="auto"/>
        </w:rPr>
      </w:pPr>
      <w:r>
        <w:rPr>
          <w:rFonts w:ascii="Arial" w:cs="Arial" w:eastAsia="Arial" w:hAnsi="Arial"/>
          <w:sz w:val="28"/>
          <w:szCs w:val="28"/>
          <w:b w:val="1"/>
          <w:bCs w:val="1"/>
          <w:color w:val="FFFFFF"/>
        </w:rPr>
        <w:t>Camaro</w:t>
      </w:r>
    </w:p>
    <w:p>
      <w:pPr>
        <w:spacing w:after="0" w:line="129"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U.S. Market Performance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vs. predecessor CY 2008</w:t>
      </w:r>
    </w:p>
    <w:p>
      <w:pPr>
        <w:spacing w:after="0" w:line="200" w:lineRule="exact"/>
        <w:rPr>
          <w:sz w:val="20"/>
          <w:szCs w:val="20"/>
          <w:color w:val="auto"/>
        </w:rPr>
      </w:pPr>
    </w:p>
    <w:p>
      <w:pPr>
        <w:spacing w:after="0" w:line="220" w:lineRule="exact"/>
        <w:rPr>
          <w:sz w:val="20"/>
          <w:szCs w:val="20"/>
          <w:color w:val="auto"/>
        </w:rPr>
      </w:pPr>
    </w:p>
    <w:p>
      <w:pPr>
        <w:ind w:left="1500"/>
        <w:spacing w:after="0"/>
        <w:rPr>
          <w:sz w:val="20"/>
          <w:szCs w:val="20"/>
          <w:color w:val="auto"/>
        </w:rPr>
      </w:pPr>
      <w:r>
        <w:rPr>
          <w:rFonts w:ascii="Arial" w:cs="Arial" w:eastAsia="Arial" w:hAnsi="Arial"/>
          <w:sz w:val="28"/>
          <w:szCs w:val="28"/>
          <w:b w:val="1"/>
          <w:bCs w:val="1"/>
          <w:color w:val="FFFFFF"/>
        </w:rPr>
        <w:t>2010 Chevrolet</w:t>
      </w:r>
    </w:p>
    <w:p>
      <w:pPr>
        <w:spacing w:after="0" w:line="53" w:lineRule="exact"/>
        <w:rPr>
          <w:sz w:val="20"/>
          <w:szCs w:val="20"/>
          <w:color w:val="auto"/>
        </w:rPr>
      </w:pPr>
    </w:p>
    <w:p>
      <w:pPr>
        <w:ind w:left="1500"/>
        <w:spacing w:after="0"/>
        <w:rPr>
          <w:sz w:val="20"/>
          <w:szCs w:val="20"/>
          <w:color w:val="auto"/>
        </w:rPr>
      </w:pPr>
      <w:r>
        <w:rPr>
          <w:rFonts w:ascii="Arial" w:cs="Arial" w:eastAsia="Arial" w:hAnsi="Arial"/>
          <w:sz w:val="28"/>
          <w:szCs w:val="28"/>
          <w:b w:val="1"/>
          <w:bCs w:val="1"/>
          <w:color w:val="FFFFFF"/>
        </w:rPr>
        <w:t>Equinox</w:t>
      </w:r>
    </w:p>
    <w:p>
      <w:pPr>
        <w:spacing w:after="0" w:line="12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U.S. Market Performance</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vs. predecessor CY 2008</w:t>
      </w:r>
    </w:p>
    <w:p>
      <w:pPr>
        <w:spacing w:after="0" w:line="200" w:lineRule="exact"/>
        <w:rPr>
          <w:sz w:val="20"/>
          <w:szCs w:val="20"/>
          <w:color w:val="auto"/>
        </w:rPr>
      </w:pPr>
    </w:p>
    <w:p>
      <w:pPr>
        <w:spacing w:after="0" w:line="222" w:lineRule="exact"/>
        <w:rPr>
          <w:sz w:val="20"/>
          <w:szCs w:val="20"/>
          <w:color w:val="auto"/>
        </w:rPr>
      </w:pPr>
    </w:p>
    <w:p>
      <w:pPr>
        <w:ind w:left="1500"/>
        <w:spacing w:after="0"/>
        <w:rPr>
          <w:sz w:val="20"/>
          <w:szCs w:val="20"/>
          <w:color w:val="auto"/>
        </w:rPr>
      </w:pPr>
      <w:r>
        <w:rPr>
          <w:rFonts w:ascii="Arial" w:cs="Arial" w:eastAsia="Arial" w:hAnsi="Arial"/>
          <w:sz w:val="28"/>
          <w:szCs w:val="28"/>
          <w:b w:val="1"/>
          <w:bCs w:val="1"/>
          <w:color w:val="FFFFFF"/>
        </w:rPr>
        <w:t>2010 Buick</w:t>
      </w:r>
    </w:p>
    <w:p>
      <w:pPr>
        <w:spacing w:after="0" w:line="43" w:lineRule="exact"/>
        <w:rPr>
          <w:sz w:val="20"/>
          <w:szCs w:val="20"/>
          <w:color w:val="auto"/>
        </w:rPr>
      </w:pPr>
    </w:p>
    <w:p>
      <w:pPr>
        <w:ind w:left="1500"/>
        <w:spacing w:after="0"/>
        <w:rPr>
          <w:sz w:val="20"/>
          <w:szCs w:val="20"/>
          <w:color w:val="auto"/>
        </w:rPr>
      </w:pPr>
      <w:r>
        <w:rPr>
          <w:rFonts w:ascii="Arial" w:cs="Arial" w:eastAsia="Arial" w:hAnsi="Arial"/>
          <w:sz w:val="28"/>
          <w:szCs w:val="28"/>
          <w:b w:val="1"/>
          <w:bCs w:val="1"/>
          <w:color w:val="FFFFFF"/>
        </w:rPr>
        <w:t>Lacrosse</w:t>
      </w:r>
    </w:p>
    <w:p>
      <w:pPr>
        <w:spacing w:after="0" w:line="12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U.S. Market Performance</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vs. predecessor CY 2008</w:t>
      </w:r>
    </w:p>
    <w:p>
      <w:pPr>
        <w:spacing w:after="0" w:line="200" w:lineRule="exact"/>
        <w:rPr>
          <w:sz w:val="20"/>
          <w:szCs w:val="20"/>
          <w:color w:val="auto"/>
        </w:rPr>
      </w:pPr>
    </w:p>
    <w:p>
      <w:pPr>
        <w:spacing w:after="0" w:line="396" w:lineRule="exact"/>
        <w:rPr>
          <w:sz w:val="20"/>
          <w:szCs w:val="20"/>
          <w:color w:val="auto"/>
        </w:rPr>
      </w:pPr>
    </w:p>
    <w:p>
      <w:pPr>
        <w:ind w:left="1500"/>
        <w:spacing w:after="0"/>
        <w:rPr>
          <w:sz w:val="20"/>
          <w:szCs w:val="20"/>
          <w:color w:val="auto"/>
        </w:rPr>
      </w:pPr>
      <w:r>
        <w:rPr>
          <w:rFonts w:ascii="Arial" w:cs="Arial" w:eastAsia="Arial" w:hAnsi="Arial"/>
          <w:sz w:val="28"/>
          <w:szCs w:val="28"/>
          <w:b w:val="1"/>
          <w:bCs w:val="1"/>
          <w:color w:val="FFFFFF"/>
        </w:rPr>
        <w:t>2010 Cadillac SRX</w:t>
      </w:r>
    </w:p>
    <w:p>
      <w:pPr>
        <w:spacing w:after="0" w:line="387"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U.S. Market Performance</w:t>
      </w:r>
    </w:p>
    <w:p>
      <w:pPr>
        <w:spacing w:after="0" w:line="8"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vs. predecessor CY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ind w:left="140"/>
              <w:spacing w:after="0"/>
              <w:rPr>
                <w:sz w:val="20"/>
                <w:szCs w:val="20"/>
                <w:color w:val="auto"/>
              </w:rPr>
            </w:pPr>
            <w:r>
              <w:rPr>
                <w:rFonts w:ascii="Arial" w:cs="Arial" w:eastAsia="Arial" w:hAnsi="Arial"/>
                <w:sz w:val="19"/>
                <w:szCs w:val="19"/>
                <w:b w:val="1"/>
                <w:bCs w:val="1"/>
                <w:color w:val="FFFFFF"/>
              </w:rPr>
              <w:t>Share of</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8"/>
              </w:rPr>
              <w:t>Average</w:t>
            </w:r>
          </w:p>
        </w:tc>
        <w:tc>
          <w:tcPr>
            <w:tcW w:w="1160" w:type="dxa"/>
            <w:vAlign w:val="bottom"/>
          </w:tcPr>
          <w:p>
            <w:pPr>
              <w:ind w:left="200"/>
              <w:spacing w:after="0"/>
              <w:rPr>
                <w:sz w:val="20"/>
                <w:szCs w:val="20"/>
                <w:color w:val="auto"/>
              </w:rPr>
            </w:pPr>
            <w:r>
              <w:rPr>
                <w:rFonts w:ascii="Arial" w:cs="Arial" w:eastAsia="Arial" w:hAnsi="Arial"/>
                <w:sz w:val="19"/>
                <w:szCs w:val="19"/>
                <w:b w:val="1"/>
                <w:bCs w:val="1"/>
                <w:color w:val="FFFFFF"/>
              </w:rPr>
              <w:t>ATP vs.</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9"/>
              </w:rPr>
              <w:t>36 month</w:t>
            </w:r>
          </w:p>
        </w:tc>
      </w:tr>
      <w:tr>
        <w:trPr>
          <w:trHeight w:val="223"/>
        </w:trPr>
        <w:tc>
          <w:tcPr>
            <w:tcW w:w="1160" w:type="dxa"/>
            <w:vAlign w:val="bottom"/>
          </w:tcPr>
          <w:p>
            <w:pPr>
              <w:jc w:val="center"/>
              <w:ind w:right="31"/>
              <w:spacing w:after="0"/>
              <w:rPr>
                <w:sz w:val="20"/>
                <w:szCs w:val="20"/>
                <w:color w:val="auto"/>
              </w:rPr>
            </w:pPr>
            <w:r>
              <w:rPr>
                <w:rFonts w:ascii="Arial" w:cs="Arial" w:eastAsia="Arial" w:hAnsi="Arial"/>
                <w:sz w:val="19"/>
                <w:szCs w:val="19"/>
                <w:b w:val="1"/>
                <w:bCs w:val="1"/>
                <w:color w:val="FFFFFF"/>
                <w:w w:val="99"/>
              </w:rPr>
              <w:t>Segment</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8"/>
              </w:rPr>
              <w:t>Transaction</w:t>
            </w:r>
          </w:p>
        </w:tc>
        <w:tc>
          <w:tcPr>
            <w:tcW w:w="1160" w:type="dxa"/>
            <w:vAlign w:val="bottom"/>
          </w:tcPr>
          <w:p>
            <w:pPr>
              <w:ind w:left="140"/>
              <w:spacing w:after="0"/>
              <w:rPr>
                <w:sz w:val="20"/>
                <w:szCs w:val="20"/>
                <w:color w:val="auto"/>
              </w:rPr>
            </w:pPr>
            <w:r>
              <w:rPr>
                <w:rFonts w:ascii="Arial" w:cs="Arial" w:eastAsia="Arial" w:hAnsi="Arial"/>
                <w:sz w:val="19"/>
                <w:szCs w:val="19"/>
                <w:b w:val="1"/>
                <w:bCs w:val="1"/>
                <w:color w:val="FFFFFF"/>
              </w:rPr>
              <w:t>Segment</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8"/>
              </w:rPr>
              <w:t>Residual</w:t>
            </w:r>
          </w:p>
        </w:tc>
      </w:tr>
      <w:tr>
        <w:trPr>
          <w:trHeight w:val="250"/>
        </w:trPr>
        <w:tc>
          <w:tcPr>
            <w:tcW w:w="1160" w:type="dxa"/>
            <w:vAlign w:val="bottom"/>
          </w:tcPr>
          <w:p>
            <w:pPr>
              <w:jc w:val="center"/>
              <w:ind w:right="31"/>
              <w:spacing w:after="0"/>
              <w:rPr>
                <w:sz w:val="20"/>
                <w:szCs w:val="20"/>
                <w:color w:val="auto"/>
              </w:rPr>
            </w:pPr>
            <w:r>
              <w:rPr>
                <w:rFonts w:ascii="Arial" w:cs="Arial" w:eastAsia="Arial" w:hAnsi="Arial"/>
                <w:sz w:val="15"/>
                <w:szCs w:val="15"/>
                <w:b w:val="1"/>
                <w:bCs w:val="1"/>
                <w:color w:val="FFFFFF"/>
              </w:rPr>
              <w:t>(Jul–Oct ‘09)</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7"/>
              </w:rPr>
              <w:t>Price (ATP)</w:t>
            </w:r>
          </w:p>
        </w:tc>
        <w:tc>
          <w:tcPr>
            <w:tcW w:w="1160" w:type="dxa"/>
            <w:vAlign w:val="bottom"/>
          </w:tcPr>
          <w:p>
            <w:pPr>
              <w:ind w:left="180"/>
              <w:spacing w:after="0"/>
              <w:rPr>
                <w:sz w:val="20"/>
                <w:szCs w:val="20"/>
                <w:color w:val="auto"/>
              </w:rPr>
            </w:pPr>
            <w:r>
              <w:rPr>
                <w:rFonts w:ascii="Arial" w:cs="Arial" w:eastAsia="Arial" w:hAnsi="Arial"/>
                <w:sz w:val="19"/>
                <w:szCs w:val="19"/>
                <w:b w:val="1"/>
                <w:bCs w:val="1"/>
                <w:color w:val="FFFFFF"/>
              </w:rPr>
              <w:t>Average</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8"/>
              </w:rPr>
              <w:t>Value</w:t>
            </w:r>
          </w:p>
        </w:tc>
      </w:tr>
      <w:tr>
        <w:trPr>
          <w:trHeight w:val="335"/>
        </w:trPr>
        <w:tc>
          <w:tcPr>
            <w:tcW w:w="1160" w:type="dxa"/>
            <w:vAlign w:val="bottom"/>
          </w:tcPr>
          <w:p>
            <w:pPr>
              <w:jc w:val="center"/>
              <w:ind w:right="11"/>
              <w:spacing w:after="0"/>
              <w:rPr>
                <w:sz w:val="20"/>
                <w:szCs w:val="20"/>
                <w:color w:val="auto"/>
              </w:rPr>
            </w:pPr>
            <w:r>
              <w:rPr>
                <w:rFonts w:ascii="Arial" w:cs="Arial" w:eastAsia="Arial" w:hAnsi="Arial"/>
                <w:sz w:val="19"/>
                <w:szCs w:val="19"/>
                <w:color w:val="auto"/>
                <w:w w:val="99"/>
              </w:rPr>
              <w:t>~ 43.9%</w:t>
            </w:r>
          </w:p>
        </w:tc>
        <w:tc>
          <w:tcPr>
            <w:tcW w:w="1360" w:type="dxa"/>
            <w:vAlign w:val="bottom"/>
          </w:tcPr>
          <w:p>
            <w:pPr>
              <w:jc w:val="center"/>
              <w:spacing w:after="0"/>
              <w:rPr>
                <w:sz w:val="20"/>
                <w:szCs w:val="20"/>
                <w:color w:val="auto"/>
              </w:rPr>
            </w:pPr>
            <w:r>
              <w:rPr>
                <w:rFonts w:ascii="Arial" w:cs="Arial" w:eastAsia="Arial" w:hAnsi="Arial"/>
                <w:sz w:val="19"/>
                <w:szCs w:val="19"/>
                <w:color w:val="auto"/>
                <w:w w:val="98"/>
              </w:rPr>
              <w:t>~ $34,800</w:t>
            </w:r>
          </w:p>
        </w:tc>
        <w:tc>
          <w:tcPr>
            <w:tcW w:w="1160" w:type="dxa"/>
            <w:vAlign w:val="bottom"/>
          </w:tcPr>
          <w:p>
            <w:pPr>
              <w:jc w:val="center"/>
              <w:spacing w:after="0"/>
              <w:rPr>
                <w:sz w:val="20"/>
                <w:szCs w:val="20"/>
                <w:color w:val="auto"/>
              </w:rPr>
            </w:pPr>
            <w:r>
              <w:rPr>
                <w:rFonts w:ascii="Arial" w:cs="Arial" w:eastAsia="Arial" w:hAnsi="Arial"/>
                <w:sz w:val="19"/>
                <w:szCs w:val="19"/>
                <w:color w:val="auto"/>
              </w:rPr>
              <w:t>116%</w:t>
            </w:r>
          </w:p>
        </w:tc>
        <w:tc>
          <w:tcPr>
            <w:tcW w:w="1080" w:type="dxa"/>
            <w:vAlign w:val="bottom"/>
          </w:tcPr>
          <w:p>
            <w:pPr>
              <w:jc w:val="center"/>
              <w:spacing w:after="0"/>
              <w:rPr>
                <w:sz w:val="20"/>
                <w:szCs w:val="20"/>
                <w:color w:val="auto"/>
              </w:rPr>
            </w:pPr>
            <w:r>
              <w:rPr>
                <w:rFonts w:ascii="Arial" w:cs="Arial" w:eastAsia="Arial" w:hAnsi="Arial"/>
                <w:sz w:val="19"/>
                <w:szCs w:val="19"/>
                <w:color w:val="auto"/>
                <w:w w:val="96"/>
              </w:rPr>
              <w:t>52.6%</w:t>
            </w:r>
          </w:p>
        </w:tc>
      </w:tr>
      <w:tr>
        <w:trPr>
          <w:trHeight w:val="231"/>
        </w:trPr>
        <w:tc>
          <w:tcPr>
            <w:tcW w:w="1160" w:type="dxa"/>
            <w:vAlign w:val="bottom"/>
          </w:tcPr>
          <w:p>
            <w:pPr>
              <w:jc w:val="center"/>
              <w:ind w:right="31"/>
              <w:spacing w:after="0"/>
              <w:rPr>
                <w:sz w:val="20"/>
                <w:szCs w:val="20"/>
                <w:color w:val="auto"/>
              </w:rPr>
            </w:pPr>
            <w:r>
              <w:rPr>
                <w:rFonts w:ascii="Arial" w:cs="Arial" w:eastAsia="Arial" w:hAnsi="Arial"/>
                <w:sz w:val="18"/>
                <w:szCs w:val="18"/>
                <w:i w:val="1"/>
                <w:iCs w:val="1"/>
                <w:color w:val="auto"/>
                <w:w w:val="93"/>
              </w:rPr>
              <w:t>N/A</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9"/>
              </w:rPr>
              <w:t>N/A</w:t>
            </w:r>
          </w:p>
        </w:tc>
        <w:tc>
          <w:tcPr>
            <w:tcW w:w="1160" w:type="dxa"/>
            <w:vAlign w:val="bottom"/>
          </w:tcPr>
          <w:p>
            <w:pPr>
              <w:jc w:val="center"/>
              <w:spacing w:after="0"/>
              <w:rPr>
                <w:sz w:val="20"/>
                <w:szCs w:val="20"/>
                <w:color w:val="auto"/>
              </w:rPr>
            </w:pPr>
            <w:r>
              <w:rPr>
                <w:rFonts w:ascii="Arial" w:cs="Arial" w:eastAsia="Arial" w:hAnsi="Arial"/>
                <w:sz w:val="18"/>
                <w:szCs w:val="18"/>
                <w:i w:val="1"/>
                <w:iCs w:val="1"/>
                <w:color w:val="auto"/>
                <w:w w:val="99"/>
              </w:rPr>
              <w:t>N/A</w:t>
            </w:r>
          </w:p>
        </w:tc>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93"/>
              </w:rPr>
              <w:t>N/A</w:t>
            </w:r>
          </w:p>
        </w:tc>
      </w:tr>
      <w:tr>
        <w:trPr>
          <w:trHeight w:val="642"/>
        </w:trPr>
        <w:tc>
          <w:tcPr>
            <w:tcW w:w="1160" w:type="dxa"/>
            <w:vAlign w:val="bottom"/>
          </w:tcPr>
          <w:p>
            <w:pPr>
              <w:jc w:val="center"/>
              <w:spacing w:after="0"/>
              <w:rPr>
                <w:sz w:val="20"/>
                <w:szCs w:val="20"/>
                <w:color w:val="auto"/>
              </w:rPr>
            </w:pPr>
            <w:r>
              <w:rPr>
                <w:rFonts w:ascii="Arial" w:cs="Arial" w:eastAsia="Arial" w:hAnsi="Arial"/>
                <w:sz w:val="19"/>
                <w:szCs w:val="19"/>
                <w:b w:val="1"/>
                <w:bCs w:val="1"/>
                <w:color w:val="FFFFFF"/>
                <w:w w:val="99"/>
              </w:rPr>
              <w:t>Share of</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8"/>
              </w:rPr>
              <w:t>Average</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FFFFFF"/>
                <w:w w:val="97"/>
              </w:rPr>
              <w:t>ATP vs.</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9"/>
              </w:rPr>
              <w:t>36 month</w:t>
            </w:r>
          </w:p>
        </w:tc>
      </w:tr>
      <w:tr>
        <w:trPr>
          <w:trHeight w:val="223"/>
        </w:trPr>
        <w:tc>
          <w:tcPr>
            <w:tcW w:w="1160" w:type="dxa"/>
            <w:vAlign w:val="bottom"/>
          </w:tcPr>
          <w:p>
            <w:pPr>
              <w:jc w:val="center"/>
              <w:spacing w:after="0"/>
              <w:rPr>
                <w:sz w:val="20"/>
                <w:szCs w:val="20"/>
                <w:color w:val="auto"/>
              </w:rPr>
            </w:pPr>
            <w:r>
              <w:rPr>
                <w:rFonts w:ascii="Arial" w:cs="Arial" w:eastAsia="Arial" w:hAnsi="Arial"/>
                <w:sz w:val="19"/>
                <w:szCs w:val="19"/>
                <w:b w:val="1"/>
                <w:bCs w:val="1"/>
                <w:color w:val="FFFFFF"/>
                <w:w w:val="99"/>
              </w:rPr>
              <w:t>Segment</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6"/>
              </w:rPr>
              <w:t>Transaction</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FFFFFF"/>
                <w:w w:val="99"/>
              </w:rPr>
              <w:t>Segment</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8"/>
              </w:rPr>
              <w:t>Residual</w:t>
            </w:r>
          </w:p>
        </w:tc>
      </w:tr>
      <w:tr>
        <w:trPr>
          <w:trHeight w:val="250"/>
        </w:trPr>
        <w:tc>
          <w:tcPr>
            <w:tcW w:w="1160" w:type="dxa"/>
            <w:vAlign w:val="bottom"/>
          </w:tcPr>
          <w:p>
            <w:pPr>
              <w:jc w:val="center"/>
              <w:ind w:right="31"/>
              <w:spacing w:after="0"/>
              <w:rPr>
                <w:sz w:val="20"/>
                <w:szCs w:val="20"/>
                <w:color w:val="auto"/>
              </w:rPr>
            </w:pPr>
            <w:r>
              <w:rPr>
                <w:rFonts w:ascii="Arial" w:cs="Arial" w:eastAsia="Arial" w:hAnsi="Arial"/>
                <w:sz w:val="15"/>
                <w:szCs w:val="15"/>
                <w:b w:val="1"/>
                <w:bCs w:val="1"/>
                <w:color w:val="FFFFFF"/>
              </w:rPr>
              <w:t>(Jul–Oct ‘09)</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7"/>
              </w:rPr>
              <w:t>Price (ATP)</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FFFFFF"/>
                <w:w w:val="95"/>
              </w:rPr>
              <w:t>Average</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8"/>
              </w:rPr>
              <w:t>Value</w:t>
            </w:r>
          </w:p>
        </w:tc>
      </w:tr>
      <w:tr>
        <w:trPr>
          <w:trHeight w:val="312"/>
        </w:trPr>
        <w:tc>
          <w:tcPr>
            <w:tcW w:w="1160" w:type="dxa"/>
            <w:vAlign w:val="bottom"/>
          </w:tcPr>
          <w:p>
            <w:pPr>
              <w:jc w:val="center"/>
              <w:spacing w:after="0"/>
              <w:rPr>
                <w:sz w:val="20"/>
                <w:szCs w:val="20"/>
                <w:color w:val="auto"/>
              </w:rPr>
            </w:pPr>
            <w:r>
              <w:rPr>
                <w:rFonts w:ascii="Arial" w:cs="Arial" w:eastAsia="Arial" w:hAnsi="Arial"/>
                <w:sz w:val="19"/>
                <w:szCs w:val="19"/>
                <w:color w:val="auto"/>
              </w:rPr>
              <w:t>~ 7.6%</w:t>
            </w:r>
          </w:p>
        </w:tc>
        <w:tc>
          <w:tcPr>
            <w:tcW w:w="1360" w:type="dxa"/>
            <w:vAlign w:val="bottom"/>
          </w:tcPr>
          <w:p>
            <w:pPr>
              <w:jc w:val="center"/>
              <w:spacing w:after="0"/>
              <w:rPr>
                <w:sz w:val="20"/>
                <w:szCs w:val="20"/>
                <w:color w:val="auto"/>
              </w:rPr>
            </w:pPr>
            <w:r>
              <w:rPr>
                <w:rFonts w:ascii="Arial" w:cs="Arial" w:eastAsia="Arial" w:hAnsi="Arial"/>
                <w:sz w:val="19"/>
                <w:szCs w:val="19"/>
                <w:color w:val="auto"/>
                <w:w w:val="98"/>
              </w:rPr>
              <w:t>~ $25,500</w:t>
            </w:r>
          </w:p>
        </w:tc>
        <w:tc>
          <w:tcPr>
            <w:tcW w:w="1160" w:type="dxa"/>
            <w:vAlign w:val="bottom"/>
          </w:tcPr>
          <w:p>
            <w:pPr>
              <w:jc w:val="center"/>
              <w:spacing w:after="0"/>
              <w:rPr>
                <w:sz w:val="20"/>
                <w:szCs w:val="20"/>
                <w:color w:val="auto"/>
              </w:rPr>
            </w:pPr>
            <w:r>
              <w:rPr>
                <w:rFonts w:ascii="Arial" w:cs="Arial" w:eastAsia="Arial" w:hAnsi="Arial"/>
                <w:sz w:val="19"/>
                <w:szCs w:val="19"/>
                <w:color w:val="auto"/>
                <w:w w:val="98"/>
              </w:rPr>
              <w:t>110%</w:t>
            </w:r>
          </w:p>
        </w:tc>
        <w:tc>
          <w:tcPr>
            <w:tcW w:w="1080" w:type="dxa"/>
            <w:vAlign w:val="bottom"/>
          </w:tcPr>
          <w:p>
            <w:pPr>
              <w:jc w:val="center"/>
              <w:spacing w:after="0"/>
              <w:rPr>
                <w:sz w:val="20"/>
                <w:szCs w:val="20"/>
                <w:color w:val="auto"/>
              </w:rPr>
            </w:pPr>
            <w:r>
              <w:rPr>
                <w:rFonts w:ascii="Arial" w:cs="Arial" w:eastAsia="Arial" w:hAnsi="Arial"/>
                <w:sz w:val="19"/>
                <w:szCs w:val="19"/>
                <w:color w:val="auto"/>
              </w:rPr>
              <w:t>43.4%</w:t>
            </w:r>
          </w:p>
        </w:tc>
      </w:tr>
      <w:tr>
        <w:trPr>
          <w:trHeight w:val="246"/>
        </w:trPr>
        <w:tc>
          <w:tcPr>
            <w:tcW w:w="1160" w:type="dxa"/>
            <w:vAlign w:val="bottom"/>
          </w:tcPr>
          <w:p>
            <w:pPr>
              <w:jc w:val="center"/>
              <w:spacing w:after="0"/>
              <w:rPr>
                <w:sz w:val="20"/>
                <w:szCs w:val="20"/>
                <w:color w:val="auto"/>
              </w:rPr>
            </w:pPr>
            <w:r>
              <w:rPr>
                <w:rFonts w:ascii="Arial" w:cs="Arial" w:eastAsia="Arial" w:hAnsi="Arial"/>
                <w:sz w:val="18"/>
                <w:szCs w:val="18"/>
                <w:i w:val="1"/>
                <w:iCs w:val="1"/>
                <w:color w:val="auto"/>
                <w:w w:val="97"/>
              </w:rPr>
              <w:t>+ 1.4 ppt.</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6"/>
              </w:rPr>
              <w:t>+ $4,100</w:t>
            </w:r>
          </w:p>
        </w:tc>
        <w:tc>
          <w:tcPr>
            <w:tcW w:w="1160" w:type="dxa"/>
            <w:vAlign w:val="bottom"/>
          </w:tcPr>
          <w:p>
            <w:pPr>
              <w:ind w:left="14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12.9 ppt.</w:t>
            </w:r>
          </w:p>
        </w:tc>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97"/>
              </w:rPr>
              <w:t>+ 5.4 ppt.</w:t>
            </w:r>
          </w:p>
        </w:tc>
      </w:tr>
      <w:tr>
        <w:trPr>
          <w:trHeight w:val="638"/>
        </w:trPr>
        <w:tc>
          <w:tcPr>
            <w:tcW w:w="1160" w:type="dxa"/>
            <w:vAlign w:val="bottom"/>
          </w:tcPr>
          <w:p>
            <w:pPr>
              <w:jc w:val="center"/>
              <w:spacing w:after="0"/>
              <w:rPr>
                <w:sz w:val="20"/>
                <w:szCs w:val="20"/>
                <w:color w:val="auto"/>
              </w:rPr>
            </w:pPr>
            <w:r>
              <w:rPr>
                <w:rFonts w:ascii="Arial" w:cs="Arial" w:eastAsia="Arial" w:hAnsi="Arial"/>
                <w:sz w:val="19"/>
                <w:szCs w:val="19"/>
                <w:b w:val="1"/>
                <w:bCs w:val="1"/>
                <w:color w:val="FFFFFF"/>
                <w:w w:val="99"/>
              </w:rPr>
              <w:t>Share of</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8"/>
              </w:rPr>
              <w:t>Average</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FFFFFF"/>
                <w:w w:val="97"/>
              </w:rPr>
              <w:t>ATP vs.</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9"/>
              </w:rPr>
              <w:t>36 month</w:t>
            </w:r>
          </w:p>
        </w:tc>
      </w:tr>
      <w:tr>
        <w:trPr>
          <w:trHeight w:val="223"/>
        </w:trPr>
        <w:tc>
          <w:tcPr>
            <w:tcW w:w="1160" w:type="dxa"/>
            <w:vAlign w:val="bottom"/>
          </w:tcPr>
          <w:p>
            <w:pPr>
              <w:jc w:val="center"/>
              <w:spacing w:after="0"/>
              <w:rPr>
                <w:sz w:val="20"/>
                <w:szCs w:val="20"/>
                <w:color w:val="auto"/>
              </w:rPr>
            </w:pPr>
            <w:r>
              <w:rPr>
                <w:rFonts w:ascii="Arial" w:cs="Arial" w:eastAsia="Arial" w:hAnsi="Arial"/>
                <w:sz w:val="19"/>
                <w:szCs w:val="19"/>
                <w:b w:val="1"/>
                <w:bCs w:val="1"/>
                <w:color w:val="FFFFFF"/>
                <w:w w:val="99"/>
              </w:rPr>
              <w:t>Segment</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8"/>
              </w:rPr>
              <w:t>Transaction</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FFFFFF"/>
                <w:w w:val="99"/>
              </w:rPr>
              <w:t>Segment</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8"/>
              </w:rPr>
              <w:t>Residual</w:t>
            </w:r>
          </w:p>
        </w:tc>
      </w:tr>
      <w:tr>
        <w:trPr>
          <w:trHeight w:val="250"/>
        </w:trPr>
        <w:tc>
          <w:tcPr>
            <w:tcW w:w="1160" w:type="dxa"/>
            <w:vAlign w:val="bottom"/>
          </w:tcPr>
          <w:p>
            <w:pPr>
              <w:jc w:val="center"/>
              <w:ind w:right="11"/>
              <w:spacing w:after="0"/>
              <w:rPr>
                <w:sz w:val="20"/>
                <w:szCs w:val="20"/>
                <w:color w:val="auto"/>
              </w:rPr>
            </w:pPr>
            <w:r>
              <w:rPr>
                <w:rFonts w:ascii="Arial" w:cs="Arial" w:eastAsia="Arial" w:hAnsi="Arial"/>
                <w:sz w:val="15"/>
                <w:szCs w:val="15"/>
                <w:b w:val="1"/>
                <w:bCs w:val="1"/>
                <w:color w:val="FFFFFF"/>
              </w:rPr>
              <w:t>(Aug–Oct ‘09)</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7"/>
              </w:rPr>
              <w:t>Price (ATP)</w:t>
            </w:r>
          </w:p>
        </w:tc>
        <w:tc>
          <w:tcPr>
            <w:tcW w:w="1160" w:type="dxa"/>
            <w:vAlign w:val="bottom"/>
          </w:tcPr>
          <w:p>
            <w:pPr>
              <w:jc w:val="center"/>
              <w:spacing w:after="0"/>
              <w:rPr>
                <w:sz w:val="20"/>
                <w:szCs w:val="20"/>
                <w:color w:val="auto"/>
              </w:rPr>
            </w:pPr>
            <w:r>
              <w:rPr>
                <w:rFonts w:ascii="Arial" w:cs="Arial" w:eastAsia="Arial" w:hAnsi="Arial"/>
                <w:sz w:val="19"/>
                <w:szCs w:val="19"/>
                <w:b w:val="1"/>
                <w:bCs w:val="1"/>
                <w:color w:val="FFFFFF"/>
                <w:w w:val="98"/>
              </w:rPr>
              <w:t>Average</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8"/>
              </w:rPr>
              <w:t>Value</w:t>
            </w:r>
          </w:p>
        </w:tc>
      </w:tr>
      <w:tr>
        <w:trPr>
          <w:trHeight w:val="312"/>
        </w:trPr>
        <w:tc>
          <w:tcPr>
            <w:tcW w:w="1160" w:type="dxa"/>
            <w:vAlign w:val="bottom"/>
          </w:tcPr>
          <w:p>
            <w:pPr>
              <w:jc w:val="center"/>
              <w:spacing w:after="0"/>
              <w:rPr>
                <w:sz w:val="20"/>
                <w:szCs w:val="20"/>
                <w:color w:val="auto"/>
              </w:rPr>
            </w:pPr>
            <w:r>
              <w:rPr>
                <w:rFonts w:ascii="Arial" w:cs="Arial" w:eastAsia="Arial" w:hAnsi="Arial"/>
                <w:sz w:val="19"/>
                <w:szCs w:val="19"/>
                <w:color w:val="auto"/>
              </w:rPr>
              <w:t>~ 4.1%</w:t>
            </w:r>
          </w:p>
        </w:tc>
        <w:tc>
          <w:tcPr>
            <w:tcW w:w="1360" w:type="dxa"/>
            <w:vAlign w:val="bottom"/>
          </w:tcPr>
          <w:p>
            <w:pPr>
              <w:jc w:val="center"/>
              <w:spacing w:after="0"/>
              <w:rPr>
                <w:sz w:val="20"/>
                <w:szCs w:val="20"/>
                <w:color w:val="auto"/>
              </w:rPr>
            </w:pPr>
            <w:r>
              <w:rPr>
                <w:rFonts w:ascii="Arial" w:cs="Arial" w:eastAsia="Arial" w:hAnsi="Arial"/>
                <w:sz w:val="19"/>
                <w:szCs w:val="19"/>
                <w:color w:val="auto"/>
                <w:w w:val="98"/>
              </w:rPr>
              <w:t>~ $31,700</w:t>
            </w:r>
          </w:p>
        </w:tc>
        <w:tc>
          <w:tcPr>
            <w:tcW w:w="1160" w:type="dxa"/>
            <w:vAlign w:val="bottom"/>
          </w:tcPr>
          <w:p>
            <w:pPr>
              <w:jc w:val="center"/>
              <w:spacing w:after="0"/>
              <w:rPr>
                <w:sz w:val="20"/>
                <w:szCs w:val="20"/>
                <w:color w:val="auto"/>
              </w:rPr>
            </w:pPr>
            <w:r>
              <w:rPr>
                <w:rFonts w:ascii="Arial" w:cs="Arial" w:eastAsia="Arial" w:hAnsi="Arial"/>
                <w:sz w:val="19"/>
                <w:szCs w:val="19"/>
                <w:color w:val="auto"/>
                <w:w w:val="98"/>
              </w:rPr>
              <w:t>117%</w:t>
            </w:r>
          </w:p>
        </w:tc>
        <w:tc>
          <w:tcPr>
            <w:tcW w:w="1080" w:type="dxa"/>
            <w:vAlign w:val="bottom"/>
          </w:tcPr>
          <w:p>
            <w:pPr>
              <w:jc w:val="center"/>
              <w:spacing w:after="0"/>
              <w:rPr>
                <w:sz w:val="20"/>
                <w:szCs w:val="20"/>
                <w:color w:val="auto"/>
              </w:rPr>
            </w:pPr>
            <w:r>
              <w:rPr>
                <w:rFonts w:ascii="Arial" w:cs="Arial" w:eastAsia="Arial" w:hAnsi="Arial"/>
                <w:sz w:val="19"/>
                <w:szCs w:val="19"/>
                <w:color w:val="auto"/>
              </w:rPr>
              <w:t>45.3%</w:t>
            </w:r>
          </w:p>
        </w:tc>
      </w:tr>
      <w:tr>
        <w:trPr>
          <w:trHeight w:val="254"/>
        </w:trPr>
        <w:tc>
          <w:tcPr>
            <w:tcW w:w="1160" w:type="dxa"/>
            <w:vAlign w:val="bottom"/>
          </w:tcPr>
          <w:p>
            <w:pPr>
              <w:jc w:val="center"/>
              <w:spacing w:after="0"/>
              <w:rPr>
                <w:sz w:val="20"/>
                <w:szCs w:val="20"/>
                <w:color w:val="auto"/>
              </w:rPr>
            </w:pPr>
            <w:r>
              <w:rPr>
                <w:rFonts w:ascii="Arial" w:cs="Arial" w:eastAsia="Arial" w:hAnsi="Arial"/>
                <w:sz w:val="18"/>
                <w:szCs w:val="18"/>
                <w:i w:val="1"/>
                <w:iCs w:val="1"/>
                <w:color w:val="auto"/>
                <w:w w:val="98"/>
              </w:rPr>
              <w:t>- 0.5 ppt.</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6"/>
              </w:rPr>
              <w:t>+ $9,400</w:t>
            </w:r>
          </w:p>
        </w:tc>
        <w:tc>
          <w:tcPr>
            <w:tcW w:w="1160" w:type="dxa"/>
            <w:vAlign w:val="bottom"/>
          </w:tcPr>
          <w:p>
            <w:pPr>
              <w:ind w:left="160"/>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26.1 ppt.</w:t>
            </w:r>
          </w:p>
        </w:tc>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97"/>
              </w:rPr>
              <w:t>+ 5.6 ppt.</w:t>
            </w:r>
          </w:p>
        </w:tc>
      </w:tr>
      <w:tr>
        <w:trPr>
          <w:trHeight w:val="700"/>
        </w:trPr>
        <w:tc>
          <w:tcPr>
            <w:tcW w:w="1160" w:type="dxa"/>
            <w:vAlign w:val="bottom"/>
          </w:tcPr>
          <w:p>
            <w:pPr>
              <w:jc w:val="center"/>
              <w:ind w:right="71"/>
              <w:spacing w:after="0"/>
              <w:rPr>
                <w:sz w:val="20"/>
                <w:szCs w:val="20"/>
                <w:color w:val="auto"/>
              </w:rPr>
            </w:pPr>
            <w:r>
              <w:rPr>
                <w:rFonts w:ascii="Arial" w:cs="Arial" w:eastAsia="Arial" w:hAnsi="Arial"/>
                <w:sz w:val="19"/>
                <w:szCs w:val="19"/>
                <w:b w:val="1"/>
                <w:bCs w:val="1"/>
                <w:color w:val="FFFFFF"/>
                <w:w w:val="99"/>
              </w:rPr>
              <w:t>Share of</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8"/>
              </w:rPr>
              <w:t>Average</w:t>
            </w:r>
          </w:p>
        </w:tc>
        <w:tc>
          <w:tcPr>
            <w:tcW w:w="1160" w:type="dxa"/>
            <w:vAlign w:val="bottom"/>
          </w:tcPr>
          <w:p>
            <w:pPr>
              <w:jc w:val="center"/>
              <w:ind w:right="6"/>
              <w:spacing w:after="0"/>
              <w:rPr>
                <w:sz w:val="20"/>
                <w:szCs w:val="20"/>
                <w:color w:val="auto"/>
              </w:rPr>
            </w:pPr>
            <w:r>
              <w:rPr>
                <w:rFonts w:ascii="Arial" w:cs="Arial" w:eastAsia="Arial" w:hAnsi="Arial"/>
                <w:sz w:val="19"/>
                <w:szCs w:val="19"/>
                <w:b w:val="1"/>
                <w:bCs w:val="1"/>
                <w:color w:val="FFFFFF"/>
                <w:w w:val="94"/>
              </w:rPr>
              <w:t>ATP vs.</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9"/>
              </w:rPr>
              <w:t>36 month</w:t>
            </w:r>
          </w:p>
        </w:tc>
      </w:tr>
      <w:tr>
        <w:trPr>
          <w:trHeight w:val="223"/>
        </w:trPr>
        <w:tc>
          <w:tcPr>
            <w:tcW w:w="1160" w:type="dxa"/>
            <w:vAlign w:val="bottom"/>
          </w:tcPr>
          <w:p>
            <w:pPr>
              <w:jc w:val="center"/>
              <w:ind w:right="71"/>
              <w:spacing w:after="0"/>
              <w:rPr>
                <w:sz w:val="20"/>
                <w:szCs w:val="20"/>
                <w:color w:val="auto"/>
              </w:rPr>
            </w:pPr>
            <w:r>
              <w:rPr>
                <w:rFonts w:ascii="Arial" w:cs="Arial" w:eastAsia="Arial" w:hAnsi="Arial"/>
                <w:sz w:val="19"/>
                <w:szCs w:val="19"/>
                <w:b w:val="1"/>
                <w:bCs w:val="1"/>
                <w:color w:val="FFFFFF"/>
                <w:w w:val="99"/>
              </w:rPr>
              <w:t>Segment</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8"/>
              </w:rPr>
              <w:t>Transaction</w:t>
            </w:r>
          </w:p>
        </w:tc>
        <w:tc>
          <w:tcPr>
            <w:tcW w:w="1160" w:type="dxa"/>
            <w:vAlign w:val="bottom"/>
          </w:tcPr>
          <w:p>
            <w:pPr>
              <w:jc w:val="center"/>
              <w:ind w:right="6"/>
              <w:spacing w:after="0"/>
              <w:rPr>
                <w:sz w:val="20"/>
                <w:szCs w:val="20"/>
                <w:color w:val="auto"/>
              </w:rPr>
            </w:pPr>
            <w:r>
              <w:rPr>
                <w:rFonts w:ascii="Arial" w:cs="Arial" w:eastAsia="Arial" w:hAnsi="Arial"/>
                <w:sz w:val="19"/>
                <w:szCs w:val="19"/>
                <w:b w:val="1"/>
                <w:bCs w:val="1"/>
                <w:color w:val="FFFFFF"/>
                <w:w w:val="97"/>
              </w:rPr>
              <w:t>Segment</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8"/>
              </w:rPr>
              <w:t>Residual</w:t>
            </w:r>
          </w:p>
        </w:tc>
      </w:tr>
      <w:tr>
        <w:trPr>
          <w:trHeight w:val="250"/>
        </w:trPr>
        <w:tc>
          <w:tcPr>
            <w:tcW w:w="1160" w:type="dxa"/>
            <w:vAlign w:val="bottom"/>
          </w:tcPr>
          <w:p>
            <w:pPr>
              <w:jc w:val="center"/>
              <w:ind w:right="91"/>
              <w:spacing w:after="0"/>
              <w:rPr>
                <w:sz w:val="20"/>
                <w:szCs w:val="20"/>
                <w:color w:val="auto"/>
              </w:rPr>
            </w:pPr>
            <w:r>
              <w:rPr>
                <w:rFonts w:ascii="Arial" w:cs="Arial" w:eastAsia="Arial" w:hAnsi="Arial"/>
                <w:sz w:val="15"/>
                <w:szCs w:val="15"/>
                <w:b w:val="1"/>
                <w:bCs w:val="1"/>
                <w:color w:val="FFFFFF"/>
              </w:rPr>
              <w:t>(Sep–Oct ‘09)</w:t>
            </w:r>
          </w:p>
        </w:tc>
        <w:tc>
          <w:tcPr>
            <w:tcW w:w="1360" w:type="dxa"/>
            <w:vAlign w:val="bottom"/>
          </w:tcPr>
          <w:p>
            <w:pPr>
              <w:jc w:val="center"/>
              <w:spacing w:after="0"/>
              <w:rPr>
                <w:sz w:val="20"/>
                <w:szCs w:val="20"/>
                <w:color w:val="auto"/>
              </w:rPr>
            </w:pPr>
            <w:r>
              <w:rPr>
                <w:rFonts w:ascii="Arial" w:cs="Arial" w:eastAsia="Arial" w:hAnsi="Arial"/>
                <w:sz w:val="19"/>
                <w:szCs w:val="19"/>
                <w:b w:val="1"/>
                <w:bCs w:val="1"/>
                <w:color w:val="FFFFFF"/>
                <w:w w:val="97"/>
              </w:rPr>
              <w:t>Price (ATP)</w:t>
            </w:r>
          </w:p>
        </w:tc>
        <w:tc>
          <w:tcPr>
            <w:tcW w:w="1160" w:type="dxa"/>
            <w:vAlign w:val="bottom"/>
          </w:tcPr>
          <w:p>
            <w:pPr>
              <w:jc w:val="center"/>
              <w:ind w:right="6"/>
              <w:spacing w:after="0"/>
              <w:rPr>
                <w:sz w:val="20"/>
                <w:szCs w:val="20"/>
                <w:color w:val="auto"/>
              </w:rPr>
            </w:pPr>
            <w:r>
              <w:rPr>
                <w:rFonts w:ascii="Arial" w:cs="Arial" w:eastAsia="Arial" w:hAnsi="Arial"/>
                <w:sz w:val="19"/>
                <w:szCs w:val="19"/>
                <w:b w:val="1"/>
                <w:bCs w:val="1"/>
                <w:color w:val="FFFFFF"/>
                <w:w w:val="98"/>
              </w:rPr>
              <w:t>Average</w:t>
            </w:r>
          </w:p>
        </w:tc>
        <w:tc>
          <w:tcPr>
            <w:tcW w:w="1080" w:type="dxa"/>
            <w:vAlign w:val="bottom"/>
          </w:tcPr>
          <w:p>
            <w:pPr>
              <w:jc w:val="center"/>
              <w:spacing w:after="0"/>
              <w:rPr>
                <w:sz w:val="20"/>
                <w:szCs w:val="20"/>
                <w:color w:val="auto"/>
              </w:rPr>
            </w:pPr>
            <w:r>
              <w:rPr>
                <w:rFonts w:ascii="Arial" w:cs="Arial" w:eastAsia="Arial" w:hAnsi="Arial"/>
                <w:sz w:val="19"/>
                <w:szCs w:val="19"/>
                <w:b w:val="1"/>
                <w:bCs w:val="1"/>
                <w:color w:val="FFFFFF"/>
                <w:w w:val="98"/>
              </w:rPr>
              <w:t>Value</w:t>
            </w:r>
          </w:p>
        </w:tc>
      </w:tr>
      <w:tr>
        <w:trPr>
          <w:trHeight w:val="312"/>
        </w:trPr>
        <w:tc>
          <w:tcPr>
            <w:tcW w:w="1160" w:type="dxa"/>
            <w:vAlign w:val="bottom"/>
          </w:tcPr>
          <w:p>
            <w:pPr>
              <w:jc w:val="center"/>
              <w:ind w:right="51"/>
              <w:spacing w:after="0"/>
              <w:rPr>
                <w:sz w:val="20"/>
                <w:szCs w:val="20"/>
                <w:color w:val="auto"/>
              </w:rPr>
            </w:pPr>
            <w:r>
              <w:rPr>
                <w:rFonts w:ascii="Arial" w:cs="Arial" w:eastAsia="Arial" w:hAnsi="Arial"/>
                <w:sz w:val="19"/>
                <w:szCs w:val="19"/>
                <w:color w:val="auto"/>
                <w:w w:val="99"/>
              </w:rPr>
              <w:t>~ 12.0%</w:t>
            </w:r>
          </w:p>
        </w:tc>
        <w:tc>
          <w:tcPr>
            <w:tcW w:w="1360" w:type="dxa"/>
            <w:vAlign w:val="bottom"/>
          </w:tcPr>
          <w:p>
            <w:pPr>
              <w:jc w:val="center"/>
              <w:spacing w:after="0"/>
              <w:rPr>
                <w:sz w:val="20"/>
                <w:szCs w:val="20"/>
                <w:color w:val="auto"/>
              </w:rPr>
            </w:pPr>
            <w:r>
              <w:rPr>
                <w:rFonts w:ascii="Arial" w:cs="Arial" w:eastAsia="Arial" w:hAnsi="Arial"/>
                <w:sz w:val="19"/>
                <w:szCs w:val="19"/>
                <w:color w:val="auto"/>
                <w:w w:val="98"/>
              </w:rPr>
              <w:t>~ $40,300</w:t>
            </w:r>
          </w:p>
        </w:tc>
        <w:tc>
          <w:tcPr>
            <w:tcW w:w="1160" w:type="dxa"/>
            <w:vAlign w:val="bottom"/>
          </w:tcPr>
          <w:p>
            <w:pPr>
              <w:jc w:val="center"/>
              <w:ind w:right="6"/>
              <w:spacing w:after="0"/>
              <w:rPr>
                <w:sz w:val="20"/>
                <w:szCs w:val="20"/>
                <w:color w:val="auto"/>
              </w:rPr>
            </w:pPr>
            <w:r>
              <w:rPr>
                <w:rFonts w:ascii="Arial" w:cs="Arial" w:eastAsia="Arial" w:hAnsi="Arial"/>
                <w:sz w:val="19"/>
                <w:szCs w:val="19"/>
                <w:color w:val="auto"/>
                <w:w w:val="99"/>
              </w:rPr>
              <w:t>92%</w:t>
            </w:r>
          </w:p>
        </w:tc>
        <w:tc>
          <w:tcPr>
            <w:tcW w:w="1080" w:type="dxa"/>
            <w:vAlign w:val="bottom"/>
          </w:tcPr>
          <w:p>
            <w:pPr>
              <w:jc w:val="center"/>
              <w:spacing w:after="0"/>
              <w:rPr>
                <w:sz w:val="20"/>
                <w:szCs w:val="20"/>
                <w:color w:val="auto"/>
              </w:rPr>
            </w:pPr>
            <w:r>
              <w:rPr>
                <w:rFonts w:ascii="Arial" w:cs="Arial" w:eastAsia="Arial" w:hAnsi="Arial"/>
                <w:sz w:val="19"/>
                <w:szCs w:val="19"/>
                <w:color w:val="auto"/>
                <w:w w:val="96"/>
              </w:rPr>
              <w:t>50.7%</w:t>
            </w:r>
          </w:p>
        </w:tc>
      </w:tr>
      <w:tr>
        <w:trPr>
          <w:trHeight w:val="246"/>
        </w:trPr>
        <w:tc>
          <w:tcPr>
            <w:tcW w:w="1160" w:type="dxa"/>
            <w:vAlign w:val="bottom"/>
          </w:tcPr>
          <w:p>
            <w:pPr>
              <w:jc w:val="center"/>
              <w:ind w:right="51"/>
              <w:spacing w:after="0"/>
              <w:rPr>
                <w:sz w:val="20"/>
                <w:szCs w:val="20"/>
                <w:color w:val="auto"/>
              </w:rPr>
            </w:pPr>
            <w:r>
              <w:rPr>
                <w:rFonts w:ascii="Arial" w:cs="Arial" w:eastAsia="Arial" w:hAnsi="Arial"/>
                <w:sz w:val="18"/>
                <w:szCs w:val="18"/>
                <w:i w:val="1"/>
                <w:iCs w:val="1"/>
                <w:color w:val="auto"/>
                <w:w w:val="97"/>
              </w:rPr>
              <w:t>+ 6.8 ppt.</w:t>
            </w:r>
          </w:p>
        </w:tc>
        <w:tc>
          <w:tcPr>
            <w:tcW w:w="1360" w:type="dxa"/>
            <w:vAlign w:val="bottom"/>
          </w:tcPr>
          <w:p>
            <w:pPr>
              <w:jc w:val="center"/>
              <w:spacing w:after="0"/>
              <w:rPr>
                <w:sz w:val="20"/>
                <w:szCs w:val="20"/>
                <w:color w:val="auto"/>
              </w:rPr>
            </w:pPr>
            <w:r>
              <w:rPr>
                <w:rFonts w:ascii="Arial" w:cs="Arial" w:eastAsia="Arial" w:hAnsi="Arial"/>
                <w:sz w:val="18"/>
                <w:szCs w:val="18"/>
                <w:i w:val="1"/>
                <w:iCs w:val="1"/>
                <w:color w:val="auto"/>
                <w:w w:val="99"/>
              </w:rPr>
              <w:t>+ $4,300</w:t>
            </w:r>
          </w:p>
        </w:tc>
        <w:tc>
          <w:tcPr>
            <w:tcW w:w="1160" w:type="dxa"/>
            <w:vAlign w:val="bottom"/>
          </w:tcPr>
          <w:p>
            <w:pPr>
              <w:jc w:val="center"/>
              <w:spacing w:after="0"/>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i w:val="1"/>
                <w:iCs w:val="1"/>
                <w:color w:val="auto"/>
              </w:rPr>
              <w:t>5.9 ppt.</w:t>
            </w:r>
          </w:p>
        </w:tc>
        <w:tc>
          <w:tcPr>
            <w:tcW w:w="1080" w:type="dxa"/>
            <w:vAlign w:val="bottom"/>
          </w:tcPr>
          <w:p>
            <w:pPr>
              <w:jc w:val="center"/>
              <w:spacing w:after="0"/>
              <w:rPr>
                <w:sz w:val="20"/>
                <w:szCs w:val="20"/>
                <w:color w:val="auto"/>
              </w:rPr>
            </w:pPr>
            <w:r>
              <w:rPr>
                <w:rFonts w:ascii="Arial" w:cs="Arial" w:eastAsia="Arial" w:hAnsi="Arial"/>
                <w:sz w:val="18"/>
                <w:szCs w:val="18"/>
                <w:i w:val="1"/>
                <w:iCs w:val="1"/>
                <w:color w:val="auto"/>
                <w:w w:val="98"/>
              </w:rPr>
              <w:t>+ 14.2 ppt.</w:t>
            </w:r>
          </w:p>
        </w:tc>
      </w:tr>
      <w:tr>
        <w:trPr>
          <w:trHeight w:val="571"/>
        </w:trPr>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5"/>
                <w:szCs w:val="25"/>
                <w:b w:val="1"/>
                <w:bCs w:val="1"/>
                <w:color w:val="auto"/>
              </w:rPr>
              <w:t>8</w:t>
            </w:r>
          </w:p>
        </w:tc>
      </w:tr>
    </w:tbl>
    <w:p>
      <w:pPr>
        <w:sectPr>
          <w:pgSz w:w="11900" w:h="16838" w:orient="portrait"/>
          <w:cols w:equalWidth="0" w:num="2">
            <w:col w:w="3960" w:space="560"/>
            <w:col w:w="4760"/>
          </w:cols>
          <w:pgMar w:left="1420" w:top="587" w:right="1199" w:bottom="1440" w:gutter="0" w:footer="0" w:header="0"/>
          <w:type w:val="continuous"/>
        </w:sectPr>
      </w:pPr>
    </w:p>
    <w:bookmarkStart w:id="30" w:name="page31"/>
    <w:bookmarkEnd w:id="30"/>
    <w:p>
      <w:pPr>
        <w:ind w:left="98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U.S. Dealer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327"/>
        </w:trPr>
        <w:tc>
          <w:tcPr>
            <w:tcW w:w="800" w:type="dxa"/>
            <w:vAlign w:val="bottom"/>
          </w:tcPr>
          <w:p>
            <w:pPr>
              <w:jc w:val="right"/>
              <w:ind w:right="57"/>
              <w:spacing w:after="0"/>
              <w:rPr>
                <w:sz w:val="20"/>
                <w:szCs w:val="20"/>
                <w:color w:val="auto"/>
              </w:rPr>
            </w:pPr>
            <w:r>
              <w:rPr>
                <w:rFonts w:ascii="Arial" w:cs="Arial" w:eastAsia="Arial" w:hAnsi="Arial"/>
                <w:sz w:val="25"/>
                <w:szCs w:val="25"/>
                <w:b w:val="1"/>
                <w:bCs w:val="1"/>
                <w:color w:val="auto"/>
                <w:w w:val="95"/>
              </w:rPr>
              <w:t>1,000</w:t>
            </w: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00" w:type="dxa"/>
            <w:vAlign w:val="bottom"/>
            <w:vMerge w:val="restart"/>
          </w:tcPr>
          <w:p>
            <w:pPr>
              <w:jc w:val="right"/>
              <w:ind w:right="77"/>
              <w:spacing w:after="0"/>
              <w:rPr>
                <w:sz w:val="20"/>
                <w:szCs w:val="20"/>
                <w:color w:val="auto"/>
              </w:rPr>
            </w:pPr>
            <w:r>
              <w:rPr>
                <w:rFonts w:ascii="Arial" w:cs="Arial" w:eastAsia="Arial" w:hAnsi="Arial"/>
                <w:sz w:val="25"/>
                <w:szCs w:val="25"/>
                <w:b w:val="1"/>
                <w:bCs w:val="1"/>
                <w:color w:val="auto"/>
              </w:rPr>
              <w:t>900</w:t>
            </w:r>
          </w:p>
        </w:tc>
        <w:tc>
          <w:tcPr>
            <w:tcW w:w="1560" w:type="dxa"/>
            <w:vAlign w:val="bottom"/>
          </w:tcPr>
          <w:p>
            <w:pPr>
              <w:jc w:val="right"/>
              <w:ind w:right="857"/>
              <w:spacing w:after="0"/>
              <w:rPr>
                <w:sz w:val="20"/>
                <w:szCs w:val="20"/>
                <w:color w:val="auto"/>
              </w:rPr>
            </w:pPr>
            <w:r>
              <w:rPr>
                <w:rFonts w:ascii="Arial" w:cs="Arial" w:eastAsia="Arial" w:hAnsi="Arial"/>
                <w:sz w:val="25"/>
                <w:szCs w:val="25"/>
                <w:b w:val="1"/>
                <w:bCs w:val="1"/>
                <w:color w:val="auto"/>
              </w:rPr>
              <w:t>872</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800" w:type="dxa"/>
            <w:vAlign w:val="bottom"/>
            <w:vMerge w:val="continue"/>
          </w:tcPr>
          <w:p>
            <w:pPr>
              <w:spacing w:after="0"/>
              <w:rPr>
                <w:sz w:val="9"/>
                <w:szCs w:val="9"/>
                <w:color w:val="auto"/>
              </w:rPr>
            </w:pPr>
          </w:p>
        </w:tc>
        <w:tc>
          <w:tcPr>
            <w:tcW w:w="156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rPr>
              <w:t>801</w:t>
            </w:r>
          </w:p>
        </w:tc>
        <w:tc>
          <w:tcPr>
            <w:tcW w:w="78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rPr>
              <w:t>781</w:t>
            </w:r>
          </w:p>
        </w:tc>
        <w:tc>
          <w:tcPr>
            <w:tcW w:w="78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800" w:type="dxa"/>
            <w:vAlign w:val="bottom"/>
            <w:vMerge w:val="restart"/>
          </w:tcPr>
          <w:p>
            <w:pPr>
              <w:jc w:val="right"/>
              <w:ind w:right="77"/>
              <w:spacing w:after="0"/>
              <w:rPr>
                <w:sz w:val="20"/>
                <w:szCs w:val="20"/>
                <w:color w:val="auto"/>
              </w:rPr>
            </w:pPr>
            <w:r>
              <w:rPr>
                <w:rFonts w:ascii="Arial" w:cs="Arial" w:eastAsia="Arial" w:hAnsi="Arial"/>
                <w:sz w:val="25"/>
                <w:szCs w:val="25"/>
                <w:b w:val="1"/>
                <w:bCs w:val="1"/>
                <w:color w:val="auto"/>
              </w:rPr>
              <w:t>800</w:t>
            </w:r>
          </w:p>
        </w:tc>
        <w:tc>
          <w:tcPr>
            <w:tcW w:w="15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rPr>
              <w:t>767</w:t>
            </w:r>
          </w:p>
        </w:tc>
        <w:tc>
          <w:tcPr>
            <w:tcW w:w="3540" w:type="dxa"/>
            <w:vAlign w:val="bottom"/>
            <w:vMerge w:val="restart"/>
          </w:tcPr>
          <w:p>
            <w:pPr>
              <w:jc w:val="right"/>
              <w:ind w:right="2817"/>
              <w:spacing w:after="0"/>
              <w:rPr>
                <w:sz w:val="20"/>
                <w:szCs w:val="20"/>
                <w:color w:val="auto"/>
              </w:rPr>
            </w:pPr>
            <w:r>
              <w:rPr>
                <w:rFonts w:ascii="Arial" w:cs="Arial" w:eastAsia="Arial" w:hAnsi="Arial"/>
                <w:sz w:val="25"/>
                <w:szCs w:val="25"/>
                <w:b w:val="1"/>
                <w:bCs w:val="1"/>
                <w:color w:val="auto"/>
              </w:rPr>
              <w:t>741</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800" w:type="dxa"/>
            <w:vAlign w:val="bottom"/>
            <w:vMerge w:val="continue"/>
          </w:tcPr>
          <w:p>
            <w:pPr>
              <w:spacing w:after="0"/>
              <w:rPr>
                <w:sz w:val="7"/>
                <w:szCs w:val="7"/>
                <w:color w:val="auto"/>
              </w:rPr>
            </w:pPr>
          </w:p>
        </w:tc>
        <w:tc>
          <w:tcPr>
            <w:tcW w:w="1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54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80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7"/>
        </w:trPr>
        <w:tc>
          <w:tcPr>
            <w:tcW w:w="800" w:type="dxa"/>
            <w:vAlign w:val="bottom"/>
            <w:vMerge w:val="restart"/>
          </w:tcPr>
          <w:p>
            <w:pPr>
              <w:jc w:val="right"/>
              <w:ind w:right="77"/>
              <w:spacing w:after="0"/>
              <w:rPr>
                <w:sz w:val="20"/>
                <w:szCs w:val="20"/>
                <w:color w:val="auto"/>
              </w:rPr>
            </w:pPr>
            <w:r>
              <w:rPr>
                <w:rFonts w:ascii="Arial" w:cs="Arial" w:eastAsia="Arial" w:hAnsi="Arial"/>
                <w:sz w:val="25"/>
                <w:szCs w:val="25"/>
                <w:b w:val="1"/>
                <w:bCs w:val="1"/>
                <w:color w:val="auto"/>
              </w:rPr>
              <w:t>700</w:t>
            </w: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tcPr>
          <w:p>
            <w:pPr>
              <w:jc w:val="right"/>
              <w:ind w:right="2017"/>
              <w:spacing w:after="0"/>
              <w:rPr>
                <w:sz w:val="20"/>
                <w:szCs w:val="20"/>
                <w:color w:val="auto"/>
              </w:rPr>
            </w:pPr>
            <w:r>
              <w:rPr>
                <w:rFonts w:ascii="Arial" w:cs="Arial" w:eastAsia="Arial" w:hAnsi="Arial"/>
                <w:sz w:val="25"/>
                <w:szCs w:val="25"/>
                <w:b w:val="1"/>
                <w:bCs w:val="1"/>
                <w:color w:val="auto"/>
              </w:rPr>
              <w:t>674</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80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540" w:type="dxa"/>
            <w:vAlign w:val="bottom"/>
            <w:vMerge w:val="restart"/>
          </w:tcPr>
          <w:p>
            <w:pPr>
              <w:jc w:val="right"/>
              <w:ind w:right="1237"/>
              <w:spacing w:after="0"/>
              <w:rPr>
                <w:sz w:val="20"/>
                <w:szCs w:val="20"/>
                <w:color w:val="auto"/>
              </w:rPr>
            </w:pPr>
            <w:r>
              <w:rPr>
                <w:rFonts w:ascii="Arial" w:cs="Arial" w:eastAsia="Arial" w:hAnsi="Arial"/>
                <w:sz w:val="25"/>
                <w:szCs w:val="25"/>
                <w:b w:val="1"/>
                <w:bCs w:val="1"/>
                <w:color w:val="auto"/>
              </w:rPr>
              <w:t>582</w:t>
            </w: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800" w:type="dxa"/>
            <w:vAlign w:val="bottom"/>
            <w:vMerge w:val="restart"/>
          </w:tcPr>
          <w:p>
            <w:pPr>
              <w:jc w:val="right"/>
              <w:ind w:right="77"/>
              <w:spacing w:after="0"/>
              <w:rPr>
                <w:sz w:val="20"/>
                <w:szCs w:val="20"/>
                <w:color w:val="auto"/>
              </w:rPr>
            </w:pPr>
            <w:r>
              <w:rPr>
                <w:rFonts w:ascii="Arial" w:cs="Arial" w:eastAsia="Arial" w:hAnsi="Arial"/>
                <w:sz w:val="25"/>
                <w:szCs w:val="25"/>
                <w:b w:val="1"/>
                <w:bCs w:val="1"/>
                <w:color w:val="auto"/>
              </w:rPr>
              <w:t>600</w:t>
            </w: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80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800" w:type="dxa"/>
            <w:vAlign w:val="bottom"/>
            <w:vMerge w:val="restart"/>
          </w:tcPr>
          <w:p>
            <w:pPr>
              <w:jc w:val="right"/>
              <w:ind w:right="77"/>
              <w:spacing w:after="0"/>
              <w:rPr>
                <w:sz w:val="20"/>
                <w:szCs w:val="20"/>
                <w:color w:val="auto"/>
              </w:rPr>
            </w:pPr>
            <w:r>
              <w:rPr>
                <w:rFonts w:ascii="Arial" w:cs="Arial" w:eastAsia="Arial" w:hAnsi="Arial"/>
                <w:sz w:val="25"/>
                <w:szCs w:val="25"/>
                <w:b w:val="1"/>
                <w:bCs w:val="1"/>
                <w:color w:val="auto"/>
              </w:rPr>
              <w:t>500</w:t>
            </w: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40" w:type="dxa"/>
            <w:vAlign w:val="bottom"/>
          </w:tcPr>
          <w:p>
            <w:pPr>
              <w:jc w:val="right"/>
              <w:ind w:right="457"/>
              <w:spacing w:after="0"/>
              <w:rPr>
                <w:sz w:val="20"/>
                <w:szCs w:val="20"/>
                <w:color w:val="auto"/>
              </w:rPr>
            </w:pPr>
            <w:r>
              <w:rPr>
                <w:rFonts w:ascii="Arial" w:cs="Arial" w:eastAsia="Arial" w:hAnsi="Arial"/>
                <w:sz w:val="25"/>
                <w:szCs w:val="25"/>
                <w:b w:val="1"/>
                <w:bCs w:val="1"/>
                <w:color w:val="auto"/>
              </w:rPr>
              <w:t>466</w:t>
            </w:r>
          </w:p>
        </w:tc>
        <w:tc>
          <w:tcPr>
            <w:tcW w:w="118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rPr>
              <w:t>424</w:t>
            </w:r>
          </w:p>
        </w:tc>
        <w:tc>
          <w:tcPr>
            <w:tcW w:w="600" w:type="dxa"/>
            <w:vAlign w:val="bottom"/>
            <w:vMerge w:val="restart"/>
          </w:tcPr>
          <w:p>
            <w:pPr>
              <w:jc w:val="right"/>
              <w:spacing w:after="0"/>
              <w:rPr>
                <w:sz w:val="20"/>
                <w:szCs w:val="20"/>
                <w:color w:val="auto"/>
              </w:rPr>
            </w:pPr>
            <w:r>
              <w:rPr>
                <w:rFonts w:ascii="Arial" w:cs="Arial" w:eastAsia="Arial" w:hAnsi="Arial"/>
                <w:sz w:val="25"/>
                <w:szCs w:val="25"/>
                <w:b w:val="1"/>
                <w:bCs w:val="1"/>
                <w:color w:val="auto"/>
              </w:rPr>
              <w:t>444</w:t>
            </w:r>
          </w:p>
        </w:tc>
        <w:tc>
          <w:tcPr>
            <w:tcW w:w="0" w:type="dxa"/>
            <w:vAlign w:val="bottom"/>
          </w:tcPr>
          <w:p>
            <w:pPr>
              <w:spacing w:after="0"/>
              <w:rPr>
                <w:sz w:val="1"/>
                <w:szCs w:val="1"/>
                <w:color w:val="auto"/>
              </w:rPr>
            </w:pPr>
          </w:p>
        </w:tc>
      </w:tr>
      <w:tr>
        <w:trPr>
          <w:trHeight w:val="106"/>
        </w:trPr>
        <w:tc>
          <w:tcPr>
            <w:tcW w:w="800" w:type="dxa"/>
            <w:vAlign w:val="bottom"/>
            <w:vMerge w:val="continue"/>
          </w:tcPr>
          <w:p>
            <w:pPr>
              <w:spacing w:after="0"/>
              <w:rPr>
                <w:sz w:val="9"/>
                <w:szCs w:val="9"/>
                <w:color w:val="auto"/>
              </w:rPr>
            </w:pPr>
          </w:p>
        </w:tc>
        <w:tc>
          <w:tcPr>
            <w:tcW w:w="1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331"/>
        </w:trPr>
        <w:tc>
          <w:tcPr>
            <w:tcW w:w="3760" w:type="dxa"/>
            <w:vAlign w:val="bottom"/>
            <w:vMerge w:val="restart"/>
          </w:tcPr>
          <w:p>
            <w:pPr>
              <w:jc w:val="right"/>
              <w:ind w:right="3217"/>
              <w:spacing w:after="0"/>
              <w:rPr>
                <w:sz w:val="20"/>
                <w:szCs w:val="20"/>
                <w:color w:val="auto"/>
              </w:rPr>
            </w:pPr>
            <w:r>
              <w:rPr>
                <w:rFonts w:ascii="Arial" w:cs="Arial" w:eastAsia="Arial" w:hAnsi="Arial"/>
                <w:sz w:val="25"/>
                <w:szCs w:val="25"/>
                <w:b w:val="1"/>
                <w:bCs w:val="1"/>
                <w:color w:val="auto"/>
                <w:w w:val="95"/>
              </w:rPr>
              <w:t>400</w:t>
            </w:r>
          </w:p>
        </w:tc>
        <w:tc>
          <w:tcPr>
            <w:tcW w:w="3740" w:type="dxa"/>
            <w:vAlign w:val="bottom"/>
          </w:tcPr>
          <w:p>
            <w:pPr>
              <w:jc w:val="right"/>
              <w:spacing w:after="0"/>
              <w:rPr>
                <w:sz w:val="20"/>
                <w:szCs w:val="20"/>
                <w:color w:val="auto"/>
              </w:rPr>
            </w:pPr>
            <w:r>
              <w:rPr>
                <w:rFonts w:ascii="Arial" w:cs="Arial" w:eastAsia="Arial" w:hAnsi="Arial"/>
                <w:sz w:val="25"/>
                <w:szCs w:val="25"/>
                <w:b w:val="1"/>
                <w:bCs w:val="1"/>
                <w:color w:val="auto"/>
              </w:rPr>
              <w:t>379</w:t>
            </w:r>
          </w:p>
        </w:tc>
        <w:tc>
          <w:tcPr>
            <w:tcW w:w="0" w:type="dxa"/>
            <w:vAlign w:val="bottom"/>
          </w:tcPr>
          <w:p>
            <w:pPr>
              <w:spacing w:after="0"/>
              <w:rPr>
                <w:sz w:val="1"/>
                <w:szCs w:val="1"/>
                <w:color w:val="auto"/>
              </w:rPr>
            </w:pPr>
          </w:p>
        </w:tc>
      </w:tr>
      <w:tr>
        <w:trPr>
          <w:trHeight w:val="96"/>
        </w:trPr>
        <w:tc>
          <w:tcPr>
            <w:tcW w:w="3760" w:type="dxa"/>
            <w:vAlign w:val="bottom"/>
            <w:vMerge w:val="continue"/>
          </w:tcPr>
          <w:p>
            <w:pPr>
              <w:spacing w:after="0"/>
              <w:rPr>
                <w:sz w:val="8"/>
                <w:szCs w:val="8"/>
                <w:color w:val="auto"/>
              </w:rPr>
            </w:pPr>
          </w:p>
        </w:tc>
        <w:tc>
          <w:tcPr>
            <w:tcW w:w="3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right"/>
        <w:ind w:right="9360"/>
        <w:spacing w:after="0"/>
        <w:rPr>
          <w:sz w:val="20"/>
          <w:szCs w:val="20"/>
          <w:color w:val="auto"/>
        </w:rPr>
      </w:pPr>
      <w:r>
        <w:rPr>
          <w:rFonts w:ascii="Arial" w:cs="Arial" w:eastAsia="Arial" w:hAnsi="Arial"/>
          <w:sz w:val="25"/>
          <w:szCs w:val="25"/>
          <w:b w:val="1"/>
          <w:bCs w:val="1"/>
          <w:color w:val="auto"/>
        </w:rPr>
        <w:t>300</w:t>
      </w:r>
    </w:p>
    <w:p>
      <w:pPr>
        <w:spacing w:after="0" w:line="159" w:lineRule="exact"/>
        <w:rPr>
          <w:sz w:val="20"/>
          <w:szCs w:val="20"/>
          <w:color w:val="auto"/>
        </w:rPr>
      </w:pPr>
    </w:p>
    <w:p>
      <w:pPr>
        <w:jc w:val="right"/>
        <w:ind w:right="9360"/>
        <w:spacing w:after="0"/>
        <w:rPr>
          <w:sz w:val="20"/>
          <w:szCs w:val="20"/>
          <w:color w:val="auto"/>
        </w:rPr>
      </w:pPr>
      <w:r>
        <w:rPr>
          <w:rFonts w:ascii="Arial" w:cs="Arial" w:eastAsia="Arial" w:hAnsi="Arial"/>
          <w:sz w:val="25"/>
          <w:szCs w:val="25"/>
          <w:b w:val="1"/>
          <w:bCs w:val="1"/>
          <w:color w:val="auto"/>
        </w:rPr>
        <w:t>200</w:t>
      </w:r>
    </w:p>
    <w:p>
      <w:pPr>
        <w:spacing w:after="0" w:line="159" w:lineRule="exact"/>
        <w:rPr>
          <w:sz w:val="20"/>
          <w:szCs w:val="20"/>
          <w:color w:val="auto"/>
        </w:rPr>
      </w:pPr>
    </w:p>
    <w:p>
      <w:pPr>
        <w:jc w:val="right"/>
        <w:ind w:right="9360"/>
        <w:spacing w:after="0"/>
        <w:rPr>
          <w:sz w:val="20"/>
          <w:szCs w:val="20"/>
          <w:color w:val="auto"/>
        </w:rPr>
      </w:pPr>
      <w:r>
        <w:rPr>
          <w:rFonts w:ascii="Arial" w:cs="Arial" w:eastAsia="Arial" w:hAnsi="Arial"/>
          <w:sz w:val="25"/>
          <w:szCs w:val="25"/>
          <w:b w:val="1"/>
          <w:bCs w:val="1"/>
          <w:color w:val="auto"/>
        </w:rPr>
        <w:t>100</w:t>
      </w:r>
    </w:p>
    <w:p>
      <w:pPr>
        <w:spacing w:after="0" w:line="159" w:lineRule="exact"/>
        <w:rPr>
          <w:sz w:val="20"/>
          <w:szCs w:val="20"/>
          <w:color w:val="auto"/>
        </w:rPr>
      </w:pPr>
    </w:p>
    <w:p>
      <w:pPr>
        <w:jc w:val="right"/>
        <w:ind w:right="9380"/>
        <w:spacing w:after="0"/>
        <w:rPr>
          <w:sz w:val="20"/>
          <w:szCs w:val="20"/>
          <w:color w:val="auto"/>
        </w:rPr>
      </w:pPr>
      <w:r>
        <w:rPr>
          <w:rFonts w:ascii="Arial" w:cs="Arial" w:eastAsia="Arial" w:hAnsi="Arial"/>
          <w:sz w:val="25"/>
          <w:szCs w:val="25"/>
          <w:b w:val="1"/>
          <w:bCs w:val="1"/>
          <w:color w:val="auto"/>
        </w:rPr>
        <w:t>0</w:t>
      </w:r>
    </w:p>
    <w:p>
      <w:pPr>
        <w:spacing w:after="0" w:line="42" w:lineRule="exact"/>
        <w:rPr>
          <w:sz w:val="20"/>
          <w:szCs w:val="20"/>
          <w:color w:val="auto"/>
        </w:rPr>
      </w:pPr>
    </w:p>
    <w:p>
      <w:pPr>
        <w:ind w:left="1200"/>
        <w:spacing w:after="0"/>
        <w:tabs>
          <w:tab w:leader="none" w:pos="1980" w:val="left"/>
          <w:tab w:leader="none" w:pos="2760" w:val="left"/>
          <w:tab w:leader="none" w:pos="3520" w:val="left"/>
          <w:tab w:leader="none" w:pos="4320" w:val="left"/>
          <w:tab w:leader="none" w:pos="5080" w:val="left"/>
          <w:tab w:leader="none" w:pos="5900" w:val="left"/>
          <w:tab w:leader="none" w:pos="6720" w:val="left"/>
          <w:tab w:leader="none" w:pos="7460" w:val="left"/>
          <w:tab w:leader="none" w:pos="8260" w:val="left"/>
          <w:tab w:leader="none" w:pos="9060" w:val="left"/>
        </w:tabs>
        <w:rPr>
          <w:sz w:val="20"/>
          <w:szCs w:val="20"/>
          <w:color w:val="auto"/>
        </w:rPr>
      </w:pPr>
      <w:r>
        <w:rPr>
          <w:rFonts w:ascii="Arial" w:cs="Arial" w:eastAsia="Arial" w:hAnsi="Arial"/>
          <w:sz w:val="19"/>
          <w:szCs w:val="19"/>
          <w:b w:val="1"/>
          <w:bCs w:val="1"/>
          <w:color w:val="auto"/>
        </w:rPr>
        <w:t>Dec-08</w:t>
        <w:tab/>
        <w:t>Jan-09</w:t>
        <w:tab/>
        <w:t>Feb-09</w:t>
        <w:tab/>
        <w:t>Mar-09</w:t>
        <w:tab/>
        <w:t>Apr-09</w:t>
        <w:tab/>
        <w:t>May-09</w:t>
        <w:tab/>
        <w:t>Jun-09</w:t>
        <w:tab/>
        <w:t>Jul-09</w:t>
        <w:tab/>
        <w:t>Aug-09</w:t>
        <w:tab/>
        <w:t>Sep-09</w:t>
      </w:r>
      <w:r>
        <w:rPr>
          <w:sz w:val="20"/>
          <w:szCs w:val="20"/>
          <w:color w:val="auto"/>
        </w:rPr>
        <w:tab/>
      </w:r>
      <w:r>
        <w:rPr>
          <w:rFonts w:ascii="Arial" w:cs="Arial" w:eastAsia="Arial" w:hAnsi="Arial"/>
          <w:sz w:val="18"/>
          <w:szCs w:val="18"/>
          <w:b w:val="1"/>
          <w:bCs w:val="1"/>
          <w:color w:val="auto"/>
        </w:rPr>
        <w:t>Oct-09</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All data prior to July 10, 2009 refers to Old GM. New GM acquired operations from Old GM on July 10, 2009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9</w:t>
      </w:r>
    </w:p>
    <w:p>
      <w:pPr>
        <w:sectPr>
          <w:pgSz w:w="11900" w:h="16838" w:orient="portrait"/>
          <w:cols w:equalWidth="0" w:num="1">
            <w:col w:w="10260"/>
          </w:cols>
          <w:pgMar w:left="440" w:top="587" w:right="1199" w:bottom="1440" w:gutter="0" w:footer="0" w:header="0"/>
        </w:sectPr>
      </w:pPr>
    </w:p>
    <w:bookmarkStart w:id="31" w:name="page32"/>
    <w:bookmarkEnd w:id="31"/>
    <w:p>
      <w:pPr>
        <w:ind w:left="104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U.S.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680" w:type="dxa"/>
        <w:tblCellMar>
          <w:top w:w="0" w:type="dxa"/>
          <w:left w:w="0" w:type="dxa"/>
          <w:bottom w:w="0" w:type="dxa"/>
          <w:right w:w="0" w:type="dxa"/>
        </w:tblCellMar>
      </w:tblPr>
      <w:tr>
        <w:trPr>
          <w:trHeight w:val="339"/>
        </w:trPr>
        <w:tc>
          <w:tcPr>
            <w:tcW w:w="840" w:type="dxa"/>
            <w:vAlign w:val="bottom"/>
          </w:tcPr>
          <w:p>
            <w:pPr>
              <w:spacing w:after="0"/>
              <w:rPr>
                <w:sz w:val="24"/>
                <w:szCs w:val="24"/>
                <w:color w:val="auto"/>
              </w:rPr>
            </w:pPr>
          </w:p>
        </w:tc>
        <w:tc>
          <w:tcPr>
            <w:tcW w:w="4420" w:type="dxa"/>
            <w:vAlign w:val="bottom"/>
            <w:gridSpan w:val="3"/>
          </w:tcPr>
          <w:p>
            <w:pPr>
              <w:ind w:left="80"/>
              <w:spacing w:after="0"/>
              <w:rPr>
                <w:sz w:val="20"/>
                <w:szCs w:val="20"/>
                <w:color w:val="auto"/>
              </w:rPr>
            </w:pPr>
            <w:r>
              <w:rPr>
                <w:rFonts w:ascii="Arial" w:cs="Arial" w:eastAsia="Arial" w:hAnsi="Arial"/>
                <w:sz w:val="28"/>
                <w:szCs w:val="28"/>
                <w:color w:val="auto"/>
              </w:rPr>
              <w:t>Average Retail Transaction Price</w:t>
            </w:r>
          </w:p>
        </w:tc>
        <w:tc>
          <w:tcPr>
            <w:tcW w:w="3640" w:type="dxa"/>
            <w:vAlign w:val="bottom"/>
            <w:gridSpan w:val="3"/>
          </w:tcPr>
          <w:p>
            <w:pPr>
              <w:ind w:left="220"/>
              <w:spacing w:after="0"/>
              <w:rPr>
                <w:sz w:val="20"/>
                <w:szCs w:val="20"/>
                <w:color w:val="auto"/>
              </w:rPr>
            </w:pPr>
            <w:r>
              <w:rPr>
                <w:rFonts w:ascii="Arial" w:cs="Arial" w:eastAsia="Arial" w:hAnsi="Arial"/>
                <w:sz w:val="28"/>
                <w:szCs w:val="28"/>
                <w:color w:val="auto"/>
              </w:rPr>
              <w:t>Average Retail Incentive</w:t>
            </w:r>
          </w:p>
        </w:tc>
        <w:tc>
          <w:tcPr>
            <w:tcW w:w="0" w:type="dxa"/>
            <w:vAlign w:val="bottom"/>
          </w:tcPr>
          <w:p>
            <w:pPr>
              <w:spacing w:after="0"/>
              <w:rPr>
                <w:sz w:val="1"/>
                <w:szCs w:val="1"/>
                <w:color w:val="auto"/>
              </w:rPr>
            </w:pPr>
          </w:p>
        </w:tc>
      </w:tr>
      <w:tr>
        <w:trPr>
          <w:trHeight w:val="309"/>
        </w:trPr>
        <w:tc>
          <w:tcPr>
            <w:tcW w:w="840" w:type="dxa"/>
            <w:vAlign w:val="bottom"/>
          </w:tcPr>
          <w:p>
            <w:pPr>
              <w:jc w:val="right"/>
              <w:spacing w:after="0"/>
              <w:rPr>
                <w:sz w:val="20"/>
                <w:szCs w:val="20"/>
                <w:color w:val="auto"/>
              </w:rPr>
            </w:pPr>
            <w:r>
              <w:rPr>
                <w:rFonts w:ascii="Arial" w:cs="Arial" w:eastAsia="Arial" w:hAnsi="Arial"/>
                <w:sz w:val="25"/>
                <w:szCs w:val="25"/>
                <w:b w:val="1"/>
                <w:bCs w:val="1"/>
                <w:color w:val="auto"/>
                <w:w w:val="96"/>
              </w:rPr>
              <w:t>28,500</w:t>
            </w:r>
          </w:p>
        </w:tc>
        <w:tc>
          <w:tcPr>
            <w:tcW w:w="15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rPr>
              <w:t>5,433</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25"/>
                <w:szCs w:val="25"/>
                <w:b w:val="1"/>
                <w:bCs w:val="1"/>
                <w:color w:val="auto"/>
                <w:w w:val="95"/>
              </w:rPr>
              <w:t>6,000</w:t>
            </w:r>
          </w:p>
        </w:tc>
        <w:tc>
          <w:tcPr>
            <w:tcW w:w="0" w:type="dxa"/>
            <w:vAlign w:val="bottom"/>
          </w:tcPr>
          <w:p>
            <w:pPr>
              <w:spacing w:after="0"/>
              <w:rPr>
                <w:sz w:val="1"/>
                <w:szCs w:val="1"/>
                <w:color w:val="auto"/>
              </w:rPr>
            </w:pPr>
          </w:p>
        </w:tc>
      </w:tr>
      <w:tr>
        <w:trPr>
          <w:trHeight w:val="282"/>
        </w:trPr>
        <w:tc>
          <w:tcPr>
            <w:tcW w:w="840" w:type="dxa"/>
            <w:vAlign w:val="bottom"/>
          </w:tcPr>
          <w:p>
            <w:pPr>
              <w:jc w:val="right"/>
              <w:spacing w:after="0" w:line="282" w:lineRule="exact"/>
              <w:rPr>
                <w:sz w:val="20"/>
                <w:szCs w:val="20"/>
                <w:color w:val="auto"/>
              </w:rPr>
            </w:pPr>
            <w:r>
              <w:rPr>
                <w:rFonts w:ascii="Arial" w:cs="Arial" w:eastAsia="Arial" w:hAnsi="Arial"/>
                <w:sz w:val="25"/>
                <w:szCs w:val="25"/>
                <w:b w:val="1"/>
                <w:bCs w:val="1"/>
                <w:color w:val="auto"/>
                <w:w w:val="96"/>
              </w:rPr>
              <w:t>28,000</w:t>
            </w:r>
          </w:p>
        </w:tc>
        <w:tc>
          <w:tcPr>
            <w:tcW w:w="1560" w:type="dxa"/>
            <w:vAlign w:val="bottom"/>
          </w:tcPr>
          <w:p>
            <w:pPr>
              <w:jc w:val="center"/>
              <w:ind w:left="38"/>
              <w:spacing w:after="0"/>
              <w:rPr>
                <w:sz w:val="20"/>
                <w:szCs w:val="20"/>
                <w:color w:val="auto"/>
              </w:rPr>
            </w:pPr>
            <w:r>
              <w:rPr>
                <w:rFonts w:ascii="Arial" w:cs="Arial" w:eastAsia="Arial" w:hAnsi="Arial"/>
                <w:sz w:val="19"/>
                <w:szCs w:val="19"/>
                <w:b w:val="1"/>
                <w:bCs w:val="1"/>
                <w:color w:val="auto"/>
              </w:rPr>
              <w:t>4,427</w:t>
            </w:r>
          </w:p>
        </w:tc>
        <w:tc>
          <w:tcPr>
            <w:tcW w:w="14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9"/>
                <w:szCs w:val="19"/>
                <w:b w:val="1"/>
                <w:bCs w:val="1"/>
                <w:color w:val="auto"/>
                <w:w w:val="96"/>
              </w:rPr>
              <w:t>4,589</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vMerge w:val="restart"/>
          </w:tcPr>
          <w:p>
            <w:pPr>
              <w:ind w:left="300"/>
              <w:spacing w:after="0"/>
              <w:rPr>
                <w:sz w:val="20"/>
                <w:szCs w:val="20"/>
                <w:color w:val="auto"/>
              </w:rPr>
            </w:pPr>
            <w:r>
              <w:rPr>
                <w:rFonts w:ascii="Arial" w:cs="Arial" w:eastAsia="Arial" w:hAnsi="Arial"/>
                <w:sz w:val="25"/>
                <w:szCs w:val="25"/>
                <w:b w:val="1"/>
                <w:bCs w:val="1"/>
                <w:color w:val="auto"/>
                <w:w w:val="95"/>
              </w:rPr>
              <w:t>5,000</w:t>
            </w:r>
          </w:p>
        </w:tc>
        <w:tc>
          <w:tcPr>
            <w:tcW w:w="0" w:type="dxa"/>
            <w:vAlign w:val="bottom"/>
          </w:tcPr>
          <w:p>
            <w:pPr>
              <w:spacing w:after="0"/>
              <w:rPr>
                <w:sz w:val="1"/>
                <w:szCs w:val="1"/>
                <w:color w:val="auto"/>
              </w:rPr>
            </w:pPr>
          </w:p>
        </w:tc>
      </w:tr>
      <w:tr>
        <w:trPr>
          <w:trHeight w:val="151"/>
        </w:trPr>
        <w:tc>
          <w:tcPr>
            <w:tcW w:w="840" w:type="dxa"/>
            <w:vAlign w:val="bottom"/>
            <w:vMerge w:val="restart"/>
          </w:tcPr>
          <w:p>
            <w:pPr>
              <w:jc w:val="right"/>
              <w:spacing w:after="0"/>
              <w:rPr>
                <w:sz w:val="20"/>
                <w:szCs w:val="20"/>
                <w:color w:val="auto"/>
              </w:rPr>
            </w:pPr>
            <w:r>
              <w:rPr>
                <w:rFonts w:ascii="Arial" w:cs="Arial" w:eastAsia="Arial" w:hAnsi="Arial"/>
                <w:sz w:val="25"/>
                <w:szCs w:val="25"/>
                <w:b w:val="1"/>
                <w:bCs w:val="1"/>
                <w:color w:val="auto"/>
                <w:w w:val="96"/>
              </w:rPr>
              <w:t>27,500</w:t>
            </w:r>
          </w:p>
        </w:tc>
        <w:tc>
          <w:tcPr>
            <w:tcW w:w="1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6"/>
              </w:rPr>
              <w:t>3,641</w:t>
            </w:r>
          </w:p>
        </w:tc>
        <w:tc>
          <w:tcPr>
            <w:tcW w:w="1360" w:type="dxa"/>
            <w:vAlign w:val="bottom"/>
            <w:vMerge w:val="restart"/>
          </w:tcPr>
          <w:p>
            <w:pPr>
              <w:jc w:val="right"/>
              <w:ind w:right="324"/>
              <w:spacing w:after="0"/>
              <w:rPr>
                <w:sz w:val="20"/>
                <w:szCs w:val="20"/>
                <w:color w:val="auto"/>
              </w:rPr>
            </w:pPr>
            <w:r>
              <w:rPr>
                <w:rFonts w:ascii="Arial" w:cs="Arial" w:eastAsia="Arial" w:hAnsi="Arial"/>
                <w:sz w:val="19"/>
                <w:szCs w:val="19"/>
                <w:b w:val="1"/>
                <w:bCs w:val="1"/>
                <w:color w:val="auto"/>
              </w:rPr>
              <w:t>3,561</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920" w:type="dxa"/>
            <w:vAlign w:val="bottom"/>
            <w:vMerge w:val="restart"/>
          </w:tcPr>
          <w:p>
            <w:pPr>
              <w:ind w:left="300"/>
              <w:spacing w:after="0"/>
              <w:rPr>
                <w:sz w:val="20"/>
                <w:szCs w:val="20"/>
                <w:color w:val="auto"/>
              </w:rPr>
            </w:pPr>
            <w:r>
              <w:rPr>
                <w:rFonts w:ascii="Arial" w:cs="Arial" w:eastAsia="Arial" w:hAnsi="Arial"/>
                <w:sz w:val="25"/>
                <w:szCs w:val="25"/>
                <w:b w:val="1"/>
                <w:bCs w:val="1"/>
                <w:color w:val="auto"/>
                <w:w w:val="95"/>
              </w:rPr>
              <w:t>4,000</w:t>
            </w:r>
          </w:p>
        </w:tc>
        <w:tc>
          <w:tcPr>
            <w:tcW w:w="0" w:type="dxa"/>
            <w:vAlign w:val="bottom"/>
          </w:tcPr>
          <w:p>
            <w:pPr>
              <w:spacing w:after="0"/>
              <w:rPr>
                <w:sz w:val="1"/>
                <w:szCs w:val="1"/>
                <w:color w:val="auto"/>
              </w:rPr>
            </w:pPr>
          </w:p>
        </w:tc>
      </w:tr>
      <w:tr>
        <w:trPr>
          <w:trHeight w:val="252"/>
        </w:trPr>
        <w:tc>
          <w:tcPr>
            <w:tcW w:w="840" w:type="dxa"/>
            <w:vAlign w:val="bottom"/>
          </w:tcPr>
          <w:p>
            <w:pPr>
              <w:jc w:val="right"/>
              <w:spacing w:after="0" w:line="252" w:lineRule="exact"/>
              <w:rPr>
                <w:sz w:val="20"/>
                <w:szCs w:val="20"/>
                <w:color w:val="auto"/>
              </w:rPr>
            </w:pPr>
            <w:r>
              <w:rPr>
                <w:rFonts w:ascii="Arial" w:cs="Arial" w:eastAsia="Arial" w:hAnsi="Arial"/>
                <w:sz w:val="25"/>
                <w:szCs w:val="25"/>
                <w:b w:val="1"/>
                <w:bCs w:val="1"/>
                <w:color w:val="auto"/>
                <w:w w:val="96"/>
              </w:rPr>
              <w:t>27,000</w:t>
            </w:r>
          </w:p>
        </w:tc>
        <w:tc>
          <w:tcPr>
            <w:tcW w:w="15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0" w:type="dxa"/>
            <w:vAlign w:val="bottom"/>
          </w:tcPr>
          <w:p>
            <w:pPr>
              <w:jc w:val="right"/>
              <w:spacing w:after="0" w:line="270" w:lineRule="exact"/>
              <w:rPr>
                <w:sz w:val="20"/>
                <w:szCs w:val="20"/>
                <w:color w:val="auto"/>
              </w:rPr>
            </w:pPr>
            <w:r>
              <w:rPr>
                <w:rFonts w:ascii="Arial" w:cs="Arial" w:eastAsia="Arial" w:hAnsi="Arial"/>
                <w:sz w:val="25"/>
                <w:szCs w:val="25"/>
                <w:b w:val="1"/>
                <w:bCs w:val="1"/>
                <w:color w:val="auto"/>
                <w:w w:val="96"/>
              </w:rPr>
              <w:t>26,500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rPr>
              <w:t>28,179</w:t>
            </w:r>
          </w:p>
        </w:tc>
        <w:tc>
          <w:tcPr>
            <w:tcW w:w="1360" w:type="dxa"/>
            <w:vAlign w:val="bottom"/>
          </w:tcPr>
          <w:p>
            <w:pPr>
              <w:spacing w:after="0"/>
              <w:rPr>
                <w:sz w:val="23"/>
                <w:szCs w:val="23"/>
                <w:color w:val="auto"/>
              </w:rPr>
            </w:pPr>
          </w:p>
        </w:tc>
        <w:tc>
          <w:tcPr>
            <w:tcW w:w="920" w:type="dxa"/>
            <w:vAlign w:val="bottom"/>
          </w:tcPr>
          <w:p>
            <w:pPr>
              <w:ind w:left="300"/>
              <w:spacing w:after="0" w:line="270" w:lineRule="exact"/>
              <w:rPr>
                <w:sz w:val="20"/>
                <w:szCs w:val="20"/>
                <w:color w:val="auto"/>
              </w:rPr>
            </w:pPr>
            <w:r>
              <w:rPr>
                <w:rFonts w:ascii="Arial" w:cs="Arial" w:eastAsia="Arial" w:hAnsi="Arial"/>
                <w:sz w:val="25"/>
                <w:szCs w:val="25"/>
                <w:b w:val="1"/>
                <w:bCs w:val="1"/>
                <w:color w:val="auto"/>
                <w:w w:val="95"/>
              </w:rPr>
              <w:t>3,000</w:t>
            </w:r>
          </w:p>
        </w:tc>
        <w:tc>
          <w:tcPr>
            <w:tcW w:w="0" w:type="dxa"/>
            <w:vAlign w:val="bottom"/>
          </w:tcPr>
          <w:p>
            <w:pPr>
              <w:spacing w:after="0"/>
              <w:rPr>
                <w:sz w:val="1"/>
                <w:szCs w:val="1"/>
                <w:color w:val="auto"/>
              </w:rPr>
            </w:pPr>
          </w:p>
        </w:tc>
      </w:tr>
      <w:tr>
        <w:trPr>
          <w:trHeight w:val="270"/>
        </w:trPr>
        <w:tc>
          <w:tcPr>
            <w:tcW w:w="840" w:type="dxa"/>
            <w:vAlign w:val="bottom"/>
          </w:tcPr>
          <w:p>
            <w:pPr>
              <w:jc w:val="right"/>
              <w:spacing w:after="0" w:line="270" w:lineRule="exact"/>
              <w:rPr>
                <w:sz w:val="20"/>
                <w:szCs w:val="20"/>
                <w:color w:val="auto"/>
              </w:rPr>
            </w:pPr>
            <w:r>
              <w:rPr>
                <w:rFonts w:ascii="Arial" w:cs="Arial" w:eastAsia="Arial" w:hAnsi="Arial"/>
                <w:sz w:val="25"/>
                <w:szCs w:val="25"/>
                <w:b w:val="1"/>
                <w:bCs w:val="1"/>
                <w:color w:val="auto"/>
                <w:w w:val="96"/>
              </w:rPr>
              <w:t>26,000</w:t>
            </w:r>
          </w:p>
        </w:tc>
        <w:tc>
          <w:tcPr>
            <w:tcW w:w="1560" w:type="dxa"/>
            <w:vAlign w:val="bottom"/>
          </w:tcPr>
          <w:p>
            <w:pPr>
              <w:spacing w:after="0"/>
              <w:rPr>
                <w:sz w:val="23"/>
                <w:szCs w:val="23"/>
                <w:color w:val="auto"/>
              </w:rPr>
            </w:pPr>
          </w:p>
        </w:tc>
        <w:tc>
          <w:tcPr>
            <w:tcW w:w="1420" w:type="dxa"/>
            <w:vAlign w:val="bottom"/>
            <w:vMerge w:val="restart"/>
          </w:tcPr>
          <w:p>
            <w:pPr>
              <w:jc w:val="center"/>
              <w:spacing w:after="0"/>
              <w:rPr>
                <w:sz w:val="20"/>
                <w:szCs w:val="20"/>
                <w:color w:val="auto"/>
              </w:rPr>
            </w:pPr>
            <w:r>
              <w:rPr>
                <w:rFonts w:ascii="Arial" w:cs="Arial" w:eastAsia="Arial" w:hAnsi="Arial"/>
                <w:sz w:val="22"/>
                <w:szCs w:val="22"/>
                <w:b w:val="1"/>
                <w:bCs w:val="1"/>
                <w:color w:val="auto"/>
              </w:rPr>
              <w:t>27,001</w:t>
            </w:r>
          </w:p>
        </w:tc>
        <w:tc>
          <w:tcPr>
            <w:tcW w:w="1440" w:type="dxa"/>
            <w:vAlign w:val="bottom"/>
            <w:vMerge w:val="restart"/>
          </w:tcPr>
          <w:p>
            <w:pPr>
              <w:jc w:val="center"/>
              <w:spacing w:after="0"/>
              <w:rPr>
                <w:sz w:val="20"/>
                <w:szCs w:val="20"/>
                <w:color w:val="auto"/>
              </w:rPr>
            </w:pPr>
            <w:r>
              <w:rPr>
                <w:rFonts w:ascii="Arial" w:cs="Arial" w:eastAsia="Arial" w:hAnsi="Arial"/>
                <w:sz w:val="22"/>
                <w:szCs w:val="22"/>
                <w:b w:val="1"/>
                <w:bCs w:val="1"/>
                <w:color w:val="auto"/>
              </w:rPr>
              <w:t>27,156</w:t>
            </w:r>
          </w:p>
        </w:tc>
        <w:tc>
          <w:tcPr>
            <w:tcW w:w="1360" w:type="dxa"/>
            <w:vAlign w:val="bottom"/>
            <w:vMerge w:val="continue"/>
          </w:tcPr>
          <w:p>
            <w:pPr>
              <w:spacing w:after="0"/>
              <w:rPr>
                <w:sz w:val="23"/>
                <w:szCs w:val="23"/>
                <w:color w:val="auto"/>
              </w:rPr>
            </w:pPr>
          </w:p>
        </w:tc>
        <w:tc>
          <w:tcPr>
            <w:tcW w:w="1360" w:type="dxa"/>
            <w:vAlign w:val="bottom"/>
            <w:vMerge w:val="restart"/>
          </w:tcPr>
          <w:p>
            <w:pPr>
              <w:jc w:val="right"/>
              <w:ind w:right="204"/>
              <w:spacing w:after="0"/>
              <w:rPr>
                <w:sz w:val="20"/>
                <w:szCs w:val="20"/>
                <w:color w:val="auto"/>
              </w:rPr>
            </w:pPr>
            <w:r>
              <w:rPr>
                <w:rFonts w:ascii="Arial" w:cs="Arial" w:eastAsia="Arial" w:hAnsi="Arial"/>
                <w:sz w:val="22"/>
                <w:szCs w:val="22"/>
                <w:b w:val="1"/>
                <w:bCs w:val="1"/>
                <w:color w:val="auto"/>
              </w:rPr>
              <w:t>26,996</w:t>
            </w:r>
          </w:p>
        </w:tc>
        <w:tc>
          <w:tcPr>
            <w:tcW w:w="920" w:type="dxa"/>
            <w:vAlign w:val="bottom"/>
            <w:vMerge w:val="restart"/>
          </w:tcPr>
          <w:p>
            <w:pPr>
              <w:ind w:left="300"/>
              <w:spacing w:after="0"/>
              <w:rPr>
                <w:sz w:val="20"/>
                <w:szCs w:val="20"/>
                <w:color w:val="auto"/>
              </w:rPr>
            </w:pPr>
            <w:r>
              <w:rPr>
                <w:rFonts w:ascii="Arial" w:cs="Arial" w:eastAsia="Arial" w:hAnsi="Arial"/>
                <w:sz w:val="25"/>
                <w:szCs w:val="25"/>
                <w:b w:val="1"/>
                <w:bCs w:val="1"/>
                <w:color w:val="auto"/>
                <w:w w:val="95"/>
              </w:rPr>
              <w:t>2,000</w:t>
            </w:r>
          </w:p>
        </w:tc>
        <w:tc>
          <w:tcPr>
            <w:tcW w:w="0" w:type="dxa"/>
            <w:vAlign w:val="bottom"/>
          </w:tcPr>
          <w:p>
            <w:pPr>
              <w:spacing w:after="0"/>
              <w:rPr>
                <w:sz w:val="1"/>
                <w:szCs w:val="1"/>
                <w:color w:val="auto"/>
              </w:rPr>
            </w:pPr>
          </w:p>
        </w:tc>
      </w:tr>
      <w:tr>
        <w:trPr>
          <w:trHeight w:val="200"/>
        </w:trPr>
        <w:tc>
          <w:tcPr>
            <w:tcW w:w="840" w:type="dxa"/>
            <w:vAlign w:val="bottom"/>
            <w:vMerge w:val="restart"/>
          </w:tcPr>
          <w:p>
            <w:pPr>
              <w:jc w:val="right"/>
              <w:spacing w:after="0" w:line="282" w:lineRule="exact"/>
              <w:rPr>
                <w:sz w:val="20"/>
                <w:szCs w:val="20"/>
                <w:color w:val="auto"/>
              </w:rPr>
            </w:pPr>
            <w:r>
              <w:rPr>
                <w:rFonts w:ascii="Arial" w:cs="Arial" w:eastAsia="Arial" w:hAnsi="Arial"/>
                <w:sz w:val="25"/>
                <w:szCs w:val="25"/>
                <w:b w:val="1"/>
                <w:bCs w:val="1"/>
                <w:color w:val="auto"/>
                <w:w w:val="96"/>
              </w:rPr>
              <w:t>25,500</w:t>
            </w:r>
          </w:p>
        </w:tc>
        <w:tc>
          <w:tcPr>
            <w:tcW w:w="1560" w:type="dxa"/>
            <w:vAlign w:val="bottom"/>
            <w:vMerge w:val="restart"/>
          </w:tcPr>
          <w:p>
            <w:pPr>
              <w:jc w:val="center"/>
              <w:ind w:left="18"/>
              <w:spacing w:after="0"/>
              <w:rPr>
                <w:sz w:val="20"/>
                <w:szCs w:val="20"/>
                <w:color w:val="auto"/>
              </w:rPr>
            </w:pPr>
            <w:r>
              <w:rPr>
                <w:rFonts w:ascii="Arial" w:cs="Arial" w:eastAsia="Arial" w:hAnsi="Arial"/>
                <w:sz w:val="22"/>
                <w:szCs w:val="22"/>
                <w:b w:val="1"/>
                <w:bCs w:val="1"/>
                <w:color w:val="auto"/>
              </w:rPr>
              <w:t>25,788</w:t>
            </w:r>
          </w:p>
        </w:tc>
        <w:tc>
          <w:tcPr>
            <w:tcW w:w="142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84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20" w:type="dxa"/>
            <w:vAlign w:val="bottom"/>
            <w:vMerge w:val="restart"/>
          </w:tcPr>
          <w:p>
            <w:pPr>
              <w:ind w:left="300"/>
              <w:spacing w:after="0"/>
              <w:rPr>
                <w:sz w:val="20"/>
                <w:szCs w:val="20"/>
                <w:color w:val="auto"/>
              </w:rPr>
            </w:pPr>
            <w:r>
              <w:rPr>
                <w:rFonts w:ascii="Arial" w:cs="Arial" w:eastAsia="Arial" w:hAnsi="Arial"/>
                <w:sz w:val="25"/>
                <w:szCs w:val="25"/>
                <w:b w:val="1"/>
                <w:bCs w:val="1"/>
                <w:color w:val="auto"/>
                <w:w w:val="95"/>
              </w:rPr>
              <w:t>1,000</w:t>
            </w:r>
          </w:p>
        </w:tc>
        <w:tc>
          <w:tcPr>
            <w:tcW w:w="0" w:type="dxa"/>
            <w:vAlign w:val="bottom"/>
          </w:tcPr>
          <w:p>
            <w:pPr>
              <w:spacing w:after="0"/>
              <w:rPr>
                <w:sz w:val="1"/>
                <w:szCs w:val="1"/>
                <w:color w:val="auto"/>
              </w:rPr>
            </w:pPr>
          </w:p>
        </w:tc>
      </w:tr>
      <w:tr>
        <w:trPr>
          <w:trHeight w:val="270"/>
        </w:trPr>
        <w:tc>
          <w:tcPr>
            <w:tcW w:w="840" w:type="dxa"/>
            <w:vAlign w:val="bottom"/>
          </w:tcPr>
          <w:p>
            <w:pPr>
              <w:jc w:val="right"/>
              <w:spacing w:after="0" w:line="270" w:lineRule="exact"/>
              <w:rPr>
                <w:sz w:val="20"/>
                <w:szCs w:val="20"/>
                <w:color w:val="auto"/>
              </w:rPr>
            </w:pPr>
            <w:r>
              <w:rPr>
                <w:rFonts w:ascii="Arial" w:cs="Arial" w:eastAsia="Arial" w:hAnsi="Arial"/>
                <w:sz w:val="25"/>
                <w:szCs w:val="25"/>
                <w:b w:val="1"/>
                <w:bCs w:val="1"/>
                <w:color w:val="auto"/>
                <w:w w:val="96"/>
              </w:rPr>
              <w:t>25,000</w:t>
            </w:r>
          </w:p>
        </w:tc>
        <w:tc>
          <w:tcPr>
            <w:tcW w:w="1560" w:type="dxa"/>
            <w:vAlign w:val="bottom"/>
            <w:vMerge w:val="continue"/>
          </w:tcPr>
          <w:p>
            <w:pPr>
              <w:spacing w:after="0"/>
              <w:rPr>
                <w:sz w:val="23"/>
                <w:szCs w:val="23"/>
                <w:color w:val="auto"/>
              </w:rPr>
            </w:pPr>
          </w:p>
        </w:tc>
        <w:tc>
          <w:tcPr>
            <w:tcW w:w="1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39"/>
        </w:trPr>
        <w:tc>
          <w:tcPr>
            <w:tcW w:w="840" w:type="dxa"/>
            <w:vAlign w:val="bottom"/>
          </w:tcPr>
          <w:p>
            <w:pPr>
              <w:jc w:val="right"/>
              <w:spacing w:after="0"/>
              <w:rPr>
                <w:sz w:val="20"/>
                <w:szCs w:val="20"/>
                <w:color w:val="auto"/>
              </w:rPr>
            </w:pPr>
            <w:r>
              <w:rPr>
                <w:rFonts w:ascii="Arial" w:cs="Arial" w:eastAsia="Arial" w:hAnsi="Arial"/>
                <w:sz w:val="25"/>
                <w:szCs w:val="25"/>
                <w:b w:val="1"/>
                <w:bCs w:val="1"/>
                <w:color w:val="auto"/>
                <w:w w:val="96"/>
              </w:rPr>
              <w:t>24,500</w:t>
            </w: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25"/>
                <w:szCs w:val="25"/>
                <w:b w:val="1"/>
                <w:bCs w:val="1"/>
                <w:color w:val="auto"/>
              </w:rPr>
              <w:t>-</w:t>
            </w:r>
          </w:p>
        </w:tc>
        <w:tc>
          <w:tcPr>
            <w:tcW w:w="0" w:type="dxa"/>
            <w:vAlign w:val="bottom"/>
          </w:tcPr>
          <w:p>
            <w:pPr>
              <w:spacing w:after="0"/>
              <w:rPr>
                <w:sz w:val="1"/>
                <w:szCs w:val="1"/>
                <w:color w:val="auto"/>
              </w:rPr>
            </w:pPr>
          </w:p>
        </w:tc>
      </w:tr>
      <w:tr>
        <w:trPr>
          <w:trHeight w:val="469"/>
        </w:trPr>
        <w:tc>
          <w:tcPr>
            <w:tcW w:w="840" w:type="dxa"/>
            <w:vAlign w:val="bottom"/>
          </w:tcPr>
          <w:p>
            <w:pPr>
              <w:spacing w:after="0"/>
              <w:rPr>
                <w:sz w:val="24"/>
                <w:szCs w:val="24"/>
                <w:color w:val="auto"/>
              </w:rPr>
            </w:pPr>
          </w:p>
        </w:tc>
        <w:tc>
          <w:tcPr>
            <w:tcW w:w="1560" w:type="dxa"/>
            <w:vAlign w:val="bottom"/>
          </w:tcPr>
          <w:p>
            <w:pPr>
              <w:jc w:val="center"/>
              <w:ind w:left="78"/>
              <w:spacing w:after="0"/>
              <w:rPr>
                <w:sz w:val="20"/>
                <w:szCs w:val="20"/>
                <w:color w:val="auto"/>
              </w:rPr>
            </w:pPr>
            <w:r>
              <w:rPr>
                <w:rFonts w:ascii="Arial" w:cs="Arial" w:eastAsia="Arial" w:hAnsi="Arial"/>
                <w:sz w:val="28"/>
                <w:szCs w:val="28"/>
                <w:color w:val="auto"/>
                <w:w w:val="99"/>
              </w:rPr>
              <w:t>3Q08</w:t>
            </w:r>
          </w:p>
        </w:tc>
        <w:tc>
          <w:tcPr>
            <w:tcW w:w="1420" w:type="dxa"/>
            <w:vAlign w:val="bottom"/>
          </w:tcPr>
          <w:p>
            <w:pPr>
              <w:jc w:val="center"/>
              <w:spacing w:after="0"/>
              <w:rPr>
                <w:sz w:val="20"/>
                <w:szCs w:val="20"/>
                <w:color w:val="auto"/>
              </w:rPr>
            </w:pPr>
            <w:r>
              <w:rPr>
                <w:rFonts w:ascii="Arial" w:cs="Arial" w:eastAsia="Arial" w:hAnsi="Arial"/>
                <w:sz w:val="28"/>
                <w:szCs w:val="28"/>
                <w:color w:val="auto"/>
                <w:w w:val="99"/>
              </w:rPr>
              <w:t>4Q08</w:t>
            </w:r>
          </w:p>
        </w:tc>
        <w:tc>
          <w:tcPr>
            <w:tcW w:w="1440" w:type="dxa"/>
            <w:vAlign w:val="bottom"/>
          </w:tcPr>
          <w:p>
            <w:pPr>
              <w:jc w:val="center"/>
              <w:spacing w:after="0"/>
              <w:rPr>
                <w:sz w:val="20"/>
                <w:szCs w:val="20"/>
                <w:color w:val="auto"/>
              </w:rPr>
            </w:pPr>
            <w:r>
              <w:rPr>
                <w:rFonts w:ascii="Arial" w:cs="Arial" w:eastAsia="Arial" w:hAnsi="Arial"/>
                <w:sz w:val="28"/>
                <w:szCs w:val="28"/>
                <w:color w:val="auto"/>
              </w:rPr>
              <w:t>1Q09</w:t>
            </w:r>
          </w:p>
        </w:tc>
        <w:tc>
          <w:tcPr>
            <w:tcW w:w="1360" w:type="dxa"/>
            <w:vAlign w:val="bottom"/>
          </w:tcPr>
          <w:p>
            <w:pPr>
              <w:jc w:val="center"/>
              <w:spacing w:after="0"/>
              <w:rPr>
                <w:sz w:val="20"/>
                <w:szCs w:val="20"/>
                <w:color w:val="auto"/>
              </w:rPr>
            </w:pPr>
            <w:r>
              <w:rPr>
                <w:rFonts w:ascii="Arial" w:cs="Arial" w:eastAsia="Arial" w:hAnsi="Arial"/>
                <w:sz w:val="28"/>
                <w:szCs w:val="28"/>
                <w:color w:val="auto"/>
              </w:rPr>
              <w:t>2Q09</w:t>
            </w:r>
          </w:p>
        </w:tc>
        <w:tc>
          <w:tcPr>
            <w:tcW w:w="1360" w:type="dxa"/>
            <w:vAlign w:val="bottom"/>
          </w:tcPr>
          <w:p>
            <w:pPr>
              <w:ind w:left="360"/>
              <w:spacing w:after="0"/>
              <w:rPr>
                <w:sz w:val="20"/>
                <w:szCs w:val="20"/>
                <w:color w:val="auto"/>
              </w:rPr>
            </w:pPr>
            <w:r>
              <w:rPr>
                <w:rFonts w:ascii="Arial" w:cs="Arial" w:eastAsia="Arial" w:hAnsi="Arial"/>
                <w:sz w:val="28"/>
                <w:szCs w:val="28"/>
                <w:color w:val="auto"/>
              </w:rPr>
              <w:t>3Q09</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520" w:hanging="419"/>
        <w:spacing w:after="0"/>
        <w:tabs>
          <w:tab w:leader="none" w:pos="520" w:val="left"/>
        </w:tabs>
        <w:numPr>
          <w:ilvl w:val="0"/>
          <w:numId w:val="16"/>
        </w:numPr>
        <w:rPr>
          <w:rFonts w:ascii="Arial" w:cs="Arial" w:eastAsia="Arial" w:hAnsi="Arial"/>
          <w:sz w:val="28"/>
          <w:szCs w:val="28"/>
          <w:color w:val="auto"/>
        </w:rPr>
      </w:pPr>
      <w:r>
        <w:rPr>
          <w:rFonts w:ascii="Arial" w:cs="Arial" w:eastAsia="Arial" w:hAnsi="Arial"/>
          <w:sz w:val="28"/>
          <w:szCs w:val="28"/>
          <w:color w:val="auto"/>
        </w:rPr>
        <w:t>Average retail transaction prices trending favorably</w:t>
      </w:r>
    </w:p>
    <w:p>
      <w:pPr>
        <w:spacing w:after="0" w:line="27" w:lineRule="exact"/>
        <w:rPr>
          <w:rFonts w:ascii="Arial" w:cs="Arial" w:eastAsia="Arial" w:hAnsi="Arial"/>
          <w:sz w:val="28"/>
          <w:szCs w:val="28"/>
          <w:color w:val="auto"/>
        </w:rPr>
      </w:pPr>
    </w:p>
    <w:p>
      <w:pPr>
        <w:ind w:left="660"/>
        <w:spacing w:after="0"/>
        <w:rPr>
          <w:rFonts w:ascii="Arial" w:cs="Arial" w:eastAsia="Arial" w:hAnsi="Arial"/>
          <w:sz w:val="28"/>
          <w:szCs w:val="28"/>
          <w:color w:val="auto"/>
        </w:rPr>
      </w:pPr>
      <w:r>
        <w:rPr>
          <w:rFonts w:ascii="Arial" w:cs="Arial" w:eastAsia="Arial" w:hAnsi="Arial"/>
          <w:sz w:val="25"/>
          <w:szCs w:val="25"/>
          <w:color w:val="auto"/>
        </w:rPr>
        <w:t>–  Aided by continued performance of launch vehicles</w:t>
      </w:r>
    </w:p>
    <w:p>
      <w:pPr>
        <w:spacing w:after="0" w:line="29" w:lineRule="exact"/>
        <w:rPr>
          <w:rFonts w:ascii="Arial" w:cs="Arial" w:eastAsia="Arial" w:hAnsi="Arial"/>
          <w:sz w:val="28"/>
          <w:szCs w:val="28"/>
          <w:color w:val="auto"/>
        </w:rPr>
      </w:pPr>
    </w:p>
    <w:p>
      <w:pPr>
        <w:jc w:val="center"/>
        <w:ind w:left="1020" w:right="700" w:hanging="353"/>
        <w:spacing w:after="0" w:line="253" w:lineRule="auto"/>
        <w:rPr>
          <w:rFonts w:ascii="Arial" w:cs="Arial" w:eastAsia="Arial" w:hAnsi="Arial"/>
          <w:sz w:val="28"/>
          <w:szCs w:val="28"/>
          <w:color w:val="auto"/>
        </w:rPr>
      </w:pPr>
      <w:r>
        <w:rPr>
          <w:rFonts w:ascii="Arial" w:cs="Arial" w:eastAsia="Arial" w:hAnsi="Arial"/>
          <w:sz w:val="24"/>
          <w:szCs w:val="24"/>
          <w:color w:val="auto"/>
        </w:rPr>
        <w:t>–  U.S. CARS Program significantly increased sales rate, but negatively impacted 3Q09 average retail transaction price due to increased mix of small vehicles</w:t>
      </w:r>
    </w:p>
    <w:p>
      <w:pPr>
        <w:spacing w:after="0" w:line="87" w:lineRule="exact"/>
        <w:rPr>
          <w:rFonts w:ascii="Arial" w:cs="Arial" w:eastAsia="Arial" w:hAnsi="Arial"/>
          <w:sz w:val="28"/>
          <w:szCs w:val="28"/>
          <w:color w:val="auto"/>
        </w:rPr>
      </w:pPr>
    </w:p>
    <w:p>
      <w:pPr>
        <w:ind w:left="520" w:hanging="419"/>
        <w:spacing w:after="0"/>
        <w:tabs>
          <w:tab w:leader="none" w:pos="520" w:val="left"/>
        </w:tabs>
        <w:numPr>
          <w:ilvl w:val="0"/>
          <w:numId w:val="16"/>
        </w:numPr>
        <w:rPr>
          <w:rFonts w:ascii="Arial" w:cs="Arial" w:eastAsia="Arial" w:hAnsi="Arial"/>
          <w:sz w:val="28"/>
          <w:szCs w:val="28"/>
          <w:color w:val="auto"/>
        </w:rPr>
      </w:pPr>
      <w:r>
        <w:rPr>
          <w:rFonts w:ascii="Arial" w:cs="Arial" w:eastAsia="Arial" w:hAnsi="Arial"/>
          <w:sz w:val="28"/>
          <w:szCs w:val="28"/>
          <w:color w:val="auto"/>
        </w:rPr>
        <w:t>Focus on dealer inventory management has favorably impacted retail</w:t>
      </w:r>
    </w:p>
    <w:p>
      <w:pPr>
        <w:ind w:left="520"/>
        <w:spacing w:after="0"/>
        <w:rPr>
          <w:sz w:val="20"/>
          <w:szCs w:val="20"/>
          <w:color w:val="auto"/>
        </w:rPr>
      </w:pPr>
      <w:r>
        <w:rPr>
          <w:rFonts w:ascii="Arial" w:cs="Arial" w:eastAsia="Arial" w:hAnsi="Arial"/>
          <w:sz w:val="28"/>
          <w:szCs w:val="28"/>
          <w:color w:val="auto"/>
        </w:rPr>
        <w:t>incentives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Average transaction price and incentive based on JD Power PIN data</w:t>
      </w:r>
    </w:p>
    <w:p>
      <w:pPr>
        <w:spacing w:after="0" w:line="89"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10</w:t>
      </w:r>
    </w:p>
    <w:p>
      <w:pPr>
        <w:sectPr>
          <w:pgSz w:w="11900" w:h="16838" w:orient="portrait"/>
          <w:cols w:equalWidth="0" w:num="1">
            <w:col w:w="10320"/>
          </w:cols>
          <w:pgMar w:left="380" w:top="587" w:right="1199" w:bottom="1440" w:gutter="0" w:footer="0" w:header="0"/>
        </w:sectPr>
      </w:pPr>
    </w:p>
    <w:bookmarkStart w:id="32" w:name="page33"/>
    <w:bookmarkEnd w:id="32"/>
    <w:p>
      <w:pPr>
        <w:ind w:left="100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BRIC Industry Market Performance 2009 CYTD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60"/>
        <w:spacing w:after="0"/>
        <w:tabs>
          <w:tab w:leader="none" w:pos="6400" w:val="left"/>
          <w:tab w:leader="none" w:pos="7140" w:val="left"/>
          <w:tab w:leader="none" w:pos="7900" w:val="left"/>
        </w:tabs>
        <w:rPr>
          <w:sz w:val="20"/>
          <w:szCs w:val="20"/>
          <w:color w:val="auto"/>
        </w:rPr>
      </w:pPr>
      <w:r>
        <w:rPr>
          <w:rFonts w:ascii="Arial" w:cs="Arial" w:eastAsia="Arial" w:hAnsi="Arial"/>
          <w:sz w:val="37"/>
          <w:szCs w:val="37"/>
          <w:b w:val="1"/>
          <w:bCs w:val="1"/>
          <w:color w:val="auto"/>
          <w:vertAlign w:val="subscript"/>
        </w:rPr>
        <w:t>22.4</w:t>
      </w:r>
      <w:r>
        <w:rPr>
          <w:sz w:val="20"/>
          <w:szCs w:val="20"/>
          <w:color w:val="auto"/>
        </w:rPr>
        <w:tab/>
      </w:r>
      <w:r>
        <w:rPr>
          <w:rFonts w:ascii="Arial" w:cs="Arial" w:eastAsia="Arial" w:hAnsi="Arial"/>
          <w:sz w:val="38"/>
          <w:szCs w:val="38"/>
          <w:b w:val="1"/>
          <w:bCs w:val="1"/>
          <w:color w:val="auto"/>
          <w:vertAlign w:val="subscript"/>
        </w:rPr>
        <w:t>22.7</w:t>
      </w:r>
      <w:r>
        <w:rPr>
          <w:rFonts w:ascii="Arial" w:cs="Arial" w:eastAsia="Arial" w:hAnsi="Arial"/>
          <w:sz w:val="38"/>
          <w:szCs w:val="38"/>
          <w:b w:val="1"/>
          <w:bCs w:val="1"/>
          <w:color w:val="auto"/>
        </w:rPr>
        <w:tab/>
      </w:r>
      <w:r>
        <w:rPr>
          <w:rFonts w:ascii="Arial" w:cs="Arial" w:eastAsia="Arial" w:hAnsi="Arial"/>
          <w:sz w:val="38"/>
          <w:szCs w:val="38"/>
          <w:b w:val="1"/>
          <w:bCs w:val="1"/>
          <w:color w:val="auto"/>
          <w:vertAlign w:val="superscript"/>
        </w:rPr>
        <w:t>23.4</w:t>
      </w:r>
      <w:r>
        <w:rPr>
          <w:sz w:val="20"/>
          <w:szCs w:val="20"/>
          <w:color w:val="auto"/>
        </w:rPr>
        <w:tab/>
      </w:r>
      <w:r>
        <w:rPr>
          <w:rFonts w:ascii="Arial" w:cs="Arial" w:eastAsia="Arial" w:hAnsi="Arial"/>
          <w:sz w:val="18"/>
          <w:szCs w:val="18"/>
          <w:b w:val="1"/>
          <w:bCs w:val="1"/>
          <w:color w:val="auto"/>
        </w:rPr>
        <w:t>23.0</w:t>
      </w:r>
    </w:p>
    <w:p>
      <w:pPr>
        <w:spacing w:after="0" w:line="97" w:lineRule="exact"/>
        <w:rPr>
          <w:sz w:val="20"/>
          <w:szCs w:val="20"/>
          <w:color w:val="auto"/>
        </w:rPr>
      </w:pPr>
    </w:p>
    <w:p>
      <w:pPr>
        <w:ind w:left="4160"/>
        <w:spacing w:after="0"/>
        <w:tabs>
          <w:tab w:leader="none" w:pos="4880" w:val="left"/>
        </w:tabs>
        <w:rPr>
          <w:sz w:val="20"/>
          <w:szCs w:val="20"/>
          <w:color w:val="auto"/>
        </w:rPr>
      </w:pPr>
      <w:r>
        <w:rPr>
          <w:rFonts w:ascii="Arial" w:cs="Arial" w:eastAsia="Arial" w:hAnsi="Arial"/>
          <w:sz w:val="19"/>
          <w:szCs w:val="19"/>
          <w:b w:val="1"/>
          <w:bCs w:val="1"/>
          <w:color w:val="auto"/>
        </w:rPr>
        <w:t>20.0</w:t>
      </w:r>
      <w:r>
        <w:rPr>
          <w:sz w:val="20"/>
          <w:szCs w:val="20"/>
          <w:color w:val="auto"/>
        </w:rPr>
        <w:tab/>
      </w:r>
      <w:r>
        <w:rPr>
          <w:rFonts w:ascii="Arial" w:cs="Arial" w:eastAsia="Arial" w:hAnsi="Arial"/>
          <w:sz w:val="28"/>
          <w:szCs w:val="28"/>
          <w:b w:val="1"/>
          <w:bCs w:val="1"/>
          <w:color w:val="auto"/>
          <w:vertAlign w:val="superscript"/>
        </w:rPr>
        <w:t>20.8</w:t>
      </w:r>
    </w:p>
    <w:p>
      <w:pPr>
        <w:ind w:left="1880"/>
        <w:spacing w:after="0"/>
        <w:tabs>
          <w:tab w:leader="none" w:pos="3380" w:val="left"/>
        </w:tabs>
        <w:rPr>
          <w:sz w:val="20"/>
          <w:szCs w:val="20"/>
          <w:color w:val="auto"/>
        </w:rPr>
      </w:pPr>
      <w:r>
        <w:rPr>
          <w:rFonts w:ascii="Arial" w:cs="Arial" w:eastAsia="Arial" w:hAnsi="Arial"/>
          <w:sz w:val="28"/>
          <w:szCs w:val="28"/>
          <w:b w:val="1"/>
          <w:bCs w:val="1"/>
          <w:color w:val="auto"/>
          <w:vertAlign w:val="subscript"/>
        </w:rPr>
        <w:t>18.2</w:t>
      </w:r>
      <w:r>
        <w:rPr>
          <w:sz w:val="20"/>
          <w:szCs w:val="20"/>
          <w:color w:val="auto"/>
        </w:rPr>
        <w:tab/>
      </w:r>
      <w:r>
        <w:rPr>
          <w:rFonts w:ascii="Arial" w:cs="Arial" w:eastAsia="Arial" w:hAnsi="Arial"/>
          <w:sz w:val="18"/>
          <w:szCs w:val="18"/>
          <w:b w:val="1"/>
          <w:bCs w:val="1"/>
          <w:color w:val="auto"/>
        </w:rPr>
        <w:t>18.7</w:t>
      </w:r>
    </w:p>
    <w:p>
      <w:pPr>
        <w:ind w:left="1140"/>
        <w:spacing w:after="0"/>
        <w:tabs>
          <w:tab w:leader="none" w:pos="2600" w:val="left"/>
        </w:tabs>
        <w:rPr>
          <w:sz w:val="20"/>
          <w:szCs w:val="20"/>
          <w:color w:val="auto"/>
        </w:rPr>
      </w:pPr>
      <w:r>
        <w:rPr>
          <w:rFonts w:ascii="Arial" w:cs="Arial" w:eastAsia="Arial" w:hAnsi="Arial"/>
          <w:sz w:val="19"/>
          <w:szCs w:val="19"/>
          <w:b w:val="1"/>
          <w:bCs w:val="1"/>
          <w:color w:val="auto"/>
        </w:rPr>
        <w:t>16.9</w:t>
      </w:r>
      <w:r>
        <w:rPr>
          <w:sz w:val="20"/>
          <w:szCs w:val="20"/>
          <w:color w:val="auto"/>
        </w:rPr>
        <w:tab/>
      </w:r>
      <w:r>
        <w:rPr>
          <w:rFonts w:ascii="Arial" w:cs="Arial" w:eastAsia="Arial" w:hAnsi="Arial"/>
          <w:sz w:val="19"/>
          <w:szCs w:val="19"/>
          <w:b w:val="1"/>
          <w:bCs w:val="1"/>
          <w:color w:val="auto"/>
        </w:rPr>
        <w:t>16.9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340" w:type="dxa"/>
        <w:tblCellMar>
          <w:top w:w="0" w:type="dxa"/>
          <w:left w:w="0" w:type="dxa"/>
          <w:bottom w:w="0" w:type="dxa"/>
          <w:right w:w="0" w:type="dxa"/>
        </w:tblCellMar>
      </w:tblPr>
      <w:tr>
        <w:trPr>
          <w:trHeight w:val="296"/>
        </w:trPr>
        <w:tc>
          <w:tcPr>
            <w:tcW w:w="2560" w:type="dxa"/>
            <w:vAlign w:val="bottom"/>
            <w:gridSpan w:val="3"/>
          </w:tcPr>
          <w:p>
            <w:pPr>
              <w:spacing w:after="0"/>
              <w:rPr>
                <w:sz w:val="20"/>
                <w:szCs w:val="20"/>
                <w:color w:val="auto"/>
              </w:rPr>
            </w:pPr>
            <w:r>
              <w:rPr>
                <w:rFonts w:ascii="Arial" w:cs="Arial" w:eastAsia="Arial" w:hAnsi="Arial"/>
                <w:sz w:val="22"/>
                <w:szCs w:val="22"/>
                <w:b w:val="1"/>
                <w:bCs w:val="1"/>
                <w:color w:val="auto"/>
              </w:rPr>
              <w:t>Share by Country</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2"/>
        </w:trPr>
        <w:tc>
          <w:tcPr>
            <w:tcW w:w="880" w:type="dxa"/>
            <w:vAlign w:val="bottom"/>
          </w:tcPr>
          <w:p>
            <w:pPr>
              <w:spacing w:after="0"/>
              <w:rPr>
                <w:sz w:val="20"/>
                <w:szCs w:val="20"/>
                <w:color w:val="auto"/>
              </w:rPr>
            </w:pPr>
            <w:r>
              <w:rPr>
                <w:rFonts w:ascii="Arial" w:cs="Arial" w:eastAsia="Arial" w:hAnsi="Arial"/>
                <w:sz w:val="22"/>
                <w:szCs w:val="22"/>
                <w:color w:val="auto"/>
              </w:rPr>
              <w:t>China</w:t>
            </w:r>
          </w:p>
        </w:tc>
        <w:tc>
          <w:tcPr>
            <w:tcW w:w="900" w:type="dxa"/>
            <w:vAlign w:val="bottom"/>
          </w:tcPr>
          <w:p>
            <w:pPr>
              <w:jc w:val="center"/>
              <w:ind w:left="28"/>
              <w:spacing w:after="0"/>
              <w:rPr>
                <w:sz w:val="20"/>
                <w:szCs w:val="20"/>
                <w:color w:val="auto"/>
              </w:rPr>
            </w:pPr>
            <w:r>
              <w:rPr>
                <w:rFonts w:ascii="Arial" w:cs="Arial" w:eastAsia="Arial" w:hAnsi="Arial"/>
                <w:sz w:val="22"/>
                <w:szCs w:val="22"/>
                <w:color w:val="auto"/>
              </w:rPr>
              <w:t>15.1%</w:t>
            </w:r>
          </w:p>
        </w:tc>
        <w:tc>
          <w:tcPr>
            <w:tcW w:w="780" w:type="dxa"/>
            <w:vAlign w:val="bottom"/>
          </w:tcPr>
          <w:p>
            <w:pPr>
              <w:jc w:val="center"/>
              <w:spacing w:after="0"/>
              <w:rPr>
                <w:sz w:val="20"/>
                <w:szCs w:val="20"/>
                <w:color w:val="auto"/>
              </w:rPr>
            </w:pPr>
            <w:r>
              <w:rPr>
                <w:rFonts w:ascii="Arial" w:cs="Arial" w:eastAsia="Arial" w:hAnsi="Arial"/>
                <w:sz w:val="22"/>
                <w:szCs w:val="22"/>
                <w:color w:val="auto"/>
              </w:rPr>
              <w:t>13.8%</w:t>
            </w:r>
          </w:p>
        </w:tc>
        <w:tc>
          <w:tcPr>
            <w:tcW w:w="760" w:type="dxa"/>
            <w:vAlign w:val="bottom"/>
          </w:tcPr>
          <w:p>
            <w:pPr>
              <w:jc w:val="center"/>
              <w:spacing w:after="0"/>
              <w:rPr>
                <w:sz w:val="20"/>
                <w:szCs w:val="20"/>
                <w:color w:val="auto"/>
              </w:rPr>
            </w:pPr>
            <w:r>
              <w:rPr>
                <w:rFonts w:ascii="Arial" w:cs="Arial" w:eastAsia="Arial" w:hAnsi="Arial"/>
                <w:sz w:val="22"/>
                <w:szCs w:val="22"/>
                <w:color w:val="auto"/>
                <w:w w:val="99"/>
              </w:rPr>
              <w:t>12.4%</w:t>
            </w:r>
          </w:p>
        </w:tc>
        <w:tc>
          <w:tcPr>
            <w:tcW w:w="760" w:type="dxa"/>
            <w:vAlign w:val="bottom"/>
          </w:tcPr>
          <w:p>
            <w:pPr>
              <w:jc w:val="center"/>
              <w:spacing w:after="0"/>
              <w:rPr>
                <w:sz w:val="20"/>
                <w:szCs w:val="20"/>
                <w:color w:val="auto"/>
              </w:rPr>
            </w:pPr>
            <w:r>
              <w:rPr>
                <w:rFonts w:ascii="Arial" w:cs="Arial" w:eastAsia="Arial" w:hAnsi="Arial"/>
                <w:sz w:val="22"/>
                <w:szCs w:val="22"/>
                <w:color w:val="auto"/>
              </w:rPr>
              <w:t>13.0%</w:t>
            </w:r>
          </w:p>
        </w:tc>
        <w:tc>
          <w:tcPr>
            <w:tcW w:w="780" w:type="dxa"/>
            <w:vAlign w:val="bottom"/>
          </w:tcPr>
          <w:p>
            <w:pPr>
              <w:jc w:val="center"/>
              <w:spacing w:after="0"/>
              <w:rPr>
                <w:sz w:val="20"/>
                <w:szCs w:val="20"/>
                <w:color w:val="auto"/>
              </w:rPr>
            </w:pPr>
            <w:r>
              <w:rPr>
                <w:rFonts w:ascii="Arial" w:cs="Arial" w:eastAsia="Arial" w:hAnsi="Arial"/>
                <w:sz w:val="22"/>
                <w:szCs w:val="22"/>
                <w:color w:val="auto"/>
                <w:w w:val="99"/>
              </w:rPr>
              <w:t>14.0%</w:t>
            </w:r>
          </w:p>
        </w:tc>
        <w:tc>
          <w:tcPr>
            <w:tcW w:w="760" w:type="dxa"/>
            <w:vAlign w:val="bottom"/>
          </w:tcPr>
          <w:p>
            <w:pPr>
              <w:jc w:val="center"/>
              <w:spacing w:after="0"/>
              <w:rPr>
                <w:sz w:val="20"/>
                <w:szCs w:val="20"/>
                <w:color w:val="auto"/>
              </w:rPr>
            </w:pPr>
            <w:r>
              <w:rPr>
                <w:rFonts w:ascii="Arial" w:cs="Arial" w:eastAsia="Arial" w:hAnsi="Arial"/>
                <w:sz w:val="22"/>
                <w:szCs w:val="22"/>
                <w:color w:val="auto"/>
              </w:rPr>
              <w:t>12.6%</w:t>
            </w:r>
          </w:p>
        </w:tc>
        <w:tc>
          <w:tcPr>
            <w:tcW w:w="760" w:type="dxa"/>
            <w:vAlign w:val="bottom"/>
          </w:tcPr>
          <w:p>
            <w:pPr>
              <w:jc w:val="center"/>
              <w:spacing w:after="0"/>
              <w:rPr>
                <w:sz w:val="20"/>
                <w:szCs w:val="20"/>
                <w:color w:val="auto"/>
              </w:rPr>
            </w:pPr>
            <w:r>
              <w:rPr>
                <w:rFonts w:ascii="Arial" w:cs="Arial" w:eastAsia="Arial" w:hAnsi="Arial"/>
                <w:sz w:val="22"/>
                <w:szCs w:val="22"/>
                <w:color w:val="auto"/>
              </w:rPr>
              <w:t>13.2%</w:t>
            </w:r>
          </w:p>
        </w:tc>
        <w:tc>
          <w:tcPr>
            <w:tcW w:w="760" w:type="dxa"/>
            <w:vAlign w:val="bottom"/>
          </w:tcPr>
          <w:p>
            <w:pPr>
              <w:jc w:val="center"/>
              <w:spacing w:after="0"/>
              <w:rPr>
                <w:sz w:val="20"/>
                <w:szCs w:val="20"/>
                <w:color w:val="auto"/>
              </w:rPr>
            </w:pPr>
            <w:r>
              <w:rPr>
                <w:rFonts w:ascii="Arial" w:cs="Arial" w:eastAsia="Arial" w:hAnsi="Arial"/>
                <w:sz w:val="22"/>
                <w:szCs w:val="22"/>
                <w:color w:val="auto"/>
              </w:rPr>
              <w:t>13.4%</w:t>
            </w:r>
          </w:p>
        </w:tc>
        <w:tc>
          <w:tcPr>
            <w:tcW w:w="760" w:type="dxa"/>
            <w:vAlign w:val="bottom"/>
          </w:tcPr>
          <w:p>
            <w:pPr>
              <w:jc w:val="center"/>
              <w:spacing w:after="0"/>
              <w:rPr>
                <w:sz w:val="20"/>
                <w:szCs w:val="20"/>
                <w:color w:val="auto"/>
              </w:rPr>
            </w:pPr>
            <w:r>
              <w:rPr>
                <w:rFonts w:ascii="Arial" w:cs="Arial" w:eastAsia="Arial" w:hAnsi="Arial"/>
                <w:sz w:val="22"/>
                <w:szCs w:val="22"/>
                <w:color w:val="auto"/>
                <w:w w:val="99"/>
              </w:rPr>
              <w:t>13.5%</w:t>
            </w:r>
          </w:p>
        </w:tc>
        <w:tc>
          <w:tcPr>
            <w:tcW w:w="700" w:type="dxa"/>
            <w:vAlign w:val="bottom"/>
          </w:tcPr>
          <w:p>
            <w:pPr>
              <w:jc w:val="center"/>
              <w:spacing w:after="0"/>
              <w:rPr>
                <w:sz w:val="20"/>
                <w:szCs w:val="20"/>
                <w:color w:val="auto"/>
              </w:rPr>
            </w:pPr>
            <w:r>
              <w:rPr>
                <w:rFonts w:ascii="Arial" w:cs="Arial" w:eastAsia="Arial" w:hAnsi="Arial"/>
                <w:sz w:val="22"/>
                <w:szCs w:val="22"/>
                <w:color w:val="auto"/>
                <w:w w:val="99"/>
              </w:rPr>
              <w:t>13.8%</w:t>
            </w:r>
          </w:p>
        </w:tc>
      </w:tr>
      <w:tr>
        <w:trPr>
          <w:trHeight w:val="270"/>
        </w:trPr>
        <w:tc>
          <w:tcPr>
            <w:tcW w:w="880" w:type="dxa"/>
            <w:vAlign w:val="bottom"/>
          </w:tcPr>
          <w:p>
            <w:pPr>
              <w:spacing w:after="0"/>
              <w:rPr>
                <w:sz w:val="20"/>
                <w:szCs w:val="20"/>
                <w:color w:val="auto"/>
              </w:rPr>
            </w:pPr>
            <w:r>
              <w:rPr>
                <w:rFonts w:ascii="Arial" w:cs="Arial" w:eastAsia="Arial" w:hAnsi="Arial"/>
                <w:sz w:val="22"/>
                <w:szCs w:val="22"/>
                <w:color w:val="auto"/>
              </w:rPr>
              <w:t>Brazil</w:t>
            </w:r>
          </w:p>
        </w:tc>
        <w:tc>
          <w:tcPr>
            <w:tcW w:w="900" w:type="dxa"/>
            <w:vAlign w:val="bottom"/>
          </w:tcPr>
          <w:p>
            <w:pPr>
              <w:jc w:val="center"/>
              <w:ind w:left="28"/>
              <w:spacing w:after="0"/>
              <w:rPr>
                <w:sz w:val="20"/>
                <w:szCs w:val="20"/>
                <w:color w:val="auto"/>
              </w:rPr>
            </w:pPr>
            <w:r>
              <w:rPr>
                <w:rFonts w:ascii="Arial" w:cs="Arial" w:eastAsia="Arial" w:hAnsi="Arial"/>
                <w:sz w:val="22"/>
                <w:szCs w:val="22"/>
                <w:color w:val="auto"/>
              </w:rPr>
              <w:t>19.3%</w:t>
            </w:r>
          </w:p>
        </w:tc>
        <w:tc>
          <w:tcPr>
            <w:tcW w:w="780" w:type="dxa"/>
            <w:vAlign w:val="bottom"/>
          </w:tcPr>
          <w:p>
            <w:pPr>
              <w:jc w:val="center"/>
              <w:spacing w:after="0"/>
              <w:rPr>
                <w:sz w:val="20"/>
                <w:szCs w:val="20"/>
                <w:color w:val="auto"/>
              </w:rPr>
            </w:pPr>
            <w:r>
              <w:rPr>
                <w:rFonts w:ascii="Arial" w:cs="Arial" w:eastAsia="Arial" w:hAnsi="Arial"/>
                <w:sz w:val="22"/>
                <w:szCs w:val="22"/>
                <w:color w:val="auto"/>
              </w:rPr>
              <w:t>17.9%</w:t>
            </w:r>
          </w:p>
        </w:tc>
        <w:tc>
          <w:tcPr>
            <w:tcW w:w="760" w:type="dxa"/>
            <w:vAlign w:val="bottom"/>
          </w:tcPr>
          <w:p>
            <w:pPr>
              <w:jc w:val="center"/>
              <w:spacing w:after="0"/>
              <w:rPr>
                <w:sz w:val="20"/>
                <w:szCs w:val="20"/>
                <w:color w:val="auto"/>
              </w:rPr>
            </w:pPr>
            <w:r>
              <w:rPr>
                <w:rFonts w:ascii="Arial" w:cs="Arial" w:eastAsia="Arial" w:hAnsi="Arial"/>
                <w:sz w:val="22"/>
                <w:szCs w:val="22"/>
                <w:color w:val="auto"/>
              </w:rPr>
              <w:t>18.2%</w:t>
            </w:r>
          </w:p>
        </w:tc>
        <w:tc>
          <w:tcPr>
            <w:tcW w:w="760" w:type="dxa"/>
            <w:vAlign w:val="bottom"/>
          </w:tcPr>
          <w:p>
            <w:pPr>
              <w:jc w:val="right"/>
              <w:spacing w:after="0"/>
              <w:rPr>
                <w:sz w:val="20"/>
                <w:szCs w:val="20"/>
                <w:color w:val="auto"/>
              </w:rPr>
            </w:pPr>
            <w:r>
              <w:rPr>
                <w:rFonts w:ascii="Arial" w:cs="Arial" w:eastAsia="Arial" w:hAnsi="Arial"/>
                <w:sz w:val="22"/>
                <w:szCs w:val="22"/>
                <w:color w:val="auto"/>
              </w:rPr>
              <w:t>17.3%</w:t>
            </w:r>
          </w:p>
        </w:tc>
        <w:tc>
          <w:tcPr>
            <w:tcW w:w="780" w:type="dxa"/>
            <w:vAlign w:val="bottom"/>
          </w:tcPr>
          <w:p>
            <w:pPr>
              <w:jc w:val="center"/>
              <w:spacing w:after="0"/>
              <w:rPr>
                <w:sz w:val="20"/>
                <w:szCs w:val="20"/>
                <w:color w:val="auto"/>
              </w:rPr>
            </w:pPr>
            <w:r>
              <w:rPr>
                <w:rFonts w:ascii="Arial" w:cs="Arial" w:eastAsia="Arial" w:hAnsi="Arial"/>
                <w:sz w:val="22"/>
                <w:szCs w:val="22"/>
                <w:color w:val="auto"/>
                <w:w w:val="99"/>
              </w:rPr>
              <w:t>19.4%</w:t>
            </w:r>
          </w:p>
        </w:tc>
        <w:tc>
          <w:tcPr>
            <w:tcW w:w="760" w:type="dxa"/>
            <w:vAlign w:val="bottom"/>
          </w:tcPr>
          <w:p>
            <w:pPr>
              <w:jc w:val="center"/>
              <w:spacing w:after="0"/>
              <w:rPr>
                <w:sz w:val="20"/>
                <w:szCs w:val="20"/>
                <w:color w:val="auto"/>
              </w:rPr>
            </w:pPr>
            <w:r>
              <w:rPr>
                <w:rFonts w:ascii="Arial" w:cs="Arial" w:eastAsia="Arial" w:hAnsi="Arial"/>
                <w:sz w:val="22"/>
                <w:szCs w:val="22"/>
                <w:color w:val="auto"/>
              </w:rPr>
              <w:t>19.5%</w:t>
            </w:r>
          </w:p>
        </w:tc>
        <w:tc>
          <w:tcPr>
            <w:tcW w:w="760" w:type="dxa"/>
            <w:vAlign w:val="bottom"/>
          </w:tcPr>
          <w:p>
            <w:pPr>
              <w:jc w:val="center"/>
              <w:spacing w:after="0"/>
              <w:rPr>
                <w:sz w:val="20"/>
                <w:szCs w:val="20"/>
                <w:color w:val="auto"/>
              </w:rPr>
            </w:pPr>
            <w:r>
              <w:rPr>
                <w:rFonts w:ascii="Arial" w:cs="Arial" w:eastAsia="Arial" w:hAnsi="Arial"/>
                <w:sz w:val="22"/>
                <w:szCs w:val="22"/>
                <w:color w:val="auto"/>
              </w:rPr>
              <w:t>19.6%</w:t>
            </w:r>
          </w:p>
        </w:tc>
        <w:tc>
          <w:tcPr>
            <w:tcW w:w="760" w:type="dxa"/>
            <w:vAlign w:val="bottom"/>
          </w:tcPr>
          <w:p>
            <w:pPr>
              <w:jc w:val="center"/>
              <w:spacing w:after="0"/>
              <w:rPr>
                <w:sz w:val="20"/>
                <w:szCs w:val="20"/>
                <w:color w:val="auto"/>
              </w:rPr>
            </w:pPr>
            <w:r>
              <w:rPr>
                <w:rFonts w:ascii="Arial" w:cs="Arial" w:eastAsia="Arial" w:hAnsi="Arial"/>
                <w:sz w:val="22"/>
                <w:szCs w:val="22"/>
                <w:color w:val="auto"/>
              </w:rPr>
              <w:t>19.5%</w:t>
            </w:r>
          </w:p>
        </w:tc>
        <w:tc>
          <w:tcPr>
            <w:tcW w:w="760" w:type="dxa"/>
            <w:vAlign w:val="bottom"/>
          </w:tcPr>
          <w:p>
            <w:pPr>
              <w:jc w:val="center"/>
              <w:spacing w:after="0"/>
              <w:rPr>
                <w:sz w:val="20"/>
                <w:szCs w:val="20"/>
                <w:color w:val="auto"/>
              </w:rPr>
            </w:pPr>
            <w:r>
              <w:rPr>
                <w:rFonts w:ascii="Arial" w:cs="Arial" w:eastAsia="Arial" w:hAnsi="Arial"/>
                <w:sz w:val="22"/>
                <w:szCs w:val="22"/>
                <w:color w:val="auto"/>
                <w:w w:val="99"/>
              </w:rPr>
              <w:t>20.0%</w:t>
            </w:r>
          </w:p>
        </w:tc>
        <w:tc>
          <w:tcPr>
            <w:tcW w:w="700" w:type="dxa"/>
            <w:vAlign w:val="bottom"/>
          </w:tcPr>
          <w:p>
            <w:pPr>
              <w:jc w:val="center"/>
              <w:spacing w:after="0"/>
              <w:rPr>
                <w:sz w:val="20"/>
                <w:szCs w:val="20"/>
                <w:color w:val="auto"/>
              </w:rPr>
            </w:pPr>
            <w:r>
              <w:rPr>
                <w:rFonts w:ascii="Arial" w:cs="Arial" w:eastAsia="Arial" w:hAnsi="Arial"/>
                <w:sz w:val="22"/>
                <w:szCs w:val="22"/>
                <w:color w:val="auto"/>
                <w:w w:val="99"/>
              </w:rPr>
              <w:t>18.8%</w:t>
            </w:r>
          </w:p>
        </w:tc>
      </w:tr>
      <w:tr>
        <w:trPr>
          <w:trHeight w:val="270"/>
        </w:trPr>
        <w:tc>
          <w:tcPr>
            <w:tcW w:w="880" w:type="dxa"/>
            <w:vAlign w:val="bottom"/>
          </w:tcPr>
          <w:p>
            <w:pPr>
              <w:spacing w:after="0"/>
              <w:rPr>
                <w:sz w:val="20"/>
                <w:szCs w:val="20"/>
                <w:color w:val="auto"/>
              </w:rPr>
            </w:pPr>
            <w:r>
              <w:rPr>
                <w:rFonts w:ascii="Arial" w:cs="Arial" w:eastAsia="Arial" w:hAnsi="Arial"/>
                <w:sz w:val="22"/>
                <w:szCs w:val="22"/>
                <w:color w:val="auto"/>
              </w:rPr>
              <w:t>India</w:t>
            </w:r>
          </w:p>
        </w:tc>
        <w:tc>
          <w:tcPr>
            <w:tcW w:w="900" w:type="dxa"/>
            <w:vAlign w:val="bottom"/>
          </w:tcPr>
          <w:p>
            <w:pPr>
              <w:jc w:val="center"/>
              <w:ind w:left="28"/>
              <w:spacing w:after="0"/>
              <w:rPr>
                <w:sz w:val="20"/>
                <w:szCs w:val="20"/>
                <w:color w:val="auto"/>
              </w:rPr>
            </w:pPr>
            <w:r>
              <w:rPr>
                <w:rFonts w:ascii="Arial" w:cs="Arial" w:eastAsia="Arial" w:hAnsi="Arial"/>
                <w:sz w:val="22"/>
                <w:szCs w:val="22"/>
                <w:color w:val="auto"/>
              </w:rPr>
              <w:t>2.4%</w:t>
            </w:r>
          </w:p>
        </w:tc>
        <w:tc>
          <w:tcPr>
            <w:tcW w:w="780" w:type="dxa"/>
            <w:vAlign w:val="bottom"/>
          </w:tcPr>
          <w:p>
            <w:pPr>
              <w:jc w:val="center"/>
              <w:spacing w:after="0"/>
              <w:rPr>
                <w:sz w:val="20"/>
                <w:szCs w:val="20"/>
                <w:color w:val="auto"/>
              </w:rPr>
            </w:pPr>
            <w:r>
              <w:rPr>
                <w:rFonts w:ascii="Arial" w:cs="Arial" w:eastAsia="Arial" w:hAnsi="Arial"/>
                <w:sz w:val="22"/>
                <w:szCs w:val="22"/>
                <w:color w:val="auto"/>
                <w:w w:val="99"/>
              </w:rPr>
              <w:t>2.8%</w:t>
            </w:r>
          </w:p>
        </w:tc>
        <w:tc>
          <w:tcPr>
            <w:tcW w:w="760" w:type="dxa"/>
            <w:vAlign w:val="bottom"/>
          </w:tcPr>
          <w:p>
            <w:pPr>
              <w:jc w:val="center"/>
              <w:spacing w:after="0"/>
              <w:rPr>
                <w:sz w:val="20"/>
                <w:szCs w:val="20"/>
                <w:color w:val="auto"/>
              </w:rPr>
            </w:pPr>
            <w:r>
              <w:rPr>
                <w:rFonts w:ascii="Arial" w:cs="Arial" w:eastAsia="Arial" w:hAnsi="Arial"/>
                <w:sz w:val="22"/>
                <w:szCs w:val="22"/>
                <w:color w:val="auto"/>
                <w:w w:val="99"/>
              </w:rPr>
              <w:t>2.4%</w:t>
            </w:r>
          </w:p>
        </w:tc>
        <w:tc>
          <w:tcPr>
            <w:tcW w:w="760" w:type="dxa"/>
            <w:vAlign w:val="bottom"/>
          </w:tcPr>
          <w:p>
            <w:pPr>
              <w:jc w:val="center"/>
              <w:spacing w:after="0"/>
              <w:rPr>
                <w:sz w:val="20"/>
                <w:szCs w:val="20"/>
                <w:color w:val="auto"/>
              </w:rPr>
            </w:pPr>
            <w:r>
              <w:rPr>
                <w:rFonts w:ascii="Arial" w:cs="Arial" w:eastAsia="Arial" w:hAnsi="Arial"/>
                <w:sz w:val="22"/>
                <w:szCs w:val="22"/>
                <w:color w:val="auto"/>
                <w:w w:val="99"/>
              </w:rPr>
              <w:t>2.9%</w:t>
            </w:r>
          </w:p>
        </w:tc>
        <w:tc>
          <w:tcPr>
            <w:tcW w:w="780" w:type="dxa"/>
            <w:vAlign w:val="bottom"/>
          </w:tcPr>
          <w:p>
            <w:pPr>
              <w:jc w:val="center"/>
              <w:spacing w:after="0"/>
              <w:rPr>
                <w:sz w:val="20"/>
                <w:szCs w:val="20"/>
                <w:color w:val="auto"/>
              </w:rPr>
            </w:pPr>
            <w:r>
              <w:rPr>
                <w:rFonts w:ascii="Arial" w:cs="Arial" w:eastAsia="Arial" w:hAnsi="Arial"/>
                <w:sz w:val="22"/>
                <w:szCs w:val="22"/>
                <w:color w:val="auto"/>
                <w:w w:val="99"/>
              </w:rPr>
              <w:t>3.0%</w:t>
            </w:r>
          </w:p>
        </w:tc>
        <w:tc>
          <w:tcPr>
            <w:tcW w:w="760" w:type="dxa"/>
            <w:vAlign w:val="bottom"/>
          </w:tcPr>
          <w:p>
            <w:pPr>
              <w:jc w:val="center"/>
              <w:spacing w:after="0"/>
              <w:rPr>
                <w:sz w:val="20"/>
                <w:szCs w:val="20"/>
                <w:color w:val="auto"/>
              </w:rPr>
            </w:pPr>
            <w:r>
              <w:rPr>
                <w:rFonts w:ascii="Arial" w:cs="Arial" w:eastAsia="Arial" w:hAnsi="Arial"/>
                <w:sz w:val="22"/>
                <w:szCs w:val="22"/>
                <w:color w:val="auto"/>
                <w:w w:val="99"/>
              </w:rPr>
              <w:t>2.5%</w:t>
            </w:r>
          </w:p>
        </w:tc>
        <w:tc>
          <w:tcPr>
            <w:tcW w:w="760" w:type="dxa"/>
            <w:vAlign w:val="bottom"/>
          </w:tcPr>
          <w:p>
            <w:pPr>
              <w:jc w:val="center"/>
              <w:spacing w:after="0"/>
              <w:rPr>
                <w:sz w:val="20"/>
                <w:szCs w:val="20"/>
                <w:color w:val="auto"/>
              </w:rPr>
            </w:pPr>
            <w:r>
              <w:rPr>
                <w:rFonts w:ascii="Arial" w:cs="Arial" w:eastAsia="Arial" w:hAnsi="Arial"/>
                <w:sz w:val="22"/>
                <w:szCs w:val="22"/>
                <w:color w:val="auto"/>
              </w:rPr>
              <w:t>2.6%</w:t>
            </w:r>
          </w:p>
        </w:tc>
        <w:tc>
          <w:tcPr>
            <w:tcW w:w="760" w:type="dxa"/>
            <w:vAlign w:val="bottom"/>
          </w:tcPr>
          <w:p>
            <w:pPr>
              <w:jc w:val="center"/>
              <w:spacing w:after="0"/>
              <w:rPr>
                <w:sz w:val="20"/>
                <w:szCs w:val="20"/>
                <w:color w:val="auto"/>
              </w:rPr>
            </w:pPr>
            <w:r>
              <w:rPr>
                <w:rFonts w:ascii="Arial" w:cs="Arial" w:eastAsia="Arial" w:hAnsi="Arial"/>
                <w:sz w:val="22"/>
                <w:szCs w:val="22"/>
                <w:color w:val="auto"/>
                <w:w w:val="99"/>
              </w:rPr>
              <w:t>3.1%</w:t>
            </w:r>
          </w:p>
        </w:tc>
        <w:tc>
          <w:tcPr>
            <w:tcW w:w="760" w:type="dxa"/>
            <w:vAlign w:val="bottom"/>
          </w:tcPr>
          <w:p>
            <w:pPr>
              <w:jc w:val="center"/>
              <w:spacing w:after="0"/>
              <w:rPr>
                <w:sz w:val="20"/>
                <w:szCs w:val="20"/>
                <w:color w:val="auto"/>
              </w:rPr>
            </w:pPr>
            <w:r>
              <w:rPr>
                <w:rFonts w:ascii="Arial" w:cs="Arial" w:eastAsia="Arial" w:hAnsi="Arial"/>
                <w:sz w:val="22"/>
                <w:szCs w:val="22"/>
                <w:color w:val="auto"/>
              </w:rPr>
              <w:t>3.6%</w:t>
            </w:r>
          </w:p>
        </w:tc>
        <w:tc>
          <w:tcPr>
            <w:tcW w:w="700" w:type="dxa"/>
            <w:vAlign w:val="bottom"/>
          </w:tcPr>
          <w:p>
            <w:pPr>
              <w:jc w:val="center"/>
              <w:spacing w:after="0"/>
              <w:rPr>
                <w:sz w:val="20"/>
                <w:szCs w:val="20"/>
                <w:color w:val="auto"/>
              </w:rPr>
            </w:pPr>
            <w:r>
              <w:rPr>
                <w:rFonts w:ascii="Arial" w:cs="Arial" w:eastAsia="Arial" w:hAnsi="Arial"/>
                <w:sz w:val="22"/>
                <w:szCs w:val="22"/>
                <w:color w:val="auto"/>
              </w:rPr>
              <w:t>3.7%</w:t>
            </w:r>
          </w:p>
        </w:tc>
      </w:tr>
      <w:tr>
        <w:trPr>
          <w:trHeight w:val="282"/>
        </w:trPr>
        <w:tc>
          <w:tcPr>
            <w:tcW w:w="880" w:type="dxa"/>
            <w:vAlign w:val="bottom"/>
          </w:tcPr>
          <w:p>
            <w:pPr>
              <w:spacing w:after="0"/>
              <w:rPr>
                <w:sz w:val="20"/>
                <w:szCs w:val="20"/>
                <w:color w:val="auto"/>
              </w:rPr>
            </w:pPr>
            <w:r>
              <w:rPr>
                <w:rFonts w:ascii="Arial" w:cs="Arial" w:eastAsia="Arial" w:hAnsi="Arial"/>
                <w:sz w:val="22"/>
                <w:szCs w:val="22"/>
                <w:color w:val="auto"/>
              </w:rPr>
              <w:t>Russia</w:t>
            </w:r>
          </w:p>
        </w:tc>
        <w:tc>
          <w:tcPr>
            <w:tcW w:w="900" w:type="dxa"/>
            <w:vAlign w:val="bottom"/>
          </w:tcPr>
          <w:p>
            <w:pPr>
              <w:jc w:val="center"/>
              <w:ind w:left="28"/>
              <w:spacing w:after="0"/>
              <w:rPr>
                <w:sz w:val="20"/>
                <w:szCs w:val="20"/>
                <w:color w:val="auto"/>
              </w:rPr>
            </w:pPr>
            <w:r>
              <w:rPr>
                <w:rFonts w:ascii="Arial" w:cs="Arial" w:eastAsia="Arial" w:hAnsi="Arial"/>
                <w:sz w:val="22"/>
                <w:szCs w:val="22"/>
                <w:color w:val="auto"/>
              </w:rPr>
              <w:t>11.6%</w:t>
            </w:r>
          </w:p>
        </w:tc>
        <w:tc>
          <w:tcPr>
            <w:tcW w:w="780" w:type="dxa"/>
            <w:vAlign w:val="bottom"/>
          </w:tcPr>
          <w:p>
            <w:pPr>
              <w:jc w:val="center"/>
              <w:spacing w:after="0"/>
              <w:rPr>
                <w:sz w:val="20"/>
                <w:szCs w:val="20"/>
                <w:color w:val="auto"/>
              </w:rPr>
            </w:pPr>
            <w:r>
              <w:rPr>
                <w:rFonts w:ascii="Arial" w:cs="Arial" w:eastAsia="Arial" w:hAnsi="Arial"/>
                <w:sz w:val="22"/>
                <w:szCs w:val="22"/>
                <w:color w:val="auto"/>
              </w:rPr>
              <w:t>11.2%</w:t>
            </w:r>
          </w:p>
        </w:tc>
        <w:tc>
          <w:tcPr>
            <w:tcW w:w="760" w:type="dxa"/>
            <w:vAlign w:val="bottom"/>
          </w:tcPr>
          <w:p>
            <w:pPr>
              <w:jc w:val="center"/>
              <w:spacing w:after="0"/>
              <w:rPr>
                <w:sz w:val="20"/>
                <w:szCs w:val="20"/>
                <w:color w:val="auto"/>
              </w:rPr>
            </w:pPr>
            <w:r>
              <w:rPr>
                <w:rFonts w:ascii="Arial" w:cs="Arial" w:eastAsia="Arial" w:hAnsi="Arial"/>
                <w:sz w:val="22"/>
                <w:szCs w:val="22"/>
                <w:color w:val="auto"/>
                <w:w w:val="99"/>
              </w:rPr>
              <w:t>9.8%</w:t>
            </w:r>
          </w:p>
        </w:tc>
        <w:tc>
          <w:tcPr>
            <w:tcW w:w="760" w:type="dxa"/>
            <w:vAlign w:val="bottom"/>
          </w:tcPr>
          <w:p>
            <w:pPr>
              <w:jc w:val="center"/>
              <w:spacing w:after="0"/>
              <w:rPr>
                <w:sz w:val="20"/>
                <w:szCs w:val="20"/>
                <w:color w:val="auto"/>
              </w:rPr>
            </w:pPr>
            <w:r>
              <w:rPr>
                <w:rFonts w:ascii="Arial" w:cs="Arial" w:eastAsia="Arial" w:hAnsi="Arial"/>
                <w:sz w:val="22"/>
                <w:szCs w:val="22"/>
                <w:color w:val="auto"/>
                <w:w w:val="99"/>
              </w:rPr>
              <w:t>9.3%</w:t>
            </w:r>
          </w:p>
        </w:tc>
        <w:tc>
          <w:tcPr>
            <w:tcW w:w="780" w:type="dxa"/>
            <w:vAlign w:val="bottom"/>
          </w:tcPr>
          <w:p>
            <w:pPr>
              <w:jc w:val="center"/>
              <w:spacing w:after="0"/>
              <w:rPr>
                <w:sz w:val="20"/>
                <w:szCs w:val="20"/>
                <w:color w:val="auto"/>
              </w:rPr>
            </w:pPr>
            <w:r>
              <w:rPr>
                <w:rFonts w:ascii="Arial" w:cs="Arial" w:eastAsia="Arial" w:hAnsi="Arial"/>
                <w:sz w:val="22"/>
                <w:szCs w:val="22"/>
                <w:color w:val="auto"/>
                <w:w w:val="99"/>
              </w:rPr>
              <w:t>11.1%</w:t>
            </w:r>
          </w:p>
        </w:tc>
        <w:tc>
          <w:tcPr>
            <w:tcW w:w="760" w:type="dxa"/>
            <w:vAlign w:val="bottom"/>
          </w:tcPr>
          <w:p>
            <w:pPr>
              <w:jc w:val="center"/>
              <w:spacing w:after="0"/>
              <w:rPr>
                <w:sz w:val="20"/>
                <w:szCs w:val="20"/>
                <w:color w:val="auto"/>
              </w:rPr>
            </w:pPr>
            <w:r>
              <w:rPr>
                <w:rFonts w:ascii="Arial" w:cs="Arial" w:eastAsia="Arial" w:hAnsi="Arial"/>
                <w:sz w:val="22"/>
                <w:szCs w:val="22"/>
                <w:color w:val="auto"/>
              </w:rPr>
              <w:t>11.4%</w:t>
            </w:r>
          </w:p>
        </w:tc>
        <w:tc>
          <w:tcPr>
            <w:tcW w:w="760" w:type="dxa"/>
            <w:vAlign w:val="bottom"/>
          </w:tcPr>
          <w:p>
            <w:pPr>
              <w:jc w:val="center"/>
              <w:spacing w:after="0"/>
              <w:rPr>
                <w:sz w:val="20"/>
                <w:szCs w:val="20"/>
                <w:color w:val="auto"/>
              </w:rPr>
            </w:pPr>
            <w:r>
              <w:rPr>
                <w:rFonts w:ascii="Arial" w:cs="Arial" w:eastAsia="Arial" w:hAnsi="Arial"/>
                <w:sz w:val="22"/>
                <w:szCs w:val="22"/>
                <w:color w:val="auto"/>
              </w:rPr>
              <w:t>9.3%</w:t>
            </w:r>
          </w:p>
        </w:tc>
        <w:tc>
          <w:tcPr>
            <w:tcW w:w="760" w:type="dxa"/>
            <w:vAlign w:val="bottom"/>
          </w:tcPr>
          <w:p>
            <w:pPr>
              <w:jc w:val="center"/>
              <w:spacing w:after="0"/>
              <w:rPr>
                <w:sz w:val="20"/>
                <w:szCs w:val="20"/>
                <w:color w:val="auto"/>
              </w:rPr>
            </w:pPr>
            <w:r>
              <w:rPr>
                <w:rFonts w:ascii="Arial" w:cs="Arial" w:eastAsia="Arial" w:hAnsi="Arial"/>
                <w:sz w:val="22"/>
                <w:szCs w:val="22"/>
                <w:color w:val="auto"/>
                <w:w w:val="99"/>
              </w:rPr>
              <w:t>7.8%</w:t>
            </w:r>
          </w:p>
        </w:tc>
        <w:tc>
          <w:tcPr>
            <w:tcW w:w="760" w:type="dxa"/>
            <w:vAlign w:val="bottom"/>
          </w:tcPr>
          <w:p>
            <w:pPr>
              <w:jc w:val="center"/>
              <w:spacing w:after="0"/>
              <w:rPr>
                <w:sz w:val="20"/>
                <w:szCs w:val="20"/>
                <w:color w:val="auto"/>
              </w:rPr>
            </w:pPr>
            <w:r>
              <w:rPr>
                <w:rFonts w:ascii="Arial" w:cs="Arial" w:eastAsia="Arial" w:hAnsi="Arial"/>
                <w:sz w:val="22"/>
                <w:szCs w:val="22"/>
                <w:color w:val="auto"/>
              </w:rPr>
              <w:t>7.6%</w:t>
            </w:r>
          </w:p>
        </w:tc>
        <w:tc>
          <w:tcPr>
            <w:tcW w:w="700" w:type="dxa"/>
            <w:vAlign w:val="bottom"/>
          </w:tcPr>
          <w:p>
            <w:pPr>
              <w:jc w:val="center"/>
              <w:spacing w:after="0"/>
              <w:rPr>
                <w:sz w:val="20"/>
                <w:szCs w:val="20"/>
                <w:color w:val="auto"/>
              </w:rPr>
            </w:pPr>
            <w:r>
              <w:rPr>
                <w:rFonts w:ascii="Arial" w:cs="Arial" w:eastAsia="Arial" w:hAnsi="Arial"/>
                <w:sz w:val="22"/>
                <w:szCs w:val="22"/>
                <w:color w:val="auto"/>
              </w:rPr>
              <w:t>7.5%</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All data prior to July 10, 2009 refers to Old GM. New GM acquired operations from Old GM on July 10, 2009</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11</w:t>
      </w:r>
    </w:p>
    <w:p>
      <w:pPr>
        <w:sectPr>
          <w:pgSz w:w="11900" w:h="16838" w:orient="portrait"/>
          <w:cols w:equalWidth="0" w:num="1">
            <w:col w:w="10280"/>
          </w:cols>
          <w:pgMar w:left="420" w:top="587" w:right="1199" w:bottom="1440" w:gutter="0" w:footer="0" w:header="0"/>
        </w:sectPr>
      </w:pPr>
    </w:p>
    <w:bookmarkStart w:id="33" w:name="page34"/>
    <w:bookmarkEnd w:id="33"/>
    <w:p>
      <w:pPr>
        <w:ind w:left="104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Europe Industry Market Performance 2009 CYTD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Share by Brand</w:t>
      </w:r>
    </w:p>
    <w:p>
      <w:pPr>
        <w:spacing w:after="0" w:line="43" w:lineRule="exact"/>
        <w:rPr>
          <w:sz w:val="20"/>
          <w:szCs w:val="20"/>
          <w:color w:val="auto"/>
        </w:rPr>
      </w:pPr>
    </w:p>
    <w:p>
      <w:pPr>
        <w:jc w:val="both"/>
        <w:ind w:left="80" w:right="1500"/>
        <w:spacing w:after="0" w:line="295" w:lineRule="auto"/>
        <w:rPr>
          <w:sz w:val="20"/>
          <w:szCs w:val="20"/>
          <w:color w:val="auto"/>
        </w:rPr>
      </w:pPr>
      <w:r>
        <w:rPr>
          <w:rFonts w:ascii="Arial" w:cs="Arial" w:eastAsia="Arial" w:hAnsi="Arial"/>
          <w:sz w:val="22"/>
          <w:szCs w:val="22"/>
          <w:b w:val="1"/>
          <w:bCs w:val="1"/>
          <w:color w:val="auto"/>
        </w:rPr>
        <w:t xml:space="preserve">Opel/Vauxhall </w:t>
      </w:r>
      <w:r>
        <w:rPr>
          <w:rFonts w:ascii="Arial" w:cs="Arial" w:eastAsia="Arial" w:hAnsi="Arial"/>
          <w:sz w:val="22"/>
          <w:szCs w:val="22"/>
          <w:color w:val="auto"/>
        </w:rPr>
        <w:t>6.1% 6.3% 7.0% 6.8% 6.9% 6.6% 6.7% 6.0% 6.8% 6.0%</w:t>
      </w:r>
      <w:r>
        <w:rPr>
          <w:rFonts w:ascii="Arial" w:cs="Arial" w:eastAsia="Arial" w:hAnsi="Arial"/>
          <w:sz w:val="22"/>
          <w:szCs w:val="22"/>
          <w:b w:val="1"/>
          <w:bCs w:val="1"/>
          <w:color w:val="auto"/>
        </w:rPr>
        <w:t xml:space="preserve"> Chevrolet </w:t>
      </w:r>
      <w:r>
        <w:rPr>
          <w:rFonts w:ascii="Arial" w:cs="Arial" w:eastAsia="Arial" w:hAnsi="Arial"/>
          <w:sz w:val="22"/>
          <w:szCs w:val="22"/>
          <w:color w:val="auto"/>
        </w:rPr>
        <w:t>2.2% 2.5% 1.9% 2.1% 2.4% 2.3% 2.3% 2.6% 2.1% 2.2%</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color w:val="auto"/>
        </w:rPr>
        <w:t>Memo: Industry includes Western, Central, Eastern and Other Europe (Incl. Russia)</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auto"/>
        </w:rPr>
        <w:t>All data prior to July 10, 2009 refers to Old GM. New GM acquired operations from Old GM on July 10, 2009</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12</w:t>
      </w:r>
    </w:p>
    <w:p>
      <w:pPr>
        <w:sectPr>
          <w:pgSz w:w="11900" w:h="16838" w:orient="portrait"/>
          <w:cols w:equalWidth="0" w:num="1">
            <w:col w:w="10320"/>
          </w:cols>
          <w:pgMar w:left="380" w:top="587" w:right="1199" w:bottom="1440" w:gutter="0" w:footer="0" w:header="0"/>
        </w:sectPr>
      </w:pPr>
    </w:p>
    <w:bookmarkStart w:id="34" w:name="page35"/>
    <w:bookmarkEnd w:id="34"/>
    <w:p>
      <w:pPr>
        <w:ind w:left="58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Europe 2009 GM &amp; Dealer Inventories – Key Markets</w:t>
      </w: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28"/>
          <w:szCs w:val="28"/>
          <w:b w:val="1"/>
          <w:bCs w:val="1"/>
          <w:color w:val="auto"/>
        </w:rPr>
        <w:t>Western/Central Europe &amp; Russia</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28"/>
          <w:szCs w:val="28"/>
          <w:color w:val="auto"/>
        </w:rPr>
        <w:t>Opel/Vauxhall/Chevrolet/Saab</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600" w:type="dxa"/>
            <w:vAlign w:val="bottom"/>
          </w:tcPr>
          <w:p>
            <w:pPr>
              <w:jc w:val="right"/>
              <w:ind w:right="57"/>
              <w:spacing w:after="0"/>
              <w:rPr>
                <w:sz w:val="20"/>
                <w:szCs w:val="20"/>
                <w:color w:val="auto"/>
              </w:rPr>
            </w:pPr>
            <w:r>
              <w:rPr>
                <w:rFonts w:ascii="Arial" w:cs="Arial" w:eastAsia="Arial" w:hAnsi="Arial"/>
                <w:sz w:val="25"/>
                <w:szCs w:val="25"/>
                <w:b w:val="1"/>
                <w:bCs w:val="1"/>
                <w:color w:val="auto"/>
                <w:w w:val="95"/>
              </w:rPr>
              <w:t>500</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Pr>
          <w:p>
            <w:pPr>
              <w:jc w:val="right"/>
              <w:ind w:right="57"/>
              <w:spacing w:after="0"/>
              <w:rPr>
                <w:sz w:val="20"/>
                <w:szCs w:val="20"/>
                <w:color w:val="auto"/>
              </w:rPr>
            </w:pPr>
            <w:r>
              <w:rPr>
                <w:rFonts w:ascii="Arial" w:cs="Arial" w:eastAsia="Arial" w:hAnsi="Arial"/>
                <w:sz w:val="25"/>
                <w:szCs w:val="25"/>
                <w:b w:val="1"/>
                <w:bCs w:val="1"/>
                <w:color w:val="auto"/>
                <w:w w:val="95"/>
              </w:rPr>
              <w:t>450</w:t>
            </w:r>
          </w:p>
        </w:tc>
        <w:tc>
          <w:tcPr>
            <w:tcW w:w="780" w:type="dxa"/>
            <w:vAlign w:val="bottom"/>
          </w:tcPr>
          <w:p>
            <w:pPr>
              <w:jc w:val="right"/>
              <w:ind w:right="57"/>
              <w:spacing w:after="0"/>
              <w:rPr>
                <w:sz w:val="20"/>
                <w:szCs w:val="20"/>
                <w:color w:val="auto"/>
              </w:rPr>
            </w:pPr>
            <w:r>
              <w:rPr>
                <w:rFonts w:ascii="Arial" w:cs="Arial" w:eastAsia="Arial" w:hAnsi="Arial"/>
                <w:sz w:val="25"/>
                <w:szCs w:val="25"/>
                <w:b w:val="1"/>
                <w:bCs w:val="1"/>
                <w:color w:val="auto"/>
              </w:rPr>
              <w:t>429</w:t>
            </w:r>
          </w:p>
        </w:tc>
        <w:tc>
          <w:tcPr>
            <w:tcW w:w="76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rPr>
              <w:t>411</w:t>
            </w:r>
          </w:p>
        </w:tc>
        <w:tc>
          <w:tcPr>
            <w:tcW w:w="760" w:type="dxa"/>
            <w:vAlign w:val="bottom"/>
            <w:vMerge w:val="restart"/>
          </w:tcPr>
          <w:p>
            <w:pPr>
              <w:jc w:val="right"/>
              <w:ind w:right="37"/>
              <w:spacing w:after="0"/>
              <w:rPr>
                <w:sz w:val="20"/>
                <w:szCs w:val="20"/>
                <w:color w:val="auto"/>
              </w:rPr>
            </w:pPr>
            <w:r>
              <w:rPr>
                <w:rFonts w:ascii="Arial" w:cs="Arial" w:eastAsia="Arial" w:hAnsi="Arial"/>
                <w:sz w:val="25"/>
                <w:szCs w:val="25"/>
                <w:b w:val="1"/>
                <w:bCs w:val="1"/>
                <w:color w:val="auto"/>
              </w:rPr>
              <w:t>407</w:t>
            </w:r>
          </w:p>
        </w:tc>
        <w:tc>
          <w:tcPr>
            <w:tcW w:w="78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rPr>
              <w:t>390</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0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w w:val="95"/>
              </w:rPr>
              <w:t>400</w:t>
            </w:r>
          </w:p>
        </w:tc>
        <w:tc>
          <w:tcPr>
            <w:tcW w:w="7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25"/>
                <w:szCs w:val="25"/>
                <w:b w:val="1"/>
                <w:bCs w:val="1"/>
                <w:color w:val="auto"/>
              </w:rPr>
              <w:t>375</w:t>
            </w:r>
          </w:p>
        </w:tc>
        <w:tc>
          <w:tcPr>
            <w:tcW w:w="7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rPr>
              <w:t>364</w:t>
            </w:r>
          </w:p>
        </w:tc>
        <w:tc>
          <w:tcPr>
            <w:tcW w:w="1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540" w:type="dxa"/>
            <w:vAlign w:val="bottom"/>
            <w:vMerge w:val="restart"/>
          </w:tcPr>
          <w:p>
            <w:pPr>
              <w:jc w:val="right"/>
              <w:ind w:right="817"/>
              <w:spacing w:after="0"/>
              <w:rPr>
                <w:sz w:val="20"/>
                <w:szCs w:val="20"/>
                <w:color w:val="auto"/>
              </w:rPr>
            </w:pPr>
            <w:r>
              <w:rPr>
                <w:rFonts w:ascii="Arial" w:cs="Arial" w:eastAsia="Arial" w:hAnsi="Arial"/>
                <w:sz w:val="25"/>
                <w:szCs w:val="25"/>
                <w:b w:val="1"/>
                <w:bCs w:val="1"/>
                <w:color w:val="auto"/>
              </w:rPr>
              <w:t>342</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60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w w:val="95"/>
              </w:rPr>
              <w:t>350</w:t>
            </w: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0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40" w:type="dxa"/>
            <w:vAlign w:val="bottom"/>
            <w:vMerge w:val="continue"/>
          </w:tcPr>
          <w:p>
            <w:pPr>
              <w:spacing w:after="0"/>
              <w:rPr>
                <w:sz w:val="9"/>
                <w:szCs w:val="9"/>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rPr>
              <w:t>313</w:t>
            </w: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6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rPr>
              <w:t>311</w:t>
            </w:r>
          </w:p>
        </w:tc>
        <w:tc>
          <w:tcPr>
            <w:tcW w:w="760" w:type="dxa"/>
            <w:vAlign w:val="bottom"/>
            <w:vMerge w:val="continue"/>
          </w:tcPr>
          <w:p>
            <w:pPr>
              <w:spacing w:after="0"/>
              <w:rPr>
                <w:sz w:val="18"/>
                <w:szCs w:val="18"/>
                <w:color w:val="auto"/>
              </w:rPr>
            </w:pPr>
          </w:p>
        </w:tc>
        <w:tc>
          <w:tcPr>
            <w:tcW w:w="78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rPr>
              <w:t>303</w:t>
            </w:r>
          </w:p>
        </w:tc>
        <w:tc>
          <w:tcPr>
            <w:tcW w:w="580" w:type="dxa"/>
            <w:vAlign w:val="bottom"/>
            <w:vMerge w:val="restart"/>
          </w:tcPr>
          <w:p>
            <w:pPr>
              <w:jc w:val="right"/>
              <w:spacing w:after="0"/>
              <w:rPr>
                <w:sz w:val="20"/>
                <w:szCs w:val="20"/>
                <w:color w:val="auto"/>
              </w:rPr>
            </w:pPr>
            <w:r>
              <w:rPr>
                <w:rFonts w:ascii="Arial" w:cs="Arial" w:eastAsia="Arial" w:hAnsi="Arial"/>
                <w:sz w:val="25"/>
                <w:szCs w:val="25"/>
                <w:b w:val="1"/>
                <w:bCs w:val="1"/>
                <w:color w:val="auto"/>
              </w:rPr>
              <w:t>299</w:t>
            </w:r>
          </w:p>
        </w:tc>
        <w:tc>
          <w:tcPr>
            <w:tcW w:w="0" w:type="dxa"/>
            <w:vAlign w:val="bottom"/>
          </w:tcPr>
          <w:p>
            <w:pPr>
              <w:spacing w:after="0"/>
              <w:rPr>
                <w:sz w:val="1"/>
                <w:szCs w:val="1"/>
                <w:color w:val="auto"/>
              </w:rPr>
            </w:pPr>
          </w:p>
        </w:tc>
      </w:tr>
      <w:tr>
        <w:trPr>
          <w:trHeight w:val="212"/>
        </w:trPr>
        <w:tc>
          <w:tcPr>
            <w:tcW w:w="600" w:type="dxa"/>
            <w:vAlign w:val="bottom"/>
            <w:vMerge w:val="restart"/>
          </w:tcPr>
          <w:p>
            <w:pPr>
              <w:jc w:val="right"/>
              <w:ind w:right="57"/>
              <w:spacing w:after="0"/>
              <w:rPr>
                <w:sz w:val="20"/>
                <w:szCs w:val="20"/>
                <w:color w:val="auto"/>
              </w:rPr>
            </w:pPr>
            <w:r>
              <w:rPr>
                <w:rFonts w:ascii="Arial" w:cs="Arial" w:eastAsia="Arial" w:hAnsi="Arial"/>
                <w:sz w:val="25"/>
                <w:szCs w:val="25"/>
                <w:b w:val="1"/>
                <w:bCs w:val="1"/>
                <w:color w:val="auto"/>
                <w:w w:val="95"/>
              </w:rPr>
              <w:t>300</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jc w:val="right"/>
        <w:ind w:right="9440"/>
        <w:spacing w:after="0"/>
        <w:rPr>
          <w:sz w:val="20"/>
          <w:szCs w:val="20"/>
          <w:color w:val="auto"/>
        </w:rPr>
      </w:pPr>
      <w:r>
        <w:rPr>
          <w:rFonts w:ascii="Arial" w:cs="Arial" w:eastAsia="Arial" w:hAnsi="Arial"/>
          <w:sz w:val="25"/>
          <w:szCs w:val="25"/>
          <w:b w:val="1"/>
          <w:bCs w:val="1"/>
          <w:color w:val="auto"/>
        </w:rPr>
        <w:t>250</w:t>
      </w:r>
    </w:p>
    <w:p>
      <w:pPr>
        <w:spacing w:after="0" w:line="112" w:lineRule="exact"/>
        <w:rPr>
          <w:sz w:val="20"/>
          <w:szCs w:val="20"/>
          <w:color w:val="auto"/>
        </w:rPr>
      </w:pPr>
    </w:p>
    <w:p>
      <w:pPr>
        <w:jc w:val="right"/>
        <w:ind w:right="9440"/>
        <w:spacing w:after="0"/>
        <w:rPr>
          <w:sz w:val="20"/>
          <w:szCs w:val="20"/>
          <w:color w:val="auto"/>
        </w:rPr>
      </w:pPr>
      <w:r>
        <w:rPr>
          <w:rFonts w:ascii="Arial" w:cs="Arial" w:eastAsia="Arial" w:hAnsi="Arial"/>
          <w:sz w:val="25"/>
          <w:szCs w:val="25"/>
          <w:b w:val="1"/>
          <w:bCs w:val="1"/>
          <w:color w:val="auto"/>
        </w:rPr>
        <w:t>200</w:t>
      </w:r>
    </w:p>
    <w:p>
      <w:pPr>
        <w:spacing w:after="0" w:line="124" w:lineRule="exact"/>
        <w:rPr>
          <w:sz w:val="20"/>
          <w:szCs w:val="20"/>
          <w:color w:val="auto"/>
        </w:rPr>
      </w:pPr>
    </w:p>
    <w:p>
      <w:pPr>
        <w:jc w:val="right"/>
        <w:ind w:right="9440"/>
        <w:spacing w:after="0"/>
        <w:rPr>
          <w:sz w:val="20"/>
          <w:szCs w:val="20"/>
          <w:color w:val="auto"/>
        </w:rPr>
      </w:pPr>
      <w:r>
        <w:rPr>
          <w:rFonts w:ascii="Arial" w:cs="Arial" w:eastAsia="Arial" w:hAnsi="Arial"/>
          <w:sz w:val="25"/>
          <w:szCs w:val="25"/>
          <w:b w:val="1"/>
          <w:bCs w:val="1"/>
          <w:color w:val="auto"/>
        </w:rPr>
        <w:t>150</w:t>
      </w:r>
    </w:p>
    <w:p>
      <w:pPr>
        <w:spacing w:after="0" w:line="124" w:lineRule="exact"/>
        <w:rPr>
          <w:sz w:val="20"/>
          <w:szCs w:val="20"/>
          <w:color w:val="auto"/>
        </w:rPr>
      </w:pPr>
    </w:p>
    <w:p>
      <w:pPr>
        <w:jc w:val="right"/>
        <w:ind w:right="9440"/>
        <w:spacing w:after="0"/>
        <w:rPr>
          <w:sz w:val="20"/>
          <w:szCs w:val="20"/>
          <w:color w:val="auto"/>
        </w:rPr>
      </w:pPr>
      <w:r>
        <w:rPr>
          <w:rFonts w:ascii="Arial" w:cs="Arial" w:eastAsia="Arial" w:hAnsi="Arial"/>
          <w:sz w:val="25"/>
          <w:szCs w:val="25"/>
          <w:b w:val="1"/>
          <w:bCs w:val="1"/>
          <w:color w:val="auto"/>
        </w:rPr>
        <w:t>100</w:t>
      </w:r>
    </w:p>
    <w:p>
      <w:pPr>
        <w:spacing w:after="0" w:line="124" w:lineRule="exact"/>
        <w:rPr>
          <w:sz w:val="20"/>
          <w:szCs w:val="20"/>
          <w:color w:val="auto"/>
        </w:rPr>
      </w:pPr>
    </w:p>
    <w:p>
      <w:pPr>
        <w:jc w:val="right"/>
        <w:ind w:right="9460"/>
        <w:spacing w:after="0"/>
        <w:rPr>
          <w:sz w:val="20"/>
          <w:szCs w:val="20"/>
          <w:color w:val="auto"/>
        </w:rPr>
      </w:pPr>
      <w:r>
        <w:rPr>
          <w:rFonts w:ascii="Arial" w:cs="Arial" w:eastAsia="Arial" w:hAnsi="Arial"/>
          <w:sz w:val="25"/>
          <w:szCs w:val="25"/>
          <w:b w:val="1"/>
          <w:bCs w:val="1"/>
          <w:color w:val="auto"/>
        </w:rPr>
        <w:t>50</w:t>
      </w:r>
    </w:p>
    <w:p>
      <w:pPr>
        <w:spacing w:after="0" w:line="124" w:lineRule="exact"/>
        <w:rPr>
          <w:sz w:val="20"/>
          <w:szCs w:val="20"/>
          <w:color w:val="auto"/>
        </w:rPr>
      </w:pPr>
    </w:p>
    <w:p>
      <w:pPr>
        <w:jc w:val="right"/>
        <w:ind w:right="9460"/>
        <w:spacing w:after="0"/>
        <w:rPr>
          <w:sz w:val="20"/>
          <w:szCs w:val="20"/>
          <w:color w:val="auto"/>
        </w:rPr>
      </w:pPr>
      <w:r>
        <w:rPr>
          <w:rFonts w:ascii="Arial" w:cs="Arial" w:eastAsia="Arial" w:hAnsi="Arial"/>
          <w:sz w:val="25"/>
          <w:szCs w:val="25"/>
          <w:b w:val="1"/>
          <w:bCs w:val="1"/>
          <w:color w:val="auto"/>
        </w:rPr>
        <w:t>0</w:t>
      </w:r>
    </w:p>
    <w:p>
      <w:pPr>
        <w:spacing w:after="0" w:line="42" w:lineRule="exact"/>
        <w:rPr>
          <w:sz w:val="20"/>
          <w:szCs w:val="20"/>
          <w:color w:val="auto"/>
        </w:rPr>
      </w:pPr>
    </w:p>
    <w:p>
      <w:pPr>
        <w:ind w:left="720"/>
        <w:spacing w:after="0"/>
        <w:tabs>
          <w:tab w:leader="none" w:pos="1480" w:val="left"/>
          <w:tab w:leader="none" w:pos="3760" w:val="left"/>
          <w:tab w:leader="none" w:pos="5320" w:val="left"/>
          <w:tab w:leader="none" w:pos="6120" w:val="left"/>
          <w:tab w:leader="none" w:pos="6820" w:val="left"/>
          <w:tab w:leader="none" w:pos="8380" w:val="left"/>
        </w:tabs>
        <w:rPr>
          <w:sz w:val="20"/>
          <w:szCs w:val="20"/>
          <w:color w:val="auto"/>
        </w:rPr>
      </w:pPr>
      <w:r>
        <w:rPr>
          <w:rFonts w:ascii="Arial" w:cs="Arial" w:eastAsia="Arial" w:hAnsi="Arial"/>
          <w:sz w:val="19"/>
          <w:szCs w:val="19"/>
          <w:b w:val="1"/>
          <w:bCs w:val="1"/>
          <w:color w:val="auto"/>
        </w:rPr>
        <w:t>Dec-08</w:t>
        <w:tab/>
        <w:t>Jan-09  Feb-09  Mar-09</w:t>
        <w:tab/>
        <w:t>Apr-09  May-09</w:t>
        <w:tab/>
        <w:t>Jun-09</w:t>
        <w:tab/>
        <w:t>Jul-09</w:t>
        <w:tab/>
        <w:t>Aug-09  Sep-09</w:t>
      </w:r>
      <w:r>
        <w:rPr>
          <w:sz w:val="20"/>
          <w:szCs w:val="20"/>
          <w:color w:val="auto"/>
        </w:rPr>
        <w:tab/>
      </w:r>
      <w:r>
        <w:rPr>
          <w:rFonts w:ascii="Arial" w:cs="Arial" w:eastAsia="Arial" w:hAnsi="Arial"/>
          <w:sz w:val="18"/>
          <w:szCs w:val="18"/>
          <w:b w:val="1"/>
          <w:bCs w:val="1"/>
          <w:color w:val="auto"/>
        </w:rPr>
        <w:t>Oct-09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13</w:t>
      </w:r>
    </w:p>
    <w:p>
      <w:pPr>
        <w:sectPr>
          <w:pgSz w:w="11900" w:h="16838" w:orient="portrait"/>
          <w:cols w:equalWidth="0" w:num="1">
            <w:col w:w="9860"/>
          </w:cols>
          <w:pgMar w:left="840" w:top="587" w:right="1199" w:bottom="1440" w:gutter="0" w:footer="0" w:header="0"/>
        </w:sectPr>
      </w:pPr>
    </w:p>
    <w:bookmarkStart w:id="35" w:name="page36"/>
    <w:bookmarkEnd w:id="35"/>
    <w:p>
      <w:pPr>
        <w:ind w:left="845"/>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Opel</w:t>
      </w:r>
    </w:p>
    <w:p>
      <w:pPr>
        <w:spacing w:after="0" w:line="200" w:lineRule="exact"/>
        <w:rPr>
          <w:sz w:val="20"/>
          <w:szCs w:val="20"/>
          <w:color w:val="auto"/>
        </w:rPr>
      </w:pPr>
    </w:p>
    <w:p>
      <w:pPr>
        <w:spacing w:after="0" w:line="227" w:lineRule="exact"/>
        <w:rPr>
          <w:sz w:val="20"/>
          <w:szCs w:val="20"/>
          <w:color w:val="auto"/>
        </w:rPr>
      </w:pPr>
    </w:p>
    <w:p>
      <w:pPr>
        <w:ind w:left="425" w:hanging="425"/>
        <w:spacing w:after="0"/>
        <w:tabs>
          <w:tab w:leader="none" w:pos="425" w:val="left"/>
        </w:tabs>
        <w:numPr>
          <w:ilvl w:val="0"/>
          <w:numId w:val="17"/>
        </w:numPr>
        <w:rPr>
          <w:rFonts w:ascii="Arial" w:cs="Arial" w:eastAsia="Arial" w:hAnsi="Arial"/>
          <w:sz w:val="32"/>
          <w:szCs w:val="32"/>
          <w:color w:val="auto"/>
        </w:rPr>
      </w:pPr>
      <w:r>
        <w:rPr>
          <w:rFonts w:ascii="Arial" w:cs="Arial" w:eastAsia="Arial" w:hAnsi="Arial"/>
          <w:sz w:val="32"/>
          <w:szCs w:val="32"/>
          <w:color w:val="auto"/>
        </w:rPr>
        <w:t>November 4, GM’s Board of Directors decided to retain Opel</w:t>
      </w:r>
    </w:p>
    <w:p>
      <w:pPr>
        <w:spacing w:after="0" w:line="87"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Deemed best long-term and least costly solution</w:t>
      </w:r>
    </w:p>
    <w:p>
      <w:pPr>
        <w:spacing w:after="0" w:line="128" w:lineRule="exact"/>
        <w:rPr>
          <w:rFonts w:ascii="Arial" w:cs="Arial" w:eastAsia="Arial" w:hAnsi="Arial"/>
          <w:sz w:val="32"/>
          <w:szCs w:val="32"/>
          <w:color w:val="auto"/>
        </w:rPr>
      </w:pPr>
    </w:p>
    <w:p>
      <w:pPr>
        <w:ind w:left="425" w:hanging="425"/>
        <w:spacing w:after="0"/>
        <w:tabs>
          <w:tab w:leader="none" w:pos="425" w:val="left"/>
        </w:tabs>
        <w:numPr>
          <w:ilvl w:val="0"/>
          <w:numId w:val="17"/>
        </w:numPr>
        <w:rPr>
          <w:rFonts w:ascii="Arial" w:cs="Arial" w:eastAsia="Arial" w:hAnsi="Arial"/>
          <w:sz w:val="32"/>
          <w:szCs w:val="32"/>
          <w:color w:val="auto"/>
        </w:rPr>
      </w:pPr>
      <w:r>
        <w:rPr>
          <w:rFonts w:ascii="Arial" w:cs="Arial" w:eastAsia="Arial" w:hAnsi="Arial"/>
          <w:sz w:val="32"/>
          <w:szCs w:val="32"/>
          <w:color w:val="auto"/>
        </w:rPr>
        <w:t>Decision based on:</w:t>
      </w:r>
    </w:p>
    <w:p>
      <w:pPr>
        <w:spacing w:after="0" w:line="87"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Improving business conditions</w:t>
      </w:r>
    </w:p>
    <w:p>
      <w:pPr>
        <w:spacing w:after="0" w:line="54"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Considerable complexity and uncertainty with potential sale</w:t>
      </w:r>
    </w:p>
    <w:p>
      <w:pPr>
        <w:spacing w:after="0" w:line="128" w:lineRule="exact"/>
        <w:rPr>
          <w:rFonts w:ascii="Arial" w:cs="Arial" w:eastAsia="Arial" w:hAnsi="Arial"/>
          <w:sz w:val="32"/>
          <w:szCs w:val="32"/>
          <w:color w:val="auto"/>
        </w:rPr>
      </w:pPr>
    </w:p>
    <w:p>
      <w:pPr>
        <w:ind w:left="425" w:hanging="425"/>
        <w:spacing w:after="0"/>
        <w:tabs>
          <w:tab w:leader="none" w:pos="425" w:val="left"/>
        </w:tabs>
        <w:numPr>
          <w:ilvl w:val="0"/>
          <w:numId w:val="17"/>
        </w:numPr>
        <w:rPr>
          <w:rFonts w:ascii="Arial" w:cs="Arial" w:eastAsia="Arial" w:hAnsi="Arial"/>
          <w:sz w:val="32"/>
          <w:szCs w:val="32"/>
          <w:color w:val="auto"/>
        </w:rPr>
      </w:pPr>
      <w:r>
        <w:rPr>
          <w:rFonts w:ascii="Arial" w:cs="Arial" w:eastAsia="Arial" w:hAnsi="Arial"/>
          <w:sz w:val="32"/>
          <w:szCs w:val="32"/>
          <w:color w:val="auto"/>
        </w:rPr>
        <w:t>Next steps include:</w:t>
      </w:r>
    </w:p>
    <w:p>
      <w:pPr>
        <w:spacing w:after="0" w:line="87" w:lineRule="exact"/>
        <w:rPr>
          <w:rFonts w:ascii="Arial" w:cs="Arial" w:eastAsia="Arial" w:hAnsi="Arial"/>
          <w:sz w:val="32"/>
          <w:szCs w:val="32"/>
          <w:color w:val="auto"/>
        </w:rPr>
      </w:pPr>
    </w:p>
    <w:p>
      <w:pPr>
        <w:ind w:left="925" w:right="440" w:hanging="353"/>
        <w:spacing w:after="0" w:line="267" w:lineRule="auto"/>
        <w:rPr>
          <w:rFonts w:ascii="Arial" w:cs="Arial" w:eastAsia="Arial" w:hAnsi="Arial"/>
          <w:sz w:val="32"/>
          <w:szCs w:val="32"/>
          <w:color w:val="auto"/>
        </w:rPr>
      </w:pPr>
      <w:r>
        <w:rPr>
          <w:rFonts w:ascii="Arial" w:cs="Arial" w:eastAsia="Arial" w:hAnsi="Arial"/>
          <w:sz w:val="28"/>
          <w:szCs w:val="28"/>
          <w:color w:val="auto"/>
        </w:rPr>
        <w:t>– Work cooperatively and diligently on restructuring with all stakeholders including employees and governments</w:t>
      </w:r>
    </w:p>
    <w:p>
      <w:pPr>
        <w:spacing w:after="0" w:line="12"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Discuss financing from European governments</w:t>
      </w:r>
    </w:p>
    <w:p>
      <w:pPr>
        <w:spacing w:after="0" w:line="128" w:lineRule="exact"/>
        <w:rPr>
          <w:rFonts w:ascii="Arial" w:cs="Arial" w:eastAsia="Arial" w:hAnsi="Arial"/>
          <w:sz w:val="32"/>
          <w:szCs w:val="32"/>
          <w:color w:val="auto"/>
        </w:rPr>
      </w:pPr>
    </w:p>
    <w:p>
      <w:pPr>
        <w:ind w:left="425" w:hanging="425"/>
        <w:spacing w:after="0"/>
        <w:tabs>
          <w:tab w:leader="none" w:pos="425" w:val="left"/>
        </w:tabs>
        <w:numPr>
          <w:ilvl w:val="0"/>
          <w:numId w:val="17"/>
        </w:numPr>
        <w:rPr>
          <w:rFonts w:ascii="Arial" w:cs="Arial" w:eastAsia="Arial" w:hAnsi="Arial"/>
          <w:sz w:val="32"/>
          <w:szCs w:val="32"/>
          <w:color w:val="auto"/>
        </w:rPr>
      </w:pPr>
      <w:r>
        <w:rPr>
          <w:rFonts w:ascii="Arial" w:cs="Arial" w:eastAsia="Arial" w:hAnsi="Arial"/>
          <w:sz w:val="32"/>
          <w:szCs w:val="32"/>
          <w:color w:val="auto"/>
        </w:rPr>
        <w:t>Opel Bridge Loan balance €900M on Sept 30</w:t>
      </w:r>
    </w:p>
    <w:p>
      <w:pPr>
        <w:spacing w:after="0" w:line="87"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Repaid €500M as of Nov 13</w:t>
      </w:r>
    </w:p>
    <w:p>
      <w:pPr>
        <w:spacing w:after="0" w:line="66"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Remaining €400M to be repaid by the end of Nov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14</w:t>
      </w:r>
    </w:p>
    <w:p>
      <w:pPr>
        <w:sectPr>
          <w:pgSz w:w="11900" w:h="16838" w:orient="portrait"/>
          <w:cols w:equalWidth="0" w:num="1">
            <w:col w:w="10125"/>
          </w:cols>
          <w:pgMar w:left="575" w:top="587" w:right="119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39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4405" cy="553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660"/>
        <w:spacing w:after="0"/>
        <w:rPr>
          <w:sz w:val="20"/>
          <w:szCs w:val="20"/>
          <w:color w:val="auto"/>
        </w:rPr>
      </w:pPr>
      <w:r>
        <w:rPr>
          <w:rFonts w:ascii="Arial" w:cs="Arial" w:eastAsia="Arial" w:hAnsi="Arial"/>
          <w:sz w:val="44"/>
          <w:szCs w:val="44"/>
          <w:b w:val="1"/>
          <w:bCs w:val="1"/>
          <w:color w:val="auto"/>
        </w:rPr>
        <w:t>General Motors Company</w:t>
      </w: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Arial" w:cs="Arial" w:eastAsia="Arial" w:hAnsi="Arial"/>
          <w:sz w:val="44"/>
          <w:szCs w:val="44"/>
          <w:b w:val="1"/>
          <w:bCs w:val="1"/>
          <w:color w:val="auto"/>
        </w:rPr>
        <w:t>Review of Preliminary Managerial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15</w:t>
      </w:r>
    </w:p>
    <w:p>
      <w:pPr>
        <w:sectPr>
          <w:pgSz w:w="11900" w:h="16838" w:orient="portrait"/>
          <w:cols w:equalWidth="0" w:num="1">
            <w:col w:w="9740"/>
          </w:cols>
          <w:pgMar w:left="1440" w:top="1440" w:right="719" w:bottom="1440" w:gutter="0" w:footer="0" w:header="0"/>
        </w:sectPr>
      </w:pPr>
    </w:p>
    <w:bookmarkStart w:id="37" w:name="page38"/>
    <w:bookmarkEnd w:id="37"/>
    <w:p>
      <w:pPr>
        <w:ind w:left="106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Preliminary Managerial Results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jc w:val="right"/>
              <w:ind w:right="500"/>
              <w:spacing w:after="0"/>
              <w:rPr>
                <w:sz w:val="20"/>
                <w:szCs w:val="20"/>
                <w:color w:val="auto"/>
              </w:rPr>
            </w:pPr>
            <w:r>
              <w:rPr>
                <w:rFonts w:ascii="Arial" w:cs="Arial" w:eastAsia="Arial" w:hAnsi="Arial"/>
                <w:sz w:val="20"/>
                <w:szCs w:val="20"/>
                <w:b w:val="1"/>
                <w:bCs w:val="1"/>
                <w:color w:val="auto"/>
              </w:rPr>
              <w:t>Old GM</w:t>
            </w: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jc w:val="center"/>
              <w:ind w:right="160"/>
              <w:spacing w:after="0"/>
              <w:rPr>
                <w:sz w:val="20"/>
                <w:szCs w:val="20"/>
                <w:color w:val="auto"/>
              </w:rPr>
            </w:pPr>
            <w:r>
              <w:rPr>
                <w:rFonts w:ascii="Arial" w:cs="Arial" w:eastAsia="Arial" w:hAnsi="Arial"/>
                <w:sz w:val="20"/>
                <w:szCs w:val="20"/>
                <w:b w:val="1"/>
                <w:bCs w:val="1"/>
                <w:color w:val="auto"/>
                <w:w w:val="98"/>
              </w:rPr>
              <w:t>New GM</w:t>
            </w:r>
          </w:p>
        </w:tc>
        <w:tc>
          <w:tcPr>
            <w:tcW w:w="0" w:type="dxa"/>
            <w:vAlign w:val="bottom"/>
          </w:tcPr>
          <w:p>
            <w:pPr>
              <w:spacing w:after="0"/>
              <w:rPr>
                <w:sz w:val="1"/>
                <w:szCs w:val="1"/>
                <w:color w:val="auto"/>
              </w:rPr>
            </w:pPr>
          </w:p>
        </w:tc>
      </w:tr>
      <w:tr>
        <w:trPr>
          <w:trHeight w:val="529"/>
        </w:trPr>
        <w:tc>
          <w:tcPr>
            <w:tcW w:w="3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jc w:val="right"/>
              <w:ind w:right="560"/>
              <w:spacing w:after="0"/>
              <w:rPr>
                <w:sz w:val="20"/>
                <w:szCs w:val="20"/>
                <w:color w:val="auto"/>
              </w:rPr>
            </w:pPr>
            <w:r>
              <w:rPr>
                <w:rFonts w:ascii="Arial" w:cs="Arial" w:eastAsia="Arial" w:hAnsi="Arial"/>
                <w:sz w:val="20"/>
                <w:szCs w:val="20"/>
                <w:color w:val="auto"/>
              </w:rPr>
              <w:t>July 1 -</w:t>
            </w:r>
          </w:p>
        </w:tc>
        <w:tc>
          <w:tcPr>
            <w:tcW w:w="480" w:type="dxa"/>
            <w:vAlign w:val="bottom"/>
          </w:tcPr>
          <w:p>
            <w:pPr>
              <w:spacing w:after="0"/>
              <w:rPr>
                <w:sz w:val="24"/>
                <w:szCs w:val="24"/>
                <w:color w:val="auto"/>
              </w:rPr>
            </w:pPr>
          </w:p>
        </w:tc>
        <w:tc>
          <w:tcPr>
            <w:tcW w:w="1160" w:type="dxa"/>
            <w:vAlign w:val="bottom"/>
          </w:tcPr>
          <w:p>
            <w:pPr>
              <w:jc w:val="center"/>
              <w:ind w:right="140"/>
              <w:spacing w:after="0"/>
              <w:rPr>
                <w:sz w:val="20"/>
                <w:szCs w:val="20"/>
                <w:color w:val="auto"/>
              </w:rPr>
            </w:pPr>
            <w:r>
              <w:rPr>
                <w:rFonts w:ascii="Arial" w:cs="Arial" w:eastAsia="Arial" w:hAnsi="Arial"/>
                <w:sz w:val="20"/>
                <w:szCs w:val="20"/>
                <w:color w:val="auto"/>
              </w:rPr>
              <w:t>July 10 -</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20"/>
                <w:szCs w:val="20"/>
                <w:color w:val="auto"/>
              </w:rPr>
              <w:t>($ Millions)</w:t>
            </w:r>
          </w:p>
        </w:tc>
        <w:tc>
          <w:tcPr>
            <w:tcW w:w="680" w:type="dxa"/>
            <w:vAlign w:val="bottom"/>
          </w:tcPr>
          <w:p>
            <w:pPr>
              <w:spacing w:after="0"/>
              <w:rPr>
                <w:sz w:val="23"/>
                <w:szCs w:val="23"/>
                <w:color w:val="auto"/>
              </w:rPr>
            </w:pPr>
          </w:p>
        </w:tc>
        <w:tc>
          <w:tcPr>
            <w:tcW w:w="1280" w:type="dxa"/>
            <w:vAlign w:val="bottom"/>
          </w:tcPr>
          <w:p>
            <w:pPr>
              <w:jc w:val="right"/>
              <w:ind w:right="580"/>
              <w:spacing w:after="0"/>
              <w:rPr>
                <w:sz w:val="20"/>
                <w:szCs w:val="20"/>
                <w:color w:val="auto"/>
              </w:rPr>
            </w:pPr>
            <w:r>
              <w:rPr>
                <w:rFonts w:ascii="Arial" w:cs="Arial" w:eastAsia="Arial" w:hAnsi="Arial"/>
                <w:sz w:val="20"/>
                <w:szCs w:val="20"/>
                <w:color w:val="auto"/>
              </w:rPr>
              <w:t>1Q09</w:t>
            </w:r>
          </w:p>
        </w:tc>
        <w:tc>
          <w:tcPr>
            <w:tcW w:w="380" w:type="dxa"/>
            <w:vAlign w:val="bottom"/>
          </w:tcPr>
          <w:p>
            <w:pPr>
              <w:spacing w:after="0"/>
              <w:rPr>
                <w:sz w:val="23"/>
                <w:szCs w:val="23"/>
                <w:color w:val="auto"/>
              </w:rPr>
            </w:pPr>
          </w:p>
        </w:tc>
        <w:tc>
          <w:tcPr>
            <w:tcW w:w="1360" w:type="dxa"/>
            <w:vAlign w:val="bottom"/>
          </w:tcPr>
          <w:p>
            <w:pPr>
              <w:jc w:val="right"/>
              <w:ind w:right="560"/>
              <w:spacing w:after="0"/>
              <w:rPr>
                <w:sz w:val="20"/>
                <w:szCs w:val="20"/>
                <w:color w:val="auto"/>
              </w:rPr>
            </w:pPr>
            <w:r>
              <w:rPr>
                <w:rFonts w:ascii="Arial" w:cs="Arial" w:eastAsia="Arial" w:hAnsi="Arial"/>
                <w:sz w:val="20"/>
                <w:szCs w:val="20"/>
                <w:color w:val="auto"/>
              </w:rPr>
              <w:t>2Q09</w:t>
            </w:r>
          </w:p>
        </w:tc>
        <w:tc>
          <w:tcPr>
            <w:tcW w:w="1760" w:type="dxa"/>
            <w:vAlign w:val="bottom"/>
            <w:gridSpan w:val="2"/>
          </w:tcPr>
          <w:p>
            <w:pPr>
              <w:jc w:val="right"/>
              <w:ind w:right="340"/>
              <w:spacing w:after="0"/>
              <w:rPr>
                <w:sz w:val="20"/>
                <w:szCs w:val="20"/>
                <w:color w:val="auto"/>
              </w:rPr>
            </w:pPr>
            <w:r>
              <w:rPr>
                <w:rFonts w:ascii="Arial" w:cs="Arial" w:eastAsia="Arial" w:hAnsi="Arial"/>
                <w:sz w:val="20"/>
                <w:szCs w:val="20"/>
                <w:color w:val="auto"/>
              </w:rPr>
              <w:t>July 9, 2009</w:t>
            </w:r>
          </w:p>
        </w:tc>
        <w:tc>
          <w:tcPr>
            <w:tcW w:w="1640" w:type="dxa"/>
            <w:vAlign w:val="bottom"/>
            <w:gridSpan w:val="2"/>
          </w:tcPr>
          <w:p>
            <w:pPr>
              <w:jc w:val="center"/>
              <w:ind w:left="120"/>
              <w:spacing w:after="0"/>
              <w:rPr>
                <w:sz w:val="20"/>
                <w:szCs w:val="20"/>
                <w:color w:val="auto"/>
              </w:rPr>
            </w:pPr>
            <w:r>
              <w:rPr>
                <w:rFonts w:ascii="Arial" w:cs="Arial" w:eastAsia="Arial" w:hAnsi="Arial"/>
                <w:sz w:val="20"/>
                <w:szCs w:val="20"/>
                <w:color w:val="auto"/>
                <w:w w:val="99"/>
              </w:rPr>
              <w:t>Sept. 30, 2009</w:t>
            </w:r>
          </w:p>
        </w:tc>
        <w:tc>
          <w:tcPr>
            <w:tcW w:w="0" w:type="dxa"/>
            <w:vAlign w:val="bottom"/>
          </w:tcPr>
          <w:p>
            <w:pPr>
              <w:spacing w:after="0"/>
              <w:rPr>
                <w:sz w:val="1"/>
                <w:szCs w:val="1"/>
                <w:color w:val="auto"/>
              </w:rPr>
            </w:pPr>
          </w:p>
        </w:tc>
      </w:tr>
      <w:tr>
        <w:trPr>
          <w:trHeight w:val="423"/>
        </w:trPr>
        <w:tc>
          <w:tcPr>
            <w:tcW w:w="3100" w:type="dxa"/>
            <w:vAlign w:val="bottom"/>
          </w:tcPr>
          <w:p>
            <w:pPr>
              <w:spacing w:after="0"/>
              <w:rPr>
                <w:sz w:val="20"/>
                <w:szCs w:val="20"/>
                <w:color w:val="auto"/>
              </w:rPr>
            </w:pPr>
            <w:r>
              <w:rPr>
                <w:rFonts w:ascii="Arial" w:cs="Arial" w:eastAsia="Arial" w:hAnsi="Arial"/>
                <w:sz w:val="20"/>
                <w:szCs w:val="20"/>
                <w:color w:val="auto"/>
              </w:rPr>
              <w:t>GMNA</w:t>
            </w:r>
          </w:p>
        </w:tc>
        <w:tc>
          <w:tcPr>
            <w:tcW w:w="6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280" w:type="dxa"/>
            <w:vAlign w:val="bottom"/>
          </w:tcPr>
          <w:p>
            <w:pPr>
              <w:jc w:val="right"/>
              <w:ind w:right="120"/>
              <w:spacing w:after="0"/>
              <w:rPr>
                <w:sz w:val="20"/>
                <w:szCs w:val="20"/>
                <w:color w:val="auto"/>
              </w:rPr>
            </w:pPr>
            <w:r>
              <w:rPr>
                <w:rFonts w:ascii="Arial" w:cs="Arial" w:eastAsia="Arial" w:hAnsi="Arial"/>
                <w:sz w:val="20"/>
                <w:szCs w:val="20"/>
                <w:color w:val="auto"/>
              </w:rPr>
              <w:t>(2,764)</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100"/>
              <w:spacing w:after="0"/>
              <w:rPr>
                <w:sz w:val="20"/>
                <w:szCs w:val="20"/>
                <w:color w:val="auto"/>
              </w:rPr>
            </w:pPr>
            <w:r>
              <w:rPr>
                <w:rFonts w:ascii="Arial" w:cs="Arial" w:eastAsia="Arial" w:hAnsi="Arial"/>
                <w:sz w:val="20"/>
                <w:szCs w:val="20"/>
                <w:color w:val="auto"/>
              </w:rPr>
              <w:t>(4,058)</w:t>
            </w:r>
          </w:p>
        </w:tc>
        <w:tc>
          <w:tcPr>
            <w:tcW w:w="380" w:type="dxa"/>
            <w:vAlign w:val="bottom"/>
          </w:tcPr>
          <w:p>
            <w:pPr>
              <w:jc w:val="right"/>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200"/>
              <w:spacing w:after="0"/>
              <w:rPr>
                <w:sz w:val="20"/>
                <w:szCs w:val="20"/>
                <w:color w:val="auto"/>
              </w:rPr>
            </w:pPr>
            <w:r>
              <w:rPr>
                <w:rFonts w:ascii="Arial" w:cs="Arial" w:eastAsia="Arial" w:hAnsi="Arial"/>
                <w:sz w:val="20"/>
                <w:szCs w:val="20"/>
                <w:color w:val="auto"/>
              </w:rPr>
              <w:t>(532)</w:t>
            </w:r>
          </w:p>
        </w:tc>
        <w:tc>
          <w:tcPr>
            <w:tcW w:w="48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(651)</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20"/>
                <w:szCs w:val="20"/>
                <w:color w:val="auto"/>
              </w:rPr>
              <w:t>GMIO</w:t>
            </w:r>
          </w:p>
        </w:tc>
        <w:tc>
          <w:tcPr>
            <w:tcW w:w="680" w:type="dxa"/>
            <w:vAlign w:val="bottom"/>
          </w:tcPr>
          <w:p>
            <w:pPr>
              <w:spacing w:after="0"/>
              <w:rPr>
                <w:sz w:val="23"/>
                <w:szCs w:val="23"/>
                <w:color w:val="auto"/>
              </w:rPr>
            </w:pPr>
          </w:p>
        </w:tc>
        <w:tc>
          <w:tcPr>
            <w:tcW w:w="1280" w:type="dxa"/>
            <w:vAlign w:val="bottom"/>
          </w:tcPr>
          <w:p>
            <w:pPr>
              <w:jc w:val="right"/>
              <w:ind w:right="120"/>
              <w:spacing w:after="0"/>
              <w:rPr>
                <w:sz w:val="20"/>
                <w:szCs w:val="20"/>
                <w:color w:val="auto"/>
              </w:rPr>
            </w:pPr>
            <w:r>
              <w:rPr>
                <w:rFonts w:ascii="Arial" w:cs="Arial" w:eastAsia="Arial" w:hAnsi="Arial"/>
                <w:sz w:val="20"/>
                <w:szCs w:val="20"/>
                <w:color w:val="auto"/>
              </w:rPr>
              <w:t>(1,216)</w:t>
            </w:r>
          </w:p>
        </w:tc>
        <w:tc>
          <w:tcPr>
            <w:tcW w:w="380" w:type="dxa"/>
            <w:vAlign w:val="bottom"/>
          </w:tcPr>
          <w:p>
            <w:pPr>
              <w:spacing w:after="0"/>
              <w:rPr>
                <w:sz w:val="23"/>
                <w:szCs w:val="23"/>
                <w:color w:val="auto"/>
              </w:rPr>
            </w:pPr>
          </w:p>
        </w:tc>
        <w:tc>
          <w:tcPr>
            <w:tcW w:w="1360" w:type="dxa"/>
            <w:vAlign w:val="bottom"/>
          </w:tcPr>
          <w:p>
            <w:pPr>
              <w:jc w:val="right"/>
              <w:ind w:right="100"/>
              <w:spacing w:after="0"/>
              <w:rPr>
                <w:sz w:val="20"/>
                <w:szCs w:val="20"/>
                <w:color w:val="auto"/>
              </w:rPr>
            </w:pPr>
            <w:r>
              <w:rPr>
                <w:rFonts w:ascii="Arial" w:cs="Arial" w:eastAsia="Arial" w:hAnsi="Arial"/>
                <w:sz w:val="20"/>
                <w:szCs w:val="20"/>
                <w:color w:val="auto"/>
              </w:rPr>
              <w:t>(1,181)</w:t>
            </w:r>
          </w:p>
        </w:tc>
        <w:tc>
          <w:tcPr>
            <w:tcW w:w="380" w:type="dxa"/>
            <w:vAlign w:val="bottom"/>
          </w:tcPr>
          <w:p>
            <w:pPr>
              <w:spacing w:after="0"/>
              <w:rPr>
                <w:sz w:val="23"/>
                <w:szCs w:val="23"/>
                <w:color w:val="auto"/>
              </w:rPr>
            </w:pPr>
          </w:p>
        </w:tc>
        <w:tc>
          <w:tcPr>
            <w:tcW w:w="1380" w:type="dxa"/>
            <w:vAlign w:val="bottom"/>
          </w:tcPr>
          <w:p>
            <w:pPr>
              <w:jc w:val="right"/>
              <w:ind w:right="200"/>
              <w:spacing w:after="0"/>
              <w:rPr>
                <w:sz w:val="20"/>
                <w:szCs w:val="20"/>
                <w:color w:val="auto"/>
              </w:rPr>
            </w:pPr>
            <w:r>
              <w:rPr>
                <w:rFonts w:ascii="Arial" w:cs="Arial" w:eastAsia="Arial" w:hAnsi="Arial"/>
                <w:sz w:val="20"/>
                <w:szCs w:val="20"/>
                <w:color w:val="auto"/>
              </w:rPr>
              <w:t>(81)</w:t>
            </w:r>
          </w:p>
        </w:tc>
        <w:tc>
          <w:tcPr>
            <w:tcW w:w="4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238</w:t>
            </w:r>
          </w:p>
        </w:tc>
        <w:tc>
          <w:tcPr>
            <w:tcW w:w="0" w:type="dxa"/>
            <w:vAlign w:val="bottom"/>
          </w:tcPr>
          <w:p>
            <w:pPr>
              <w:spacing w:after="0"/>
              <w:rPr>
                <w:sz w:val="1"/>
                <w:szCs w:val="1"/>
                <w:color w:val="auto"/>
              </w:rPr>
            </w:pPr>
          </w:p>
        </w:tc>
      </w:tr>
      <w:tr>
        <w:trPr>
          <w:trHeight w:val="259"/>
        </w:trPr>
        <w:tc>
          <w:tcPr>
            <w:tcW w:w="3100" w:type="dxa"/>
            <w:vAlign w:val="bottom"/>
          </w:tcPr>
          <w:p>
            <w:pPr>
              <w:spacing w:after="0"/>
              <w:rPr>
                <w:sz w:val="20"/>
                <w:szCs w:val="20"/>
                <w:color w:val="auto"/>
              </w:rPr>
            </w:pPr>
            <w:r>
              <w:rPr>
                <w:rFonts w:ascii="Arial" w:cs="Arial" w:eastAsia="Arial" w:hAnsi="Arial"/>
                <w:sz w:val="20"/>
                <w:szCs w:val="20"/>
                <w:color w:val="auto"/>
              </w:rPr>
              <w:t>Corp. / Other (Including Elims)</w:t>
            </w:r>
          </w:p>
        </w:tc>
        <w:tc>
          <w:tcPr>
            <w:tcW w:w="680" w:type="dxa"/>
            <w:vAlign w:val="bottom"/>
          </w:tcPr>
          <w:p>
            <w:pPr>
              <w:spacing w:after="0"/>
              <w:rPr>
                <w:sz w:val="22"/>
                <w:szCs w:val="22"/>
                <w:color w:val="auto"/>
              </w:rPr>
            </w:pPr>
          </w:p>
        </w:tc>
        <w:tc>
          <w:tcPr>
            <w:tcW w:w="1280" w:type="dxa"/>
            <w:vAlign w:val="bottom"/>
          </w:tcPr>
          <w:p>
            <w:pPr>
              <w:jc w:val="right"/>
              <w:ind w:right="120"/>
              <w:spacing w:after="0"/>
              <w:rPr>
                <w:sz w:val="20"/>
                <w:szCs w:val="20"/>
                <w:color w:val="auto"/>
              </w:rPr>
            </w:pPr>
            <w:r>
              <w:rPr>
                <w:rFonts w:ascii="Arial" w:cs="Arial" w:eastAsia="Arial" w:hAnsi="Arial"/>
                <w:sz w:val="20"/>
                <w:szCs w:val="20"/>
                <w:color w:val="auto"/>
              </w:rPr>
              <w:t>(15)</w:t>
            </w:r>
          </w:p>
        </w:tc>
        <w:tc>
          <w:tcPr>
            <w:tcW w:w="380" w:type="dxa"/>
            <w:vAlign w:val="bottom"/>
          </w:tcPr>
          <w:p>
            <w:pPr>
              <w:spacing w:after="0"/>
              <w:rPr>
                <w:sz w:val="22"/>
                <w:szCs w:val="22"/>
                <w:color w:val="auto"/>
              </w:rPr>
            </w:pPr>
          </w:p>
        </w:tc>
        <w:tc>
          <w:tcPr>
            <w:tcW w:w="1360" w:type="dxa"/>
            <w:vAlign w:val="bottom"/>
          </w:tcPr>
          <w:p>
            <w:pPr>
              <w:jc w:val="right"/>
              <w:ind w:right="100"/>
              <w:spacing w:after="0"/>
              <w:rPr>
                <w:sz w:val="20"/>
                <w:szCs w:val="20"/>
                <w:color w:val="auto"/>
              </w:rPr>
            </w:pPr>
            <w:r>
              <w:rPr>
                <w:rFonts w:ascii="Arial" w:cs="Arial" w:eastAsia="Arial" w:hAnsi="Arial"/>
                <w:sz w:val="20"/>
                <w:szCs w:val="20"/>
                <w:color w:val="auto"/>
              </w:rPr>
              <w:t>(440)</w:t>
            </w:r>
          </w:p>
        </w:tc>
        <w:tc>
          <w:tcPr>
            <w:tcW w:w="380" w:type="dxa"/>
            <w:vAlign w:val="bottom"/>
          </w:tcPr>
          <w:p>
            <w:pPr>
              <w:spacing w:after="0"/>
              <w:rPr>
                <w:sz w:val="22"/>
                <w:szCs w:val="22"/>
                <w:color w:val="auto"/>
              </w:rPr>
            </w:pPr>
          </w:p>
        </w:tc>
        <w:tc>
          <w:tcPr>
            <w:tcW w:w="1380" w:type="dxa"/>
            <w:vAlign w:val="bottom"/>
          </w:tcPr>
          <w:p>
            <w:pPr>
              <w:jc w:val="right"/>
              <w:ind w:right="200"/>
              <w:spacing w:after="0"/>
              <w:rPr>
                <w:sz w:val="20"/>
                <w:szCs w:val="20"/>
                <w:color w:val="auto"/>
              </w:rPr>
            </w:pPr>
            <w:r>
              <w:rPr>
                <w:rFonts w:ascii="Arial" w:cs="Arial" w:eastAsia="Arial" w:hAnsi="Arial"/>
                <w:sz w:val="20"/>
                <w:szCs w:val="20"/>
                <w:color w:val="auto"/>
              </w:rPr>
              <w:t>(14)</w:t>
            </w:r>
          </w:p>
        </w:tc>
        <w:tc>
          <w:tcPr>
            <w:tcW w:w="4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152</w:t>
            </w: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0"/>
                <w:szCs w:val="20"/>
                <w:color w:val="auto"/>
              </w:rPr>
            </w:pPr>
            <w:r>
              <w:rPr>
                <w:rFonts w:ascii="Arial" w:cs="Arial" w:eastAsia="Arial" w:hAnsi="Arial"/>
                <w:sz w:val="20"/>
                <w:szCs w:val="20"/>
                <w:color w:val="auto"/>
              </w:rPr>
              <w:t>GMAC Equity Income/(Loss)</w:t>
            </w:r>
          </w:p>
        </w:tc>
        <w:tc>
          <w:tcPr>
            <w:tcW w:w="680" w:type="dxa"/>
            <w:vAlign w:val="bottom"/>
          </w:tcPr>
          <w:p>
            <w:pPr>
              <w:spacing w:after="0"/>
              <w:rPr>
                <w:sz w:val="22"/>
                <w:szCs w:val="22"/>
                <w:color w:val="auto"/>
              </w:rPr>
            </w:pPr>
          </w:p>
        </w:tc>
        <w:tc>
          <w:tcPr>
            <w:tcW w:w="1280" w:type="dxa"/>
            <w:vAlign w:val="bottom"/>
          </w:tcPr>
          <w:p>
            <w:pPr>
              <w:jc w:val="right"/>
              <w:ind w:right="120"/>
              <w:spacing w:after="0"/>
              <w:rPr>
                <w:sz w:val="20"/>
                <w:szCs w:val="20"/>
                <w:color w:val="auto"/>
              </w:rPr>
            </w:pPr>
            <w:r>
              <w:rPr>
                <w:rFonts w:ascii="Arial" w:cs="Arial" w:eastAsia="Arial" w:hAnsi="Arial"/>
                <w:sz w:val="20"/>
                <w:szCs w:val="20"/>
                <w:color w:val="auto"/>
              </w:rPr>
              <w:t>(885)</w:t>
            </w:r>
          </w:p>
        </w:tc>
        <w:tc>
          <w:tcPr>
            <w:tcW w:w="380" w:type="dxa"/>
            <w:vAlign w:val="bottom"/>
          </w:tcPr>
          <w:p>
            <w:pPr>
              <w:spacing w:after="0"/>
              <w:rPr>
                <w:sz w:val="22"/>
                <w:szCs w:val="22"/>
                <w:color w:val="auto"/>
              </w:rPr>
            </w:pPr>
          </w:p>
        </w:tc>
        <w:tc>
          <w:tcPr>
            <w:tcW w:w="1360" w:type="dxa"/>
            <w:vAlign w:val="bottom"/>
          </w:tcPr>
          <w:p>
            <w:pPr>
              <w:jc w:val="right"/>
              <w:ind w:right="100"/>
              <w:spacing w:after="0"/>
              <w:rPr>
                <w:sz w:val="20"/>
                <w:szCs w:val="20"/>
                <w:color w:val="auto"/>
              </w:rPr>
            </w:pPr>
            <w:r>
              <w:rPr>
                <w:rFonts w:ascii="Arial" w:cs="Arial" w:eastAsia="Arial" w:hAnsi="Arial"/>
                <w:sz w:val="20"/>
                <w:szCs w:val="20"/>
                <w:color w:val="auto"/>
              </w:rPr>
              <w:t>(596)</w:t>
            </w:r>
          </w:p>
        </w:tc>
        <w:tc>
          <w:tcPr>
            <w:tcW w:w="380" w:type="dxa"/>
            <w:vAlign w:val="bottom"/>
          </w:tcPr>
          <w:p>
            <w:pPr>
              <w:spacing w:after="0"/>
              <w:rPr>
                <w:sz w:val="22"/>
                <w:szCs w:val="22"/>
                <w:color w:val="auto"/>
              </w:rPr>
            </w:pPr>
          </w:p>
        </w:tc>
        <w:tc>
          <w:tcPr>
            <w:tcW w:w="1380" w:type="dxa"/>
            <w:vAlign w:val="bottom"/>
          </w:tcPr>
          <w:p>
            <w:pPr>
              <w:jc w:val="right"/>
              <w:ind w:right="280"/>
              <w:spacing w:after="0"/>
              <w:rPr>
                <w:sz w:val="20"/>
                <w:szCs w:val="20"/>
                <w:color w:val="auto"/>
              </w:rPr>
            </w:pPr>
            <w:r>
              <w:rPr>
                <w:rFonts w:ascii="Arial" w:cs="Arial" w:eastAsia="Arial" w:hAnsi="Arial"/>
                <w:sz w:val="20"/>
                <w:szCs w:val="20"/>
                <w:color w:val="auto"/>
              </w:rPr>
              <w:t>0</w:t>
            </w:r>
          </w:p>
        </w:tc>
        <w:tc>
          <w:tcPr>
            <w:tcW w:w="4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69"/>
        </w:trPr>
        <w:tc>
          <w:tcPr>
            <w:tcW w:w="3100" w:type="dxa"/>
            <w:vAlign w:val="bottom"/>
          </w:tcPr>
          <w:p>
            <w:pPr>
              <w:ind w:left="160"/>
              <w:spacing w:after="0"/>
              <w:rPr>
                <w:sz w:val="20"/>
                <w:szCs w:val="20"/>
                <w:color w:val="auto"/>
              </w:rPr>
            </w:pPr>
            <w:r>
              <w:rPr>
                <w:rFonts w:ascii="Arial" w:cs="Arial" w:eastAsia="Arial" w:hAnsi="Arial"/>
                <w:sz w:val="20"/>
                <w:szCs w:val="20"/>
                <w:b w:val="1"/>
                <w:bCs w:val="1"/>
                <w:color w:val="auto"/>
              </w:rPr>
              <w:t xml:space="preserve">EBIT </w:t>
            </w:r>
            <w:r>
              <w:rPr>
                <w:rFonts w:ascii="Arial" w:cs="Arial" w:eastAsia="Arial" w:hAnsi="Arial"/>
                <w:sz w:val="17"/>
                <w:szCs w:val="17"/>
                <w:b w:val="1"/>
                <w:bCs w:val="1"/>
                <w:color w:val="auto"/>
              </w:rPr>
              <w:t>(Before Special Items)</w:t>
            </w:r>
          </w:p>
        </w:tc>
        <w:tc>
          <w:tcPr>
            <w:tcW w:w="680" w:type="dxa"/>
            <w:vAlign w:val="bottom"/>
          </w:tcPr>
          <w:p>
            <w:pPr>
              <w:spacing w:after="0"/>
              <w:rPr>
                <w:sz w:val="23"/>
                <w:szCs w:val="23"/>
                <w:color w:val="auto"/>
              </w:rPr>
            </w:pPr>
          </w:p>
        </w:tc>
        <w:tc>
          <w:tcPr>
            <w:tcW w:w="1280" w:type="dxa"/>
            <w:vAlign w:val="bottom"/>
          </w:tcPr>
          <w:p>
            <w:pPr>
              <w:jc w:val="right"/>
              <w:ind w:right="120"/>
              <w:spacing w:after="0"/>
              <w:rPr>
                <w:sz w:val="20"/>
                <w:szCs w:val="20"/>
                <w:color w:val="auto"/>
              </w:rPr>
            </w:pPr>
            <w:r>
              <w:rPr>
                <w:rFonts w:ascii="Arial" w:cs="Arial" w:eastAsia="Arial" w:hAnsi="Arial"/>
                <w:sz w:val="20"/>
                <w:szCs w:val="20"/>
                <w:b w:val="1"/>
                <w:bCs w:val="1"/>
                <w:color w:val="auto"/>
              </w:rPr>
              <w:t>(4,880)</w:t>
            </w:r>
          </w:p>
        </w:tc>
        <w:tc>
          <w:tcPr>
            <w:tcW w:w="380" w:type="dxa"/>
            <w:vAlign w:val="bottom"/>
          </w:tcPr>
          <w:p>
            <w:pPr>
              <w:spacing w:after="0"/>
              <w:rPr>
                <w:sz w:val="23"/>
                <w:szCs w:val="23"/>
                <w:color w:val="auto"/>
              </w:rPr>
            </w:pPr>
          </w:p>
        </w:tc>
        <w:tc>
          <w:tcPr>
            <w:tcW w:w="1360" w:type="dxa"/>
            <w:vAlign w:val="bottom"/>
          </w:tcPr>
          <w:p>
            <w:pPr>
              <w:jc w:val="right"/>
              <w:ind w:right="100"/>
              <w:spacing w:after="0"/>
              <w:rPr>
                <w:sz w:val="20"/>
                <w:szCs w:val="20"/>
                <w:color w:val="auto"/>
              </w:rPr>
            </w:pPr>
            <w:r>
              <w:rPr>
                <w:rFonts w:ascii="Arial" w:cs="Arial" w:eastAsia="Arial" w:hAnsi="Arial"/>
                <w:sz w:val="20"/>
                <w:szCs w:val="20"/>
                <w:b w:val="1"/>
                <w:bCs w:val="1"/>
                <w:color w:val="auto"/>
              </w:rPr>
              <w:t>(6,275)</w:t>
            </w:r>
          </w:p>
        </w:tc>
        <w:tc>
          <w:tcPr>
            <w:tcW w:w="380" w:type="dxa"/>
            <w:vAlign w:val="bottom"/>
          </w:tcPr>
          <w:p>
            <w:pPr>
              <w:spacing w:after="0"/>
              <w:rPr>
                <w:sz w:val="23"/>
                <w:szCs w:val="23"/>
                <w:color w:val="auto"/>
              </w:rPr>
            </w:pPr>
          </w:p>
        </w:tc>
        <w:tc>
          <w:tcPr>
            <w:tcW w:w="1380" w:type="dxa"/>
            <w:vAlign w:val="bottom"/>
          </w:tcPr>
          <w:p>
            <w:pPr>
              <w:jc w:val="right"/>
              <w:ind w:right="200"/>
              <w:spacing w:after="0"/>
              <w:rPr>
                <w:sz w:val="20"/>
                <w:szCs w:val="20"/>
                <w:color w:val="auto"/>
              </w:rPr>
            </w:pPr>
            <w:r>
              <w:rPr>
                <w:rFonts w:ascii="Arial" w:cs="Arial" w:eastAsia="Arial" w:hAnsi="Arial"/>
                <w:sz w:val="20"/>
                <w:szCs w:val="20"/>
                <w:b w:val="1"/>
                <w:bCs w:val="1"/>
                <w:color w:val="auto"/>
              </w:rPr>
              <w:t>(627)</w:t>
            </w:r>
          </w:p>
        </w:tc>
        <w:tc>
          <w:tcPr>
            <w:tcW w:w="4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(261)</w:t>
            </w:r>
          </w:p>
        </w:tc>
        <w:tc>
          <w:tcPr>
            <w:tcW w:w="0" w:type="dxa"/>
            <w:vAlign w:val="bottom"/>
          </w:tcPr>
          <w:p>
            <w:pPr>
              <w:spacing w:after="0"/>
              <w:rPr>
                <w:sz w:val="1"/>
                <w:szCs w:val="1"/>
                <w:color w:val="auto"/>
              </w:rPr>
            </w:pPr>
          </w:p>
        </w:tc>
      </w:tr>
      <w:tr>
        <w:trPr>
          <w:trHeight w:val="396"/>
        </w:trPr>
        <w:tc>
          <w:tcPr>
            <w:tcW w:w="3100" w:type="dxa"/>
            <w:vAlign w:val="bottom"/>
          </w:tcPr>
          <w:p>
            <w:pPr>
              <w:ind w:left="180"/>
              <w:spacing w:after="0"/>
              <w:rPr>
                <w:sz w:val="20"/>
                <w:szCs w:val="20"/>
                <w:color w:val="auto"/>
              </w:rPr>
            </w:pPr>
            <w:r>
              <w:rPr>
                <w:rFonts w:ascii="Arial" w:cs="Arial" w:eastAsia="Arial" w:hAnsi="Arial"/>
                <w:sz w:val="20"/>
                <w:szCs w:val="20"/>
                <w:i w:val="1"/>
                <w:iCs w:val="1"/>
                <w:color w:val="auto"/>
              </w:rPr>
              <w:t>Memo: EBITDA</w:t>
            </w:r>
          </w:p>
        </w:tc>
        <w:tc>
          <w:tcPr>
            <w:tcW w:w="680" w:type="dxa"/>
            <w:vAlign w:val="bottom"/>
          </w:tcPr>
          <w:p>
            <w:pPr>
              <w:spacing w:after="0"/>
              <w:rPr>
                <w:sz w:val="24"/>
                <w:szCs w:val="24"/>
                <w:color w:val="auto"/>
              </w:rPr>
            </w:pPr>
          </w:p>
        </w:tc>
        <w:tc>
          <w:tcPr>
            <w:tcW w:w="1280" w:type="dxa"/>
            <w:vAlign w:val="bottom"/>
          </w:tcPr>
          <w:p>
            <w:pPr>
              <w:jc w:val="right"/>
              <w:ind w:right="160"/>
              <w:spacing w:after="0"/>
              <w:rPr>
                <w:sz w:val="20"/>
                <w:szCs w:val="20"/>
                <w:color w:val="auto"/>
              </w:rPr>
            </w:pPr>
            <w:r>
              <w:rPr>
                <w:rFonts w:ascii="Arial" w:cs="Arial" w:eastAsia="Arial" w:hAnsi="Arial"/>
                <w:sz w:val="20"/>
                <w:szCs w:val="20"/>
                <w:i w:val="1"/>
                <w:iCs w:val="1"/>
                <w:color w:val="auto"/>
              </w:rPr>
              <w:t>(2,603)</w:t>
            </w:r>
          </w:p>
        </w:tc>
        <w:tc>
          <w:tcPr>
            <w:tcW w:w="380" w:type="dxa"/>
            <w:vAlign w:val="bottom"/>
          </w:tcPr>
          <w:p>
            <w:pPr>
              <w:spacing w:after="0"/>
              <w:rPr>
                <w:sz w:val="24"/>
                <w:szCs w:val="24"/>
                <w:color w:val="auto"/>
              </w:rPr>
            </w:pPr>
          </w:p>
        </w:tc>
        <w:tc>
          <w:tcPr>
            <w:tcW w:w="1360" w:type="dxa"/>
            <w:vAlign w:val="bottom"/>
          </w:tcPr>
          <w:p>
            <w:pPr>
              <w:jc w:val="right"/>
              <w:ind w:right="140"/>
              <w:spacing w:after="0"/>
              <w:rPr>
                <w:sz w:val="20"/>
                <w:szCs w:val="20"/>
                <w:color w:val="auto"/>
              </w:rPr>
            </w:pPr>
            <w:r>
              <w:rPr>
                <w:rFonts w:ascii="Arial" w:cs="Arial" w:eastAsia="Arial" w:hAnsi="Arial"/>
                <w:sz w:val="20"/>
                <w:szCs w:val="20"/>
                <w:i w:val="1"/>
                <w:iCs w:val="1"/>
                <w:color w:val="auto"/>
              </w:rPr>
              <w:t>(2,502)</w:t>
            </w:r>
          </w:p>
        </w:tc>
        <w:tc>
          <w:tcPr>
            <w:tcW w:w="380" w:type="dxa"/>
            <w:vAlign w:val="bottom"/>
          </w:tcPr>
          <w:p>
            <w:pPr>
              <w:spacing w:after="0"/>
              <w:rPr>
                <w:sz w:val="24"/>
                <w:szCs w:val="24"/>
                <w:color w:val="auto"/>
              </w:rPr>
            </w:pPr>
          </w:p>
        </w:tc>
        <w:tc>
          <w:tcPr>
            <w:tcW w:w="1380" w:type="dxa"/>
            <w:vAlign w:val="bottom"/>
          </w:tcPr>
          <w:p>
            <w:pPr>
              <w:jc w:val="right"/>
              <w:ind w:right="240"/>
              <w:spacing w:after="0"/>
              <w:rPr>
                <w:sz w:val="20"/>
                <w:szCs w:val="20"/>
                <w:color w:val="auto"/>
              </w:rPr>
            </w:pPr>
            <w:r>
              <w:rPr>
                <w:rFonts w:ascii="Arial" w:cs="Arial" w:eastAsia="Arial" w:hAnsi="Arial"/>
                <w:sz w:val="20"/>
                <w:szCs w:val="20"/>
                <w:i w:val="1"/>
                <w:iCs w:val="1"/>
                <w:color w:val="auto"/>
              </w:rPr>
              <w:t>(184)</w:t>
            </w:r>
          </w:p>
        </w:tc>
        <w:tc>
          <w:tcPr>
            <w:tcW w:w="48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i w:val="1"/>
                <w:iCs w:val="1"/>
                <w:color w:val="auto"/>
              </w:rPr>
              <w:t>1,532</w:t>
            </w:r>
          </w:p>
        </w:tc>
        <w:tc>
          <w:tcPr>
            <w:tcW w:w="0" w:type="dxa"/>
            <w:vAlign w:val="bottom"/>
          </w:tcPr>
          <w:p>
            <w:pPr>
              <w:spacing w:after="0"/>
              <w:rPr>
                <w:sz w:val="1"/>
                <w:szCs w:val="1"/>
                <w:color w:val="auto"/>
              </w:rPr>
            </w:pPr>
          </w:p>
        </w:tc>
      </w:tr>
      <w:tr>
        <w:trPr>
          <w:trHeight w:val="423"/>
        </w:trPr>
        <w:tc>
          <w:tcPr>
            <w:tcW w:w="3100" w:type="dxa"/>
            <w:vAlign w:val="bottom"/>
          </w:tcPr>
          <w:p>
            <w:pPr>
              <w:spacing w:after="0"/>
              <w:rPr>
                <w:sz w:val="20"/>
                <w:szCs w:val="20"/>
                <w:color w:val="auto"/>
              </w:rPr>
            </w:pPr>
            <w:r>
              <w:rPr>
                <w:rFonts w:ascii="Arial" w:cs="Arial" w:eastAsia="Arial" w:hAnsi="Arial"/>
                <w:sz w:val="20"/>
                <w:szCs w:val="20"/>
                <w:color w:val="auto"/>
              </w:rPr>
              <w:t>Net Interest</w:t>
            </w:r>
          </w:p>
        </w:tc>
        <w:tc>
          <w:tcPr>
            <w:tcW w:w="680" w:type="dxa"/>
            <w:vAlign w:val="bottom"/>
          </w:tcPr>
          <w:p>
            <w:pPr>
              <w:spacing w:after="0"/>
              <w:rPr>
                <w:sz w:val="24"/>
                <w:szCs w:val="24"/>
                <w:color w:val="auto"/>
              </w:rPr>
            </w:pPr>
          </w:p>
        </w:tc>
        <w:tc>
          <w:tcPr>
            <w:tcW w:w="1280" w:type="dxa"/>
            <w:vAlign w:val="bottom"/>
          </w:tcPr>
          <w:p>
            <w:pPr>
              <w:jc w:val="right"/>
              <w:ind w:right="120"/>
              <w:spacing w:after="0"/>
              <w:rPr>
                <w:sz w:val="20"/>
                <w:szCs w:val="20"/>
                <w:color w:val="auto"/>
              </w:rPr>
            </w:pPr>
            <w:r>
              <w:rPr>
                <w:rFonts w:ascii="Arial" w:cs="Arial" w:eastAsia="Arial" w:hAnsi="Arial"/>
                <w:sz w:val="20"/>
                <w:szCs w:val="20"/>
                <w:color w:val="auto"/>
              </w:rPr>
              <w:t>(1,136)</w:t>
            </w:r>
          </w:p>
        </w:tc>
        <w:tc>
          <w:tcPr>
            <w:tcW w:w="380" w:type="dxa"/>
            <w:vAlign w:val="bottom"/>
          </w:tcPr>
          <w:p>
            <w:pPr>
              <w:spacing w:after="0"/>
              <w:rPr>
                <w:sz w:val="24"/>
                <w:szCs w:val="24"/>
                <w:color w:val="auto"/>
              </w:rPr>
            </w:pPr>
          </w:p>
        </w:tc>
        <w:tc>
          <w:tcPr>
            <w:tcW w:w="1360" w:type="dxa"/>
            <w:vAlign w:val="bottom"/>
          </w:tcPr>
          <w:p>
            <w:pPr>
              <w:jc w:val="right"/>
              <w:ind w:right="100"/>
              <w:spacing w:after="0"/>
              <w:rPr>
                <w:sz w:val="20"/>
                <w:szCs w:val="20"/>
                <w:color w:val="auto"/>
              </w:rPr>
            </w:pPr>
            <w:r>
              <w:rPr>
                <w:rFonts w:ascii="Arial" w:cs="Arial" w:eastAsia="Arial" w:hAnsi="Arial"/>
                <w:sz w:val="20"/>
                <w:szCs w:val="20"/>
                <w:color w:val="auto"/>
              </w:rPr>
              <w:t>(1,679)</w:t>
            </w:r>
          </w:p>
        </w:tc>
        <w:tc>
          <w:tcPr>
            <w:tcW w:w="380" w:type="dxa"/>
            <w:vAlign w:val="bottom"/>
          </w:tcPr>
          <w:p>
            <w:pPr>
              <w:spacing w:after="0"/>
              <w:rPr>
                <w:sz w:val="24"/>
                <w:szCs w:val="24"/>
                <w:color w:val="auto"/>
              </w:rPr>
            </w:pPr>
          </w:p>
        </w:tc>
        <w:tc>
          <w:tcPr>
            <w:tcW w:w="1380" w:type="dxa"/>
            <w:vAlign w:val="bottom"/>
          </w:tcPr>
          <w:p>
            <w:pPr>
              <w:jc w:val="right"/>
              <w:ind w:right="200"/>
              <w:spacing w:after="0"/>
              <w:rPr>
                <w:sz w:val="20"/>
                <w:szCs w:val="20"/>
                <w:color w:val="auto"/>
              </w:rPr>
            </w:pPr>
            <w:r>
              <w:rPr>
                <w:rFonts w:ascii="Arial" w:cs="Arial" w:eastAsia="Arial" w:hAnsi="Arial"/>
                <w:sz w:val="20"/>
                <w:szCs w:val="20"/>
                <w:color w:val="auto"/>
              </w:rPr>
              <w:t>(209)</w:t>
            </w:r>
          </w:p>
        </w:tc>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(250)</w:t>
            </w:r>
          </w:p>
        </w:tc>
        <w:tc>
          <w:tcPr>
            <w:tcW w:w="0" w:type="dxa"/>
            <w:vAlign w:val="bottom"/>
          </w:tcPr>
          <w:p>
            <w:pPr>
              <w:spacing w:after="0"/>
              <w:rPr>
                <w:sz w:val="1"/>
                <w:szCs w:val="1"/>
                <w:color w:val="auto"/>
              </w:rPr>
            </w:pPr>
          </w:p>
        </w:tc>
      </w:tr>
      <w:tr>
        <w:trPr>
          <w:trHeight w:val="278"/>
        </w:trPr>
        <w:tc>
          <w:tcPr>
            <w:tcW w:w="3100" w:type="dxa"/>
            <w:vAlign w:val="bottom"/>
          </w:tcPr>
          <w:p>
            <w:pPr>
              <w:spacing w:after="0"/>
              <w:rPr>
                <w:sz w:val="20"/>
                <w:szCs w:val="20"/>
                <w:color w:val="auto"/>
              </w:rPr>
            </w:pPr>
            <w:r>
              <w:rPr>
                <w:rFonts w:ascii="Arial" w:cs="Arial" w:eastAsia="Arial" w:hAnsi="Arial"/>
                <w:sz w:val="20"/>
                <w:szCs w:val="20"/>
                <w:color w:val="auto"/>
              </w:rPr>
              <w:t>Special Items</w:t>
            </w:r>
          </w:p>
        </w:tc>
        <w:tc>
          <w:tcPr>
            <w:tcW w:w="680" w:type="dxa"/>
            <w:vAlign w:val="bottom"/>
          </w:tcPr>
          <w:p>
            <w:pPr>
              <w:spacing w:after="0"/>
              <w:rPr>
                <w:sz w:val="24"/>
                <w:szCs w:val="24"/>
                <w:color w:val="auto"/>
              </w:rPr>
            </w:pPr>
          </w:p>
        </w:tc>
        <w:tc>
          <w:tcPr>
            <w:tcW w:w="1280" w:type="dxa"/>
            <w:vAlign w:val="bottom"/>
          </w:tcPr>
          <w:p>
            <w:pPr>
              <w:jc w:val="right"/>
              <w:ind w:right="120"/>
              <w:spacing w:after="0"/>
              <w:rPr>
                <w:sz w:val="20"/>
                <w:szCs w:val="20"/>
                <w:color w:val="auto"/>
              </w:rPr>
            </w:pPr>
            <w:r>
              <w:rPr>
                <w:rFonts w:ascii="Arial" w:cs="Arial" w:eastAsia="Arial" w:hAnsi="Arial"/>
                <w:sz w:val="20"/>
                <w:szCs w:val="20"/>
                <w:color w:val="auto"/>
              </w:rPr>
              <w:t>(73)</w:t>
            </w:r>
          </w:p>
        </w:tc>
        <w:tc>
          <w:tcPr>
            <w:tcW w:w="380" w:type="dxa"/>
            <w:vAlign w:val="bottom"/>
          </w:tcPr>
          <w:p>
            <w:pPr>
              <w:spacing w:after="0"/>
              <w:rPr>
                <w:sz w:val="24"/>
                <w:szCs w:val="24"/>
                <w:color w:val="auto"/>
              </w:rPr>
            </w:pPr>
          </w:p>
        </w:tc>
        <w:tc>
          <w:tcPr>
            <w:tcW w:w="1360" w:type="dxa"/>
            <w:vAlign w:val="bottom"/>
          </w:tcPr>
          <w:p>
            <w:pPr>
              <w:jc w:val="right"/>
              <w:ind w:right="100"/>
              <w:spacing w:after="0"/>
              <w:rPr>
                <w:sz w:val="20"/>
                <w:szCs w:val="20"/>
                <w:color w:val="auto"/>
              </w:rPr>
            </w:pPr>
            <w:r>
              <w:rPr>
                <w:rFonts w:ascii="Arial" w:cs="Arial" w:eastAsia="Arial" w:hAnsi="Arial"/>
                <w:sz w:val="20"/>
                <w:szCs w:val="20"/>
                <w:color w:val="auto"/>
              </w:rPr>
              <w:t>(6,964)</w:t>
            </w:r>
          </w:p>
        </w:tc>
        <w:tc>
          <w:tcPr>
            <w:tcW w:w="380" w:type="dxa"/>
            <w:vAlign w:val="bottom"/>
          </w:tcPr>
          <w:p>
            <w:pPr>
              <w:spacing w:after="0"/>
              <w:rPr>
                <w:sz w:val="24"/>
                <w:szCs w:val="24"/>
                <w:color w:val="auto"/>
              </w:rPr>
            </w:pPr>
          </w:p>
        </w:tc>
        <w:tc>
          <w:tcPr>
            <w:tcW w:w="1380" w:type="dxa"/>
            <w:vAlign w:val="bottom"/>
          </w:tcPr>
          <w:p>
            <w:pPr>
              <w:jc w:val="right"/>
              <w:ind w:right="180"/>
              <w:spacing w:after="0"/>
              <w:rPr>
                <w:sz w:val="20"/>
                <w:szCs w:val="20"/>
                <w:color w:val="auto"/>
              </w:rPr>
            </w:pPr>
            <w:r>
              <w:rPr>
                <w:rFonts w:ascii="Arial" w:cs="Arial" w:eastAsia="Arial" w:hAnsi="Arial"/>
                <w:sz w:val="20"/>
                <w:szCs w:val="20"/>
                <w:color w:val="auto"/>
              </w:rPr>
              <w:t>79,672</w:t>
            </w: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(505)</w:t>
            </w:r>
          </w:p>
        </w:tc>
        <w:tc>
          <w:tcPr>
            <w:tcW w:w="0" w:type="dxa"/>
            <w:vAlign w:val="bottom"/>
          </w:tcPr>
          <w:p>
            <w:pPr>
              <w:spacing w:after="0"/>
              <w:rPr>
                <w:sz w:val="1"/>
                <w:szCs w:val="1"/>
                <w:color w:val="auto"/>
              </w:rPr>
            </w:pPr>
          </w:p>
        </w:tc>
      </w:tr>
      <w:tr>
        <w:trPr>
          <w:trHeight w:val="345"/>
        </w:trPr>
        <w:tc>
          <w:tcPr>
            <w:tcW w:w="3100" w:type="dxa"/>
            <w:vAlign w:val="bottom"/>
          </w:tcPr>
          <w:p>
            <w:pPr>
              <w:ind w:left="180"/>
              <w:spacing w:after="0"/>
              <w:rPr>
                <w:sz w:val="20"/>
                <w:szCs w:val="20"/>
                <w:color w:val="auto"/>
              </w:rPr>
            </w:pPr>
            <w:r>
              <w:rPr>
                <w:rFonts w:ascii="Arial" w:cs="Arial" w:eastAsia="Arial" w:hAnsi="Arial"/>
                <w:sz w:val="20"/>
                <w:szCs w:val="20"/>
                <w:b w:val="1"/>
                <w:bCs w:val="1"/>
                <w:color w:val="auto"/>
              </w:rPr>
              <w:t>Total EBT</w:t>
            </w:r>
          </w:p>
        </w:tc>
        <w:tc>
          <w:tcPr>
            <w:tcW w:w="680" w:type="dxa"/>
            <w:vAlign w:val="bottom"/>
          </w:tcPr>
          <w:p>
            <w:pPr>
              <w:spacing w:after="0"/>
              <w:rPr>
                <w:sz w:val="24"/>
                <w:szCs w:val="24"/>
                <w:color w:val="auto"/>
              </w:rPr>
            </w:pPr>
          </w:p>
        </w:tc>
        <w:tc>
          <w:tcPr>
            <w:tcW w:w="1280" w:type="dxa"/>
            <w:vAlign w:val="bottom"/>
          </w:tcPr>
          <w:p>
            <w:pPr>
              <w:jc w:val="right"/>
              <w:ind w:right="120"/>
              <w:spacing w:after="0"/>
              <w:rPr>
                <w:sz w:val="20"/>
                <w:szCs w:val="20"/>
                <w:color w:val="auto"/>
              </w:rPr>
            </w:pPr>
            <w:r>
              <w:rPr>
                <w:rFonts w:ascii="Arial" w:cs="Arial" w:eastAsia="Arial" w:hAnsi="Arial"/>
                <w:sz w:val="20"/>
                <w:szCs w:val="20"/>
                <w:b w:val="1"/>
                <w:bCs w:val="1"/>
                <w:color w:val="auto"/>
              </w:rPr>
              <w:t>(6,089)</w:t>
            </w:r>
          </w:p>
        </w:tc>
        <w:tc>
          <w:tcPr>
            <w:tcW w:w="380" w:type="dxa"/>
            <w:vAlign w:val="bottom"/>
          </w:tcPr>
          <w:p>
            <w:pPr>
              <w:spacing w:after="0"/>
              <w:rPr>
                <w:sz w:val="24"/>
                <w:szCs w:val="24"/>
                <w:color w:val="auto"/>
              </w:rPr>
            </w:pPr>
          </w:p>
        </w:tc>
        <w:tc>
          <w:tcPr>
            <w:tcW w:w="1360" w:type="dxa"/>
            <w:vAlign w:val="bottom"/>
          </w:tcPr>
          <w:p>
            <w:pPr>
              <w:jc w:val="right"/>
              <w:ind w:right="100"/>
              <w:spacing w:after="0"/>
              <w:rPr>
                <w:sz w:val="20"/>
                <w:szCs w:val="20"/>
                <w:color w:val="auto"/>
              </w:rPr>
            </w:pPr>
            <w:r>
              <w:rPr>
                <w:rFonts w:ascii="Arial" w:cs="Arial" w:eastAsia="Arial" w:hAnsi="Arial"/>
                <w:sz w:val="20"/>
                <w:szCs w:val="20"/>
                <w:b w:val="1"/>
                <w:bCs w:val="1"/>
                <w:color w:val="auto"/>
              </w:rPr>
              <w:t>(14,918)</w:t>
            </w:r>
          </w:p>
        </w:tc>
        <w:tc>
          <w:tcPr>
            <w:tcW w:w="380" w:type="dxa"/>
            <w:vAlign w:val="bottom"/>
          </w:tcPr>
          <w:p>
            <w:pPr>
              <w:spacing w:after="0"/>
              <w:rPr>
                <w:sz w:val="24"/>
                <w:szCs w:val="24"/>
                <w:color w:val="auto"/>
              </w:rPr>
            </w:pPr>
          </w:p>
        </w:tc>
        <w:tc>
          <w:tcPr>
            <w:tcW w:w="1380" w:type="dxa"/>
            <w:vAlign w:val="bottom"/>
          </w:tcPr>
          <w:p>
            <w:pPr>
              <w:jc w:val="right"/>
              <w:ind w:right="280"/>
              <w:spacing w:after="0"/>
              <w:rPr>
                <w:sz w:val="20"/>
                <w:szCs w:val="20"/>
                <w:color w:val="auto"/>
              </w:rPr>
            </w:pPr>
            <w:r>
              <w:rPr>
                <w:rFonts w:ascii="Arial" w:cs="Arial" w:eastAsia="Arial" w:hAnsi="Arial"/>
                <w:sz w:val="20"/>
                <w:szCs w:val="20"/>
                <w:b w:val="1"/>
                <w:bCs w:val="1"/>
                <w:color w:val="auto"/>
              </w:rPr>
              <w:t>78,836</w:t>
            </w:r>
          </w:p>
        </w:tc>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(1,016)</w:t>
            </w:r>
          </w:p>
        </w:tc>
        <w:tc>
          <w:tcPr>
            <w:tcW w:w="0" w:type="dxa"/>
            <w:vAlign w:val="bottom"/>
          </w:tcPr>
          <w:p>
            <w:pPr>
              <w:spacing w:after="0"/>
              <w:rPr>
                <w:sz w:val="1"/>
                <w:szCs w:val="1"/>
                <w:color w:val="auto"/>
              </w:rPr>
            </w:pPr>
          </w:p>
        </w:tc>
      </w:tr>
      <w:tr>
        <w:trPr>
          <w:trHeight w:val="417"/>
        </w:trPr>
        <w:tc>
          <w:tcPr>
            <w:tcW w:w="3100" w:type="dxa"/>
            <w:vAlign w:val="bottom"/>
          </w:tcPr>
          <w:p>
            <w:pPr>
              <w:spacing w:after="0"/>
              <w:rPr>
                <w:sz w:val="20"/>
                <w:szCs w:val="20"/>
                <w:color w:val="auto"/>
              </w:rPr>
            </w:pPr>
            <w:r>
              <w:rPr>
                <w:rFonts w:ascii="Arial" w:cs="Arial" w:eastAsia="Arial" w:hAnsi="Arial"/>
                <w:sz w:val="20"/>
                <w:szCs w:val="20"/>
                <w:color w:val="auto"/>
              </w:rPr>
              <w:t>Taxes</w:t>
            </w:r>
          </w:p>
        </w:tc>
        <w:tc>
          <w:tcPr>
            <w:tcW w:w="680" w:type="dxa"/>
            <w:vAlign w:val="bottom"/>
          </w:tcPr>
          <w:p>
            <w:pPr>
              <w:spacing w:after="0"/>
              <w:rPr>
                <w:sz w:val="24"/>
                <w:szCs w:val="24"/>
                <w:color w:val="auto"/>
              </w:rPr>
            </w:pPr>
          </w:p>
        </w:tc>
        <w:tc>
          <w:tcPr>
            <w:tcW w:w="1280" w:type="dxa"/>
            <w:vAlign w:val="bottom"/>
          </w:tcPr>
          <w:p>
            <w:pPr>
              <w:jc w:val="right"/>
              <w:ind w:right="200"/>
              <w:spacing w:after="0"/>
              <w:rPr>
                <w:sz w:val="20"/>
                <w:szCs w:val="20"/>
                <w:color w:val="auto"/>
              </w:rPr>
            </w:pPr>
            <w:r>
              <w:rPr>
                <w:rFonts w:ascii="Arial" w:cs="Arial" w:eastAsia="Arial" w:hAnsi="Arial"/>
                <w:sz w:val="20"/>
                <w:szCs w:val="20"/>
                <w:color w:val="auto"/>
              </w:rPr>
              <w:t>114</w:t>
            </w:r>
          </w:p>
        </w:tc>
        <w:tc>
          <w:tcPr>
            <w:tcW w:w="380" w:type="dxa"/>
            <w:vAlign w:val="bottom"/>
          </w:tcPr>
          <w:p>
            <w:pPr>
              <w:spacing w:after="0"/>
              <w:rPr>
                <w:sz w:val="24"/>
                <w:szCs w:val="24"/>
                <w:color w:val="auto"/>
              </w:rPr>
            </w:pPr>
          </w:p>
        </w:tc>
        <w:tc>
          <w:tcPr>
            <w:tcW w:w="1360" w:type="dxa"/>
            <w:vAlign w:val="bottom"/>
          </w:tcPr>
          <w:p>
            <w:pPr>
              <w:jc w:val="right"/>
              <w:ind w:right="180"/>
              <w:spacing w:after="0"/>
              <w:rPr>
                <w:sz w:val="20"/>
                <w:szCs w:val="20"/>
                <w:color w:val="auto"/>
              </w:rPr>
            </w:pPr>
            <w:r>
              <w:rPr>
                <w:rFonts w:ascii="Arial" w:cs="Arial" w:eastAsia="Arial" w:hAnsi="Arial"/>
                <w:sz w:val="20"/>
                <w:szCs w:val="20"/>
                <w:color w:val="auto"/>
              </w:rPr>
              <w:t>444</w:t>
            </w:r>
          </w:p>
        </w:tc>
        <w:tc>
          <w:tcPr>
            <w:tcW w:w="380" w:type="dxa"/>
            <w:vAlign w:val="bottom"/>
          </w:tcPr>
          <w:p>
            <w:pPr>
              <w:spacing w:after="0"/>
              <w:rPr>
                <w:sz w:val="24"/>
                <w:szCs w:val="24"/>
                <w:color w:val="auto"/>
              </w:rPr>
            </w:pPr>
          </w:p>
        </w:tc>
        <w:tc>
          <w:tcPr>
            <w:tcW w:w="1380" w:type="dxa"/>
            <w:vAlign w:val="bottom"/>
          </w:tcPr>
          <w:p>
            <w:pPr>
              <w:jc w:val="right"/>
              <w:ind w:right="280"/>
              <w:spacing w:after="0"/>
              <w:rPr>
                <w:sz w:val="20"/>
                <w:szCs w:val="20"/>
                <w:color w:val="auto"/>
              </w:rPr>
            </w:pPr>
            <w:r>
              <w:rPr>
                <w:rFonts w:ascii="Arial" w:cs="Arial" w:eastAsia="Arial" w:hAnsi="Arial"/>
                <w:sz w:val="20"/>
                <w:szCs w:val="20"/>
                <w:color w:val="auto"/>
              </w:rPr>
              <w:t>522</w:t>
            </w:r>
          </w:p>
        </w:tc>
        <w:tc>
          <w:tcPr>
            <w:tcW w:w="4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265"/>
        </w:trPr>
        <w:tc>
          <w:tcPr>
            <w:tcW w:w="3100" w:type="dxa"/>
            <w:vAlign w:val="bottom"/>
          </w:tcPr>
          <w:p>
            <w:pPr>
              <w:ind w:left="360"/>
              <w:spacing w:after="0"/>
              <w:rPr>
                <w:sz w:val="20"/>
                <w:szCs w:val="20"/>
                <w:color w:val="auto"/>
              </w:rPr>
            </w:pPr>
            <w:r>
              <w:rPr>
                <w:rFonts w:ascii="Arial" w:cs="Arial" w:eastAsia="Arial" w:hAnsi="Arial"/>
                <w:sz w:val="20"/>
                <w:szCs w:val="20"/>
                <w:b w:val="1"/>
                <w:bCs w:val="1"/>
                <w:color w:val="auto"/>
              </w:rPr>
              <w:t>Total Managerial Net</w:t>
            </w:r>
          </w:p>
        </w:tc>
        <w:tc>
          <w:tcPr>
            <w:tcW w:w="680" w:type="dxa"/>
            <w:vAlign w:val="bottom"/>
          </w:tcPr>
          <w:p>
            <w:pPr>
              <w:spacing w:after="0"/>
              <w:rPr>
                <w:sz w:val="23"/>
                <w:szCs w:val="23"/>
                <w:color w:val="auto"/>
              </w:rPr>
            </w:pPr>
          </w:p>
        </w:tc>
        <w:tc>
          <w:tcPr>
            <w:tcW w:w="1280" w:type="dxa"/>
            <w:vAlign w:val="bottom"/>
            <w:vMerge w:val="restart"/>
          </w:tcPr>
          <w:p>
            <w:pPr>
              <w:jc w:val="right"/>
              <w:ind w:right="120"/>
              <w:spacing w:after="0"/>
              <w:rPr>
                <w:sz w:val="20"/>
                <w:szCs w:val="20"/>
                <w:color w:val="auto"/>
              </w:rPr>
            </w:pPr>
            <w:r>
              <w:rPr>
                <w:rFonts w:ascii="Arial" w:cs="Arial" w:eastAsia="Arial" w:hAnsi="Arial"/>
                <w:sz w:val="20"/>
                <w:szCs w:val="20"/>
                <w:b w:val="1"/>
                <w:bCs w:val="1"/>
                <w:color w:val="auto"/>
              </w:rPr>
              <w:t>(5,975)</w:t>
            </w:r>
          </w:p>
        </w:tc>
        <w:tc>
          <w:tcPr>
            <w:tcW w:w="380" w:type="dxa"/>
            <w:vAlign w:val="bottom"/>
          </w:tcPr>
          <w:p>
            <w:pPr>
              <w:spacing w:after="0"/>
              <w:rPr>
                <w:sz w:val="23"/>
                <w:szCs w:val="23"/>
                <w:color w:val="auto"/>
              </w:rPr>
            </w:pPr>
          </w:p>
        </w:tc>
        <w:tc>
          <w:tcPr>
            <w:tcW w:w="1360" w:type="dxa"/>
            <w:vAlign w:val="bottom"/>
            <w:vMerge w:val="restart"/>
          </w:tcPr>
          <w:p>
            <w:pPr>
              <w:jc w:val="right"/>
              <w:ind w:right="100"/>
              <w:spacing w:after="0"/>
              <w:rPr>
                <w:sz w:val="20"/>
                <w:szCs w:val="20"/>
                <w:color w:val="auto"/>
              </w:rPr>
            </w:pPr>
            <w:r>
              <w:rPr>
                <w:rFonts w:ascii="Arial" w:cs="Arial" w:eastAsia="Arial" w:hAnsi="Arial"/>
                <w:sz w:val="20"/>
                <w:szCs w:val="20"/>
                <w:b w:val="1"/>
                <w:bCs w:val="1"/>
                <w:color w:val="auto"/>
              </w:rPr>
              <w:t>(14,474)</w:t>
            </w:r>
          </w:p>
        </w:tc>
        <w:tc>
          <w:tcPr>
            <w:tcW w:w="380" w:type="dxa"/>
            <w:vAlign w:val="bottom"/>
          </w:tcPr>
          <w:p>
            <w:pPr>
              <w:spacing w:after="0"/>
              <w:rPr>
                <w:sz w:val="23"/>
                <w:szCs w:val="23"/>
                <w:color w:val="auto"/>
              </w:rPr>
            </w:pPr>
          </w:p>
        </w:tc>
        <w:tc>
          <w:tcPr>
            <w:tcW w:w="1380" w:type="dxa"/>
            <w:vAlign w:val="bottom"/>
            <w:vMerge w:val="restart"/>
          </w:tcPr>
          <w:p>
            <w:pPr>
              <w:jc w:val="right"/>
              <w:ind w:right="280"/>
              <w:spacing w:after="0"/>
              <w:rPr>
                <w:sz w:val="20"/>
                <w:szCs w:val="20"/>
                <w:color w:val="auto"/>
              </w:rPr>
            </w:pPr>
            <w:r>
              <w:rPr>
                <w:rFonts w:ascii="Arial" w:cs="Arial" w:eastAsia="Arial" w:hAnsi="Arial"/>
                <w:sz w:val="20"/>
                <w:szCs w:val="20"/>
                <w:b w:val="1"/>
                <w:bCs w:val="1"/>
                <w:color w:val="auto"/>
              </w:rPr>
              <w:t>79,358</w:t>
            </w:r>
          </w:p>
        </w:tc>
        <w:tc>
          <w:tcPr>
            <w:tcW w:w="480" w:type="dxa"/>
            <w:vAlign w:val="bottom"/>
          </w:tcPr>
          <w:p>
            <w:pPr>
              <w:spacing w:after="0"/>
              <w:rPr>
                <w:sz w:val="23"/>
                <w:szCs w:val="23"/>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(1,151)</w:t>
            </w:r>
          </w:p>
        </w:tc>
        <w:tc>
          <w:tcPr>
            <w:tcW w:w="0" w:type="dxa"/>
            <w:vAlign w:val="bottom"/>
          </w:tcPr>
          <w:p>
            <w:pPr>
              <w:spacing w:after="0"/>
              <w:rPr>
                <w:sz w:val="1"/>
                <w:szCs w:val="1"/>
                <w:color w:val="auto"/>
              </w:rPr>
            </w:pPr>
          </w:p>
        </w:tc>
      </w:tr>
      <w:tr>
        <w:trPr>
          <w:trHeight w:val="129"/>
        </w:trPr>
        <w:tc>
          <w:tcPr>
            <w:tcW w:w="3100" w:type="dxa"/>
            <w:vAlign w:val="bottom"/>
            <w:vMerge w:val="restart"/>
          </w:tcPr>
          <w:p>
            <w:pPr>
              <w:ind w:left="360"/>
              <w:spacing w:after="0"/>
              <w:rPr>
                <w:sz w:val="20"/>
                <w:szCs w:val="20"/>
                <w:color w:val="auto"/>
              </w:rPr>
            </w:pPr>
            <w:r>
              <w:rPr>
                <w:rFonts w:ascii="Arial" w:cs="Arial" w:eastAsia="Arial" w:hAnsi="Arial"/>
                <w:sz w:val="20"/>
                <w:szCs w:val="20"/>
                <w:b w:val="1"/>
                <w:bCs w:val="1"/>
                <w:color w:val="auto"/>
              </w:rPr>
              <w:t>Income/(Loss)</w:t>
            </w:r>
          </w:p>
        </w:tc>
        <w:tc>
          <w:tcPr>
            <w:tcW w:w="6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1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auto"/>
        </w:rPr>
        <w:t xml:space="preserve">* </w:t>
      </w:r>
      <w:r>
        <w:rPr>
          <w:rFonts w:ascii="Arial" w:cs="Arial" w:eastAsia="Arial" w:hAnsi="Arial"/>
          <w:sz w:val="15"/>
          <w:szCs w:val="15"/>
          <w:color w:val="auto"/>
        </w:rPr>
        <w:t>Special items (July 1-July 9, 2009) includes reorganization gain of $80.7B</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16</w:t>
      </w:r>
    </w:p>
    <w:p>
      <w:pPr>
        <w:sectPr>
          <w:pgSz w:w="11900" w:h="16838" w:orient="portrait"/>
          <w:cols w:equalWidth="0" w:num="1">
            <w:col w:w="10340"/>
          </w:cols>
          <w:pgMar w:left="420" w:top="587" w:right="1139" w:bottom="1440" w:gutter="0" w:footer="0" w:header="0"/>
        </w:sectPr>
      </w:pPr>
    </w:p>
    <w:bookmarkStart w:id="38" w:name="page39"/>
    <w:bookmarkEnd w:id="38"/>
    <w:p>
      <w:pPr>
        <w:ind w:left="96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Preliminary Special Items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40" w:type="dxa"/>
            <w:vAlign w:val="bottom"/>
          </w:tcPr>
          <w:p>
            <w:pPr>
              <w:jc w:val="right"/>
              <w:ind w:right="212"/>
              <w:spacing w:after="0"/>
              <w:rPr>
                <w:sz w:val="20"/>
                <w:szCs w:val="20"/>
                <w:color w:val="auto"/>
              </w:rPr>
            </w:pPr>
            <w:r>
              <w:rPr>
                <w:rFonts w:ascii="Arial" w:cs="Arial" w:eastAsia="Arial" w:hAnsi="Arial"/>
                <w:sz w:val="18"/>
                <w:szCs w:val="18"/>
                <w:b w:val="1"/>
                <w:bCs w:val="1"/>
                <w:color w:val="auto"/>
              </w:rPr>
              <w:t>Old GM</w:t>
            </w:r>
          </w:p>
        </w:tc>
        <w:tc>
          <w:tcPr>
            <w:tcW w:w="1360" w:type="dxa"/>
            <w:vAlign w:val="bottom"/>
          </w:tcPr>
          <w:p>
            <w:pPr>
              <w:spacing w:after="0"/>
              <w:rPr>
                <w:sz w:val="20"/>
                <w:szCs w:val="20"/>
                <w:color w:val="auto"/>
              </w:rPr>
            </w:pPr>
          </w:p>
        </w:tc>
        <w:tc>
          <w:tcPr>
            <w:tcW w:w="1420" w:type="dxa"/>
            <w:vAlign w:val="bottom"/>
          </w:tcPr>
          <w:p>
            <w:pPr>
              <w:jc w:val="right"/>
              <w:ind w:right="172"/>
              <w:spacing w:after="0"/>
              <w:rPr>
                <w:sz w:val="20"/>
                <w:szCs w:val="20"/>
                <w:color w:val="auto"/>
              </w:rPr>
            </w:pPr>
            <w:r>
              <w:rPr>
                <w:rFonts w:ascii="Arial" w:cs="Arial" w:eastAsia="Arial" w:hAnsi="Arial"/>
                <w:sz w:val="18"/>
                <w:szCs w:val="18"/>
                <w:b w:val="1"/>
                <w:bCs w:val="1"/>
                <w:color w:val="auto"/>
              </w:rPr>
              <w:t>New GM</w:t>
            </w:r>
          </w:p>
        </w:tc>
        <w:tc>
          <w:tcPr>
            <w:tcW w:w="0" w:type="dxa"/>
            <w:vAlign w:val="bottom"/>
          </w:tcPr>
          <w:p>
            <w:pPr>
              <w:spacing w:after="0"/>
              <w:rPr>
                <w:sz w:val="1"/>
                <w:szCs w:val="1"/>
                <w:color w:val="auto"/>
              </w:rPr>
            </w:pPr>
          </w:p>
        </w:tc>
      </w:tr>
      <w:tr>
        <w:trPr>
          <w:trHeight w:val="447"/>
        </w:trPr>
        <w:tc>
          <w:tcPr>
            <w:tcW w:w="4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Millions)</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July 1 -</w:t>
            </w:r>
          </w:p>
        </w:tc>
        <w:tc>
          <w:tcPr>
            <w:tcW w:w="1420" w:type="dxa"/>
            <w:vAlign w:val="bottom"/>
          </w:tcPr>
          <w:p>
            <w:pPr>
              <w:jc w:val="right"/>
              <w:ind w:right="192"/>
              <w:spacing w:after="0"/>
              <w:rPr>
                <w:sz w:val="20"/>
                <w:szCs w:val="20"/>
                <w:color w:val="auto"/>
              </w:rPr>
            </w:pPr>
            <w:r>
              <w:rPr>
                <w:rFonts w:ascii="Arial" w:cs="Arial" w:eastAsia="Arial" w:hAnsi="Arial"/>
                <w:sz w:val="18"/>
                <w:szCs w:val="18"/>
                <w:color w:val="auto"/>
              </w:rPr>
              <w:t>July 10 -</w:t>
            </w:r>
          </w:p>
        </w:tc>
        <w:tc>
          <w:tcPr>
            <w:tcW w:w="0" w:type="dxa"/>
            <w:vAlign w:val="bottom"/>
          </w:tcPr>
          <w:p>
            <w:pPr>
              <w:spacing w:after="0"/>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1100" w:type="dxa"/>
            <w:vAlign w:val="bottom"/>
          </w:tcPr>
          <w:p>
            <w:pPr>
              <w:jc w:val="right"/>
              <w:ind w:right="412"/>
              <w:spacing w:after="0"/>
              <w:rPr>
                <w:sz w:val="20"/>
                <w:szCs w:val="20"/>
                <w:color w:val="auto"/>
              </w:rPr>
            </w:pPr>
            <w:r>
              <w:rPr>
                <w:rFonts w:ascii="Arial" w:cs="Arial" w:eastAsia="Arial" w:hAnsi="Arial"/>
                <w:sz w:val="18"/>
                <w:szCs w:val="18"/>
                <w:color w:val="auto"/>
              </w:rPr>
              <w:t>1Q09</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2Q09</w:t>
            </w:r>
          </w:p>
        </w:tc>
        <w:tc>
          <w:tcPr>
            <w:tcW w:w="1360" w:type="dxa"/>
            <w:vAlign w:val="bottom"/>
          </w:tcPr>
          <w:p>
            <w:pPr>
              <w:ind w:left="140"/>
              <w:spacing w:after="0"/>
              <w:rPr>
                <w:sz w:val="20"/>
                <w:szCs w:val="20"/>
                <w:color w:val="auto"/>
              </w:rPr>
            </w:pPr>
            <w:r>
              <w:rPr>
                <w:rFonts w:ascii="Arial" w:cs="Arial" w:eastAsia="Arial" w:hAnsi="Arial"/>
                <w:sz w:val="18"/>
                <w:szCs w:val="18"/>
                <w:color w:val="auto"/>
              </w:rPr>
              <w:t>July 9, 2009</w:t>
            </w:r>
          </w:p>
        </w:tc>
        <w:tc>
          <w:tcPr>
            <w:tcW w:w="1420" w:type="dxa"/>
            <w:vAlign w:val="bottom"/>
          </w:tcPr>
          <w:p>
            <w:pPr>
              <w:jc w:val="right"/>
              <w:spacing w:after="0"/>
              <w:rPr>
                <w:sz w:val="20"/>
                <w:szCs w:val="20"/>
                <w:color w:val="auto"/>
              </w:rPr>
            </w:pPr>
            <w:r>
              <w:rPr>
                <w:rFonts w:ascii="Arial" w:cs="Arial" w:eastAsia="Arial" w:hAnsi="Arial"/>
                <w:sz w:val="18"/>
                <w:szCs w:val="18"/>
                <w:color w:val="auto"/>
              </w:rPr>
              <w:t>Sept. 30, 2009</w:t>
            </w:r>
          </w:p>
        </w:tc>
        <w:tc>
          <w:tcPr>
            <w:tcW w:w="0" w:type="dxa"/>
            <w:vAlign w:val="bottom"/>
          </w:tcPr>
          <w:p>
            <w:pPr>
              <w:spacing w:after="0"/>
              <w:rPr>
                <w:sz w:val="1"/>
                <w:szCs w:val="1"/>
                <w:color w:val="auto"/>
              </w:rPr>
            </w:pPr>
          </w:p>
        </w:tc>
      </w:tr>
      <w:tr>
        <w:trPr>
          <w:trHeight w:val="506"/>
        </w:trPr>
        <w:tc>
          <w:tcPr>
            <w:tcW w:w="4440" w:type="dxa"/>
            <w:vAlign w:val="bottom"/>
          </w:tcPr>
          <w:p>
            <w:pPr>
              <w:ind w:left="180"/>
              <w:spacing w:after="0"/>
              <w:rPr>
                <w:sz w:val="20"/>
                <w:szCs w:val="20"/>
                <w:color w:val="auto"/>
              </w:rPr>
            </w:pPr>
            <w:r>
              <w:rPr>
                <w:rFonts w:ascii="Arial" w:cs="Arial" w:eastAsia="Arial" w:hAnsi="Arial"/>
                <w:sz w:val="18"/>
                <w:szCs w:val="18"/>
                <w:color w:val="auto"/>
              </w:rPr>
              <w:t>Restructuring &amp; Special Attrition Programs</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(116)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(3,943)</w:t>
            </w:r>
          </w:p>
        </w:tc>
        <w:tc>
          <w:tcPr>
            <w:tcW w:w="1360" w:type="dxa"/>
            <w:vAlign w:val="bottom"/>
          </w:tcPr>
          <w:p>
            <w:pPr>
              <w:ind w:left="700"/>
              <w:spacing w:after="0"/>
              <w:rPr>
                <w:sz w:val="20"/>
                <w:szCs w:val="20"/>
                <w:color w:val="auto"/>
              </w:rPr>
            </w:pPr>
            <w:r>
              <w:rPr>
                <w:rFonts w:ascii="Arial" w:cs="Arial" w:eastAsia="Arial" w:hAnsi="Arial"/>
                <w:sz w:val="18"/>
                <w:szCs w:val="18"/>
                <w:color w:val="auto"/>
              </w:rPr>
              <w:t>(384)</w:t>
            </w:r>
          </w:p>
        </w:tc>
        <w:tc>
          <w:tcPr>
            <w:tcW w:w="14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Delphi Related</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(135)</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(812)</w:t>
            </w:r>
          </w:p>
        </w:tc>
        <w:tc>
          <w:tcPr>
            <w:tcW w:w="1360" w:type="dxa"/>
            <w:vAlign w:val="bottom"/>
          </w:tcPr>
          <w:p>
            <w:pPr>
              <w:ind w:left="800"/>
              <w:spacing w:after="0"/>
              <w:rPr>
                <w:sz w:val="20"/>
                <w:szCs w:val="20"/>
                <w:color w:val="auto"/>
              </w:rPr>
            </w:pPr>
            <w:r>
              <w:rPr>
                <w:rFonts w:ascii="Arial" w:cs="Arial" w:eastAsia="Arial" w:hAnsi="Arial"/>
                <w:sz w:val="18"/>
                <w:szCs w:val="18"/>
                <w:color w:val="auto"/>
              </w:rPr>
              <w:t>(41)</w:t>
            </w:r>
          </w:p>
        </w:tc>
        <w:tc>
          <w:tcPr>
            <w:tcW w:w="14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SAAB Related</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(822)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(67)</w:t>
            </w:r>
          </w:p>
        </w:tc>
        <w:tc>
          <w:tcPr>
            <w:tcW w:w="1360" w:type="dxa"/>
            <w:vAlign w:val="bottom"/>
          </w:tcPr>
          <w:p>
            <w:pPr>
              <w:ind w:left="800"/>
              <w:spacing w:after="0"/>
              <w:rPr>
                <w:sz w:val="20"/>
                <w:szCs w:val="20"/>
                <w:color w:val="auto"/>
              </w:rPr>
            </w:pPr>
            <w:r>
              <w:rPr>
                <w:rFonts w:ascii="Arial" w:cs="Arial" w:eastAsia="Arial" w:hAnsi="Arial"/>
                <w:sz w:val="18"/>
                <w:szCs w:val="18"/>
                <w:color w:val="auto"/>
              </w:rPr>
              <w:t>(23)</w:t>
            </w: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5"/>
        </w:trPr>
        <w:tc>
          <w:tcPr>
            <w:tcW w:w="4440" w:type="dxa"/>
            <w:vAlign w:val="bottom"/>
          </w:tcPr>
          <w:p>
            <w:pPr>
              <w:ind w:left="180"/>
              <w:spacing w:after="0"/>
              <w:rPr>
                <w:sz w:val="20"/>
                <w:szCs w:val="20"/>
                <w:color w:val="auto"/>
              </w:rPr>
            </w:pPr>
            <w:r>
              <w:rPr>
                <w:rFonts w:ascii="Arial" w:cs="Arial" w:eastAsia="Arial" w:hAnsi="Arial"/>
                <w:sz w:val="18"/>
                <w:szCs w:val="18"/>
                <w:color w:val="auto"/>
              </w:rPr>
              <w:t>Accelerated Discount Amortization on DIP Financing</w:t>
            </w: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(1,620)</w:t>
            </w:r>
          </w:p>
        </w:tc>
        <w:tc>
          <w:tcPr>
            <w:tcW w:w="1360" w:type="dxa"/>
            <w:vAlign w:val="bottom"/>
          </w:tcPr>
          <w:p>
            <w:pPr>
              <w:ind w:left="700"/>
              <w:spacing w:after="0"/>
              <w:rPr>
                <w:sz w:val="20"/>
                <w:szCs w:val="20"/>
                <w:color w:val="auto"/>
              </w:rPr>
            </w:pPr>
            <w:r>
              <w:rPr>
                <w:rFonts w:ascii="Arial" w:cs="Arial" w:eastAsia="Arial" w:hAnsi="Arial"/>
                <w:sz w:val="18"/>
                <w:szCs w:val="18"/>
                <w:color w:val="auto"/>
              </w:rPr>
              <w:t>(600)</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Reorganization Gains, Net</w:t>
            </w: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(1,157)</w:t>
            </w:r>
          </w:p>
        </w:tc>
        <w:tc>
          <w:tcPr>
            <w:tcW w:w="1360" w:type="dxa"/>
            <w:vAlign w:val="bottom"/>
          </w:tcPr>
          <w:p>
            <w:pPr>
              <w:ind w:left="520"/>
              <w:spacing w:after="0"/>
              <w:rPr>
                <w:sz w:val="20"/>
                <w:szCs w:val="20"/>
                <w:color w:val="auto"/>
              </w:rPr>
            </w:pPr>
            <w:r>
              <w:rPr>
                <w:rFonts w:ascii="Arial" w:cs="Arial" w:eastAsia="Arial" w:hAnsi="Arial"/>
                <w:sz w:val="18"/>
                <w:szCs w:val="18"/>
                <w:color w:val="auto"/>
              </w:rPr>
              <w:t>80,720</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GMAC Related</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385</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483</w:t>
            </w:r>
          </w:p>
        </w:tc>
        <w:tc>
          <w:tcPr>
            <w:tcW w:w="1360" w:type="dxa"/>
            <w:vAlign w:val="bottom"/>
          </w:tcPr>
          <w:p>
            <w:pPr>
              <w:ind w:left="8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Impairments</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(291)</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360" w:type="dxa"/>
            <w:vAlign w:val="bottom"/>
          </w:tcPr>
          <w:p>
            <w:pPr>
              <w:ind w:left="8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Gain on Extinguishment of Debt</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906</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360" w:type="dxa"/>
            <w:vAlign w:val="bottom"/>
          </w:tcPr>
          <w:p>
            <w:pPr>
              <w:ind w:left="8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152</w:t>
            </w:r>
          </w:p>
        </w:tc>
        <w:tc>
          <w:tcPr>
            <w:tcW w:w="1360" w:type="dxa"/>
            <w:vAlign w:val="bottom"/>
          </w:tcPr>
          <w:p>
            <w:pPr>
              <w:ind w:left="8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8"/>
        </w:trPr>
        <w:tc>
          <w:tcPr>
            <w:tcW w:w="4440" w:type="dxa"/>
            <w:vAlign w:val="bottom"/>
          </w:tcPr>
          <w:p>
            <w:pPr>
              <w:ind w:left="320"/>
              <w:spacing w:after="0"/>
              <w:rPr>
                <w:sz w:val="20"/>
                <w:szCs w:val="20"/>
                <w:color w:val="auto"/>
              </w:rPr>
            </w:pPr>
            <w:r>
              <w:rPr>
                <w:rFonts w:ascii="Arial" w:cs="Arial" w:eastAsia="Arial" w:hAnsi="Arial"/>
                <w:sz w:val="18"/>
                <w:szCs w:val="18"/>
                <w:b w:val="1"/>
                <w:bCs w:val="1"/>
                <w:color w:val="auto"/>
              </w:rPr>
              <w:t>Total Special Items</w:t>
            </w:r>
          </w:p>
        </w:tc>
        <w:tc>
          <w:tcPr>
            <w:tcW w:w="1100" w:type="dxa"/>
            <w:vAlign w:val="bottom"/>
          </w:tcPr>
          <w:p>
            <w:pPr>
              <w:jc w:val="right"/>
              <w:ind w:right="132"/>
              <w:spacing w:after="0"/>
              <w:rPr>
                <w:sz w:val="20"/>
                <w:szCs w:val="20"/>
                <w:color w:val="auto"/>
              </w:rPr>
            </w:pPr>
            <w:r>
              <w:rPr>
                <w:rFonts w:ascii="Arial" w:cs="Arial" w:eastAsia="Arial" w:hAnsi="Arial"/>
                <w:sz w:val="18"/>
                <w:szCs w:val="18"/>
                <w:b w:val="1"/>
                <w:bCs w:val="1"/>
                <w:color w:val="auto"/>
              </w:rPr>
              <w:t>(73)</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(6,964)</w:t>
            </w:r>
          </w:p>
        </w:tc>
        <w:tc>
          <w:tcPr>
            <w:tcW w:w="1360" w:type="dxa"/>
            <w:vAlign w:val="bottom"/>
          </w:tcPr>
          <w:p>
            <w:pPr>
              <w:ind w:left="520"/>
              <w:spacing w:after="0"/>
              <w:rPr>
                <w:sz w:val="20"/>
                <w:szCs w:val="20"/>
                <w:color w:val="auto"/>
              </w:rPr>
            </w:pPr>
            <w:r>
              <w:rPr>
                <w:rFonts w:ascii="Arial" w:cs="Arial" w:eastAsia="Arial" w:hAnsi="Arial"/>
                <w:sz w:val="18"/>
                <w:szCs w:val="18"/>
                <w:b w:val="1"/>
                <w:bCs w:val="1"/>
                <w:color w:val="auto"/>
              </w:rPr>
              <w:t>79,672</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17</w:t>
      </w:r>
    </w:p>
    <w:p>
      <w:pPr>
        <w:sectPr>
          <w:pgSz w:w="11900" w:h="16838" w:orient="portrait"/>
          <w:cols w:equalWidth="0" w:num="1">
            <w:col w:w="10240"/>
          </w:cols>
          <w:pgMar w:left="460" w:top="587" w:right="1199" w:bottom="1440" w:gutter="0" w:footer="0" w:header="0"/>
        </w:sectPr>
      </w:pPr>
    </w:p>
    <w:bookmarkStart w:id="39" w:name="page40"/>
    <w:bookmarkEnd w:id="39"/>
    <w:p>
      <w:pPr>
        <w:ind w:left="110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Preliminary Managerial Results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40" w:type="dxa"/>
            <w:vAlign w:val="bottom"/>
            <w:gridSpan w:val="2"/>
          </w:tcPr>
          <w:p>
            <w:pPr>
              <w:jc w:val="right"/>
              <w:spacing w:after="0"/>
              <w:rPr>
                <w:sz w:val="20"/>
                <w:szCs w:val="20"/>
                <w:color w:val="auto"/>
              </w:rPr>
            </w:pPr>
            <w:r>
              <w:rPr>
                <w:rFonts w:ascii="Arial" w:cs="Arial" w:eastAsia="Arial" w:hAnsi="Arial"/>
                <w:sz w:val="19"/>
                <w:szCs w:val="19"/>
                <w:b w:val="1"/>
                <w:bCs w:val="1"/>
                <w:color w:val="auto"/>
              </w:rPr>
              <w:t>Old GM</w:t>
            </w: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center"/>
              <w:ind w:right="506"/>
              <w:spacing w:after="0"/>
              <w:rPr>
                <w:sz w:val="20"/>
                <w:szCs w:val="20"/>
                <w:color w:val="auto"/>
              </w:rPr>
            </w:pPr>
            <w:r>
              <w:rPr>
                <w:rFonts w:ascii="Arial" w:cs="Arial" w:eastAsia="Arial" w:hAnsi="Arial"/>
                <w:sz w:val="19"/>
                <w:szCs w:val="19"/>
                <w:b w:val="1"/>
                <w:bCs w:val="1"/>
                <w:color w:val="auto"/>
                <w:w w:val="98"/>
              </w:rPr>
              <w:t>New GM</w:t>
            </w:r>
          </w:p>
        </w:tc>
        <w:tc>
          <w:tcPr>
            <w:tcW w:w="540" w:type="dxa"/>
            <w:vAlign w:val="bottom"/>
          </w:tcPr>
          <w:p>
            <w:pPr>
              <w:spacing w:after="0"/>
              <w:rPr>
                <w:sz w:val="21"/>
                <w:szCs w:val="21"/>
                <w:color w:val="auto"/>
              </w:rPr>
            </w:pPr>
          </w:p>
        </w:tc>
        <w:tc>
          <w:tcPr>
            <w:tcW w:w="940" w:type="dxa"/>
            <w:vAlign w:val="bottom"/>
          </w:tcPr>
          <w:p>
            <w:pPr>
              <w:jc w:val="right"/>
              <w:ind w:right="206"/>
              <w:spacing w:after="0"/>
              <w:rPr>
                <w:sz w:val="20"/>
                <w:szCs w:val="20"/>
                <w:color w:val="auto"/>
              </w:rPr>
            </w:pPr>
            <w:r>
              <w:rPr>
                <w:rFonts w:ascii="Arial" w:cs="Arial" w:eastAsia="Arial" w:hAnsi="Arial"/>
                <w:sz w:val="19"/>
                <w:szCs w:val="19"/>
                <w:color w:val="auto"/>
              </w:rPr>
              <w:t>Memo:</w:t>
            </w:r>
          </w:p>
        </w:tc>
        <w:tc>
          <w:tcPr>
            <w:tcW w:w="0" w:type="dxa"/>
            <w:vAlign w:val="bottom"/>
          </w:tcPr>
          <w:p>
            <w:pPr>
              <w:spacing w:after="0"/>
              <w:rPr>
                <w:sz w:val="1"/>
                <w:szCs w:val="1"/>
                <w:color w:val="auto"/>
              </w:rPr>
            </w:pPr>
          </w:p>
        </w:tc>
      </w:tr>
      <w:tr>
        <w:trPr>
          <w:trHeight w:val="494"/>
        </w:trPr>
        <w:tc>
          <w:tcPr>
            <w:tcW w:w="3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jc w:val="right"/>
              <w:ind w:right="606"/>
              <w:spacing w:after="0"/>
              <w:rPr>
                <w:sz w:val="20"/>
                <w:szCs w:val="20"/>
                <w:color w:val="auto"/>
              </w:rPr>
            </w:pPr>
            <w:r>
              <w:rPr>
                <w:rFonts w:ascii="Arial" w:cs="Arial" w:eastAsia="Arial" w:hAnsi="Arial"/>
                <w:sz w:val="19"/>
                <w:szCs w:val="19"/>
                <w:color w:val="auto"/>
              </w:rPr>
              <w:t>July 1 -</w:t>
            </w:r>
          </w:p>
        </w:tc>
        <w:tc>
          <w:tcPr>
            <w:tcW w:w="460" w:type="dxa"/>
            <w:vAlign w:val="bottom"/>
          </w:tcPr>
          <w:p>
            <w:pPr>
              <w:spacing w:after="0"/>
              <w:rPr>
                <w:sz w:val="24"/>
                <w:szCs w:val="24"/>
                <w:color w:val="auto"/>
              </w:rPr>
            </w:pPr>
          </w:p>
        </w:tc>
        <w:tc>
          <w:tcPr>
            <w:tcW w:w="1420" w:type="dxa"/>
            <w:vAlign w:val="bottom"/>
          </w:tcPr>
          <w:p>
            <w:pPr>
              <w:jc w:val="center"/>
              <w:ind w:right="446"/>
              <w:spacing w:after="0"/>
              <w:rPr>
                <w:sz w:val="20"/>
                <w:szCs w:val="20"/>
                <w:color w:val="auto"/>
              </w:rPr>
            </w:pPr>
            <w:r>
              <w:rPr>
                <w:rFonts w:ascii="Arial" w:cs="Arial" w:eastAsia="Arial" w:hAnsi="Arial"/>
                <w:sz w:val="19"/>
                <w:szCs w:val="19"/>
                <w:color w:val="auto"/>
              </w:rPr>
              <w:t>July 10 -</w:t>
            </w:r>
          </w:p>
        </w:tc>
        <w:tc>
          <w:tcPr>
            <w:tcW w:w="1480" w:type="dxa"/>
            <w:vAlign w:val="bottom"/>
            <w:gridSpan w:val="2"/>
          </w:tcPr>
          <w:p>
            <w:pPr>
              <w:jc w:val="right"/>
              <w:spacing w:after="0"/>
              <w:rPr>
                <w:sz w:val="20"/>
                <w:szCs w:val="20"/>
                <w:color w:val="auto"/>
              </w:rPr>
            </w:pPr>
            <w:r>
              <w:rPr>
                <w:rFonts w:ascii="Arial" w:cs="Arial" w:eastAsia="Arial" w:hAnsi="Arial"/>
                <w:sz w:val="19"/>
                <w:szCs w:val="19"/>
                <w:color w:val="auto"/>
              </w:rPr>
              <w:t>Viability Plan</w:t>
            </w:r>
          </w:p>
        </w:tc>
        <w:tc>
          <w:tcPr>
            <w:tcW w:w="0" w:type="dxa"/>
            <w:vAlign w:val="bottom"/>
          </w:tcPr>
          <w:p>
            <w:pPr>
              <w:spacing w:after="0"/>
              <w:rPr>
                <w:sz w:val="1"/>
                <w:szCs w:val="1"/>
                <w:color w:val="auto"/>
              </w:rPr>
            </w:pPr>
          </w:p>
        </w:tc>
      </w:tr>
      <w:tr>
        <w:trPr>
          <w:trHeight w:val="247"/>
        </w:trPr>
        <w:tc>
          <w:tcPr>
            <w:tcW w:w="3240" w:type="dxa"/>
            <w:vAlign w:val="bottom"/>
          </w:tcPr>
          <w:p>
            <w:pPr>
              <w:spacing w:after="0"/>
              <w:rPr>
                <w:sz w:val="20"/>
                <w:szCs w:val="20"/>
                <w:color w:val="auto"/>
              </w:rPr>
            </w:pPr>
            <w:r>
              <w:rPr>
                <w:rFonts w:ascii="Arial" w:cs="Arial" w:eastAsia="Arial" w:hAnsi="Arial"/>
                <w:sz w:val="19"/>
                <w:szCs w:val="19"/>
                <w:color w:val="auto"/>
              </w:rPr>
              <w:t>($ Millions)</w:t>
            </w:r>
          </w:p>
        </w:tc>
        <w:tc>
          <w:tcPr>
            <w:tcW w:w="720" w:type="dxa"/>
            <w:vAlign w:val="bottom"/>
          </w:tcPr>
          <w:p>
            <w:pPr>
              <w:spacing w:after="0"/>
              <w:rPr>
                <w:sz w:val="21"/>
                <w:szCs w:val="21"/>
                <w:color w:val="auto"/>
              </w:rPr>
            </w:pPr>
          </w:p>
        </w:tc>
        <w:tc>
          <w:tcPr>
            <w:tcW w:w="1180" w:type="dxa"/>
            <w:vAlign w:val="bottom"/>
          </w:tcPr>
          <w:p>
            <w:pPr>
              <w:jc w:val="right"/>
              <w:ind w:right="506"/>
              <w:spacing w:after="0"/>
              <w:rPr>
                <w:sz w:val="20"/>
                <w:szCs w:val="20"/>
                <w:color w:val="auto"/>
              </w:rPr>
            </w:pPr>
            <w:r>
              <w:rPr>
                <w:rFonts w:ascii="Arial" w:cs="Arial" w:eastAsia="Arial" w:hAnsi="Arial"/>
                <w:sz w:val="19"/>
                <w:szCs w:val="19"/>
                <w:color w:val="auto"/>
              </w:rPr>
              <w:t>3Q08</w:t>
            </w:r>
          </w:p>
        </w:tc>
        <w:tc>
          <w:tcPr>
            <w:tcW w:w="1740" w:type="dxa"/>
            <w:vAlign w:val="bottom"/>
            <w:gridSpan w:val="2"/>
          </w:tcPr>
          <w:p>
            <w:pPr>
              <w:jc w:val="right"/>
              <w:ind w:right="406"/>
              <w:spacing w:after="0"/>
              <w:rPr>
                <w:sz w:val="20"/>
                <w:szCs w:val="20"/>
                <w:color w:val="auto"/>
              </w:rPr>
            </w:pPr>
            <w:r>
              <w:rPr>
                <w:rFonts w:ascii="Arial" w:cs="Arial" w:eastAsia="Arial" w:hAnsi="Arial"/>
                <w:sz w:val="19"/>
                <w:szCs w:val="19"/>
                <w:color w:val="auto"/>
              </w:rPr>
              <w:t>July 9, 2009</w:t>
            </w:r>
          </w:p>
        </w:tc>
        <w:tc>
          <w:tcPr>
            <w:tcW w:w="1880" w:type="dxa"/>
            <w:vAlign w:val="bottom"/>
            <w:gridSpan w:val="2"/>
          </w:tcPr>
          <w:p>
            <w:pPr>
              <w:jc w:val="center"/>
              <w:ind w:right="6"/>
              <w:spacing w:after="0"/>
              <w:rPr>
                <w:sz w:val="20"/>
                <w:szCs w:val="20"/>
                <w:color w:val="auto"/>
              </w:rPr>
            </w:pPr>
            <w:r>
              <w:rPr>
                <w:rFonts w:ascii="Arial" w:cs="Arial" w:eastAsia="Arial" w:hAnsi="Arial"/>
                <w:sz w:val="19"/>
                <w:szCs w:val="19"/>
                <w:color w:val="auto"/>
                <w:w w:val="98"/>
              </w:rPr>
              <w:t>Sept. 30, 2009</w:t>
            </w:r>
          </w:p>
        </w:tc>
        <w:tc>
          <w:tcPr>
            <w:tcW w:w="540" w:type="dxa"/>
            <w:vAlign w:val="bottom"/>
          </w:tcPr>
          <w:p>
            <w:pPr>
              <w:spacing w:after="0"/>
              <w:rPr>
                <w:sz w:val="21"/>
                <w:szCs w:val="21"/>
                <w:color w:val="auto"/>
              </w:rPr>
            </w:pPr>
          </w:p>
        </w:tc>
        <w:tc>
          <w:tcPr>
            <w:tcW w:w="940" w:type="dxa"/>
            <w:vAlign w:val="bottom"/>
          </w:tcPr>
          <w:p>
            <w:pPr>
              <w:jc w:val="right"/>
              <w:ind w:right="166"/>
              <w:spacing w:after="0"/>
              <w:rPr>
                <w:sz w:val="20"/>
                <w:szCs w:val="20"/>
                <w:color w:val="auto"/>
              </w:rPr>
            </w:pPr>
            <w:r>
              <w:rPr>
                <w:rFonts w:ascii="Arial" w:cs="Arial" w:eastAsia="Arial" w:hAnsi="Arial"/>
                <w:sz w:val="19"/>
                <w:szCs w:val="19"/>
                <w:color w:val="auto"/>
                <w:w w:val="99"/>
              </w:rPr>
              <w:t>3Q09 **</w:t>
            </w:r>
          </w:p>
        </w:tc>
        <w:tc>
          <w:tcPr>
            <w:tcW w:w="0" w:type="dxa"/>
            <w:vAlign w:val="bottom"/>
          </w:tcPr>
          <w:p>
            <w:pPr>
              <w:spacing w:after="0"/>
              <w:rPr>
                <w:sz w:val="1"/>
                <w:szCs w:val="1"/>
                <w:color w:val="auto"/>
              </w:rPr>
            </w:pPr>
          </w:p>
        </w:tc>
      </w:tr>
      <w:tr>
        <w:trPr>
          <w:trHeight w:val="412"/>
        </w:trPr>
        <w:tc>
          <w:tcPr>
            <w:tcW w:w="3240" w:type="dxa"/>
            <w:vAlign w:val="bottom"/>
          </w:tcPr>
          <w:p>
            <w:pPr>
              <w:spacing w:after="0"/>
              <w:rPr>
                <w:sz w:val="20"/>
                <w:szCs w:val="20"/>
                <w:color w:val="auto"/>
              </w:rPr>
            </w:pPr>
            <w:r>
              <w:rPr>
                <w:rFonts w:ascii="Arial" w:cs="Arial" w:eastAsia="Arial" w:hAnsi="Arial"/>
                <w:sz w:val="19"/>
                <w:szCs w:val="19"/>
                <w:color w:val="auto"/>
              </w:rPr>
              <w:t>GMNA</w:t>
            </w:r>
          </w:p>
        </w:tc>
        <w:tc>
          <w:tcPr>
            <w:tcW w:w="720" w:type="dxa"/>
            <w:vAlign w:val="bottom"/>
          </w:tcPr>
          <w:p>
            <w:pPr>
              <w:jc w:val="right"/>
              <w:ind w:right="26"/>
              <w:spacing w:after="0"/>
              <w:rPr>
                <w:sz w:val="20"/>
                <w:szCs w:val="20"/>
                <w:color w:val="auto"/>
              </w:rPr>
            </w:pPr>
            <w:r>
              <w:rPr>
                <w:rFonts w:ascii="Arial" w:cs="Arial" w:eastAsia="Arial" w:hAnsi="Arial"/>
                <w:sz w:val="19"/>
                <w:szCs w:val="19"/>
                <w:color w:val="auto"/>
              </w:rPr>
              <w:t>$</w:t>
            </w:r>
          </w:p>
        </w:tc>
        <w:tc>
          <w:tcPr>
            <w:tcW w:w="1180" w:type="dxa"/>
            <w:vAlign w:val="bottom"/>
          </w:tcPr>
          <w:p>
            <w:pPr>
              <w:jc w:val="right"/>
              <w:ind w:right="86"/>
              <w:spacing w:after="0"/>
              <w:rPr>
                <w:sz w:val="20"/>
                <w:szCs w:val="20"/>
                <w:color w:val="auto"/>
              </w:rPr>
            </w:pPr>
            <w:r>
              <w:rPr>
                <w:rFonts w:ascii="Arial" w:cs="Arial" w:eastAsia="Arial" w:hAnsi="Arial"/>
                <w:sz w:val="19"/>
                <w:szCs w:val="19"/>
                <w:color w:val="auto"/>
              </w:rPr>
              <w:t>(2,015)</w:t>
            </w:r>
          </w:p>
        </w:tc>
        <w:tc>
          <w:tcPr>
            <w:tcW w:w="36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ind w:right="226"/>
              <w:spacing w:after="0"/>
              <w:rPr>
                <w:sz w:val="20"/>
                <w:szCs w:val="20"/>
                <w:color w:val="auto"/>
              </w:rPr>
            </w:pPr>
            <w:r>
              <w:rPr>
                <w:rFonts w:ascii="Arial" w:cs="Arial" w:eastAsia="Arial" w:hAnsi="Arial"/>
                <w:sz w:val="19"/>
                <w:szCs w:val="19"/>
                <w:color w:val="auto"/>
              </w:rPr>
              <w:t>(532)</w:t>
            </w:r>
          </w:p>
        </w:tc>
        <w:tc>
          <w:tcPr>
            <w:tcW w:w="460" w:type="dxa"/>
            <w:vAlign w:val="bottom"/>
          </w:tcPr>
          <w:p>
            <w:pPr>
              <w:jc w:val="right"/>
              <w:spacing w:after="0"/>
              <w:rPr>
                <w:sz w:val="20"/>
                <w:szCs w:val="20"/>
                <w:color w:val="auto"/>
              </w:rPr>
            </w:pPr>
            <w:r>
              <w:rPr>
                <w:rFonts w:ascii="Arial" w:cs="Arial" w:eastAsia="Arial" w:hAnsi="Arial"/>
                <w:sz w:val="19"/>
                <w:szCs w:val="19"/>
                <w:color w:val="auto"/>
              </w:rPr>
              <w:t>$</w:t>
            </w:r>
          </w:p>
        </w:tc>
        <w:tc>
          <w:tcPr>
            <w:tcW w:w="1420" w:type="dxa"/>
            <w:vAlign w:val="bottom"/>
          </w:tcPr>
          <w:p>
            <w:pPr>
              <w:jc w:val="right"/>
              <w:ind w:right="226"/>
              <w:spacing w:after="0"/>
              <w:rPr>
                <w:sz w:val="20"/>
                <w:szCs w:val="20"/>
                <w:color w:val="auto"/>
              </w:rPr>
            </w:pPr>
            <w:r>
              <w:rPr>
                <w:rFonts w:ascii="Arial" w:cs="Arial" w:eastAsia="Arial" w:hAnsi="Arial"/>
                <w:sz w:val="19"/>
                <w:szCs w:val="19"/>
                <w:color w:val="auto"/>
              </w:rPr>
              <w:t>(651)</w:t>
            </w:r>
          </w:p>
        </w:tc>
        <w:tc>
          <w:tcPr>
            <w:tcW w:w="54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(2,094)</w:t>
            </w:r>
          </w:p>
        </w:tc>
        <w:tc>
          <w:tcPr>
            <w:tcW w:w="0" w:type="dxa"/>
            <w:vAlign w:val="bottom"/>
          </w:tcPr>
          <w:p>
            <w:pPr>
              <w:spacing w:after="0"/>
              <w:rPr>
                <w:sz w:val="1"/>
                <w:szCs w:val="1"/>
                <w:color w:val="auto"/>
              </w:rPr>
            </w:pPr>
          </w:p>
        </w:tc>
      </w:tr>
      <w:tr>
        <w:trPr>
          <w:trHeight w:val="247"/>
        </w:trPr>
        <w:tc>
          <w:tcPr>
            <w:tcW w:w="3240" w:type="dxa"/>
            <w:vAlign w:val="bottom"/>
          </w:tcPr>
          <w:p>
            <w:pPr>
              <w:spacing w:after="0"/>
              <w:rPr>
                <w:sz w:val="20"/>
                <w:szCs w:val="20"/>
                <w:color w:val="auto"/>
              </w:rPr>
            </w:pPr>
            <w:r>
              <w:rPr>
                <w:rFonts w:ascii="Arial" w:cs="Arial" w:eastAsia="Arial" w:hAnsi="Arial"/>
                <w:sz w:val="19"/>
                <w:szCs w:val="19"/>
                <w:color w:val="auto"/>
              </w:rPr>
              <w:t>GMIO</w:t>
            </w:r>
          </w:p>
        </w:tc>
        <w:tc>
          <w:tcPr>
            <w:tcW w:w="720" w:type="dxa"/>
            <w:vAlign w:val="bottom"/>
          </w:tcPr>
          <w:p>
            <w:pPr>
              <w:spacing w:after="0"/>
              <w:rPr>
                <w:sz w:val="21"/>
                <w:szCs w:val="21"/>
                <w:color w:val="auto"/>
              </w:rPr>
            </w:pPr>
          </w:p>
        </w:tc>
        <w:tc>
          <w:tcPr>
            <w:tcW w:w="1180" w:type="dxa"/>
            <w:vAlign w:val="bottom"/>
          </w:tcPr>
          <w:p>
            <w:pPr>
              <w:jc w:val="right"/>
              <w:ind w:right="86"/>
              <w:spacing w:after="0"/>
              <w:rPr>
                <w:sz w:val="20"/>
                <w:szCs w:val="20"/>
                <w:color w:val="auto"/>
              </w:rPr>
            </w:pPr>
            <w:r>
              <w:rPr>
                <w:rFonts w:ascii="Arial" w:cs="Arial" w:eastAsia="Arial" w:hAnsi="Arial"/>
                <w:sz w:val="19"/>
                <w:szCs w:val="19"/>
                <w:color w:val="auto"/>
              </w:rPr>
              <w:t>(447)</w:t>
            </w:r>
          </w:p>
        </w:tc>
        <w:tc>
          <w:tcPr>
            <w:tcW w:w="360" w:type="dxa"/>
            <w:vAlign w:val="bottom"/>
          </w:tcPr>
          <w:p>
            <w:pPr>
              <w:spacing w:after="0"/>
              <w:rPr>
                <w:sz w:val="21"/>
                <w:szCs w:val="21"/>
                <w:color w:val="auto"/>
              </w:rPr>
            </w:pPr>
          </w:p>
        </w:tc>
        <w:tc>
          <w:tcPr>
            <w:tcW w:w="1380" w:type="dxa"/>
            <w:vAlign w:val="bottom"/>
          </w:tcPr>
          <w:p>
            <w:pPr>
              <w:jc w:val="right"/>
              <w:ind w:right="226"/>
              <w:spacing w:after="0"/>
              <w:rPr>
                <w:sz w:val="20"/>
                <w:szCs w:val="20"/>
                <w:color w:val="auto"/>
              </w:rPr>
            </w:pPr>
            <w:r>
              <w:rPr>
                <w:rFonts w:ascii="Arial" w:cs="Arial" w:eastAsia="Arial" w:hAnsi="Arial"/>
                <w:sz w:val="19"/>
                <w:szCs w:val="19"/>
                <w:color w:val="auto"/>
              </w:rPr>
              <w:t>(81)</w:t>
            </w:r>
          </w:p>
        </w:tc>
        <w:tc>
          <w:tcPr>
            <w:tcW w:w="460" w:type="dxa"/>
            <w:vAlign w:val="bottom"/>
          </w:tcPr>
          <w:p>
            <w:pPr>
              <w:spacing w:after="0"/>
              <w:rPr>
                <w:sz w:val="21"/>
                <w:szCs w:val="21"/>
                <w:color w:val="auto"/>
              </w:rPr>
            </w:pPr>
          </w:p>
        </w:tc>
        <w:tc>
          <w:tcPr>
            <w:tcW w:w="1420" w:type="dxa"/>
            <w:vAlign w:val="bottom"/>
          </w:tcPr>
          <w:p>
            <w:pPr>
              <w:jc w:val="right"/>
              <w:ind w:right="286"/>
              <w:spacing w:after="0"/>
              <w:rPr>
                <w:sz w:val="20"/>
                <w:szCs w:val="20"/>
                <w:color w:val="auto"/>
              </w:rPr>
            </w:pPr>
            <w:r>
              <w:rPr>
                <w:rFonts w:ascii="Arial" w:cs="Arial" w:eastAsia="Arial" w:hAnsi="Arial"/>
                <w:sz w:val="19"/>
                <w:szCs w:val="19"/>
                <w:color w:val="auto"/>
              </w:rPr>
              <w:t>238</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(967)</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19"/>
                <w:szCs w:val="19"/>
                <w:color w:val="auto"/>
              </w:rPr>
              <w:t>Corp. / Other (Including Elims)</w:t>
            </w:r>
          </w:p>
        </w:tc>
        <w:tc>
          <w:tcPr>
            <w:tcW w:w="720" w:type="dxa"/>
            <w:vAlign w:val="bottom"/>
          </w:tcPr>
          <w:p>
            <w:pPr>
              <w:spacing w:after="0"/>
              <w:rPr>
                <w:sz w:val="22"/>
                <w:szCs w:val="22"/>
                <w:color w:val="auto"/>
              </w:rPr>
            </w:pPr>
          </w:p>
        </w:tc>
        <w:tc>
          <w:tcPr>
            <w:tcW w:w="1180" w:type="dxa"/>
            <w:vAlign w:val="bottom"/>
          </w:tcPr>
          <w:p>
            <w:pPr>
              <w:jc w:val="right"/>
              <w:ind w:right="146"/>
              <w:spacing w:after="0"/>
              <w:rPr>
                <w:sz w:val="20"/>
                <w:szCs w:val="20"/>
                <w:color w:val="auto"/>
              </w:rPr>
            </w:pPr>
            <w:r>
              <w:rPr>
                <w:rFonts w:ascii="Arial" w:cs="Arial" w:eastAsia="Arial" w:hAnsi="Arial"/>
                <w:sz w:val="19"/>
                <w:szCs w:val="19"/>
                <w:color w:val="auto"/>
              </w:rPr>
              <w:t>47</w:t>
            </w:r>
          </w:p>
        </w:tc>
        <w:tc>
          <w:tcPr>
            <w:tcW w:w="360" w:type="dxa"/>
            <w:vAlign w:val="bottom"/>
          </w:tcPr>
          <w:p>
            <w:pPr>
              <w:spacing w:after="0"/>
              <w:rPr>
                <w:sz w:val="22"/>
                <w:szCs w:val="22"/>
                <w:color w:val="auto"/>
              </w:rPr>
            </w:pPr>
          </w:p>
        </w:tc>
        <w:tc>
          <w:tcPr>
            <w:tcW w:w="1380" w:type="dxa"/>
            <w:vAlign w:val="bottom"/>
          </w:tcPr>
          <w:p>
            <w:pPr>
              <w:jc w:val="right"/>
              <w:ind w:right="226"/>
              <w:spacing w:after="0"/>
              <w:rPr>
                <w:sz w:val="20"/>
                <w:szCs w:val="20"/>
                <w:color w:val="auto"/>
              </w:rPr>
            </w:pPr>
            <w:r>
              <w:rPr>
                <w:rFonts w:ascii="Arial" w:cs="Arial" w:eastAsia="Arial" w:hAnsi="Arial"/>
                <w:sz w:val="19"/>
                <w:szCs w:val="19"/>
                <w:color w:val="auto"/>
              </w:rPr>
              <w:t>(14)</w:t>
            </w:r>
          </w:p>
        </w:tc>
        <w:tc>
          <w:tcPr>
            <w:tcW w:w="460" w:type="dxa"/>
            <w:vAlign w:val="bottom"/>
          </w:tcPr>
          <w:p>
            <w:pPr>
              <w:spacing w:after="0"/>
              <w:rPr>
                <w:sz w:val="22"/>
                <w:szCs w:val="22"/>
                <w:color w:val="auto"/>
              </w:rPr>
            </w:pPr>
          </w:p>
        </w:tc>
        <w:tc>
          <w:tcPr>
            <w:tcW w:w="1420" w:type="dxa"/>
            <w:vAlign w:val="bottom"/>
          </w:tcPr>
          <w:p>
            <w:pPr>
              <w:jc w:val="right"/>
              <w:ind w:right="286"/>
              <w:spacing w:after="0"/>
              <w:rPr>
                <w:sz w:val="20"/>
                <w:szCs w:val="20"/>
                <w:color w:val="auto"/>
              </w:rPr>
            </w:pPr>
            <w:r>
              <w:rPr>
                <w:rFonts w:ascii="Arial" w:cs="Arial" w:eastAsia="Arial" w:hAnsi="Arial"/>
                <w:sz w:val="19"/>
                <w:szCs w:val="19"/>
                <w:color w:val="auto"/>
              </w:rPr>
              <w:t>152</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(518)</w:t>
            </w:r>
          </w:p>
        </w:tc>
        <w:tc>
          <w:tcPr>
            <w:tcW w:w="0" w:type="dxa"/>
            <w:vAlign w:val="bottom"/>
          </w:tcPr>
          <w:p>
            <w:pPr>
              <w:spacing w:after="0"/>
              <w:rPr>
                <w:sz w:val="1"/>
                <w:szCs w:val="1"/>
                <w:color w:val="auto"/>
              </w:rPr>
            </w:pPr>
          </w:p>
        </w:tc>
      </w:tr>
      <w:tr>
        <w:trPr>
          <w:trHeight w:val="247"/>
        </w:trPr>
        <w:tc>
          <w:tcPr>
            <w:tcW w:w="3240" w:type="dxa"/>
            <w:vAlign w:val="bottom"/>
          </w:tcPr>
          <w:p>
            <w:pPr>
              <w:spacing w:after="0"/>
              <w:rPr>
                <w:sz w:val="20"/>
                <w:szCs w:val="20"/>
                <w:color w:val="auto"/>
              </w:rPr>
            </w:pPr>
            <w:r>
              <w:rPr>
                <w:rFonts w:ascii="Arial" w:cs="Arial" w:eastAsia="Arial" w:hAnsi="Arial"/>
                <w:sz w:val="19"/>
                <w:szCs w:val="19"/>
                <w:color w:val="auto"/>
              </w:rPr>
              <w:t>GMAC Equity Income/(Loss)</w:t>
            </w:r>
          </w:p>
        </w:tc>
        <w:tc>
          <w:tcPr>
            <w:tcW w:w="720" w:type="dxa"/>
            <w:vAlign w:val="bottom"/>
          </w:tcPr>
          <w:p>
            <w:pPr>
              <w:spacing w:after="0"/>
              <w:rPr>
                <w:sz w:val="21"/>
                <w:szCs w:val="21"/>
                <w:color w:val="auto"/>
              </w:rPr>
            </w:pPr>
          </w:p>
        </w:tc>
        <w:tc>
          <w:tcPr>
            <w:tcW w:w="1180" w:type="dxa"/>
            <w:vAlign w:val="bottom"/>
          </w:tcPr>
          <w:p>
            <w:pPr>
              <w:jc w:val="right"/>
              <w:ind w:right="86"/>
              <w:spacing w:after="0"/>
              <w:rPr>
                <w:sz w:val="20"/>
                <w:szCs w:val="20"/>
                <w:color w:val="auto"/>
              </w:rPr>
            </w:pPr>
            <w:r>
              <w:rPr>
                <w:rFonts w:ascii="Arial" w:cs="Arial" w:eastAsia="Arial" w:hAnsi="Arial"/>
                <w:sz w:val="19"/>
                <w:szCs w:val="19"/>
                <w:color w:val="auto"/>
              </w:rPr>
              <w:t>(1,235)</w:t>
            </w:r>
          </w:p>
        </w:tc>
        <w:tc>
          <w:tcPr>
            <w:tcW w:w="360" w:type="dxa"/>
            <w:vAlign w:val="bottom"/>
          </w:tcPr>
          <w:p>
            <w:pPr>
              <w:spacing w:after="0"/>
              <w:rPr>
                <w:sz w:val="21"/>
                <w:szCs w:val="21"/>
                <w:color w:val="auto"/>
              </w:rPr>
            </w:pPr>
          </w:p>
        </w:tc>
        <w:tc>
          <w:tcPr>
            <w:tcW w:w="1380" w:type="dxa"/>
            <w:vAlign w:val="bottom"/>
          </w:tcPr>
          <w:p>
            <w:pPr>
              <w:jc w:val="right"/>
              <w:ind w:right="286"/>
              <w:spacing w:after="0"/>
              <w:rPr>
                <w:sz w:val="20"/>
                <w:szCs w:val="20"/>
                <w:color w:val="auto"/>
              </w:rPr>
            </w:pPr>
            <w:r>
              <w:rPr>
                <w:rFonts w:ascii="Arial" w:cs="Arial" w:eastAsia="Arial" w:hAnsi="Arial"/>
                <w:sz w:val="19"/>
                <w:szCs w:val="19"/>
                <w:color w:val="auto"/>
              </w:rPr>
              <w:t>0</w:t>
            </w:r>
          </w:p>
        </w:tc>
        <w:tc>
          <w:tcPr>
            <w:tcW w:w="460" w:type="dxa"/>
            <w:vAlign w:val="bottom"/>
          </w:tcPr>
          <w:p>
            <w:pPr>
              <w:spacing w:after="0"/>
              <w:rPr>
                <w:sz w:val="21"/>
                <w:szCs w:val="21"/>
                <w:color w:val="auto"/>
              </w:rPr>
            </w:pPr>
          </w:p>
        </w:tc>
        <w:tc>
          <w:tcPr>
            <w:tcW w:w="1420" w:type="dxa"/>
            <w:vAlign w:val="bottom"/>
          </w:tcPr>
          <w:p>
            <w:pPr>
              <w:jc w:val="right"/>
              <w:ind w:right="286"/>
              <w:spacing w:after="0"/>
              <w:rPr>
                <w:sz w:val="20"/>
                <w:szCs w:val="20"/>
                <w:color w:val="auto"/>
              </w:rPr>
            </w:pPr>
            <w:r>
              <w:rPr>
                <w:rFonts w:ascii="Arial" w:cs="Arial" w:eastAsia="Arial" w:hAnsi="Arial"/>
                <w:sz w:val="19"/>
                <w:szCs w:val="19"/>
                <w:color w:val="auto"/>
              </w:rPr>
              <w:t>0</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259"/>
        </w:trPr>
        <w:tc>
          <w:tcPr>
            <w:tcW w:w="3240" w:type="dxa"/>
            <w:vAlign w:val="bottom"/>
          </w:tcPr>
          <w:p>
            <w:pPr>
              <w:ind w:left="160"/>
              <w:spacing w:after="0"/>
              <w:rPr>
                <w:sz w:val="20"/>
                <w:szCs w:val="20"/>
                <w:color w:val="auto"/>
              </w:rPr>
            </w:pPr>
            <w:r>
              <w:rPr>
                <w:rFonts w:ascii="Arial" w:cs="Arial" w:eastAsia="Arial" w:hAnsi="Arial"/>
                <w:sz w:val="19"/>
                <w:szCs w:val="19"/>
                <w:b w:val="1"/>
                <w:bCs w:val="1"/>
                <w:color w:val="auto"/>
              </w:rPr>
              <w:t xml:space="preserve">Total EBIT </w:t>
            </w:r>
            <w:r>
              <w:rPr>
                <w:rFonts w:ascii="Arial" w:cs="Arial" w:eastAsia="Arial" w:hAnsi="Arial"/>
                <w:sz w:val="15"/>
                <w:szCs w:val="15"/>
                <w:b w:val="1"/>
                <w:bCs w:val="1"/>
                <w:color w:val="auto"/>
              </w:rPr>
              <w:t>(Before Special Items)</w:t>
            </w:r>
          </w:p>
        </w:tc>
        <w:tc>
          <w:tcPr>
            <w:tcW w:w="720" w:type="dxa"/>
            <w:vAlign w:val="bottom"/>
          </w:tcPr>
          <w:p>
            <w:pPr>
              <w:spacing w:after="0"/>
              <w:rPr>
                <w:sz w:val="22"/>
                <w:szCs w:val="22"/>
                <w:color w:val="auto"/>
              </w:rPr>
            </w:pPr>
          </w:p>
        </w:tc>
        <w:tc>
          <w:tcPr>
            <w:tcW w:w="1180" w:type="dxa"/>
            <w:vAlign w:val="bottom"/>
          </w:tcPr>
          <w:p>
            <w:pPr>
              <w:jc w:val="right"/>
              <w:ind w:right="86"/>
              <w:spacing w:after="0"/>
              <w:rPr>
                <w:sz w:val="20"/>
                <w:szCs w:val="20"/>
                <w:color w:val="auto"/>
              </w:rPr>
            </w:pPr>
            <w:r>
              <w:rPr>
                <w:rFonts w:ascii="Arial" w:cs="Arial" w:eastAsia="Arial" w:hAnsi="Arial"/>
                <w:sz w:val="19"/>
                <w:szCs w:val="19"/>
                <w:b w:val="1"/>
                <w:bCs w:val="1"/>
                <w:color w:val="auto"/>
              </w:rPr>
              <w:t>(3,650)</w:t>
            </w:r>
          </w:p>
        </w:tc>
        <w:tc>
          <w:tcPr>
            <w:tcW w:w="360" w:type="dxa"/>
            <w:vAlign w:val="bottom"/>
          </w:tcPr>
          <w:p>
            <w:pPr>
              <w:spacing w:after="0"/>
              <w:rPr>
                <w:sz w:val="22"/>
                <w:szCs w:val="22"/>
                <w:color w:val="auto"/>
              </w:rPr>
            </w:pPr>
          </w:p>
        </w:tc>
        <w:tc>
          <w:tcPr>
            <w:tcW w:w="1380" w:type="dxa"/>
            <w:vAlign w:val="bottom"/>
          </w:tcPr>
          <w:p>
            <w:pPr>
              <w:jc w:val="right"/>
              <w:ind w:right="226"/>
              <w:spacing w:after="0"/>
              <w:rPr>
                <w:sz w:val="20"/>
                <w:szCs w:val="20"/>
                <w:color w:val="auto"/>
              </w:rPr>
            </w:pPr>
            <w:r>
              <w:rPr>
                <w:rFonts w:ascii="Arial" w:cs="Arial" w:eastAsia="Arial" w:hAnsi="Arial"/>
                <w:sz w:val="19"/>
                <w:szCs w:val="19"/>
                <w:b w:val="1"/>
                <w:bCs w:val="1"/>
                <w:color w:val="auto"/>
              </w:rPr>
              <w:t>(627)</w:t>
            </w:r>
          </w:p>
        </w:tc>
        <w:tc>
          <w:tcPr>
            <w:tcW w:w="460" w:type="dxa"/>
            <w:vAlign w:val="bottom"/>
          </w:tcPr>
          <w:p>
            <w:pPr>
              <w:spacing w:after="0"/>
              <w:rPr>
                <w:sz w:val="22"/>
                <w:szCs w:val="22"/>
                <w:color w:val="auto"/>
              </w:rPr>
            </w:pPr>
          </w:p>
        </w:tc>
        <w:tc>
          <w:tcPr>
            <w:tcW w:w="1420" w:type="dxa"/>
            <w:vAlign w:val="bottom"/>
          </w:tcPr>
          <w:p>
            <w:pPr>
              <w:jc w:val="right"/>
              <w:ind w:right="226"/>
              <w:spacing w:after="0"/>
              <w:rPr>
                <w:sz w:val="20"/>
                <w:szCs w:val="20"/>
                <w:color w:val="auto"/>
              </w:rPr>
            </w:pPr>
            <w:r>
              <w:rPr>
                <w:rFonts w:ascii="Arial" w:cs="Arial" w:eastAsia="Arial" w:hAnsi="Arial"/>
                <w:sz w:val="19"/>
                <w:szCs w:val="19"/>
                <w:b w:val="1"/>
                <w:bCs w:val="1"/>
                <w:color w:val="auto"/>
              </w:rPr>
              <w:t>(261)</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(3,579)</w:t>
            </w:r>
          </w:p>
        </w:tc>
        <w:tc>
          <w:tcPr>
            <w:tcW w:w="0" w:type="dxa"/>
            <w:vAlign w:val="bottom"/>
          </w:tcPr>
          <w:p>
            <w:pPr>
              <w:spacing w:after="0"/>
              <w:rPr>
                <w:sz w:val="1"/>
                <w:szCs w:val="1"/>
                <w:color w:val="auto"/>
              </w:rPr>
            </w:pPr>
          </w:p>
        </w:tc>
      </w:tr>
      <w:tr>
        <w:trPr>
          <w:trHeight w:val="376"/>
        </w:trPr>
        <w:tc>
          <w:tcPr>
            <w:tcW w:w="3240" w:type="dxa"/>
            <w:vAlign w:val="bottom"/>
          </w:tcPr>
          <w:p>
            <w:pPr>
              <w:ind w:left="160"/>
              <w:spacing w:after="0"/>
              <w:rPr>
                <w:sz w:val="20"/>
                <w:szCs w:val="20"/>
                <w:color w:val="auto"/>
              </w:rPr>
            </w:pPr>
            <w:r>
              <w:rPr>
                <w:rFonts w:ascii="Arial" w:cs="Arial" w:eastAsia="Arial" w:hAnsi="Arial"/>
                <w:sz w:val="19"/>
                <w:szCs w:val="19"/>
                <w:i w:val="1"/>
                <w:iCs w:val="1"/>
                <w:color w:val="auto"/>
              </w:rPr>
              <w:t>Memo: EBITDA</w:t>
            </w:r>
          </w:p>
        </w:tc>
        <w:tc>
          <w:tcPr>
            <w:tcW w:w="720" w:type="dxa"/>
            <w:vAlign w:val="bottom"/>
          </w:tcPr>
          <w:p>
            <w:pPr>
              <w:spacing w:after="0"/>
              <w:rPr>
                <w:sz w:val="24"/>
                <w:szCs w:val="24"/>
                <w:color w:val="auto"/>
              </w:rPr>
            </w:pPr>
          </w:p>
        </w:tc>
        <w:tc>
          <w:tcPr>
            <w:tcW w:w="1180" w:type="dxa"/>
            <w:vAlign w:val="bottom"/>
          </w:tcPr>
          <w:p>
            <w:pPr>
              <w:jc w:val="right"/>
              <w:ind w:right="126"/>
              <w:spacing w:after="0"/>
              <w:rPr>
                <w:sz w:val="20"/>
                <w:szCs w:val="20"/>
                <w:color w:val="auto"/>
              </w:rPr>
            </w:pPr>
            <w:r>
              <w:rPr>
                <w:rFonts w:ascii="Arial" w:cs="Arial" w:eastAsia="Arial" w:hAnsi="Arial"/>
                <w:sz w:val="19"/>
                <w:szCs w:val="19"/>
                <w:i w:val="1"/>
                <w:iCs w:val="1"/>
                <w:color w:val="auto"/>
              </w:rPr>
              <w:t>(1,682)</w:t>
            </w:r>
          </w:p>
        </w:tc>
        <w:tc>
          <w:tcPr>
            <w:tcW w:w="360" w:type="dxa"/>
            <w:vAlign w:val="bottom"/>
          </w:tcPr>
          <w:p>
            <w:pPr>
              <w:spacing w:after="0"/>
              <w:rPr>
                <w:sz w:val="24"/>
                <w:szCs w:val="24"/>
                <w:color w:val="auto"/>
              </w:rPr>
            </w:pPr>
          </w:p>
        </w:tc>
        <w:tc>
          <w:tcPr>
            <w:tcW w:w="1380" w:type="dxa"/>
            <w:vAlign w:val="bottom"/>
          </w:tcPr>
          <w:p>
            <w:pPr>
              <w:jc w:val="right"/>
              <w:ind w:right="246"/>
              <w:spacing w:after="0"/>
              <w:rPr>
                <w:sz w:val="20"/>
                <w:szCs w:val="20"/>
                <w:color w:val="auto"/>
              </w:rPr>
            </w:pPr>
            <w:r>
              <w:rPr>
                <w:rFonts w:ascii="Arial" w:cs="Arial" w:eastAsia="Arial" w:hAnsi="Arial"/>
                <w:sz w:val="19"/>
                <w:szCs w:val="19"/>
                <w:i w:val="1"/>
                <w:iCs w:val="1"/>
                <w:color w:val="auto"/>
              </w:rPr>
              <w:t>(184)</w:t>
            </w:r>
          </w:p>
        </w:tc>
        <w:tc>
          <w:tcPr>
            <w:tcW w:w="460" w:type="dxa"/>
            <w:vAlign w:val="bottom"/>
          </w:tcPr>
          <w:p>
            <w:pPr>
              <w:spacing w:after="0"/>
              <w:rPr>
                <w:sz w:val="24"/>
                <w:szCs w:val="24"/>
                <w:color w:val="auto"/>
              </w:rPr>
            </w:pPr>
          </w:p>
        </w:tc>
        <w:tc>
          <w:tcPr>
            <w:tcW w:w="1420" w:type="dxa"/>
            <w:vAlign w:val="bottom"/>
          </w:tcPr>
          <w:p>
            <w:pPr>
              <w:jc w:val="right"/>
              <w:ind w:right="306"/>
              <w:spacing w:after="0"/>
              <w:rPr>
                <w:sz w:val="20"/>
                <w:szCs w:val="20"/>
                <w:color w:val="auto"/>
              </w:rPr>
            </w:pPr>
            <w:r>
              <w:rPr>
                <w:rFonts w:ascii="Arial" w:cs="Arial" w:eastAsia="Arial" w:hAnsi="Arial"/>
                <w:sz w:val="19"/>
                <w:szCs w:val="19"/>
                <w:i w:val="1"/>
                <w:iCs w:val="1"/>
                <w:color w:val="auto"/>
              </w:rPr>
              <w:t>1,532</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i w:val="1"/>
                <w:iCs w:val="1"/>
                <w:color w:val="auto"/>
              </w:rPr>
              <w:t>(1,277)</w:t>
            </w:r>
          </w:p>
        </w:tc>
        <w:tc>
          <w:tcPr>
            <w:tcW w:w="0" w:type="dxa"/>
            <w:vAlign w:val="bottom"/>
          </w:tcPr>
          <w:p>
            <w:pPr>
              <w:spacing w:after="0"/>
              <w:rPr>
                <w:sz w:val="1"/>
                <w:szCs w:val="1"/>
                <w:color w:val="auto"/>
              </w:rPr>
            </w:pPr>
          </w:p>
        </w:tc>
      </w:tr>
      <w:tr>
        <w:trPr>
          <w:trHeight w:val="388"/>
        </w:trPr>
        <w:tc>
          <w:tcPr>
            <w:tcW w:w="3240" w:type="dxa"/>
            <w:vAlign w:val="bottom"/>
          </w:tcPr>
          <w:p>
            <w:pPr>
              <w:spacing w:after="0"/>
              <w:rPr>
                <w:sz w:val="20"/>
                <w:szCs w:val="20"/>
                <w:color w:val="auto"/>
              </w:rPr>
            </w:pPr>
            <w:r>
              <w:rPr>
                <w:rFonts w:ascii="Arial" w:cs="Arial" w:eastAsia="Arial" w:hAnsi="Arial"/>
                <w:sz w:val="19"/>
                <w:szCs w:val="19"/>
                <w:color w:val="auto"/>
              </w:rPr>
              <w:t>Net Interest</w:t>
            </w:r>
          </w:p>
        </w:tc>
        <w:tc>
          <w:tcPr>
            <w:tcW w:w="720" w:type="dxa"/>
            <w:vAlign w:val="bottom"/>
          </w:tcPr>
          <w:p>
            <w:pPr>
              <w:spacing w:after="0"/>
              <w:rPr>
                <w:sz w:val="24"/>
                <w:szCs w:val="24"/>
                <w:color w:val="auto"/>
              </w:rPr>
            </w:pPr>
          </w:p>
        </w:tc>
        <w:tc>
          <w:tcPr>
            <w:tcW w:w="1180" w:type="dxa"/>
            <w:vAlign w:val="bottom"/>
          </w:tcPr>
          <w:p>
            <w:pPr>
              <w:jc w:val="right"/>
              <w:ind w:right="86"/>
              <w:spacing w:after="0"/>
              <w:rPr>
                <w:sz w:val="20"/>
                <w:szCs w:val="20"/>
                <w:color w:val="auto"/>
              </w:rPr>
            </w:pPr>
            <w:r>
              <w:rPr>
                <w:rFonts w:ascii="Arial" w:cs="Arial" w:eastAsia="Arial" w:hAnsi="Arial"/>
                <w:sz w:val="19"/>
                <w:szCs w:val="19"/>
                <w:color w:val="auto"/>
              </w:rPr>
              <w:t>(487)</w:t>
            </w:r>
          </w:p>
        </w:tc>
        <w:tc>
          <w:tcPr>
            <w:tcW w:w="360" w:type="dxa"/>
            <w:vAlign w:val="bottom"/>
          </w:tcPr>
          <w:p>
            <w:pPr>
              <w:spacing w:after="0"/>
              <w:rPr>
                <w:sz w:val="24"/>
                <w:szCs w:val="24"/>
                <w:color w:val="auto"/>
              </w:rPr>
            </w:pPr>
          </w:p>
        </w:tc>
        <w:tc>
          <w:tcPr>
            <w:tcW w:w="1380" w:type="dxa"/>
            <w:vAlign w:val="bottom"/>
          </w:tcPr>
          <w:p>
            <w:pPr>
              <w:jc w:val="right"/>
              <w:ind w:right="226"/>
              <w:spacing w:after="0"/>
              <w:rPr>
                <w:sz w:val="20"/>
                <w:szCs w:val="20"/>
                <w:color w:val="auto"/>
              </w:rPr>
            </w:pPr>
            <w:r>
              <w:rPr>
                <w:rFonts w:ascii="Arial" w:cs="Arial" w:eastAsia="Arial" w:hAnsi="Arial"/>
                <w:sz w:val="19"/>
                <w:szCs w:val="19"/>
                <w:color w:val="auto"/>
              </w:rPr>
              <w:t>(209)</w:t>
            </w:r>
          </w:p>
        </w:tc>
        <w:tc>
          <w:tcPr>
            <w:tcW w:w="460" w:type="dxa"/>
            <w:vAlign w:val="bottom"/>
          </w:tcPr>
          <w:p>
            <w:pPr>
              <w:spacing w:after="0"/>
              <w:rPr>
                <w:sz w:val="24"/>
                <w:szCs w:val="24"/>
                <w:color w:val="auto"/>
              </w:rPr>
            </w:pPr>
          </w:p>
        </w:tc>
        <w:tc>
          <w:tcPr>
            <w:tcW w:w="1420" w:type="dxa"/>
            <w:vAlign w:val="bottom"/>
          </w:tcPr>
          <w:p>
            <w:pPr>
              <w:jc w:val="right"/>
              <w:ind w:right="226"/>
              <w:spacing w:after="0"/>
              <w:rPr>
                <w:sz w:val="20"/>
                <w:szCs w:val="20"/>
                <w:color w:val="auto"/>
              </w:rPr>
            </w:pPr>
            <w:r>
              <w:rPr>
                <w:rFonts w:ascii="Arial" w:cs="Arial" w:eastAsia="Arial" w:hAnsi="Arial"/>
                <w:sz w:val="19"/>
                <w:szCs w:val="19"/>
                <w:color w:val="auto"/>
              </w:rPr>
              <w:t>(250)</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(620)</w:t>
            </w:r>
          </w:p>
        </w:tc>
        <w:tc>
          <w:tcPr>
            <w:tcW w:w="0" w:type="dxa"/>
            <w:vAlign w:val="bottom"/>
          </w:tcPr>
          <w:p>
            <w:pPr>
              <w:spacing w:after="0"/>
              <w:rPr>
                <w:sz w:val="1"/>
                <w:szCs w:val="1"/>
                <w:color w:val="auto"/>
              </w:rPr>
            </w:pPr>
          </w:p>
        </w:tc>
      </w:tr>
      <w:tr>
        <w:trPr>
          <w:trHeight w:val="302"/>
        </w:trPr>
        <w:tc>
          <w:tcPr>
            <w:tcW w:w="3240" w:type="dxa"/>
            <w:vAlign w:val="bottom"/>
          </w:tcPr>
          <w:p>
            <w:pPr>
              <w:spacing w:after="0"/>
              <w:rPr>
                <w:sz w:val="20"/>
                <w:szCs w:val="20"/>
                <w:color w:val="auto"/>
              </w:rPr>
            </w:pPr>
            <w:r>
              <w:rPr>
                <w:rFonts w:ascii="Arial" w:cs="Arial" w:eastAsia="Arial" w:hAnsi="Arial"/>
                <w:sz w:val="19"/>
                <w:szCs w:val="19"/>
                <w:color w:val="auto"/>
              </w:rPr>
              <w:t>Special Items</w:t>
            </w:r>
          </w:p>
        </w:tc>
        <w:tc>
          <w:tcPr>
            <w:tcW w:w="720" w:type="dxa"/>
            <w:vAlign w:val="bottom"/>
          </w:tcPr>
          <w:p>
            <w:pPr>
              <w:spacing w:after="0"/>
              <w:rPr>
                <w:sz w:val="24"/>
                <w:szCs w:val="24"/>
                <w:color w:val="auto"/>
              </w:rPr>
            </w:pPr>
          </w:p>
        </w:tc>
        <w:tc>
          <w:tcPr>
            <w:tcW w:w="1180" w:type="dxa"/>
            <w:vAlign w:val="bottom"/>
          </w:tcPr>
          <w:p>
            <w:pPr>
              <w:jc w:val="right"/>
              <w:ind w:right="146"/>
              <w:spacing w:after="0"/>
              <w:rPr>
                <w:sz w:val="20"/>
                <w:szCs w:val="20"/>
                <w:color w:val="auto"/>
              </w:rPr>
            </w:pPr>
            <w:r>
              <w:rPr>
                <w:rFonts w:ascii="Arial" w:cs="Arial" w:eastAsia="Arial" w:hAnsi="Arial"/>
                <w:sz w:val="19"/>
                <w:szCs w:val="19"/>
                <w:color w:val="auto"/>
              </w:rPr>
              <w:t>1,653</w:t>
            </w:r>
          </w:p>
        </w:tc>
        <w:tc>
          <w:tcPr>
            <w:tcW w:w="360" w:type="dxa"/>
            <w:vAlign w:val="bottom"/>
          </w:tcPr>
          <w:p>
            <w:pPr>
              <w:spacing w:after="0"/>
              <w:rPr>
                <w:sz w:val="24"/>
                <w:szCs w:val="24"/>
                <w:color w:val="auto"/>
              </w:rPr>
            </w:pPr>
          </w:p>
        </w:tc>
        <w:tc>
          <w:tcPr>
            <w:tcW w:w="1380" w:type="dxa"/>
            <w:vAlign w:val="bottom"/>
          </w:tcPr>
          <w:p>
            <w:pPr>
              <w:ind w:left="420"/>
              <w:spacing w:after="0" w:line="302" w:lineRule="exact"/>
              <w:rPr>
                <w:sz w:val="20"/>
                <w:szCs w:val="20"/>
                <w:color w:val="auto"/>
              </w:rPr>
            </w:pPr>
            <w:r>
              <w:rPr>
                <w:rFonts w:ascii="Arial" w:cs="Arial" w:eastAsia="Arial" w:hAnsi="Arial"/>
                <w:sz w:val="18"/>
                <w:szCs w:val="18"/>
                <w:color w:val="auto"/>
              </w:rPr>
              <w:t xml:space="preserve">79,672 </w:t>
            </w:r>
            <w:r>
              <w:rPr>
                <w:rFonts w:ascii="Arial" w:cs="Arial" w:eastAsia="Arial" w:hAnsi="Arial"/>
                <w:sz w:val="35"/>
                <w:szCs w:val="35"/>
                <w:color w:val="auto"/>
                <w:vertAlign w:val="subscript"/>
              </w:rPr>
              <w:t>*</w:t>
            </w:r>
          </w:p>
        </w:tc>
        <w:tc>
          <w:tcPr>
            <w:tcW w:w="460" w:type="dxa"/>
            <w:vAlign w:val="bottom"/>
          </w:tcPr>
          <w:p>
            <w:pPr>
              <w:spacing w:after="0"/>
              <w:rPr>
                <w:sz w:val="24"/>
                <w:szCs w:val="24"/>
                <w:color w:val="auto"/>
              </w:rPr>
            </w:pPr>
          </w:p>
        </w:tc>
        <w:tc>
          <w:tcPr>
            <w:tcW w:w="1420" w:type="dxa"/>
            <w:vAlign w:val="bottom"/>
          </w:tcPr>
          <w:p>
            <w:pPr>
              <w:jc w:val="right"/>
              <w:ind w:right="226"/>
              <w:spacing w:after="0"/>
              <w:rPr>
                <w:sz w:val="20"/>
                <w:szCs w:val="20"/>
                <w:color w:val="auto"/>
              </w:rPr>
            </w:pPr>
            <w:r>
              <w:rPr>
                <w:rFonts w:ascii="Arial" w:cs="Arial" w:eastAsia="Arial" w:hAnsi="Arial"/>
                <w:sz w:val="19"/>
                <w:szCs w:val="19"/>
                <w:color w:val="auto"/>
              </w:rPr>
              <w:t>(505)</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250"/>
        </w:trPr>
        <w:tc>
          <w:tcPr>
            <w:tcW w:w="3240" w:type="dxa"/>
            <w:vAlign w:val="bottom"/>
          </w:tcPr>
          <w:p>
            <w:pPr>
              <w:ind w:left="160"/>
              <w:spacing w:after="0"/>
              <w:rPr>
                <w:sz w:val="20"/>
                <w:szCs w:val="20"/>
                <w:color w:val="auto"/>
              </w:rPr>
            </w:pPr>
            <w:r>
              <w:rPr>
                <w:rFonts w:ascii="Arial" w:cs="Arial" w:eastAsia="Arial" w:hAnsi="Arial"/>
                <w:sz w:val="19"/>
                <w:szCs w:val="19"/>
                <w:b w:val="1"/>
                <w:bCs w:val="1"/>
                <w:color w:val="auto"/>
              </w:rPr>
              <w:t>Total EBT</w:t>
            </w:r>
          </w:p>
        </w:tc>
        <w:tc>
          <w:tcPr>
            <w:tcW w:w="720" w:type="dxa"/>
            <w:vAlign w:val="bottom"/>
          </w:tcPr>
          <w:p>
            <w:pPr>
              <w:spacing w:after="0"/>
              <w:rPr>
                <w:sz w:val="21"/>
                <w:szCs w:val="21"/>
                <w:color w:val="auto"/>
              </w:rPr>
            </w:pPr>
          </w:p>
        </w:tc>
        <w:tc>
          <w:tcPr>
            <w:tcW w:w="1180" w:type="dxa"/>
            <w:vAlign w:val="bottom"/>
          </w:tcPr>
          <w:p>
            <w:pPr>
              <w:jc w:val="right"/>
              <w:ind w:right="86"/>
              <w:spacing w:after="0"/>
              <w:rPr>
                <w:sz w:val="20"/>
                <w:szCs w:val="20"/>
                <w:color w:val="auto"/>
              </w:rPr>
            </w:pPr>
            <w:r>
              <w:rPr>
                <w:rFonts w:ascii="Arial" w:cs="Arial" w:eastAsia="Arial" w:hAnsi="Arial"/>
                <w:sz w:val="19"/>
                <w:szCs w:val="19"/>
                <w:b w:val="1"/>
                <w:bCs w:val="1"/>
                <w:color w:val="auto"/>
              </w:rPr>
              <w:t>(2,484)</w:t>
            </w:r>
          </w:p>
        </w:tc>
        <w:tc>
          <w:tcPr>
            <w:tcW w:w="360" w:type="dxa"/>
            <w:vAlign w:val="bottom"/>
          </w:tcPr>
          <w:p>
            <w:pPr>
              <w:spacing w:after="0"/>
              <w:rPr>
                <w:sz w:val="21"/>
                <w:szCs w:val="21"/>
                <w:color w:val="auto"/>
              </w:rPr>
            </w:pPr>
          </w:p>
        </w:tc>
        <w:tc>
          <w:tcPr>
            <w:tcW w:w="1380" w:type="dxa"/>
            <w:vAlign w:val="bottom"/>
          </w:tcPr>
          <w:p>
            <w:pPr>
              <w:ind w:left="420"/>
              <w:spacing w:after="0"/>
              <w:rPr>
                <w:sz w:val="20"/>
                <w:szCs w:val="20"/>
                <w:color w:val="auto"/>
              </w:rPr>
            </w:pPr>
            <w:r>
              <w:rPr>
                <w:rFonts w:ascii="Arial" w:cs="Arial" w:eastAsia="Arial" w:hAnsi="Arial"/>
                <w:sz w:val="19"/>
                <w:szCs w:val="19"/>
                <w:b w:val="1"/>
                <w:bCs w:val="1"/>
                <w:color w:val="auto"/>
              </w:rPr>
              <w:t>78,836</w:t>
            </w:r>
          </w:p>
        </w:tc>
        <w:tc>
          <w:tcPr>
            <w:tcW w:w="460" w:type="dxa"/>
            <w:vAlign w:val="bottom"/>
          </w:tcPr>
          <w:p>
            <w:pPr>
              <w:spacing w:after="0"/>
              <w:rPr>
                <w:sz w:val="21"/>
                <w:szCs w:val="21"/>
                <w:color w:val="auto"/>
              </w:rPr>
            </w:pPr>
          </w:p>
        </w:tc>
        <w:tc>
          <w:tcPr>
            <w:tcW w:w="1420" w:type="dxa"/>
            <w:vAlign w:val="bottom"/>
          </w:tcPr>
          <w:p>
            <w:pPr>
              <w:jc w:val="right"/>
              <w:ind w:right="226"/>
              <w:spacing w:after="0"/>
              <w:rPr>
                <w:sz w:val="20"/>
                <w:szCs w:val="20"/>
                <w:color w:val="auto"/>
              </w:rPr>
            </w:pPr>
            <w:r>
              <w:rPr>
                <w:rFonts w:ascii="Arial" w:cs="Arial" w:eastAsia="Arial" w:hAnsi="Arial"/>
                <w:sz w:val="19"/>
                <w:szCs w:val="19"/>
                <w:b w:val="1"/>
                <w:bCs w:val="1"/>
                <w:color w:val="auto"/>
              </w:rPr>
              <w:t>(1,016)</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(4,199)</w:t>
            </w: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9"/>
                <w:szCs w:val="19"/>
                <w:color w:val="auto"/>
              </w:rPr>
              <w:t>Taxes</w:t>
            </w:r>
          </w:p>
        </w:tc>
        <w:tc>
          <w:tcPr>
            <w:tcW w:w="720" w:type="dxa"/>
            <w:vAlign w:val="bottom"/>
          </w:tcPr>
          <w:p>
            <w:pPr>
              <w:spacing w:after="0"/>
              <w:rPr>
                <w:sz w:val="24"/>
                <w:szCs w:val="24"/>
                <w:color w:val="auto"/>
              </w:rPr>
            </w:pPr>
          </w:p>
        </w:tc>
        <w:tc>
          <w:tcPr>
            <w:tcW w:w="1180" w:type="dxa"/>
            <w:vAlign w:val="bottom"/>
          </w:tcPr>
          <w:p>
            <w:pPr>
              <w:jc w:val="right"/>
              <w:ind w:right="86"/>
              <w:spacing w:after="0"/>
              <w:rPr>
                <w:sz w:val="20"/>
                <w:szCs w:val="20"/>
                <w:color w:val="auto"/>
              </w:rPr>
            </w:pPr>
            <w:r>
              <w:rPr>
                <w:rFonts w:ascii="Arial" w:cs="Arial" w:eastAsia="Arial" w:hAnsi="Arial"/>
                <w:sz w:val="19"/>
                <w:szCs w:val="19"/>
                <w:color w:val="auto"/>
              </w:rPr>
              <w:t>(68)</w:t>
            </w:r>
          </w:p>
        </w:tc>
        <w:tc>
          <w:tcPr>
            <w:tcW w:w="360" w:type="dxa"/>
            <w:vAlign w:val="bottom"/>
          </w:tcPr>
          <w:p>
            <w:pPr>
              <w:spacing w:after="0"/>
              <w:rPr>
                <w:sz w:val="24"/>
                <w:szCs w:val="24"/>
                <w:color w:val="auto"/>
              </w:rPr>
            </w:pPr>
          </w:p>
        </w:tc>
        <w:tc>
          <w:tcPr>
            <w:tcW w:w="1380" w:type="dxa"/>
            <w:vAlign w:val="bottom"/>
          </w:tcPr>
          <w:p>
            <w:pPr>
              <w:jc w:val="right"/>
              <w:ind w:right="286"/>
              <w:spacing w:after="0"/>
              <w:rPr>
                <w:sz w:val="20"/>
                <w:szCs w:val="20"/>
                <w:color w:val="auto"/>
              </w:rPr>
            </w:pPr>
            <w:r>
              <w:rPr>
                <w:rFonts w:ascii="Arial" w:cs="Arial" w:eastAsia="Arial" w:hAnsi="Arial"/>
                <w:sz w:val="19"/>
                <w:szCs w:val="19"/>
                <w:color w:val="auto"/>
              </w:rPr>
              <w:t>522</w:t>
            </w:r>
          </w:p>
        </w:tc>
        <w:tc>
          <w:tcPr>
            <w:tcW w:w="460" w:type="dxa"/>
            <w:vAlign w:val="bottom"/>
          </w:tcPr>
          <w:p>
            <w:pPr>
              <w:spacing w:after="0"/>
              <w:rPr>
                <w:sz w:val="24"/>
                <w:szCs w:val="24"/>
                <w:color w:val="auto"/>
              </w:rPr>
            </w:pPr>
          </w:p>
        </w:tc>
        <w:tc>
          <w:tcPr>
            <w:tcW w:w="1420" w:type="dxa"/>
            <w:vAlign w:val="bottom"/>
          </w:tcPr>
          <w:p>
            <w:pPr>
              <w:jc w:val="right"/>
              <w:ind w:right="226"/>
              <w:spacing w:after="0"/>
              <w:rPr>
                <w:sz w:val="20"/>
                <w:szCs w:val="20"/>
                <w:color w:val="auto"/>
              </w:rPr>
            </w:pPr>
            <w:r>
              <w:rPr>
                <w:rFonts w:ascii="Arial" w:cs="Arial" w:eastAsia="Arial" w:hAnsi="Arial"/>
                <w:sz w:val="19"/>
                <w:szCs w:val="19"/>
                <w:color w:val="auto"/>
              </w:rPr>
              <w:t>(135)</w:t>
            </w: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40" w:type="dxa"/>
            <w:vAlign w:val="bottom"/>
          </w:tcPr>
          <w:p>
            <w:pPr>
              <w:ind w:left="160"/>
              <w:spacing w:after="0"/>
              <w:rPr>
                <w:sz w:val="20"/>
                <w:szCs w:val="20"/>
                <w:color w:val="auto"/>
              </w:rPr>
            </w:pPr>
            <w:r>
              <w:rPr>
                <w:rFonts w:ascii="Arial" w:cs="Arial" w:eastAsia="Arial" w:hAnsi="Arial"/>
                <w:sz w:val="19"/>
                <w:szCs w:val="19"/>
                <w:b w:val="1"/>
                <w:bCs w:val="1"/>
                <w:color w:val="auto"/>
              </w:rPr>
              <w:t>Total Managerial Net</w:t>
            </w:r>
          </w:p>
        </w:tc>
        <w:tc>
          <w:tcPr>
            <w:tcW w:w="720" w:type="dxa"/>
            <w:vAlign w:val="bottom"/>
          </w:tcPr>
          <w:p>
            <w:pPr>
              <w:spacing w:after="0"/>
              <w:rPr>
                <w:sz w:val="21"/>
                <w:szCs w:val="21"/>
                <w:color w:val="auto"/>
              </w:rPr>
            </w:pPr>
          </w:p>
        </w:tc>
        <w:tc>
          <w:tcPr>
            <w:tcW w:w="1180" w:type="dxa"/>
            <w:vAlign w:val="bottom"/>
            <w:vMerge w:val="restart"/>
          </w:tcPr>
          <w:p>
            <w:pPr>
              <w:jc w:val="right"/>
              <w:ind w:right="86"/>
              <w:spacing w:after="0"/>
              <w:rPr>
                <w:sz w:val="20"/>
                <w:szCs w:val="20"/>
                <w:color w:val="auto"/>
              </w:rPr>
            </w:pPr>
            <w:r>
              <w:rPr>
                <w:rFonts w:ascii="Arial" w:cs="Arial" w:eastAsia="Arial" w:hAnsi="Arial"/>
                <w:sz w:val="19"/>
                <w:szCs w:val="19"/>
                <w:b w:val="1"/>
                <w:bCs w:val="1"/>
                <w:color w:val="auto"/>
              </w:rPr>
              <w:t>(2,552)</w:t>
            </w:r>
          </w:p>
        </w:tc>
        <w:tc>
          <w:tcPr>
            <w:tcW w:w="360" w:type="dxa"/>
            <w:vAlign w:val="bottom"/>
          </w:tcPr>
          <w:p>
            <w:pPr>
              <w:spacing w:after="0"/>
              <w:rPr>
                <w:sz w:val="21"/>
                <w:szCs w:val="21"/>
                <w:color w:val="auto"/>
              </w:rPr>
            </w:pPr>
          </w:p>
        </w:tc>
        <w:tc>
          <w:tcPr>
            <w:tcW w:w="1380" w:type="dxa"/>
            <w:vAlign w:val="bottom"/>
            <w:vMerge w:val="restart"/>
          </w:tcPr>
          <w:p>
            <w:pPr>
              <w:ind w:left="420"/>
              <w:spacing w:after="0"/>
              <w:rPr>
                <w:sz w:val="20"/>
                <w:szCs w:val="20"/>
                <w:color w:val="auto"/>
              </w:rPr>
            </w:pPr>
            <w:r>
              <w:rPr>
                <w:rFonts w:ascii="Arial" w:cs="Arial" w:eastAsia="Arial" w:hAnsi="Arial"/>
                <w:sz w:val="19"/>
                <w:szCs w:val="19"/>
                <w:b w:val="1"/>
                <w:bCs w:val="1"/>
                <w:color w:val="auto"/>
              </w:rPr>
              <w:t>79,358</w:t>
            </w:r>
          </w:p>
        </w:tc>
        <w:tc>
          <w:tcPr>
            <w:tcW w:w="460" w:type="dxa"/>
            <w:vAlign w:val="bottom"/>
          </w:tcPr>
          <w:p>
            <w:pPr>
              <w:spacing w:after="0"/>
              <w:rPr>
                <w:sz w:val="21"/>
                <w:szCs w:val="21"/>
                <w:color w:val="auto"/>
              </w:rPr>
            </w:pPr>
          </w:p>
        </w:tc>
        <w:tc>
          <w:tcPr>
            <w:tcW w:w="1420" w:type="dxa"/>
            <w:vAlign w:val="bottom"/>
            <w:vMerge w:val="restart"/>
          </w:tcPr>
          <w:p>
            <w:pPr>
              <w:jc w:val="right"/>
              <w:ind w:right="226"/>
              <w:spacing w:after="0"/>
              <w:rPr>
                <w:sz w:val="20"/>
                <w:szCs w:val="20"/>
                <w:color w:val="auto"/>
              </w:rPr>
            </w:pPr>
            <w:r>
              <w:rPr>
                <w:rFonts w:ascii="Arial" w:cs="Arial" w:eastAsia="Arial" w:hAnsi="Arial"/>
                <w:sz w:val="19"/>
                <w:szCs w:val="19"/>
                <w:b w:val="1"/>
                <w:bCs w:val="1"/>
                <w:color w:val="auto"/>
              </w:rPr>
              <w:t>(1,151)</w:t>
            </w:r>
          </w:p>
        </w:tc>
        <w:tc>
          <w:tcPr>
            <w:tcW w:w="540" w:type="dxa"/>
            <w:vAlign w:val="bottom"/>
          </w:tcPr>
          <w:p>
            <w:pPr>
              <w:spacing w:after="0"/>
              <w:rPr>
                <w:sz w:val="21"/>
                <w:szCs w:val="21"/>
                <w:color w:val="auto"/>
              </w:rPr>
            </w:pPr>
          </w:p>
        </w:tc>
        <w:tc>
          <w:tcPr>
            <w:tcW w:w="9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(4,199)</w:t>
            </w:r>
          </w:p>
        </w:tc>
        <w:tc>
          <w:tcPr>
            <w:tcW w:w="0" w:type="dxa"/>
            <w:vAlign w:val="bottom"/>
          </w:tcPr>
          <w:p>
            <w:pPr>
              <w:spacing w:after="0"/>
              <w:rPr>
                <w:sz w:val="1"/>
                <w:szCs w:val="1"/>
                <w:color w:val="auto"/>
              </w:rPr>
            </w:pPr>
          </w:p>
        </w:tc>
      </w:tr>
      <w:tr>
        <w:trPr>
          <w:trHeight w:val="118"/>
        </w:trPr>
        <w:tc>
          <w:tcPr>
            <w:tcW w:w="324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Income/(Loss)</w:t>
            </w:r>
          </w:p>
        </w:tc>
        <w:tc>
          <w:tcPr>
            <w:tcW w:w="7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4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00" w:hanging="145"/>
        <w:spacing w:after="0"/>
        <w:tabs>
          <w:tab w:leader="none" w:pos="300" w:val="left"/>
        </w:tabs>
        <w:numPr>
          <w:ilvl w:val="1"/>
          <w:numId w:val="18"/>
        </w:numPr>
        <w:rPr>
          <w:rFonts w:ascii="Arial" w:cs="Arial" w:eastAsia="Arial" w:hAnsi="Arial"/>
          <w:sz w:val="15"/>
          <w:szCs w:val="15"/>
          <w:i w:val="1"/>
          <w:iCs w:val="1"/>
          <w:color w:val="auto"/>
        </w:rPr>
      </w:pPr>
      <w:r>
        <w:rPr>
          <w:rFonts w:ascii="Arial" w:cs="Arial" w:eastAsia="Arial" w:hAnsi="Arial"/>
          <w:sz w:val="15"/>
          <w:szCs w:val="15"/>
          <w:color w:val="auto"/>
        </w:rPr>
        <w:t>Special items (July 1-July 9, 2009) includes reorganization gain of $80.7B</w:t>
      </w:r>
    </w:p>
    <w:p>
      <w:pPr>
        <w:spacing w:after="0" w:line="109" w:lineRule="exact"/>
        <w:rPr>
          <w:rFonts w:ascii="Arial" w:cs="Arial" w:eastAsia="Arial" w:hAnsi="Arial"/>
          <w:sz w:val="15"/>
          <w:szCs w:val="15"/>
          <w:i w:val="1"/>
          <w:iCs w:val="1"/>
          <w:color w:val="auto"/>
        </w:rPr>
      </w:pPr>
    </w:p>
    <w:p>
      <w:pPr>
        <w:ind w:left="300" w:right="440" w:hanging="223"/>
        <w:spacing w:after="0" w:line="278" w:lineRule="auto"/>
        <w:rPr>
          <w:rFonts w:ascii="Arial" w:cs="Arial" w:eastAsia="Arial" w:hAnsi="Arial"/>
          <w:sz w:val="15"/>
          <w:szCs w:val="15"/>
          <w:i w:val="1"/>
          <w:iCs w:val="1"/>
          <w:color w:val="auto"/>
        </w:rPr>
      </w:pPr>
      <w:r>
        <w:rPr>
          <w:rFonts w:ascii="Arial" w:cs="Arial" w:eastAsia="Arial" w:hAnsi="Arial"/>
          <w:sz w:val="15"/>
          <w:szCs w:val="15"/>
          <w:color w:val="auto"/>
        </w:rPr>
        <w:t>* * Viability Plan based on 5/31 plan filed with U.S. Bankruptcy court in support of 363 sale, adjusted to include full year consolidation of GME and other items (see supplemental slides for detail)</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18</w:t>
      </w:r>
    </w:p>
    <w:p>
      <w:pPr>
        <w:sectPr>
          <w:pgSz w:w="11900" w:h="16838" w:orient="portrait"/>
          <w:cols w:equalWidth="0" w:num="1">
            <w:col w:w="10380"/>
          </w:cols>
          <w:pgMar w:left="420" w:top="587" w:right="1099" w:bottom="1440" w:gutter="0" w:footer="0" w:header="0"/>
        </w:sectPr>
      </w:pPr>
    </w:p>
    <w:bookmarkStart w:id="40" w:name="page41"/>
    <w:bookmarkEnd w:id="40"/>
    <w:p>
      <w:pPr>
        <w:ind w:left="1021" w:right="3300"/>
        <w:spacing w:after="0" w:line="282" w:lineRule="auto"/>
        <w:rPr>
          <w:sz w:val="20"/>
          <w:szCs w:val="20"/>
          <w:color w:val="auto"/>
        </w:rPr>
      </w:pPr>
      <w:r>
        <w:rPr>
          <w:rFonts w:ascii="Arial" w:cs="Arial" w:eastAsia="Arial" w:hAnsi="Arial"/>
          <w:sz w:val="33"/>
          <w:szCs w:val="33"/>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GMNA Preliminary Managerial Results Before Special Items</w:t>
      </w:r>
    </w:p>
    <w:p>
      <w:pPr>
        <w:spacing w:after="0" w:line="200" w:lineRule="exact"/>
        <w:rPr>
          <w:sz w:val="20"/>
          <w:szCs w:val="20"/>
          <w:color w:val="auto"/>
        </w:rPr>
      </w:pPr>
    </w:p>
    <w:p>
      <w:pPr>
        <w:spacing w:after="0" w:line="372" w:lineRule="exact"/>
        <w:rPr>
          <w:sz w:val="20"/>
          <w:szCs w:val="20"/>
          <w:color w:val="auto"/>
        </w:rPr>
      </w:pPr>
    </w:p>
    <w:tbl>
      <w:tblPr>
        <w:tblLayout w:type="fixed"/>
        <w:tblInd w:w="521" w:type="dxa"/>
        <w:tblCellMar>
          <w:top w:w="0" w:type="dxa"/>
          <w:left w:w="0" w:type="dxa"/>
          <w:bottom w:w="0" w:type="dxa"/>
          <w:right w:w="0" w:type="dxa"/>
        </w:tblCellMar>
      </w:tblPr>
      <w:tr>
        <w:trPr>
          <w:trHeight w:val="265"/>
        </w:trPr>
        <w:tc>
          <w:tcPr>
            <w:tcW w:w="2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0" w:type="dxa"/>
            <w:vAlign w:val="bottom"/>
          </w:tcPr>
          <w:p>
            <w:pPr>
              <w:jc w:val="right"/>
              <w:ind w:right="960"/>
              <w:spacing w:after="0"/>
              <w:rPr>
                <w:sz w:val="20"/>
                <w:szCs w:val="20"/>
                <w:color w:val="auto"/>
              </w:rPr>
            </w:pPr>
            <w:r>
              <w:rPr>
                <w:rFonts w:ascii="Arial" w:cs="Arial" w:eastAsia="Arial" w:hAnsi="Arial"/>
                <w:sz w:val="20"/>
                <w:szCs w:val="20"/>
                <w:b w:val="1"/>
                <w:bCs w:val="1"/>
                <w:color w:val="auto"/>
              </w:rPr>
              <w:t>Old GM</w:t>
            </w:r>
          </w:p>
        </w:tc>
        <w:tc>
          <w:tcPr>
            <w:tcW w:w="2080" w:type="dxa"/>
            <w:vAlign w:val="bottom"/>
          </w:tcPr>
          <w:p>
            <w:pPr>
              <w:jc w:val="center"/>
              <w:ind w:left="101"/>
              <w:spacing w:after="0"/>
              <w:rPr>
                <w:sz w:val="20"/>
                <w:szCs w:val="20"/>
                <w:color w:val="auto"/>
              </w:rPr>
            </w:pPr>
            <w:r>
              <w:rPr>
                <w:rFonts w:ascii="Arial" w:cs="Arial" w:eastAsia="Arial" w:hAnsi="Arial"/>
                <w:sz w:val="20"/>
                <w:szCs w:val="20"/>
                <w:b w:val="1"/>
                <w:bCs w:val="1"/>
                <w:color w:val="auto"/>
              </w:rPr>
              <w:t>New GM</w:t>
            </w:r>
          </w:p>
        </w:tc>
        <w:tc>
          <w:tcPr>
            <w:tcW w:w="1420" w:type="dxa"/>
            <w:vAlign w:val="bottom"/>
          </w:tcPr>
          <w:p>
            <w:pPr>
              <w:jc w:val="center"/>
              <w:ind w:left="222"/>
              <w:spacing w:after="0"/>
              <w:rPr>
                <w:sz w:val="20"/>
                <w:szCs w:val="20"/>
                <w:color w:val="auto"/>
              </w:rPr>
            </w:pPr>
            <w:r>
              <w:rPr>
                <w:rFonts w:ascii="Arial" w:cs="Arial" w:eastAsia="Arial" w:hAnsi="Arial"/>
                <w:sz w:val="20"/>
                <w:szCs w:val="20"/>
                <w:color w:val="auto"/>
              </w:rPr>
              <w:t>Memo:</w:t>
            </w:r>
          </w:p>
        </w:tc>
      </w:tr>
      <w:tr>
        <w:trPr>
          <w:trHeight w:val="529"/>
        </w:trPr>
        <w:tc>
          <w:tcPr>
            <w:tcW w:w="2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jc w:val="right"/>
              <w:ind w:right="200"/>
              <w:spacing w:after="0"/>
              <w:rPr>
                <w:sz w:val="20"/>
                <w:szCs w:val="20"/>
                <w:color w:val="auto"/>
              </w:rPr>
            </w:pPr>
            <w:r>
              <w:rPr>
                <w:rFonts w:ascii="Arial" w:cs="Arial" w:eastAsia="Arial" w:hAnsi="Arial"/>
                <w:sz w:val="20"/>
                <w:szCs w:val="20"/>
                <w:color w:val="auto"/>
              </w:rPr>
              <w:t>July 1 -</w:t>
            </w:r>
          </w:p>
        </w:tc>
        <w:tc>
          <w:tcPr>
            <w:tcW w:w="2080" w:type="dxa"/>
            <w:vAlign w:val="bottom"/>
          </w:tcPr>
          <w:p>
            <w:pPr>
              <w:jc w:val="center"/>
              <w:ind w:left="121"/>
              <w:spacing w:after="0"/>
              <w:rPr>
                <w:sz w:val="20"/>
                <w:szCs w:val="20"/>
                <w:color w:val="auto"/>
              </w:rPr>
            </w:pPr>
            <w:r>
              <w:rPr>
                <w:rFonts w:ascii="Arial" w:cs="Arial" w:eastAsia="Arial" w:hAnsi="Arial"/>
                <w:sz w:val="20"/>
                <w:szCs w:val="20"/>
                <w:color w:val="auto"/>
                <w:w w:val="97"/>
              </w:rPr>
              <w:t>July 10 -</w:t>
            </w:r>
          </w:p>
        </w:tc>
        <w:tc>
          <w:tcPr>
            <w:tcW w:w="1420" w:type="dxa"/>
            <w:vAlign w:val="bottom"/>
          </w:tcPr>
          <w:p>
            <w:pPr>
              <w:jc w:val="center"/>
              <w:ind w:left="182"/>
              <w:spacing w:after="0"/>
              <w:rPr>
                <w:sz w:val="20"/>
                <w:szCs w:val="20"/>
                <w:color w:val="auto"/>
              </w:rPr>
            </w:pPr>
            <w:r>
              <w:rPr>
                <w:rFonts w:ascii="Arial" w:cs="Arial" w:eastAsia="Arial" w:hAnsi="Arial"/>
                <w:sz w:val="20"/>
                <w:szCs w:val="20"/>
                <w:color w:val="auto"/>
                <w:w w:val="99"/>
              </w:rPr>
              <w:t>Viability Plan</w:t>
            </w:r>
          </w:p>
        </w:tc>
      </w:tr>
      <w:tr>
        <w:trPr>
          <w:trHeight w:val="259"/>
        </w:trPr>
        <w:tc>
          <w:tcPr>
            <w:tcW w:w="2540" w:type="dxa"/>
            <w:vAlign w:val="bottom"/>
          </w:tcPr>
          <w:p>
            <w:pPr>
              <w:spacing w:after="0"/>
              <w:rPr>
                <w:sz w:val="20"/>
                <w:szCs w:val="20"/>
                <w:color w:val="auto"/>
              </w:rPr>
            </w:pPr>
            <w:r>
              <w:rPr>
                <w:rFonts w:ascii="Arial" w:cs="Arial" w:eastAsia="Arial" w:hAnsi="Arial"/>
                <w:sz w:val="20"/>
                <w:szCs w:val="20"/>
                <w:color w:val="auto"/>
              </w:rPr>
              <w:t>($ Millions)</w:t>
            </w:r>
          </w:p>
        </w:tc>
        <w:tc>
          <w:tcPr>
            <w:tcW w:w="1140" w:type="dxa"/>
            <w:vAlign w:val="bottom"/>
          </w:tcPr>
          <w:p>
            <w:pPr>
              <w:ind w:left="520"/>
              <w:spacing w:after="0"/>
              <w:rPr>
                <w:sz w:val="20"/>
                <w:szCs w:val="20"/>
                <w:color w:val="auto"/>
              </w:rPr>
            </w:pPr>
            <w:r>
              <w:rPr>
                <w:rFonts w:ascii="Arial" w:cs="Arial" w:eastAsia="Arial" w:hAnsi="Arial"/>
                <w:sz w:val="20"/>
                <w:szCs w:val="20"/>
                <w:color w:val="auto"/>
              </w:rPr>
              <w:t>3Q08</w:t>
            </w:r>
          </w:p>
        </w:tc>
        <w:tc>
          <w:tcPr>
            <w:tcW w:w="1800" w:type="dxa"/>
            <w:vAlign w:val="bottom"/>
          </w:tcPr>
          <w:p>
            <w:pPr>
              <w:jc w:val="right"/>
              <w:spacing w:after="0"/>
              <w:rPr>
                <w:sz w:val="20"/>
                <w:szCs w:val="20"/>
                <w:color w:val="auto"/>
              </w:rPr>
            </w:pPr>
            <w:r>
              <w:rPr>
                <w:rFonts w:ascii="Arial" w:cs="Arial" w:eastAsia="Arial" w:hAnsi="Arial"/>
                <w:sz w:val="20"/>
                <w:szCs w:val="20"/>
                <w:color w:val="auto"/>
              </w:rPr>
              <w:t>July 9, 2009</w:t>
            </w:r>
          </w:p>
        </w:tc>
        <w:tc>
          <w:tcPr>
            <w:tcW w:w="2080" w:type="dxa"/>
            <w:vAlign w:val="bottom"/>
          </w:tcPr>
          <w:p>
            <w:pPr>
              <w:jc w:val="center"/>
              <w:ind w:left="81"/>
              <w:spacing w:after="0"/>
              <w:rPr>
                <w:sz w:val="20"/>
                <w:szCs w:val="20"/>
                <w:color w:val="auto"/>
              </w:rPr>
            </w:pPr>
            <w:r>
              <w:rPr>
                <w:rFonts w:ascii="Arial" w:cs="Arial" w:eastAsia="Arial" w:hAnsi="Arial"/>
                <w:sz w:val="20"/>
                <w:szCs w:val="20"/>
                <w:color w:val="auto"/>
                <w:w w:val="99"/>
              </w:rPr>
              <w:t>Sept. 30, 2009</w:t>
            </w:r>
          </w:p>
        </w:tc>
        <w:tc>
          <w:tcPr>
            <w:tcW w:w="1420" w:type="dxa"/>
            <w:vAlign w:val="bottom"/>
          </w:tcPr>
          <w:p>
            <w:pPr>
              <w:jc w:val="center"/>
              <w:ind w:left="222"/>
              <w:spacing w:after="0"/>
              <w:rPr>
                <w:sz w:val="20"/>
                <w:szCs w:val="20"/>
                <w:color w:val="auto"/>
              </w:rPr>
            </w:pPr>
            <w:r>
              <w:rPr>
                <w:rFonts w:ascii="Arial" w:cs="Arial" w:eastAsia="Arial" w:hAnsi="Arial"/>
                <w:sz w:val="20"/>
                <w:szCs w:val="20"/>
                <w:color w:val="auto"/>
                <w:w w:val="99"/>
              </w:rPr>
              <w:t>3Q09 *</w:t>
            </w:r>
          </w:p>
        </w:tc>
      </w:tr>
      <w:tr>
        <w:trPr>
          <w:trHeight w:val="423"/>
        </w:trPr>
        <w:tc>
          <w:tcPr>
            <w:tcW w:w="2540" w:type="dxa"/>
            <w:vAlign w:val="bottom"/>
          </w:tcPr>
          <w:p>
            <w:pPr>
              <w:spacing w:after="0"/>
              <w:rPr>
                <w:sz w:val="20"/>
                <w:szCs w:val="20"/>
                <w:color w:val="auto"/>
              </w:rPr>
            </w:pPr>
            <w:r>
              <w:rPr>
                <w:rFonts w:ascii="Arial" w:cs="Arial" w:eastAsia="Arial" w:hAnsi="Arial"/>
                <w:sz w:val="20"/>
                <w:szCs w:val="20"/>
                <w:b w:val="1"/>
                <w:bCs w:val="1"/>
                <w:color w:val="auto"/>
              </w:rPr>
              <w:t>Revenue</w:t>
            </w:r>
          </w:p>
        </w:tc>
        <w:tc>
          <w:tcPr>
            <w:tcW w:w="1140" w:type="dxa"/>
            <w:vAlign w:val="bottom"/>
          </w:tcPr>
          <w:p>
            <w:pPr>
              <w:jc w:val="center"/>
              <w:ind w:left="282"/>
              <w:spacing w:after="0"/>
              <w:rPr>
                <w:sz w:val="20"/>
                <w:szCs w:val="20"/>
                <w:color w:val="auto"/>
              </w:rPr>
            </w:pPr>
            <w:r>
              <w:rPr>
                <w:rFonts w:ascii="Arial" w:cs="Arial" w:eastAsia="Arial" w:hAnsi="Arial"/>
                <w:sz w:val="20"/>
                <w:szCs w:val="20"/>
                <w:color w:val="auto"/>
                <w:w w:val="99"/>
              </w:rPr>
              <w:t>$22,544</w:t>
            </w:r>
          </w:p>
        </w:tc>
        <w:tc>
          <w:tcPr>
            <w:tcW w:w="1800" w:type="dxa"/>
            <w:vAlign w:val="bottom"/>
          </w:tcPr>
          <w:p>
            <w:pPr>
              <w:jc w:val="right"/>
              <w:ind w:right="280"/>
              <w:spacing w:after="0"/>
              <w:rPr>
                <w:sz w:val="20"/>
                <w:szCs w:val="20"/>
                <w:color w:val="auto"/>
              </w:rPr>
            </w:pPr>
            <w:r>
              <w:rPr>
                <w:rFonts w:ascii="Arial" w:cs="Arial" w:eastAsia="Arial" w:hAnsi="Arial"/>
                <w:sz w:val="20"/>
                <w:szCs w:val="20"/>
                <w:color w:val="auto"/>
              </w:rPr>
              <w:t>$398</w:t>
            </w:r>
          </w:p>
        </w:tc>
        <w:tc>
          <w:tcPr>
            <w:tcW w:w="2080" w:type="dxa"/>
            <w:vAlign w:val="bottom"/>
          </w:tcPr>
          <w:p>
            <w:pPr>
              <w:jc w:val="center"/>
              <w:ind w:left="141"/>
              <w:spacing w:after="0"/>
              <w:rPr>
                <w:sz w:val="20"/>
                <w:szCs w:val="20"/>
                <w:color w:val="auto"/>
              </w:rPr>
            </w:pPr>
            <w:r>
              <w:rPr>
                <w:rFonts w:ascii="Arial" w:cs="Arial" w:eastAsia="Arial" w:hAnsi="Arial"/>
                <w:sz w:val="20"/>
                <w:szCs w:val="20"/>
                <w:color w:val="auto"/>
                <w:w w:val="99"/>
              </w:rPr>
              <w:t>$15,252</w:t>
            </w:r>
          </w:p>
        </w:tc>
        <w:tc>
          <w:tcPr>
            <w:tcW w:w="1420" w:type="dxa"/>
            <w:vAlign w:val="bottom"/>
          </w:tcPr>
          <w:p>
            <w:pPr>
              <w:jc w:val="center"/>
              <w:ind w:left="242"/>
              <w:spacing w:after="0"/>
              <w:rPr>
                <w:sz w:val="20"/>
                <w:szCs w:val="20"/>
                <w:color w:val="auto"/>
              </w:rPr>
            </w:pPr>
            <w:r>
              <w:rPr>
                <w:rFonts w:ascii="Arial" w:cs="Arial" w:eastAsia="Arial" w:hAnsi="Arial"/>
                <w:sz w:val="20"/>
                <w:szCs w:val="20"/>
                <w:color w:val="auto"/>
                <w:w w:val="99"/>
              </w:rPr>
              <w:t>$14,652</w:t>
            </w:r>
          </w:p>
        </w:tc>
      </w:tr>
      <w:tr>
        <w:trPr>
          <w:trHeight w:val="294"/>
        </w:trPr>
        <w:tc>
          <w:tcPr>
            <w:tcW w:w="2540" w:type="dxa"/>
            <w:vAlign w:val="bottom"/>
          </w:tcPr>
          <w:p>
            <w:pPr>
              <w:spacing w:after="0"/>
              <w:rPr>
                <w:sz w:val="20"/>
                <w:szCs w:val="20"/>
                <w:color w:val="auto"/>
              </w:rPr>
            </w:pPr>
            <w:r>
              <w:rPr>
                <w:rFonts w:ascii="Arial" w:cs="Arial" w:eastAsia="Arial" w:hAnsi="Arial"/>
                <w:sz w:val="20"/>
                <w:szCs w:val="20"/>
                <w:b w:val="1"/>
                <w:bCs w:val="1"/>
                <w:color w:val="auto"/>
              </w:rPr>
              <w:t>EBIT</w:t>
            </w:r>
          </w:p>
        </w:tc>
        <w:tc>
          <w:tcPr>
            <w:tcW w:w="1140" w:type="dxa"/>
            <w:vAlign w:val="bottom"/>
          </w:tcPr>
          <w:p>
            <w:pPr>
              <w:jc w:val="right"/>
              <w:spacing w:after="0"/>
              <w:rPr>
                <w:sz w:val="20"/>
                <w:szCs w:val="20"/>
                <w:color w:val="auto"/>
              </w:rPr>
            </w:pPr>
            <w:r>
              <w:rPr>
                <w:rFonts w:ascii="Arial" w:cs="Arial" w:eastAsia="Arial" w:hAnsi="Arial"/>
                <w:sz w:val="20"/>
                <w:szCs w:val="20"/>
                <w:color w:val="auto"/>
              </w:rPr>
              <w:t>(2,015)</w:t>
            </w:r>
          </w:p>
        </w:tc>
        <w:tc>
          <w:tcPr>
            <w:tcW w:w="1800" w:type="dxa"/>
            <w:vAlign w:val="bottom"/>
          </w:tcPr>
          <w:p>
            <w:pPr>
              <w:jc w:val="right"/>
              <w:ind w:right="280"/>
              <w:spacing w:after="0"/>
              <w:rPr>
                <w:sz w:val="20"/>
                <w:szCs w:val="20"/>
                <w:color w:val="auto"/>
              </w:rPr>
            </w:pPr>
            <w:r>
              <w:rPr>
                <w:rFonts w:ascii="Arial" w:cs="Arial" w:eastAsia="Arial" w:hAnsi="Arial"/>
                <w:sz w:val="20"/>
                <w:szCs w:val="20"/>
                <w:color w:val="auto"/>
              </w:rPr>
              <w:t>(532)</w:t>
            </w:r>
          </w:p>
        </w:tc>
        <w:tc>
          <w:tcPr>
            <w:tcW w:w="2080" w:type="dxa"/>
            <w:vAlign w:val="bottom"/>
          </w:tcPr>
          <w:p>
            <w:pPr>
              <w:jc w:val="right"/>
              <w:ind w:right="601"/>
              <w:spacing w:after="0"/>
              <w:rPr>
                <w:sz w:val="20"/>
                <w:szCs w:val="20"/>
                <w:color w:val="auto"/>
              </w:rPr>
            </w:pPr>
            <w:r>
              <w:rPr>
                <w:rFonts w:ascii="Arial" w:cs="Arial" w:eastAsia="Arial" w:hAnsi="Arial"/>
                <w:sz w:val="20"/>
                <w:szCs w:val="20"/>
                <w:color w:val="auto"/>
              </w:rPr>
              <w:t>(651)</w:t>
            </w:r>
          </w:p>
        </w:tc>
        <w:tc>
          <w:tcPr>
            <w:tcW w:w="1420" w:type="dxa"/>
            <w:vAlign w:val="bottom"/>
          </w:tcPr>
          <w:p>
            <w:pPr>
              <w:jc w:val="center"/>
              <w:ind w:left="242"/>
              <w:spacing w:after="0"/>
              <w:rPr>
                <w:sz w:val="20"/>
                <w:szCs w:val="20"/>
                <w:color w:val="auto"/>
              </w:rPr>
            </w:pPr>
            <w:r>
              <w:rPr>
                <w:rFonts w:ascii="Arial" w:cs="Arial" w:eastAsia="Arial" w:hAnsi="Arial"/>
                <w:sz w:val="20"/>
                <w:szCs w:val="20"/>
                <w:color w:val="auto"/>
              </w:rPr>
              <w:t>(2,094)</w:t>
            </w:r>
          </w:p>
        </w:tc>
      </w:tr>
      <w:tr>
        <w:trPr>
          <w:trHeight w:val="306"/>
        </w:trPr>
        <w:tc>
          <w:tcPr>
            <w:tcW w:w="2540" w:type="dxa"/>
            <w:vAlign w:val="bottom"/>
          </w:tcPr>
          <w:p>
            <w:pPr>
              <w:spacing w:after="0"/>
              <w:rPr>
                <w:sz w:val="20"/>
                <w:szCs w:val="20"/>
                <w:color w:val="auto"/>
              </w:rPr>
            </w:pPr>
            <w:r>
              <w:rPr>
                <w:rFonts w:ascii="Arial" w:cs="Arial" w:eastAsia="Arial" w:hAnsi="Arial"/>
                <w:sz w:val="20"/>
                <w:szCs w:val="20"/>
                <w:b w:val="1"/>
                <w:bCs w:val="1"/>
                <w:color w:val="auto"/>
              </w:rPr>
              <w:t>EBIT Margin</w:t>
            </w:r>
          </w:p>
        </w:tc>
        <w:tc>
          <w:tcPr>
            <w:tcW w:w="1140" w:type="dxa"/>
            <w:vAlign w:val="bottom"/>
          </w:tcPr>
          <w:p>
            <w:pPr>
              <w:jc w:val="center"/>
              <w:ind w:left="282"/>
              <w:spacing w:after="0"/>
              <w:rPr>
                <w:sz w:val="20"/>
                <w:szCs w:val="20"/>
                <w:color w:val="auto"/>
              </w:rPr>
            </w:pPr>
            <w:r>
              <w:rPr>
                <w:rFonts w:ascii="Arial" w:cs="Arial" w:eastAsia="Arial" w:hAnsi="Arial"/>
                <w:sz w:val="20"/>
                <w:szCs w:val="20"/>
                <w:color w:val="auto"/>
              </w:rPr>
              <w:t>(8.9)%</w:t>
            </w:r>
          </w:p>
        </w:tc>
        <w:tc>
          <w:tcPr>
            <w:tcW w:w="1800" w:type="dxa"/>
            <w:vAlign w:val="bottom"/>
          </w:tcPr>
          <w:p>
            <w:pPr>
              <w:jc w:val="right"/>
              <w:ind w:right="120"/>
              <w:spacing w:after="0"/>
              <w:rPr>
                <w:sz w:val="20"/>
                <w:szCs w:val="20"/>
                <w:color w:val="auto"/>
              </w:rPr>
            </w:pPr>
            <w:r>
              <w:rPr>
                <w:rFonts w:ascii="Arial" w:cs="Arial" w:eastAsia="Arial" w:hAnsi="Arial"/>
                <w:sz w:val="20"/>
                <w:szCs w:val="20"/>
                <w:color w:val="auto"/>
              </w:rPr>
              <w:t>(133.7)%</w:t>
            </w:r>
          </w:p>
        </w:tc>
        <w:tc>
          <w:tcPr>
            <w:tcW w:w="2080" w:type="dxa"/>
            <w:vAlign w:val="bottom"/>
          </w:tcPr>
          <w:p>
            <w:pPr>
              <w:jc w:val="right"/>
              <w:ind w:right="541"/>
              <w:spacing w:after="0"/>
              <w:rPr>
                <w:sz w:val="20"/>
                <w:szCs w:val="20"/>
                <w:color w:val="auto"/>
              </w:rPr>
            </w:pPr>
            <w:r>
              <w:rPr>
                <w:rFonts w:ascii="Arial" w:cs="Arial" w:eastAsia="Arial" w:hAnsi="Arial"/>
                <w:sz w:val="20"/>
                <w:szCs w:val="20"/>
                <w:color w:val="auto"/>
              </w:rPr>
              <w:t>(4.3)%</w:t>
            </w:r>
          </w:p>
        </w:tc>
        <w:tc>
          <w:tcPr>
            <w:tcW w:w="1420" w:type="dxa"/>
            <w:vAlign w:val="bottom"/>
          </w:tcPr>
          <w:p>
            <w:pPr>
              <w:jc w:val="center"/>
              <w:ind w:left="222"/>
              <w:spacing w:after="0"/>
              <w:rPr>
                <w:sz w:val="20"/>
                <w:szCs w:val="20"/>
                <w:color w:val="auto"/>
              </w:rPr>
            </w:pPr>
            <w:r>
              <w:rPr>
                <w:rFonts w:ascii="Arial" w:cs="Arial" w:eastAsia="Arial" w:hAnsi="Arial"/>
                <w:sz w:val="20"/>
                <w:szCs w:val="20"/>
                <w:color w:val="auto"/>
                <w:w w:val="99"/>
              </w:rPr>
              <w:t>(14.3)%</w:t>
            </w:r>
          </w:p>
        </w:tc>
      </w:tr>
      <w:tr>
        <w:trPr>
          <w:trHeight w:val="412"/>
        </w:trPr>
        <w:tc>
          <w:tcPr>
            <w:tcW w:w="2540" w:type="dxa"/>
            <w:vAlign w:val="bottom"/>
          </w:tcPr>
          <w:p>
            <w:pPr>
              <w:spacing w:after="0"/>
              <w:rPr>
                <w:sz w:val="20"/>
                <w:szCs w:val="20"/>
                <w:color w:val="auto"/>
              </w:rPr>
            </w:pPr>
            <w:r>
              <w:rPr>
                <w:rFonts w:ascii="Arial" w:cs="Arial" w:eastAsia="Arial" w:hAnsi="Arial"/>
                <w:sz w:val="20"/>
                <w:szCs w:val="20"/>
                <w:i w:val="1"/>
                <w:iCs w:val="1"/>
                <w:color w:val="auto"/>
              </w:rPr>
              <w:t>Memo: EBITDA</w:t>
            </w:r>
          </w:p>
        </w:tc>
        <w:tc>
          <w:tcPr>
            <w:tcW w:w="1140" w:type="dxa"/>
            <w:vAlign w:val="bottom"/>
          </w:tcPr>
          <w:p>
            <w:pPr>
              <w:ind w:left="520"/>
              <w:spacing w:after="0"/>
              <w:rPr>
                <w:sz w:val="20"/>
                <w:szCs w:val="20"/>
                <w:color w:val="auto"/>
              </w:rPr>
            </w:pPr>
            <w:r>
              <w:rPr>
                <w:rFonts w:ascii="Arial" w:cs="Arial" w:eastAsia="Arial" w:hAnsi="Arial"/>
                <w:sz w:val="20"/>
                <w:szCs w:val="20"/>
                <w:i w:val="1"/>
                <w:iCs w:val="1"/>
                <w:color w:val="auto"/>
              </w:rPr>
              <w:t>(760)</w:t>
            </w:r>
          </w:p>
        </w:tc>
        <w:tc>
          <w:tcPr>
            <w:tcW w:w="1800" w:type="dxa"/>
            <w:vAlign w:val="bottom"/>
          </w:tcPr>
          <w:p>
            <w:pPr>
              <w:jc w:val="right"/>
              <w:ind w:right="300"/>
              <w:spacing w:after="0"/>
              <w:rPr>
                <w:sz w:val="20"/>
                <w:szCs w:val="20"/>
                <w:color w:val="auto"/>
              </w:rPr>
            </w:pPr>
            <w:r>
              <w:rPr>
                <w:rFonts w:ascii="Arial" w:cs="Arial" w:eastAsia="Arial" w:hAnsi="Arial"/>
                <w:sz w:val="20"/>
                <w:szCs w:val="20"/>
                <w:i w:val="1"/>
                <w:iCs w:val="1"/>
                <w:color w:val="auto"/>
              </w:rPr>
              <w:t>(204)</w:t>
            </w:r>
          </w:p>
        </w:tc>
        <w:tc>
          <w:tcPr>
            <w:tcW w:w="2080" w:type="dxa"/>
            <w:vAlign w:val="bottom"/>
          </w:tcPr>
          <w:p>
            <w:pPr>
              <w:jc w:val="center"/>
              <w:ind w:left="81"/>
              <w:spacing w:after="0"/>
              <w:rPr>
                <w:sz w:val="20"/>
                <w:szCs w:val="20"/>
                <w:color w:val="auto"/>
              </w:rPr>
            </w:pPr>
            <w:r>
              <w:rPr>
                <w:rFonts w:ascii="Arial" w:cs="Arial" w:eastAsia="Arial" w:hAnsi="Arial"/>
                <w:sz w:val="20"/>
                <w:szCs w:val="20"/>
                <w:i w:val="1"/>
                <w:iCs w:val="1"/>
                <w:color w:val="auto"/>
              </w:rPr>
              <w:t>577</w:t>
            </w:r>
          </w:p>
        </w:tc>
        <w:tc>
          <w:tcPr>
            <w:tcW w:w="1420" w:type="dxa"/>
            <w:vAlign w:val="bottom"/>
          </w:tcPr>
          <w:p>
            <w:pPr>
              <w:jc w:val="right"/>
              <w:ind w:right="242"/>
              <w:spacing w:after="0"/>
              <w:rPr>
                <w:sz w:val="20"/>
                <w:szCs w:val="20"/>
                <w:color w:val="auto"/>
              </w:rPr>
            </w:pPr>
            <w:r>
              <w:rPr>
                <w:rFonts w:ascii="Arial" w:cs="Arial" w:eastAsia="Arial" w:hAnsi="Arial"/>
                <w:sz w:val="20"/>
                <w:szCs w:val="20"/>
                <w:i w:val="1"/>
                <w:iCs w:val="1"/>
                <w:color w:val="auto"/>
              </w:rPr>
              <w:t>(741)</w:t>
            </w:r>
          </w:p>
        </w:tc>
      </w:tr>
      <w:tr>
        <w:trPr>
          <w:trHeight w:val="819"/>
        </w:trPr>
        <w:tc>
          <w:tcPr>
            <w:tcW w:w="2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20" w:type="dxa"/>
            <w:vAlign w:val="bottom"/>
          </w:tcPr>
          <w:p>
            <w:pPr>
              <w:jc w:val="center"/>
              <w:ind w:left="242"/>
              <w:spacing w:after="0"/>
              <w:rPr>
                <w:sz w:val="20"/>
                <w:szCs w:val="20"/>
                <w:color w:val="auto"/>
              </w:rPr>
            </w:pPr>
            <w:r>
              <w:rPr>
                <w:rFonts w:ascii="Arial" w:cs="Arial" w:eastAsia="Arial" w:hAnsi="Arial"/>
                <w:sz w:val="19"/>
                <w:szCs w:val="19"/>
                <w:color w:val="auto"/>
                <w:w w:val="99"/>
              </w:rPr>
              <w:t>Viability Plan</w:t>
            </w:r>
          </w:p>
        </w:tc>
      </w:tr>
      <w:tr>
        <w:trPr>
          <w:trHeight w:val="247"/>
        </w:trPr>
        <w:tc>
          <w:tcPr>
            <w:tcW w:w="2540" w:type="dxa"/>
            <w:vAlign w:val="bottom"/>
          </w:tcPr>
          <w:p>
            <w:pPr>
              <w:spacing w:after="0"/>
              <w:rPr>
                <w:sz w:val="21"/>
                <w:szCs w:val="21"/>
                <w:color w:val="auto"/>
              </w:rPr>
            </w:pPr>
          </w:p>
        </w:tc>
        <w:tc>
          <w:tcPr>
            <w:tcW w:w="1140" w:type="dxa"/>
            <w:vAlign w:val="bottom"/>
          </w:tcPr>
          <w:p>
            <w:pPr>
              <w:jc w:val="right"/>
              <w:ind w:right="22"/>
              <w:spacing w:after="0"/>
              <w:rPr>
                <w:sz w:val="20"/>
                <w:szCs w:val="20"/>
                <w:color w:val="auto"/>
              </w:rPr>
            </w:pPr>
            <w:r>
              <w:rPr>
                <w:rFonts w:ascii="Arial" w:cs="Arial" w:eastAsia="Arial" w:hAnsi="Arial"/>
                <w:sz w:val="19"/>
                <w:szCs w:val="19"/>
                <w:color w:val="auto"/>
              </w:rPr>
              <w:t>3Q08</w:t>
            </w:r>
          </w:p>
        </w:tc>
        <w:tc>
          <w:tcPr>
            <w:tcW w:w="1800" w:type="dxa"/>
            <w:vAlign w:val="bottom"/>
          </w:tcPr>
          <w:p>
            <w:pPr>
              <w:spacing w:after="0"/>
              <w:rPr>
                <w:sz w:val="21"/>
                <w:szCs w:val="21"/>
                <w:color w:val="auto"/>
              </w:rPr>
            </w:pPr>
          </w:p>
        </w:tc>
        <w:tc>
          <w:tcPr>
            <w:tcW w:w="2080" w:type="dxa"/>
            <w:vAlign w:val="bottom"/>
          </w:tcPr>
          <w:p>
            <w:pPr>
              <w:ind w:left="100"/>
              <w:spacing w:after="0"/>
              <w:rPr>
                <w:sz w:val="20"/>
                <w:szCs w:val="20"/>
                <w:color w:val="auto"/>
              </w:rPr>
            </w:pPr>
            <w:r>
              <w:rPr>
                <w:rFonts w:ascii="Arial" w:cs="Arial" w:eastAsia="Arial" w:hAnsi="Arial"/>
                <w:sz w:val="19"/>
                <w:szCs w:val="19"/>
                <w:color w:val="auto"/>
              </w:rPr>
              <w:t>3Q09</w:t>
            </w:r>
          </w:p>
        </w:tc>
        <w:tc>
          <w:tcPr>
            <w:tcW w:w="1420" w:type="dxa"/>
            <w:vAlign w:val="bottom"/>
          </w:tcPr>
          <w:p>
            <w:pPr>
              <w:jc w:val="right"/>
              <w:ind w:right="182"/>
              <w:spacing w:after="0"/>
              <w:rPr>
                <w:sz w:val="20"/>
                <w:szCs w:val="20"/>
                <w:color w:val="auto"/>
              </w:rPr>
            </w:pPr>
            <w:r>
              <w:rPr>
                <w:rFonts w:ascii="Arial" w:cs="Arial" w:eastAsia="Arial" w:hAnsi="Arial"/>
                <w:sz w:val="19"/>
                <w:szCs w:val="19"/>
                <w:color w:val="auto"/>
              </w:rPr>
              <w:t>3Q09</w:t>
            </w:r>
          </w:p>
        </w:tc>
      </w:tr>
      <w:tr>
        <w:trPr>
          <w:trHeight w:val="353"/>
        </w:trPr>
        <w:tc>
          <w:tcPr>
            <w:tcW w:w="2540" w:type="dxa"/>
            <w:vAlign w:val="bottom"/>
          </w:tcPr>
          <w:p>
            <w:pPr>
              <w:spacing w:after="0"/>
              <w:rPr>
                <w:sz w:val="20"/>
                <w:szCs w:val="20"/>
                <w:color w:val="auto"/>
              </w:rPr>
            </w:pPr>
            <w:r>
              <w:rPr>
                <w:rFonts w:ascii="Arial" w:cs="Arial" w:eastAsia="Arial" w:hAnsi="Arial"/>
                <w:sz w:val="19"/>
                <w:szCs w:val="19"/>
                <w:i w:val="1"/>
                <w:iCs w:val="1"/>
                <w:color w:val="auto"/>
              </w:rPr>
              <w:t>GMNA Production (000's)</w:t>
            </w:r>
          </w:p>
        </w:tc>
        <w:tc>
          <w:tcPr>
            <w:tcW w:w="1140" w:type="dxa"/>
            <w:vAlign w:val="bottom"/>
          </w:tcPr>
          <w:p>
            <w:pPr>
              <w:jc w:val="center"/>
              <w:ind w:left="262"/>
              <w:spacing w:after="0"/>
              <w:rPr>
                <w:sz w:val="20"/>
                <w:szCs w:val="20"/>
                <w:color w:val="auto"/>
              </w:rPr>
            </w:pPr>
            <w:r>
              <w:rPr>
                <w:rFonts w:ascii="Arial" w:cs="Arial" w:eastAsia="Arial" w:hAnsi="Arial"/>
                <w:sz w:val="19"/>
                <w:szCs w:val="19"/>
                <w:i w:val="1"/>
                <w:iCs w:val="1"/>
                <w:color w:val="auto"/>
                <w:w w:val="94"/>
              </w:rPr>
              <w:t>915</w:t>
            </w:r>
          </w:p>
        </w:tc>
        <w:tc>
          <w:tcPr>
            <w:tcW w:w="1800" w:type="dxa"/>
            <w:vAlign w:val="bottom"/>
          </w:tcPr>
          <w:p>
            <w:pPr>
              <w:spacing w:after="0"/>
              <w:rPr>
                <w:sz w:val="24"/>
                <w:szCs w:val="24"/>
                <w:color w:val="auto"/>
              </w:rPr>
            </w:pPr>
          </w:p>
        </w:tc>
        <w:tc>
          <w:tcPr>
            <w:tcW w:w="2080" w:type="dxa"/>
            <w:vAlign w:val="bottom"/>
          </w:tcPr>
          <w:p>
            <w:pPr>
              <w:ind w:left="120"/>
              <w:spacing w:after="0"/>
              <w:rPr>
                <w:sz w:val="20"/>
                <w:szCs w:val="20"/>
                <w:color w:val="auto"/>
              </w:rPr>
            </w:pPr>
            <w:r>
              <w:rPr>
                <w:rFonts w:ascii="Arial" w:cs="Arial" w:eastAsia="Arial" w:hAnsi="Arial"/>
                <w:sz w:val="19"/>
                <w:szCs w:val="19"/>
                <w:i w:val="1"/>
                <w:iCs w:val="1"/>
                <w:color w:val="auto"/>
              </w:rPr>
              <w:t>531</w:t>
            </w:r>
          </w:p>
        </w:tc>
        <w:tc>
          <w:tcPr>
            <w:tcW w:w="1420" w:type="dxa"/>
            <w:vAlign w:val="bottom"/>
          </w:tcPr>
          <w:p>
            <w:pPr>
              <w:jc w:val="right"/>
              <w:ind w:right="302"/>
              <w:spacing w:after="0"/>
              <w:rPr>
                <w:sz w:val="20"/>
                <w:szCs w:val="20"/>
                <w:color w:val="auto"/>
              </w:rPr>
            </w:pPr>
            <w:r>
              <w:rPr>
                <w:rFonts w:ascii="Arial" w:cs="Arial" w:eastAsia="Arial" w:hAnsi="Arial"/>
                <w:sz w:val="19"/>
                <w:szCs w:val="19"/>
                <w:i w:val="1"/>
                <w:iCs w:val="1"/>
                <w:color w:val="auto"/>
              </w:rPr>
              <w:t>532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1" w:right="540" w:hanging="81"/>
        <w:spacing w:after="0" w:line="278" w:lineRule="auto"/>
        <w:tabs>
          <w:tab w:leader="none" w:pos="101" w:val="left"/>
        </w:tabs>
        <w:numPr>
          <w:ilvl w:val="0"/>
          <w:numId w:val="19"/>
        </w:numPr>
        <w:rPr>
          <w:rFonts w:ascii="Arial" w:cs="Arial" w:eastAsia="Arial" w:hAnsi="Arial"/>
          <w:sz w:val="15"/>
          <w:szCs w:val="15"/>
          <w:color w:val="auto"/>
        </w:rPr>
      </w:pPr>
      <w:r>
        <w:rPr>
          <w:rFonts w:ascii="Arial" w:cs="Arial" w:eastAsia="Arial" w:hAnsi="Arial"/>
          <w:sz w:val="15"/>
          <w:szCs w:val="15"/>
          <w:color w:val="auto"/>
        </w:rPr>
        <w:t>Viability Plan based on 5/31 plan filed with U.S. Bankruptcy court in support of 363 sale, adjusted to include full year consolidation of GME and other items (see supplemental slides for detail)</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19</w:t>
      </w:r>
    </w:p>
    <w:p>
      <w:pPr>
        <w:sectPr>
          <w:pgSz w:w="11900" w:h="16838" w:orient="portrait"/>
          <w:cols w:equalWidth="0" w:num="1">
            <w:col w:w="10301"/>
          </w:cols>
          <w:pgMar w:left="399" w:top="411" w:right="1199" w:bottom="1440" w:gutter="0" w:footer="0" w:header="0"/>
        </w:sectPr>
      </w:pPr>
    </w:p>
    <w:bookmarkStart w:id="41" w:name="page42"/>
    <w:bookmarkEnd w:id="41"/>
    <w:p>
      <w:pPr>
        <w:ind w:left="1020" w:right="3420"/>
        <w:spacing w:after="0" w:line="282" w:lineRule="auto"/>
        <w:rPr>
          <w:sz w:val="20"/>
          <w:szCs w:val="20"/>
          <w:color w:val="auto"/>
        </w:rPr>
      </w:pPr>
      <w:r>
        <w:rPr>
          <w:rFonts w:ascii="Arial" w:cs="Arial" w:eastAsia="Arial" w:hAnsi="Arial"/>
          <w:sz w:val="33"/>
          <w:szCs w:val="33"/>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GMIO Preliminary Managerial Results Before Special Items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3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20" w:type="dxa"/>
            <w:vAlign w:val="bottom"/>
          </w:tcPr>
          <w:p>
            <w:pPr>
              <w:ind w:left="80"/>
              <w:spacing w:after="0"/>
              <w:rPr>
                <w:sz w:val="20"/>
                <w:szCs w:val="20"/>
                <w:color w:val="auto"/>
              </w:rPr>
            </w:pPr>
            <w:r>
              <w:rPr>
                <w:rFonts w:ascii="Arial" w:cs="Arial" w:eastAsia="Arial" w:hAnsi="Arial"/>
                <w:sz w:val="19"/>
                <w:szCs w:val="19"/>
                <w:b w:val="1"/>
                <w:bCs w:val="1"/>
                <w:color w:val="auto"/>
              </w:rPr>
              <w:t>Old GM</w:t>
            </w:r>
          </w:p>
        </w:tc>
        <w:tc>
          <w:tcPr>
            <w:tcW w:w="2100" w:type="dxa"/>
            <w:vAlign w:val="bottom"/>
          </w:tcPr>
          <w:p>
            <w:pPr>
              <w:jc w:val="center"/>
              <w:ind w:left="227"/>
              <w:spacing w:after="0"/>
              <w:rPr>
                <w:sz w:val="20"/>
                <w:szCs w:val="20"/>
                <w:color w:val="auto"/>
              </w:rPr>
            </w:pPr>
            <w:r>
              <w:rPr>
                <w:rFonts w:ascii="Arial" w:cs="Arial" w:eastAsia="Arial" w:hAnsi="Arial"/>
                <w:sz w:val="19"/>
                <w:szCs w:val="19"/>
                <w:b w:val="1"/>
                <w:bCs w:val="1"/>
                <w:color w:val="auto"/>
                <w:w w:val="98"/>
              </w:rPr>
              <w:t>New GM</w:t>
            </w:r>
          </w:p>
        </w:tc>
        <w:tc>
          <w:tcPr>
            <w:tcW w:w="1360" w:type="dxa"/>
            <w:vAlign w:val="bottom"/>
          </w:tcPr>
          <w:p>
            <w:pPr>
              <w:jc w:val="center"/>
              <w:ind w:left="207"/>
              <w:spacing w:after="0"/>
              <w:rPr>
                <w:sz w:val="20"/>
                <w:szCs w:val="20"/>
                <w:color w:val="auto"/>
              </w:rPr>
            </w:pPr>
            <w:r>
              <w:rPr>
                <w:rFonts w:ascii="Arial" w:cs="Arial" w:eastAsia="Arial" w:hAnsi="Arial"/>
                <w:sz w:val="19"/>
                <w:szCs w:val="19"/>
                <w:color w:val="auto"/>
                <w:w w:val="99"/>
              </w:rPr>
              <w:t>Memo:</w:t>
            </w:r>
          </w:p>
        </w:tc>
        <w:tc>
          <w:tcPr>
            <w:tcW w:w="0" w:type="dxa"/>
            <w:vAlign w:val="bottom"/>
          </w:tcPr>
          <w:p>
            <w:pPr>
              <w:spacing w:after="0"/>
              <w:rPr>
                <w:sz w:val="1"/>
                <w:szCs w:val="1"/>
                <w:color w:val="auto"/>
              </w:rPr>
            </w:pPr>
          </w:p>
        </w:tc>
      </w:tr>
      <w:tr>
        <w:trPr>
          <w:trHeight w:val="494"/>
        </w:trPr>
        <w:tc>
          <w:tcPr>
            <w:tcW w:w="3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jc w:val="center"/>
              <w:ind w:left="526"/>
              <w:spacing w:after="0"/>
              <w:rPr>
                <w:sz w:val="20"/>
                <w:szCs w:val="20"/>
                <w:color w:val="auto"/>
              </w:rPr>
            </w:pPr>
            <w:r>
              <w:rPr>
                <w:rFonts w:ascii="Arial" w:cs="Arial" w:eastAsia="Arial" w:hAnsi="Arial"/>
                <w:sz w:val="19"/>
                <w:szCs w:val="19"/>
                <w:color w:val="auto"/>
                <w:w w:val="97"/>
              </w:rPr>
              <w:t>July 1 -</w:t>
            </w:r>
          </w:p>
        </w:tc>
        <w:tc>
          <w:tcPr>
            <w:tcW w:w="2100" w:type="dxa"/>
            <w:vAlign w:val="bottom"/>
          </w:tcPr>
          <w:p>
            <w:pPr>
              <w:jc w:val="center"/>
              <w:ind w:left="247"/>
              <w:spacing w:after="0"/>
              <w:rPr>
                <w:sz w:val="20"/>
                <w:szCs w:val="20"/>
                <w:color w:val="auto"/>
              </w:rPr>
            </w:pPr>
            <w:r>
              <w:rPr>
                <w:rFonts w:ascii="Arial" w:cs="Arial" w:eastAsia="Arial" w:hAnsi="Arial"/>
                <w:sz w:val="19"/>
                <w:szCs w:val="19"/>
                <w:color w:val="auto"/>
              </w:rPr>
              <w:t>July 10 -</w:t>
            </w:r>
          </w:p>
        </w:tc>
        <w:tc>
          <w:tcPr>
            <w:tcW w:w="1360" w:type="dxa"/>
            <w:vAlign w:val="bottom"/>
          </w:tcPr>
          <w:p>
            <w:pPr>
              <w:jc w:val="center"/>
              <w:ind w:left="187"/>
              <w:spacing w:after="0"/>
              <w:rPr>
                <w:sz w:val="20"/>
                <w:szCs w:val="20"/>
                <w:color w:val="auto"/>
              </w:rPr>
            </w:pPr>
            <w:r>
              <w:rPr>
                <w:rFonts w:ascii="Arial" w:cs="Arial" w:eastAsia="Arial" w:hAnsi="Arial"/>
                <w:sz w:val="19"/>
                <w:szCs w:val="19"/>
                <w:color w:val="auto"/>
                <w:w w:val="99"/>
              </w:rPr>
              <w:t>Viability Plan</w:t>
            </w:r>
          </w:p>
        </w:tc>
        <w:tc>
          <w:tcPr>
            <w:tcW w:w="0" w:type="dxa"/>
            <w:vAlign w:val="bottom"/>
          </w:tcPr>
          <w:p>
            <w:pPr>
              <w:spacing w:after="0"/>
              <w:rPr>
                <w:sz w:val="1"/>
                <w:szCs w:val="1"/>
                <w:color w:val="auto"/>
              </w:rPr>
            </w:pPr>
          </w:p>
        </w:tc>
      </w:tr>
      <w:tr>
        <w:trPr>
          <w:trHeight w:val="259"/>
        </w:trPr>
        <w:tc>
          <w:tcPr>
            <w:tcW w:w="3240" w:type="dxa"/>
            <w:vAlign w:val="bottom"/>
          </w:tcPr>
          <w:p>
            <w:pPr>
              <w:spacing w:after="0"/>
              <w:rPr>
                <w:sz w:val="20"/>
                <w:szCs w:val="20"/>
                <w:color w:val="auto"/>
              </w:rPr>
            </w:pPr>
            <w:r>
              <w:rPr>
                <w:rFonts w:ascii="Arial" w:cs="Arial" w:eastAsia="Arial" w:hAnsi="Arial"/>
                <w:sz w:val="19"/>
                <w:szCs w:val="19"/>
                <w:color w:val="auto"/>
              </w:rPr>
              <w:t>($ Millions)</w:t>
            </w:r>
          </w:p>
        </w:tc>
        <w:tc>
          <w:tcPr>
            <w:tcW w:w="1280" w:type="dxa"/>
            <w:vAlign w:val="bottom"/>
          </w:tcPr>
          <w:p>
            <w:pPr>
              <w:jc w:val="center"/>
              <w:ind w:left="367"/>
              <w:spacing w:after="0"/>
              <w:rPr>
                <w:sz w:val="20"/>
                <w:szCs w:val="20"/>
                <w:color w:val="auto"/>
              </w:rPr>
            </w:pPr>
            <w:r>
              <w:rPr>
                <w:rFonts w:ascii="Arial" w:cs="Arial" w:eastAsia="Arial" w:hAnsi="Arial"/>
                <w:sz w:val="19"/>
                <w:szCs w:val="19"/>
                <w:color w:val="auto"/>
                <w:w w:val="98"/>
              </w:rPr>
              <w:t>3Q08</w:t>
            </w:r>
          </w:p>
        </w:tc>
        <w:tc>
          <w:tcPr>
            <w:tcW w:w="1820" w:type="dxa"/>
            <w:vAlign w:val="bottom"/>
          </w:tcPr>
          <w:p>
            <w:pPr>
              <w:jc w:val="center"/>
              <w:ind w:left="546"/>
              <w:spacing w:after="0"/>
              <w:rPr>
                <w:sz w:val="20"/>
                <w:szCs w:val="20"/>
                <w:color w:val="auto"/>
              </w:rPr>
            </w:pPr>
            <w:r>
              <w:rPr>
                <w:rFonts w:ascii="Arial" w:cs="Arial" w:eastAsia="Arial" w:hAnsi="Arial"/>
                <w:sz w:val="19"/>
                <w:szCs w:val="19"/>
                <w:color w:val="auto"/>
                <w:w w:val="99"/>
              </w:rPr>
              <w:t>July 9, 2009</w:t>
            </w:r>
          </w:p>
        </w:tc>
        <w:tc>
          <w:tcPr>
            <w:tcW w:w="2100" w:type="dxa"/>
            <w:vAlign w:val="bottom"/>
          </w:tcPr>
          <w:p>
            <w:pPr>
              <w:jc w:val="center"/>
              <w:ind w:left="227"/>
              <w:spacing w:after="0"/>
              <w:rPr>
                <w:sz w:val="20"/>
                <w:szCs w:val="20"/>
                <w:color w:val="auto"/>
              </w:rPr>
            </w:pPr>
            <w:r>
              <w:rPr>
                <w:rFonts w:ascii="Arial" w:cs="Arial" w:eastAsia="Arial" w:hAnsi="Arial"/>
                <w:sz w:val="19"/>
                <w:szCs w:val="19"/>
                <w:color w:val="auto"/>
                <w:w w:val="98"/>
              </w:rPr>
              <w:t>Sept. 30, 2009</w:t>
            </w:r>
          </w:p>
        </w:tc>
        <w:tc>
          <w:tcPr>
            <w:tcW w:w="1360" w:type="dxa"/>
            <w:vAlign w:val="bottom"/>
          </w:tcPr>
          <w:p>
            <w:pPr>
              <w:ind w:left="540"/>
              <w:spacing w:after="0"/>
              <w:rPr>
                <w:sz w:val="20"/>
                <w:szCs w:val="20"/>
                <w:color w:val="auto"/>
              </w:rPr>
            </w:pPr>
            <w:r>
              <w:rPr>
                <w:rFonts w:ascii="Arial" w:cs="Arial" w:eastAsia="Arial" w:hAnsi="Arial"/>
                <w:sz w:val="19"/>
                <w:szCs w:val="19"/>
                <w:color w:val="auto"/>
              </w:rPr>
              <w:t>3Q09 *</w:t>
            </w:r>
          </w:p>
        </w:tc>
        <w:tc>
          <w:tcPr>
            <w:tcW w:w="0" w:type="dxa"/>
            <w:vAlign w:val="bottom"/>
          </w:tcPr>
          <w:p>
            <w:pPr>
              <w:spacing w:after="0"/>
              <w:rPr>
                <w:sz w:val="1"/>
                <w:szCs w:val="1"/>
                <w:color w:val="auto"/>
              </w:rPr>
            </w:pPr>
          </w:p>
        </w:tc>
      </w:tr>
      <w:tr>
        <w:trPr>
          <w:trHeight w:val="388"/>
        </w:trPr>
        <w:tc>
          <w:tcPr>
            <w:tcW w:w="3240" w:type="dxa"/>
            <w:vAlign w:val="bottom"/>
          </w:tcPr>
          <w:p>
            <w:pPr>
              <w:spacing w:after="0"/>
              <w:rPr>
                <w:sz w:val="20"/>
                <w:szCs w:val="20"/>
                <w:color w:val="auto"/>
              </w:rPr>
            </w:pPr>
            <w:r>
              <w:rPr>
                <w:rFonts w:ascii="Arial" w:cs="Arial" w:eastAsia="Arial" w:hAnsi="Arial"/>
                <w:sz w:val="19"/>
                <w:szCs w:val="19"/>
                <w:b w:val="1"/>
                <w:bCs w:val="1"/>
                <w:color w:val="auto"/>
              </w:rPr>
              <w:t>Revenue</w:t>
            </w:r>
          </w:p>
        </w:tc>
        <w:tc>
          <w:tcPr>
            <w:tcW w:w="1280" w:type="dxa"/>
            <w:vAlign w:val="bottom"/>
          </w:tcPr>
          <w:p>
            <w:pPr>
              <w:jc w:val="center"/>
              <w:ind w:left="387"/>
              <w:spacing w:after="0"/>
              <w:rPr>
                <w:sz w:val="20"/>
                <w:szCs w:val="20"/>
                <w:color w:val="auto"/>
              </w:rPr>
            </w:pPr>
            <w:r>
              <w:rPr>
                <w:rFonts w:ascii="Arial" w:cs="Arial" w:eastAsia="Arial" w:hAnsi="Arial"/>
                <w:sz w:val="19"/>
                <w:szCs w:val="19"/>
                <w:color w:val="auto"/>
                <w:w w:val="98"/>
              </w:rPr>
              <w:t>$15,714</w:t>
            </w:r>
          </w:p>
        </w:tc>
        <w:tc>
          <w:tcPr>
            <w:tcW w:w="1820" w:type="dxa"/>
            <w:vAlign w:val="bottom"/>
          </w:tcPr>
          <w:p>
            <w:pPr>
              <w:jc w:val="center"/>
              <w:ind w:left="546"/>
              <w:spacing w:after="0"/>
              <w:rPr>
                <w:sz w:val="20"/>
                <w:szCs w:val="20"/>
                <w:color w:val="auto"/>
              </w:rPr>
            </w:pPr>
            <w:r>
              <w:rPr>
                <w:rFonts w:ascii="Arial" w:cs="Arial" w:eastAsia="Arial" w:hAnsi="Arial"/>
                <w:sz w:val="19"/>
                <w:szCs w:val="19"/>
                <w:color w:val="auto"/>
                <w:w w:val="99"/>
              </w:rPr>
              <w:t>$1,147</w:t>
            </w:r>
          </w:p>
        </w:tc>
        <w:tc>
          <w:tcPr>
            <w:tcW w:w="2100" w:type="dxa"/>
            <w:vAlign w:val="bottom"/>
          </w:tcPr>
          <w:p>
            <w:pPr>
              <w:jc w:val="center"/>
              <w:ind w:left="247"/>
              <w:spacing w:after="0"/>
              <w:rPr>
                <w:sz w:val="20"/>
                <w:szCs w:val="20"/>
                <w:color w:val="auto"/>
              </w:rPr>
            </w:pPr>
            <w:r>
              <w:rPr>
                <w:rFonts w:ascii="Arial" w:cs="Arial" w:eastAsia="Arial" w:hAnsi="Arial"/>
                <w:sz w:val="19"/>
                <w:szCs w:val="19"/>
                <w:color w:val="auto"/>
                <w:w w:val="98"/>
              </w:rPr>
              <w:t>$11,775</w:t>
            </w:r>
          </w:p>
        </w:tc>
        <w:tc>
          <w:tcPr>
            <w:tcW w:w="1360" w:type="dxa"/>
            <w:vAlign w:val="bottom"/>
          </w:tcPr>
          <w:p>
            <w:pPr>
              <w:ind w:left="540"/>
              <w:spacing w:after="0"/>
              <w:rPr>
                <w:sz w:val="20"/>
                <w:szCs w:val="20"/>
                <w:color w:val="auto"/>
              </w:rPr>
            </w:pPr>
            <w:r>
              <w:rPr>
                <w:rFonts w:ascii="Arial" w:cs="Arial" w:eastAsia="Arial" w:hAnsi="Arial"/>
                <w:sz w:val="19"/>
                <w:szCs w:val="19"/>
                <w:color w:val="auto"/>
              </w:rPr>
              <w:t>$9,397</w:t>
            </w:r>
          </w:p>
        </w:tc>
        <w:tc>
          <w:tcPr>
            <w:tcW w:w="0" w:type="dxa"/>
            <w:vAlign w:val="bottom"/>
          </w:tcPr>
          <w:p>
            <w:pPr>
              <w:spacing w:after="0"/>
              <w:rPr>
                <w:sz w:val="1"/>
                <w:szCs w:val="1"/>
                <w:color w:val="auto"/>
              </w:rPr>
            </w:pPr>
          </w:p>
        </w:tc>
      </w:tr>
      <w:tr>
        <w:trPr>
          <w:trHeight w:val="282"/>
        </w:trPr>
        <w:tc>
          <w:tcPr>
            <w:tcW w:w="3240" w:type="dxa"/>
            <w:vAlign w:val="bottom"/>
          </w:tcPr>
          <w:p>
            <w:pPr>
              <w:spacing w:after="0"/>
              <w:rPr>
                <w:sz w:val="20"/>
                <w:szCs w:val="20"/>
                <w:color w:val="auto"/>
              </w:rPr>
            </w:pPr>
            <w:r>
              <w:rPr>
                <w:rFonts w:ascii="Arial" w:cs="Arial" w:eastAsia="Arial" w:hAnsi="Arial"/>
                <w:sz w:val="19"/>
                <w:szCs w:val="19"/>
                <w:b w:val="1"/>
                <w:bCs w:val="1"/>
                <w:color w:val="auto"/>
              </w:rPr>
              <w:t>Income/(Loss) Before Interest,</w:t>
            </w:r>
          </w:p>
        </w:tc>
        <w:tc>
          <w:tcPr>
            <w:tcW w:w="1280" w:type="dxa"/>
            <w:vAlign w:val="bottom"/>
            <w:vMerge w:val="restart"/>
          </w:tcPr>
          <w:p>
            <w:pPr>
              <w:jc w:val="center"/>
              <w:ind w:left="387"/>
              <w:spacing w:after="0"/>
              <w:rPr>
                <w:sz w:val="20"/>
                <w:szCs w:val="20"/>
                <w:color w:val="auto"/>
              </w:rPr>
            </w:pPr>
            <w:r>
              <w:rPr>
                <w:rFonts w:ascii="Arial" w:cs="Arial" w:eastAsia="Arial" w:hAnsi="Arial"/>
                <w:sz w:val="19"/>
                <w:szCs w:val="19"/>
                <w:color w:val="auto"/>
                <w:w w:val="99"/>
              </w:rPr>
              <w:t>(569)</w:t>
            </w:r>
          </w:p>
        </w:tc>
        <w:tc>
          <w:tcPr>
            <w:tcW w:w="1820" w:type="dxa"/>
            <w:vAlign w:val="bottom"/>
            <w:vMerge w:val="restart"/>
          </w:tcPr>
          <w:p>
            <w:pPr>
              <w:jc w:val="center"/>
              <w:ind w:left="546"/>
              <w:spacing w:after="0"/>
              <w:rPr>
                <w:sz w:val="20"/>
                <w:szCs w:val="20"/>
                <w:color w:val="auto"/>
              </w:rPr>
            </w:pPr>
            <w:r>
              <w:rPr>
                <w:rFonts w:ascii="Arial" w:cs="Arial" w:eastAsia="Arial" w:hAnsi="Arial"/>
                <w:sz w:val="19"/>
                <w:szCs w:val="19"/>
                <w:color w:val="auto"/>
              </w:rPr>
              <w:t>(63)</w:t>
            </w:r>
          </w:p>
        </w:tc>
        <w:tc>
          <w:tcPr>
            <w:tcW w:w="2100" w:type="dxa"/>
            <w:vAlign w:val="bottom"/>
            <w:vMerge w:val="restart"/>
          </w:tcPr>
          <w:p>
            <w:pPr>
              <w:jc w:val="right"/>
              <w:ind w:right="607"/>
              <w:spacing w:after="0"/>
              <w:rPr>
                <w:sz w:val="20"/>
                <w:szCs w:val="20"/>
                <w:color w:val="auto"/>
              </w:rPr>
            </w:pPr>
            <w:r>
              <w:rPr>
                <w:rFonts w:ascii="Arial" w:cs="Arial" w:eastAsia="Arial" w:hAnsi="Arial"/>
                <w:sz w:val="19"/>
                <w:szCs w:val="19"/>
                <w:color w:val="auto"/>
              </w:rPr>
              <w:t>167</w:t>
            </w:r>
          </w:p>
        </w:tc>
        <w:tc>
          <w:tcPr>
            <w:tcW w:w="1360" w:type="dxa"/>
            <w:vAlign w:val="bottom"/>
            <w:vMerge w:val="restart"/>
          </w:tcPr>
          <w:p>
            <w:pPr>
              <w:ind w:left="540"/>
              <w:spacing w:after="0"/>
              <w:rPr>
                <w:sz w:val="20"/>
                <w:szCs w:val="20"/>
                <w:color w:val="auto"/>
              </w:rPr>
            </w:pPr>
            <w:r>
              <w:rPr>
                <w:rFonts w:ascii="Arial" w:cs="Arial" w:eastAsia="Arial" w:hAnsi="Arial"/>
                <w:sz w:val="19"/>
                <w:szCs w:val="19"/>
                <w:color w:val="auto"/>
              </w:rPr>
              <w:t>(1,101)</w:t>
            </w:r>
          </w:p>
        </w:tc>
        <w:tc>
          <w:tcPr>
            <w:tcW w:w="0" w:type="dxa"/>
            <w:vAlign w:val="bottom"/>
          </w:tcPr>
          <w:p>
            <w:pPr>
              <w:spacing w:after="0"/>
              <w:rPr>
                <w:sz w:val="1"/>
                <w:szCs w:val="1"/>
                <w:color w:val="auto"/>
              </w:rPr>
            </w:pPr>
          </w:p>
        </w:tc>
      </w:tr>
      <w:tr>
        <w:trPr>
          <w:trHeight w:val="118"/>
        </w:trPr>
        <w:tc>
          <w:tcPr>
            <w:tcW w:w="3240" w:type="dxa"/>
            <w:vAlign w:val="bottom"/>
            <w:vMerge w:val="restart"/>
          </w:tcPr>
          <w:p>
            <w:pPr>
              <w:spacing w:after="0"/>
              <w:rPr>
                <w:sz w:val="20"/>
                <w:szCs w:val="20"/>
                <w:color w:val="auto"/>
              </w:rPr>
            </w:pPr>
            <w:r>
              <w:rPr>
                <w:rFonts w:ascii="Arial" w:cs="Arial" w:eastAsia="Arial" w:hAnsi="Arial"/>
                <w:sz w:val="19"/>
                <w:szCs w:val="19"/>
                <w:b w:val="1"/>
                <w:bCs w:val="1"/>
                <w:color w:val="auto"/>
              </w:rPr>
              <w:t>Taxes, Equity Income</w:t>
            </w:r>
          </w:p>
        </w:tc>
        <w:tc>
          <w:tcPr>
            <w:tcW w:w="128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2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0"/>
        </w:trPr>
        <w:tc>
          <w:tcPr>
            <w:tcW w:w="3240" w:type="dxa"/>
            <w:vAlign w:val="bottom"/>
          </w:tcPr>
          <w:p>
            <w:pPr>
              <w:spacing w:after="0"/>
              <w:rPr>
                <w:sz w:val="20"/>
                <w:szCs w:val="20"/>
                <w:color w:val="auto"/>
              </w:rPr>
            </w:pPr>
            <w:r>
              <w:rPr>
                <w:rFonts w:ascii="Arial" w:cs="Arial" w:eastAsia="Arial" w:hAnsi="Arial"/>
                <w:sz w:val="19"/>
                <w:szCs w:val="19"/>
                <w:b w:val="1"/>
                <w:bCs w:val="1"/>
                <w:color w:val="auto"/>
              </w:rPr>
              <w:t>Equity Income</w:t>
            </w:r>
          </w:p>
        </w:tc>
        <w:tc>
          <w:tcPr>
            <w:tcW w:w="1280" w:type="dxa"/>
            <w:vAlign w:val="bottom"/>
          </w:tcPr>
          <w:p>
            <w:pPr>
              <w:jc w:val="center"/>
              <w:ind w:left="367"/>
              <w:spacing w:after="0"/>
              <w:rPr>
                <w:sz w:val="20"/>
                <w:szCs w:val="20"/>
                <w:color w:val="auto"/>
              </w:rPr>
            </w:pPr>
            <w:r>
              <w:rPr>
                <w:rFonts w:ascii="Arial" w:cs="Arial" w:eastAsia="Arial" w:hAnsi="Arial"/>
                <w:sz w:val="19"/>
                <w:szCs w:val="19"/>
                <w:color w:val="auto"/>
              </w:rPr>
              <w:t>71</w:t>
            </w:r>
          </w:p>
        </w:tc>
        <w:tc>
          <w:tcPr>
            <w:tcW w:w="1820" w:type="dxa"/>
            <w:vAlign w:val="bottom"/>
          </w:tcPr>
          <w:p>
            <w:pPr>
              <w:jc w:val="center"/>
              <w:ind w:left="546"/>
              <w:spacing w:after="0"/>
              <w:rPr>
                <w:sz w:val="20"/>
                <w:szCs w:val="20"/>
                <w:color w:val="auto"/>
              </w:rPr>
            </w:pPr>
            <w:r>
              <w:rPr>
                <w:rFonts w:ascii="Arial" w:cs="Arial" w:eastAsia="Arial" w:hAnsi="Arial"/>
                <w:sz w:val="19"/>
                <w:szCs w:val="19"/>
                <w:color w:val="auto"/>
                <w:w w:val="94"/>
              </w:rPr>
              <w:t>8</w:t>
            </w:r>
          </w:p>
        </w:tc>
        <w:tc>
          <w:tcPr>
            <w:tcW w:w="2100" w:type="dxa"/>
            <w:vAlign w:val="bottom"/>
          </w:tcPr>
          <w:p>
            <w:pPr>
              <w:jc w:val="right"/>
              <w:ind w:right="607"/>
              <w:spacing w:after="0"/>
              <w:rPr>
                <w:sz w:val="20"/>
                <w:szCs w:val="20"/>
                <w:color w:val="auto"/>
              </w:rPr>
            </w:pPr>
            <w:r>
              <w:rPr>
                <w:rFonts w:ascii="Arial" w:cs="Arial" w:eastAsia="Arial" w:hAnsi="Arial"/>
                <w:sz w:val="19"/>
                <w:szCs w:val="19"/>
                <w:color w:val="auto"/>
              </w:rPr>
              <w:t>217</w:t>
            </w:r>
          </w:p>
        </w:tc>
        <w:tc>
          <w:tcPr>
            <w:tcW w:w="1360" w:type="dxa"/>
            <w:vAlign w:val="bottom"/>
          </w:tcPr>
          <w:p>
            <w:pPr>
              <w:jc w:val="center"/>
              <w:ind w:left="227"/>
              <w:spacing w:after="0"/>
              <w:rPr>
                <w:sz w:val="20"/>
                <w:szCs w:val="20"/>
                <w:color w:val="auto"/>
              </w:rPr>
            </w:pPr>
            <w:r>
              <w:rPr>
                <w:rFonts w:ascii="Arial" w:cs="Arial" w:eastAsia="Arial" w:hAnsi="Arial"/>
                <w:sz w:val="19"/>
                <w:szCs w:val="19"/>
                <w:color w:val="auto"/>
                <w:w w:val="94"/>
              </w:rPr>
              <w:t>82</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9"/>
                <w:szCs w:val="19"/>
                <w:b w:val="1"/>
                <w:bCs w:val="1"/>
                <w:color w:val="auto"/>
              </w:rPr>
              <w:t>Non-Controlling Interests</w:t>
            </w:r>
          </w:p>
        </w:tc>
        <w:tc>
          <w:tcPr>
            <w:tcW w:w="1280" w:type="dxa"/>
            <w:vAlign w:val="bottom"/>
          </w:tcPr>
          <w:p>
            <w:pPr>
              <w:jc w:val="center"/>
              <w:ind w:left="367"/>
              <w:spacing w:after="0"/>
              <w:rPr>
                <w:sz w:val="20"/>
                <w:szCs w:val="20"/>
                <w:color w:val="auto"/>
              </w:rPr>
            </w:pPr>
            <w:r>
              <w:rPr>
                <w:rFonts w:ascii="Arial" w:cs="Arial" w:eastAsia="Arial" w:hAnsi="Arial"/>
                <w:sz w:val="19"/>
                <w:szCs w:val="19"/>
                <w:color w:val="auto"/>
              </w:rPr>
              <w:t>51</w:t>
            </w:r>
          </w:p>
        </w:tc>
        <w:tc>
          <w:tcPr>
            <w:tcW w:w="1820" w:type="dxa"/>
            <w:vAlign w:val="bottom"/>
          </w:tcPr>
          <w:p>
            <w:pPr>
              <w:jc w:val="center"/>
              <w:ind w:left="546"/>
              <w:spacing w:after="0"/>
              <w:rPr>
                <w:sz w:val="20"/>
                <w:szCs w:val="20"/>
                <w:color w:val="auto"/>
              </w:rPr>
            </w:pPr>
            <w:r>
              <w:rPr>
                <w:rFonts w:ascii="Arial" w:cs="Arial" w:eastAsia="Arial" w:hAnsi="Arial"/>
                <w:sz w:val="19"/>
                <w:szCs w:val="19"/>
                <w:color w:val="auto"/>
              </w:rPr>
              <w:t>(26)</w:t>
            </w:r>
          </w:p>
        </w:tc>
        <w:tc>
          <w:tcPr>
            <w:tcW w:w="2100" w:type="dxa"/>
            <w:vAlign w:val="bottom"/>
          </w:tcPr>
          <w:p>
            <w:pPr>
              <w:jc w:val="right"/>
              <w:ind w:right="547"/>
              <w:spacing w:after="0"/>
              <w:rPr>
                <w:sz w:val="20"/>
                <w:szCs w:val="20"/>
                <w:color w:val="auto"/>
              </w:rPr>
            </w:pPr>
            <w:r>
              <w:rPr>
                <w:rFonts w:ascii="Arial" w:cs="Arial" w:eastAsia="Arial" w:hAnsi="Arial"/>
                <w:sz w:val="19"/>
                <w:szCs w:val="19"/>
                <w:color w:val="auto"/>
              </w:rPr>
              <w:t>(146)</w:t>
            </w:r>
          </w:p>
        </w:tc>
        <w:tc>
          <w:tcPr>
            <w:tcW w:w="1360" w:type="dxa"/>
            <w:vAlign w:val="bottom"/>
          </w:tcPr>
          <w:p>
            <w:pPr>
              <w:jc w:val="center"/>
              <w:ind w:left="227"/>
              <w:spacing w:after="0"/>
              <w:rPr>
                <w:sz w:val="20"/>
                <w:szCs w:val="20"/>
                <w:color w:val="auto"/>
              </w:rPr>
            </w:pPr>
            <w:r>
              <w:rPr>
                <w:rFonts w:ascii="Arial" w:cs="Arial" w:eastAsia="Arial" w:hAnsi="Arial"/>
                <w:sz w:val="19"/>
                <w:szCs w:val="19"/>
                <w:color w:val="auto"/>
                <w:w w:val="94"/>
              </w:rPr>
              <w:t>52</w:t>
            </w:r>
          </w:p>
        </w:tc>
        <w:tc>
          <w:tcPr>
            <w:tcW w:w="0" w:type="dxa"/>
            <w:vAlign w:val="bottom"/>
          </w:tcPr>
          <w:p>
            <w:pPr>
              <w:spacing w:after="0"/>
              <w:rPr>
                <w:sz w:val="1"/>
                <w:szCs w:val="1"/>
                <w:color w:val="auto"/>
              </w:rPr>
            </w:pPr>
          </w:p>
        </w:tc>
      </w:tr>
      <w:tr>
        <w:trPr>
          <w:trHeight w:val="435"/>
        </w:trPr>
        <w:tc>
          <w:tcPr>
            <w:tcW w:w="3240" w:type="dxa"/>
            <w:vAlign w:val="bottom"/>
          </w:tcPr>
          <w:p>
            <w:pPr>
              <w:spacing w:after="0"/>
              <w:rPr>
                <w:sz w:val="20"/>
                <w:szCs w:val="20"/>
                <w:color w:val="auto"/>
              </w:rPr>
            </w:pPr>
            <w:r>
              <w:rPr>
                <w:rFonts w:ascii="Arial" w:cs="Arial" w:eastAsia="Arial" w:hAnsi="Arial"/>
                <w:sz w:val="19"/>
                <w:szCs w:val="19"/>
                <w:b w:val="1"/>
                <w:bCs w:val="1"/>
                <w:color w:val="auto"/>
              </w:rPr>
              <w:t>EBIT</w:t>
            </w:r>
          </w:p>
        </w:tc>
        <w:tc>
          <w:tcPr>
            <w:tcW w:w="1280" w:type="dxa"/>
            <w:vAlign w:val="bottom"/>
          </w:tcPr>
          <w:p>
            <w:pPr>
              <w:jc w:val="center"/>
              <w:ind w:left="387"/>
              <w:spacing w:after="0"/>
              <w:rPr>
                <w:sz w:val="20"/>
                <w:szCs w:val="20"/>
                <w:color w:val="auto"/>
              </w:rPr>
            </w:pPr>
            <w:r>
              <w:rPr>
                <w:rFonts w:ascii="Arial" w:cs="Arial" w:eastAsia="Arial" w:hAnsi="Arial"/>
                <w:sz w:val="19"/>
                <w:szCs w:val="19"/>
                <w:color w:val="auto"/>
                <w:w w:val="99"/>
              </w:rPr>
              <w:t>(447)</w:t>
            </w:r>
          </w:p>
        </w:tc>
        <w:tc>
          <w:tcPr>
            <w:tcW w:w="1820" w:type="dxa"/>
            <w:vAlign w:val="bottom"/>
          </w:tcPr>
          <w:p>
            <w:pPr>
              <w:jc w:val="center"/>
              <w:ind w:left="546"/>
              <w:spacing w:after="0"/>
              <w:rPr>
                <w:sz w:val="20"/>
                <w:szCs w:val="20"/>
                <w:color w:val="auto"/>
              </w:rPr>
            </w:pPr>
            <w:r>
              <w:rPr>
                <w:rFonts w:ascii="Arial" w:cs="Arial" w:eastAsia="Arial" w:hAnsi="Arial"/>
                <w:sz w:val="19"/>
                <w:szCs w:val="19"/>
                <w:color w:val="auto"/>
              </w:rPr>
              <w:t>(81)</w:t>
            </w:r>
          </w:p>
        </w:tc>
        <w:tc>
          <w:tcPr>
            <w:tcW w:w="2100" w:type="dxa"/>
            <w:vAlign w:val="bottom"/>
          </w:tcPr>
          <w:p>
            <w:pPr>
              <w:jc w:val="right"/>
              <w:ind w:right="607"/>
              <w:spacing w:after="0"/>
              <w:rPr>
                <w:sz w:val="20"/>
                <w:szCs w:val="20"/>
                <w:color w:val="auto"/>
              </w:rPr>
            </w:pPr>
            <w:r>
              <w:rPr>
                <w:rFonts w:ascii="Arial" w:cs="Arial" w:eastAsia="Arial" w:hAnsi="Arial"/>
                <w:sz w:val="19"/>
                <w:szCs w:val="19"/>
                <w:color w:val="auto"/>
              </w:rPr>
              <w:t>238</w:t>
            </w:r>
          </w:p>
        </w:tc>
        <w:tc>
          <w:tcPr>
            <w:tcW w:w="1360" w:type="dxa"/>
            <w:vAlign w:val="bottom"/>
          </w:tcPr>
          <w:p>
            <w:pPr>
              <w:jc w:val="center"/>
              <w:ind w:left="227"/>
              <w:spacing w:after="0"/>
              <w:rPr>
                <w:sz w:val="20"/>
                <w:szCs w:val="20"/>
                <w:color w:val="auto"/>
              </w:rPr>
            </w:pPr>
            <w:r>
              <w:rPr>
                <w:rFonts w:ascii="Arial" w:cs="Arial" w:eastAsia="Arial" w:hAnsi="Arial"/>
                <w:sz w:val="19"/>
                <w:szCs w:val="19"/>
                <w:color w:val="auto"/>
                <w:w w:val="99"/>
              </w:rPr>
              <w:t>(967)</w:t>
            </w:r>
          </w:p>
        </w:tc>
        <w:tc>
          <w:tcPr>
            <w:tcW w:w="0" w:type="dxa"/>
            <w:vAlign w:val="bottom"/>
          </w:tcPr>
          <w:p>
            <w:pPr>
              <w:spacing w:after="0"/>
              <w:rPr>
                <w:sz w:val="1"/>
                <w:szCs w:val="1"/>
                <w:color w:val="auto"/>
              </w:rPr>
            </w:pPr>
          </w:p>
        </w:tc>
      </w:tr>
      <w:tr>
        <w:trPr>
          <w:trHeight w:val="282"/>
        </w:trPr>
        <w:tc>
          <w:tcPr>
            <w:tcW w:w="3240" w:type="dxa"/>
            <w:vAlign w:val="bottom"/>
          </w:tcPr>
          <w:p>
            <w:pPr>
              <w:spacing w:after="0"/>
              <w:rPr>
                <w:sz w:val="20"/>
                <w:szCs w:val="20"/>
                <w:color w:val="auto"/>
              </w:rPr>
            </w:pPr>
            <w:r>
              <w:rPr>
                <w:rFonts w:ascii="Arial" w:cs="Arial" w:eastAsia="Arial" w:hAnsi="Arial"/>
                <w:sz w:val="19"/>
                <w:szCs w:val="19"/>
                <w:b w:val="1"/>
                <w:bCs w:val="1"/>
                <w:color w:val="auto"/>
              </w:rPr>
              <w:t>EBIT Margin</w:t>
            </w:r>
          </w:p>
        </w:tc>
        <w:tc>
          <w:tcPr>
            <w:tcW w:w="1280" w:type="dxa"/>
            <w:vAlign w:val="bottom"/>
          </w:tcPr>
          <w:p>
            <w:pPr>
              <w:jc w:val="center"/>
              <w:ind w:left="367"/>
              <w:spacing w:after="0"/>
              <w:rPr>
                <w:sz w:val="20"/>
                <w:szCs w:val="20"/>
                <w:color w:val="auto"/>
              </w:rPr>
            </w:pPr>
            <w:r>
              <w:rPr>
                <w:rFonts w:ascii="Arial" w:cs="Arial" w:eastAsia="Arial" w:hAnsi="Arial"/>
                <w:sz w:val="19"/>
                <w:szCs w:val="19"/>
                <w:color w:val="auto"/>
                <w:w w:val="96"/>
              </w:rPr>
              <w:t>(2.8)%</w:t>
            </w:r>
          </w:p>
        </w:tc>
        <w:tc>
          <w:tcPr>
            <w:tcW w:w="1820" w:type="dxa"/>
            <w:vAlign w:val="bottom"/>
          </w:tcPr>
          <w:p>
            <w:pPr>
              <w:jc w:val="center"/>
              <w:ind w:left="526"/>
              <w:spacing w:after="0"/>
              <w:rPr>
                <w:sz w:val="20"/>
                <w:szCs w:val="20"/>
                <w:color w:val="auto"/>
              </w:rPr>
            </w:pPr>
            <w:r>
              <w:rPr>
                <w:rFonts w:ascii="Arial" w:cs="Arial" w:eastAsia="Arial" w:hAnsi="Arial"/>
                <w:sz w:val="19"/>
                <w:szCs w:val="19"/>
                <w:color w:val="auto"/>
                <w:w w:val="99"/>
              </w:rPr>
              <w:t>(7.1)%</w:t>
            </w:r>
          </w:p>
        </w:tc>
        <w:tc>
          <w:tcPr>
            <w:tcW w:w="2100" w:type="dxa"/>
            <w:vAlign w:val="bottom"/>
          </w:tcPr>
          <w:p>
            <w:pPr>
              <w:jc w:val="center"/>
              <w:ind w:left="247"/>
              <w:spacing w:after="0"/>
              <w:rPr>
                <w:sz w:val="20"/>
                <w:szCs w:val="20"/>
                <w:color w:val="auto"/>
              </w:rPr>
            </w:pPr>
            <w:r>
              <w:rPr>
                <w:rFonts w:ascii="Arial" w:cs="Arial" w:eastAsia="Arial" w:hAnsi="Arial"/>
                <w:sz w:val="19"/>
                <w:szCs w:val="19"/>
                <w:color w:val="auto"/>
              </w:rPr>
              <w:t>2.0%</w:t>
            </w:r>
          </w:p>
        </w:tc>
        <w:tc>
          <w:tcPr>
            <w:tcW w:w="1360" w:type="dxa"/>
            <w:vAlign w:val="bottom"/>
          </w:tcPr>
          <w:p>
            <w:pPr>
              <w:jc w:val="right"/>
              <w:ind w:right="107"/>
              <w:spacing w:after="0"/>
              <w:rPr>
                <w:sz w:val="20"/>
                <w:szCs w:val="20"/>
                <w:color w:val="auto"/>
              </w:rPr>
            </w:pPr>
            <w:r>
              <w:rPr>
                <w:rFonts w:ascii="Arial" w:cs="Arial" w:eastAsia="Arial" w:hAnsi="Arial"/>
                <w:sz w:val="19"/>
                <w:szCs w:val="19"/>
                <w:color w:val="auto"/>
              </w:rPr>
              <w:t>(10.3)%</w:t>
            </w:r>
          </w:p>
        </w:tc>
        <w:tc>
          <w:tcPr>
            <w:tcW w:w="0" w:type="dxa"/>
            <w:vAlign w:val="bottom"/>
          </w:tcPr>
          <w:p>
            <w:pPr>
              <w:spacing w:after="0"/>
              <w:rPr>
                <w:sz w:val="1"/>
                <w:szCs w:val="1"/>
                <w:color w:val="auto"/>
              </w:rPr>
            </w:pPr>
          </w:p>
        </w:tc>
      </w:tr>
      <w:tr>
        <w:trPr>
          <w:trHeight w:val="447"/>
        </w:trPr>
        <w:tc>
          <w:tcPr>
            <w:tcW w:w="3240" w:type="dxa"/>
            <w:vAlign w:val="bottom"/>
          </w:tcPr>
          <w:p>
            <w:pPr>
              <w:spacing w:after="0"/>
              <w:rPr>
                <w:sz w:val="20"/>
                <w:szCs w:val="20"/>
                <w:color w:val="auto"/>
              </w:rPr>
            </w:pPr>
            <w:r>
              <w:rPr>
                <w:rFonts w:ascii="Arial" w:cs="Arial" w:eastAsia="Arial" w:hAnsi="Arial"/>
                <w:sz w:val="19"/>
                <w:szCs w:val="19"/>
                <w:i w:val="1"/>
                <w:iCs w:val="1"/>
                <w:color w:val="auto"/>
              </w:rPr>
              <w:t>Memo: EBITDA</w:t>
            </w:r>
          </w:p>
        </w:tc>
        <w:tc>
          <w:tcPr>
            <w:tcW w:w="1280" w:type="dxa"/>
            <w:vAlign w:val="bottom"/>
          </w:tcPr>
          <w:p>
            <w:pPr>
              <w:jc w:val="center"/>
              <w:ind w:left="347"/>
              <w:spacing w:after="0"/>
              <w:rPr>
                <w:sz w:val="20"/>
                <w:szCs w:val="20"/>
                <w:color w:val="auto"/>
              </w:rPr>
            </w:pPr>
            <w:r>
              <w:rPr>
                <w:rFonts w:ascii="Arial" w:cs="Arial" w:eastAsia="Arial" w:hAnsi="Arial"/>
                <w:sz w:val="19"/>
                <w:szCs w:val="19"/>
                <w:i w:val="1"/>
                <w:iCs w:val="1"/>
                <w:color w:val="auto"/>
              </w:rPr>
              <w:t>211</w:t>
            </w:r>
          </w:p>
        </w:tc>
        <w:tc>
          <w:tcPr>
            <w:tcW w:w="1820" w:type="dxa"/>
            <w:vAlign w:val="bottom"/>
          </w:tcPr>
          <w:p>
            <w:pPr>
              <w:jc w:val="center"/>
              <w:ind w:left="486"/>
              <w:spacing w:after="0"/>
              <w:rPr>
                <w:sz w:val="20"/>
                <w:szCs w:val="20"/>
                <w:color w:val="auto"/>
              </w:rPr>
            </w:pPr>
            <w:r>
              <w:rPr>
                <w:rFonts w:ascii="Arial" w:cs="Arial" w:eastAsia="Arial" w:hAnsi="Arial"/>
                <w:sz w:val="19"/>
                <w:szCs w:val="19"/>
                <w:i w:val="1"/>
                <w:iCs w:val="1"/>
                <w:color w:val="auto"/>
                <w:w w:val="94"/>
              </w:rPr>
              <w:t>26</w:t>
            </w:r>
          </w:p>
        </w:tc>
        <w:tc>
          <w:tcPr>
            <w:tcW w:w="2100" w:type="dxa"/>
            <w:vAlign w:val="bottom"/>
          </w:tcPr>
          <w:p>
            <w:pPr>
              <w:jc w:val="right"/>
              <w:ind w:right="627"/>
              <w:spacing w:after="0"/>
              <w:rPr>
                <w:sz w:val="20"/>
                <w:szCs w:val="20"/>
                <w:color w:val="auto"/>
              </w:rPr>
            </w:pPr>
            <w:r>
              <w:rPr>
                <w:rFonts w:ascii="Arial" w:cs="Arial" w:eastAsia="Arial" w:hAnsi="Arial"/>
                <w:sz w:val="19"/>
                <w:szCs w:val="19"/>
                <w:i w:val="1"/>
                <w:iCs w:val="1"/>
                <w:color w:val="auto"/>
              </w:rPr>
              <w:t>745</w:t>
            </w:r>
          </w:p>
        </w:tc>
        <w:tc>
          <w:tcPr>
            <w:tcW w:w="1360" w:type="dxa"/>
            <w:vAlign w:val="bottom"/>
          </w:tcPr>
          <w:p>
            <w:pPr>
              <w:jc w:val="right"/>
              <w:ind w:right="267"/>
              <w:spacing w:after="0"/>
              <w:rPr>
                <w:sz w:val="20"/>
                <w:szCs w:val="20"/>
                <w:color w:val="auto"/>
              </w:rPr>
            </w:pPr>
            <w:r>
              <w:rPr>
                <w:rFonts w:ascii="Arial" w:cs="Arial" w:eastAsia="Arial" w:hAnsi="Arial"/>
                <w:sz w:val="19"/>
                <w:szCs w:val="19"/>
                <w:i w:val="1"/>
                <w:iCs w:val="1"/>
                <w:color w:val="auto"/>
              </w:rPr>
              <w:t>(64)</w:t>
            </w:r>
          </w:p>
        </w:tc>
        <w:tc>
          <w:tcPr>
            <w:tcW w:w="0" w:type="dxa"/>
            <w:vAlign w:val="bottom"/>
          </w:tcPr>
          <w:p>
            <w:pPr>
              <w:spacing w:after="0"/>
              <w:rPr>
                <w:sz w:val="1"/>
                <w:szCs w:val="1"/>
                <w:color w:val="auto"/>
              </w:rPr>
            </w:pPr>
          </w:p>
        </w:tc>
      </w:tr>
      <w:tr>
        <w:trPr>
          <w:trHeight w:val="388"/>
        </w:trPr>
        <w:tc>
          <w:tcPr>
            <w:tcW w:w="3240" w:type="dxa"/>
            <w:vAlign w:val="bottom"/>
          </w:tcPr>
          <w:p>
            <w:pPr>
              <w:spacing w:after="0"/>
              <w:rPr>
                <w:sz w:val="20"/>
                <w:szCs w:val="20"/>
                <w:color w:val="auto"/>
              </w:rPr>
            </w:pPr>
            <w:r>
              <w:rPr>
                <w:rFonts w:ascii="Arial" w:cs="Arial" w:eastAsia="Arial" w:hAnsi="Arial"/>
                <w:sz w:val="19"/>
                <w:szCs w:val="19"/>
                <w:i w:val="1"/>
                <w:iCs w:val="1"/>
                <w:color w:val="auto"/>
              </w:rPr>
              <w:t>Memo: EBIT ** - Europe</w:t>
            </w:r>
          </w:p>
        </w:tc>
        <w:tc>
          <w:tcPr>
            <w:tcW w:w="1280" w:type="dxa"/>
            <w:vAlign w:val="bottom"/>
          </w:tcPr>
          <w:p>
            <w:pPr>
              <w:jc w:val="center"/>
              <w:ind w:left="327"/>
              <w:spacing w:after="0"/>
              <w:rPr>
                <w:sz w:val="20"/>
                <w:szCs w:val="20"/>
                <w:color w:val="auto"/>
              </w:rPr>
            </w:pPr>
            <w:r>
              <w:rPr>
                <w:rFonts w:ascii="Arial" w:cs="Arial" w:eastAsia="Arial" w:hAnsi="Arial"/>
                <w:sz w:val="19"/>
                <w:szCs w:val="19"/>
                <w:i w:val="1"/>
                <w:iCs w:val="1"/>
                <w:color w:val="auto"/>
                <w:w w:val="98"/>
              </w:rPr>
              <w:t>n/a</w:t>
            </w:r>
          </w:p>
        </w:tc>
        <w:tc>
          <w:tcPr>
            <w:tcW w:w="1820" w:type="dxa"/>
            <w:vAlign w:val="bottom"/>
          </w:tcPr>
          <w:p>
            <w:pPr>
              <w:jc w:val="center"/>
              <w:ind w:left="506"/>
              <w:spacing w:after="0"/>
              <w:rPr>
                <w:sz w:val="20"/>
                <w:szCs w:val="20"/>
                <w:color w:val="auto"/>
              </w:rPr>
            </w:pPr>
            <w:r>
              <w:rPr>
                <w:rFonts w:ascii="Arial" w:cs="Arial" w:eastAsia="Arial" w:hAnsi="Arial"/>
                <w:sz w:val="19"/>
                <w:szCs w:val="19"/>
                <w:i w:val="1"/>
                <w:iCs w:val="1"/>
                <w:color w:val="auto"/>
                <w:w w:val="98"/>
              </w:rPr>
              <w:t>n/a</w:t>
            </w:r>
          </w:p>
        </w:tc>
        <w:tc>
          <w:tcPr>
            <w:tcW w:w="2100" w:type="dxa"/>
            <w:vAlign w:val="bottom"/>
          </w:tcPr>
          <w:p>
            <w:pPr>
              <w:jc w:val="right"/>
              <w:ind w:right="567"/>
              <w:spacing w:after="0"/>
              <w:rPr>
                <w:sz w:val="20"/>
                <w:szCs w:val="20"/>
                <w:color w:val="auto"/>
              </w:rPr>
            </w:pPr>
            <w:r>
              <w:rPr>
                <w:rFonts w:ascii="Arial" w:cs="Arial" w:eastAsia="Arial" w:hAnsi="Arial"/>
                <w:sz w:val="19"/>
                <w:szCs w:val="19"/>
                <w:i w:val="1"/>
                <w:iCs w:val="1"/>
                <w:color w:val="auto"/>
              </w:rPr>
              <w:t>(437)</w:t>
            </w:r>
          </w:p>
        </w:tc>
        <w:tc>
          <w:tcPr>
            <w:tcW w:w="1360" w:type="dxa"/>
            <w:vAlign w:val="bottom"/>
          </w:tcPr>
          <w:p>
            <w:pPr>
              <w:jc w:val="center"/>
              <w:ind w:left="207"/>
              <w:spacing w:after="0"/>
              <w:rPr>
                <w:sz w:val="20"/>
                <w:szCs w:val="20"/>
                <w:color w:val="auto"/>
              </w:rPr>
            </w:pPr>
            <w:r>
              <w:rPr>
                <w:rFonts w:ascii="Arial" w:cs="Arial" w:eastAsia="Arial" w:hAnsi="Arial"/>
                <w:sz w:val="19"/>
                <w:szCs w:val="19"/>
                <w:i w:val="1"/>
                <w:iCs w:val="1"/>
                <w:color w:val="auto"/>
                <w:w w:val="98"/>
              </w:rPr>
              <w:t>n/a</w:t>
            </w:r>
          </w:p>
        </w:tc>
        <w:tc>
          <w:tcPr>
            <w:tcW w:w="0" w:type="dxa"/>
            <w:vAlign w:val="bottom"/>
          </w:tcPr>
          <w:p>
            <w:pPr>
              <w:spacing w:after="0"/>
              <w:rPr>
                <w:sz w:val="1"/>
                <w:szCs w:val="1"/>
                <w:color w:val="auto"/>
              </w:rPr>
            </w:pPr>
          </w:p>
        </w:tc>
      </w:tr>
      <w:tr>
        <w:trPr>
          <w:trHeight w:val="259"/>
        </w:trPr>
        <w:tc>
          <w:tcPr>
            <w:tcW w:w="3240" w:type="dxa"/>
            <w:vAlign w:val="bottom"/>
          </w:tcPr>
          <w:p>
            <w:pPr>
              <w:ind w:left="1280"/>
              <w:spacing w:after="0"/>
              <w:rPr>
                <w:sz w:val="20"/>
                <w:szCs w:val="20"/>
                <w:color w:val="auto"/>
              </w:rPr>
            </w:pPr>
            <w:r>
              <w:rPr>
                <w:rFonts w:ascii="Arial" w:cs="Arial" w:eastAsia="Arial" w:hAnsi="Arial"/>
                <w:sz w:val="19"/>
                <w:szCs w:val="19"/>
                <w:i w:val="1"/>
                <w:iCs w:val="1"/>
                <w:color w:val="auto"/>
              </w:rPr>
              <w:t>- LAAM</w:t>
            </w:r>
          </w:p>
        </w:tc>
        <w:tc>
          <w:tcPr>
            <w:tcW w:w="1280" w:type="dxa"/>
            <w:vAlign w:val="bottom"/>
          </w:tcPr>
          <w:p>
            <w:pPr>
              <w:jc w:val="center"/>
              <w:ind w:left="327"/>
              <w:spacing w:after="0"/>
              <w:rPr>
                <w:sz w:val="20"/>
                <w:szCs w:val="20"/>
                <w:color w:val="auto"/>
              </w:rPr>
            </w:pPr>
            <w:r>
              <w:rPr>
                <w:rFonts w:ascii="Arial" w:cs="Arial" w:eastAsia="Arial" w:hAnsi="Arial"/>
                <w:sz w:val="19"/>
                <w:szCs w:val="19"/>
                <w:i w:val="1"/>
                <w:iCs w:val="1"/>
                <w:color w:val="auto"/>
                <w:w w:val="98"/>
              </w:rPr>
              <w:t>n/a</w:t>
            </w:r>
          </w:p>
        </w:tc>
        <w:tc>
          <w:tcPr>
            <w:tcW w:w="1820" w:type="dxa"/>
            <w:vAlign w:val="bottom"/>
          </w:tcPr>
          <w:p>
            <w:pPr>
              <w:jc w:val="center"/>
              <w:ind w:left="506"/>
              <w:spacing w:after="0"/>
              <w:rPr>
                <w:sz w:val="20"/>
                <w:szCs w:val="20"/>
                <w:color w:val="auto"/>
              </w:rPr>
            </w:pPr>
            <w:r>
              <w:rPr>
                <w:rFonts w:ascii="Arial" w:cs="Arial" w:eastAsia="Arial" w:hAnsi="Arial"/>
                <w:sz w:val="19"/>
                <w:szCs w:val="19"/>
                <w:i w:val="1"/>
                <w:iCs w:val="1"/>
                <w:color w:val="auto"/>
                <w:w w:val="98"/>
              </w:rPr>
              <w:t>n/a</w:t>
            </w:r>
          </w:p>
        </w:tc>
        <w:tc>
          <w:tcPr>
            <w:tcW w:w="2100" w:type="dxa"/>
            <w:vAlign w:val="bottom"/>
          </w:tcPr>
          <w:p>
            <w:pPr>
              <w:jc w:val="right"/>
              <w:ind w:right="627"/>
              <w:spacing w:after="0"/>
              <w:rPr>
                <w:sz w:val="20"/>
                <w:szCs w:val="20"/>
                <w:color w:val="auto"/>
              </w:rPr>
            </w:pPr>
            <w:r>
              <w:rPr>
                <w:rFonts w:ascii="Arial" w:cs="Arial" w:eastAsia="Arial" w:hAnsi="Arial"/>
                <w:sz w:val="19"/>
                <w:szCs w:val="19"/>
                <w:i w:val="1"/>
                <w:iCs w:val="1"/>
                <w:color w:val="auto"/>
              </w:rPr>
              <w:t>245</w:t>
            </w:r>
          </w:p>
        </w:tc>
        <w:tc>
          <w:tcPr>
            <w:tcW w:w="1360" w:type="dxa"/>
            <w:vAlign w:val="bottom"/>
          </w:tcPr>
          <w:p>
            <w:pPr>
              <w:jc w:val="center"/>
              <w:ind w:left="207"/>
              <w:spacing w:after="0"/>
              <w:rPr>
                <w:sz w:val="20"/>
                <w:szCs w:val="20"/>
                <w:color w:val="auto"/>
              </w:rPr>
            </w:pPr>
            <w:r>
              <w:rPr>
                <w:rFonts w:ascii="Arial" w:cs="Arial" w:eastAsia="Arial" w:hAnsi="Arial"/>
                <w:sz w:val="19"/>
                <w:szCs w:val="19"/>
                <w:i w:val="1"/>
                <w:iCs w:val="1"/>
                <w:color w:val="auto"/>
                <w:w w:val="98"/>
              </w:rPr>
              <w:t>n/a</w:t>
            </w:r>
          </w:p>
        </w:tc>
        <w:tc>
          <w:tcPr>
            <w:tcW w:w="0" w:type="dxa"/>
            <w:vAlign w:val="bottom"/>
          </w:tcPr>
          <w:p>
            <w:pPr>
              <w:spacing w:after="0"/>
              <w:rPr>
                <w:sz w:val="1"/>
                <w:szCs w:val="1"/>
                <w:color w:val="auto"/>
              </w:rPr>
            </w:pPr>
          </w:p>
        </w:tc>
      </w:tr>
      <w:tr>
        <w:trPr>
          <w:trHeight w:val="247"/>
        </w:trPr>
        <w:tc>
          <w:tcPr>
            <w:tcW w:w="3240" w:type="dxa"/>
            <w:vAlign w:val="bottom"/>
          </w:tcPr>
          <w:p>
            <w:pPr>
              <w:ind w:left="1280"/>
              <w:spacing w:after="0"/>
              <w:rPr>
                <w:sz w:val="20"/>
                <w:szCs w:val="20"/>
                <w:color w:val="auto"/>
              </w:rPr>
            </w:pPr>
            <w:r>
              <w:rPr>
                <w:rFonts w:ascii="Arial" w:cs="Arial" w:eastAsia="Arial" w:hAnsi="Arial"/>
                <w:sz w:val="19"/>
                <w:szCs w:val="19"/>
                <w:i w:val="1"/>
                <w:iCs w:val="1"/>
                <w:color w:val="auto"/>
              </w:rPr>
              <w:t>- Asia Pacific</w:t>
            </w:r>
          </w:p>
        </w:tc>
        <w:tc>
          <w:tcPr>
            <w:tcW w:w="1280" w:type="dxa"/>
            <w:vAlign w:val="bottom"/>
          </w:tcPr>
          <w:p>
            <w:pPr>
              <w:jc w:val="center"/>
              <w:ind w:left="327"/>
              <w:spacing w:after="0"/>
              <w:rPr>
                <w:sz w:val="20"/>
                <w:szCs w:val="20"/>
                <w:color w:val="auto"/>
              </w:rPr>
            </w:pPr>
            <w:r>
              <w:rPr>
                <w:rFonts w:ascii="Arial" w:cs="Arial" w:eastAsia="Arial" w:hAnsi="Arial"/>
                <w:sz w:val="19"/>
                <w:szCs w:val="19"/>
                <w:i w:val="1"/>
                <w:iCs w:val="1"/>
                <w:color w:val="auto"/>
                <w:w w:val="98"/>
              </w:rPr>
              <w:t>n/a</w:t>
            </w:r>
          </w:p>
        </w:tc>
        <w:tc>
          <w:tcPr>
            <w:tcW w:w="1820" w:type="dxa"/>
            <w:vAlign w:val="bottom"/>
          </w:tcPr>
          <w:p>
            <w:pPr>
              <w:jc w:val="center"/>
              <w:ind w:left="506"/>
              <w:spacing w:after="0"/>
              <w:rPr>
                <w:sz w:val="20"/>
                <w:szCs w:val="20"/>
                <w:color w:val="auto"/>
              </w:rPr>
            </w:pPr>
            <w:r>
              <w:rPr>
                <w:rFonts w:ascii="Arial" w:cs="Arial" w:eastAsia="Arial" w:hAnsi="Arial"/>
                <w:sz w:val="19"/>
                <w:szCs w:val="19"/>
                <w:i w:val="1"/>
                <w:iCs w:val="1"/>
                <w:color w:val="auto"/>
                <w:w w:val="98"/>
              </w:rPr>
              <w:t>n/a</w:t>
            </w:r>
          </w:p>
        </w:tc>
        <w:tc>
          <w:tcPr>
            <w:tcW w:w="2100" w:type="dxa"/>
            <w:vAlign w:val="bottom"/>
          </w:tcPr>
          <w:p>
            <w:pPr>
              <w:jc w:val="right"/>
              <w:ind w:right="627"/>
              <w:spacing w:after="0"/>
              <w:rPr>
                <w:sz w:val="20"/>
                <w:szCs w:val="20"/>
                <w:color w:val="auto"/>
              </w:rPr>
            </w:pPr>
            <w:r>
              <w:rPr>
                <w:rFonts w:ascii="Arial" w:cs="Arial" w:eastAsia="Arial" w:hAnsi="Arial"/>
                <w:sz w:val="19"/>
                <w:szCs w:val="19"/>
                <w:i w:val="1"/>
                <w:iCs w:val="1"/>
                <w:color w:val="auto"/>
              </w:rPr>
              <w:t>429</w:t>
            </w:r>
          </w:p>
        </w:tc>
        <w:tc>
          <w:tcPr>
            <w:tcW w:w="1360" w:type="dxa"/>
            <w:vAlign w:val="bottom"/>
          </w:tcPr>
          <w:p>
            <w:pPr>
              <w:jc w:val="center"/>
              <w:ind w:left="207"/>
              <w:spacing w:after="0"/>
              <w:rPr>
                <w:sz w:val="20"/>
                <w:szCs w:val="20"/>
                <w:color w:val="auto"/>
              </w:rPr>
            </w:pPr>
            <w:r>
              <w:rPr>
                <w:rFonts w:ascii="Arial" w:cs="Arial" w:eastAsia="Arial" w:hAnsi="Arial"/>
                <w:sz w:val="19"/>
                <w:szCs w:val="19"/>
                <w:i w:val="1"/>
                <w:iCs w:val="1"/>
                <w:color w:val="auto"/>
                <w:w w:val="98"/>
              </w:rPr>
              <w:t>n/a</w:t>
            </w:r>
          </w:p>
        </w:tc>
        <w:tc>
          <w:tcPr>
            <w:tcW w:w="0" w:type="dxa"/>
            <w:vAlign w:val="bottom"/>
          </w:tcPr>
          <w:p>
            <w:pPr>
              <w:spacing w:after="0"/>
              <w:rPr>
                <w:sz w:val="1"/>
                <w:szCs w:val="1"/>
                <w:color w:val="auto"/>
              </w:rPr>
            </w:pPr>
          </w:p>
        </w:tc>
      </w:tr>
      <w:tr>
        <w:trPr>
          <w:trHeight w:val="713"/>
        </w:trPr>
        <w:tc>
          <w:tcPr>
            <w:tcW w:w="3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60" w:type="dxa"/>
            <w:vAlign w:val="bottom"/>
          </w:tcPr>
          <w:p>
            <w:pPr>
              <w:jc w:val="center"/>
              <w:ind w:left="227"/>
              <w:spacing w:after="0"/>
              <w:rPr>
                <w:sz w:val="20"/>
                <w:szCs w:val="20"/>
                <w:color w:val="auto"/>
              </w:rPr>
            </w:pPr>
            <w:r>
              <w:rPr>
                <w:rFonts w:ascii="Arial" w:cs="Arial" w:eastAsia="Arial" w:hAnsi="Arial"/>
                <w:sz w:val="18"/>
                <w:szCs w:val="18"/>
                <w:color w:val="auto"/>
                <w:w w:val="97"/>
              </w:rPr>
              <w:t>Viability Plan</w:t>
            </w:r>
          </w:p>
        </w:tc>
        <w:tc>
          <w:tcPr>
            <w:tcW w:w="0" w:type="dxa"/>
            <w:vAlign w:val="bottom"/>
          </w:tcPr>
          <w:p>
            <w:pPr>
              <w:spacing w:after="0"/>
              <w:rPr>
                <w:sz w:val="1"/>
                <w:szCs w:val="1"/>
                <w:color w:val="auto"/>
              </w:rPr>
            </w:pPr>
          </w:p>
        </w:tc>
      </w:tr>
      <w:tr>
        <w:trPr>
          <w:trHeight w:val="235"/>
        </w:trPr>
        <w:tc>
          <w:tcPr>
            <w:tcW w:w="3240" w:type="dxa"/>
            <w:vAlign w:val="bottom"/>
          </w:tcPr>
          <w:p>
            <w:pPr>
              <w:spacing w:after="0"/>
              <w:rPr>
                <w:sz w:val="20"/>
                <w:szCs w:val="20"/>
                <w:color w:val="auto"/>
              </w:rPr>
            </w:pPr>
          </w:p>
        </w:tc>
        <w:tc>
          <w:tcPr>
            <w:tcW w:w="1280" w:type="dxa"/>
            <w:vAlign w:val="bottom"/>
          </w:tcPr>
          <w:p>
            <w:pPr>
              <w:ind w:left="680"/>
              <w:spacing w:after="0"/>
              <w:rPr>
                <w:sz w:val="20"/>
                <w:szCs w:val="20"/>
                <w:color w:val="auto"/>
              </w:rPr>
            </w:pPr>
            <w:r>
              <w:rPr>
                <w:rFonts w:ascii="Arial" w:cs="Arial" w:eastAsia="Arial" w:hAnsi="Arial"/>
                <w:sz w:val="18"/>
                <w:szCs w:val="18"/>
                <w:color w:val="auto"/>
              </w:rPr>
              <w:t>3Q08</w:t>
            </w:r>
          </w:p>
        </w:tc>
        <w:tc>
          <w:tcPr>
            <w:tcW w:w="1820" w:type="dxa"/>
            <w:vAlign w:val="bottom"/>
          </w:tcPr>
          <w:p>
            <w:pPr>
              <w:spacing w:after="0"/>
              <w:rPr>
                <w:sz w:val="20"/>
                <w:szCs w:val="20"/>
                <w:color w:val="auto"/>
              </w:rPr>
            </w:pPr>
          </w:p>
        </w:tc>
        <w:tc>
          <w:tcPr>
            <w:tcW w:w="2100" w:type="dxa"/>
            <w:vAlign w:val="bottom"/>
          </w:tcPr>
          <w:p>
            <w:pPr>
              <w:jc w:val="right"/>
              <w:ind w:right="1407"/>
              <w:spacing w:after="0"/>
              <w:rPr>
                <w:sz w:val="20"/>
                <w:szCs w:val="20"/>
                <w:color w:val="auto"/>
              </w:rPr>
            </w:pPr>
            <w:r>
              <w:rPr>
                <w:rFonts w:ascii="Arial" w:cs="Arial" w:eastAsia="Arial" w:hAnsi="Arial"/>
                <w:sz w:val="18"/>
                <w:szCs w:val="18"/>
                <w:color w:val="auto"/>
              </w:rPr>
              <w:t>3Q09</w:t>
            </w:r>
          </w:p>
        </w:tc>
        <w:tc>
          <w:tcPr>
            <w:tcW w:w="1360" w:type="dxa"/>
            <w:vAlign w:val="bottom"/>
          </w:tcPr>
          <w:p>
            <w:pPr>
              <w:jc w:val="center"/>
              <w:ind w:left="227"/>
              <w:spacing w:after="0"/>
              <w:rPr>
                <w:sz w:val="20"/>
                <w:szCs w:val="20"/>
                <w:color w:val="auto"/>
              </w:rPr>
            </w:pPr>
            <w:r>
              <w:rPr>
                <w:rFonts w:ascii="Arial" w:cs="Arial" w:eastAsia="Arial" w:hAnsi="Arial"/>
                <w:sz w:val="18"/>
                <w:szCs w:val="18"/>
                <w:color w:val="auto"/>
                <w:w w:val="99"/>
              </w:rPr>
              <w:t>3Q09</w:t>
            </w:r>
          </w:p>
        </w:tc>
        <w:tc>
          <w:tcPr>
            <w:tcW w:w="0" w:type="dxa"/>
            <w:vAlign w:val="bottom"/>
          </w:tcPr>
          <w:p>
            <w:pPr>
              <w:spacing w:after="0"/>
              <w:rPr>
                <w:sz w:val="1"/>
                <w:szCs w:val="1"/>
                <w:color w:val="auto"/>
              </w:rPr>
            </w:pPr>
          </w:p>
        </w:tc>
      </w:tr>
      <w:tr>
        <w:trPr>
          <w:trHeight w:val="341"/>
        </w:trPr>
        <w:tc>
          <w:tcPr>
            <w:tcW w:w="3240" w:type="dxa"/>
            <w:vAlign w:val="bottom"/>
          </w:tcPr>
          <w:p>
            <w:pPr>
              <w:spacing w:after="0"/>
              <w:rPr>
                <w:sz w:val="20"/>
                <w:szCs w:val="20"/>
                <w:color w:val="auto"/>
              </w:rPr>
            </w:pPr>
            <w:r>
              <w:rPr>
                <w:rFonts w:ascii="Arial" w:cs="Arial" w:eastAsia="Arial" w:hAnsi="Arial"/>
                <w:sz w:val="18"/>
                <w:szCs w:val="18"/>
                <w:i w:val="1"/>
                <w:iCs w:val="1"/>
                <w:color w:val="auto"/>
              </w:rPr>
              <w:t>GMIO Production (000's)</w:t>
            </w:r>
          </w:p>
        </w:tc>
        <w:tc>
          <w:tcPr>
            <w:tcW w:w="1280" w:type="dxa"/>
            <w:vAlign w:val="bottom"/>
          </w:tcPr>
          <w:p>
            <w:pPr>
              <w:jc w:val="center"/>
              <w:ind w:left="347"/>
              <w:spacing w:after="0"/>
              <w:rPr>
                <w:sz w:val="20"/>
                <w:szCs w:val="20"/>
                <w:color w:val="auto"/>
              </w:rPr>
            </w:pPr>
            <w:r>
              <w:rPr>
                <w:rFonts w:ascii="Arial" w:cs="Arial" w:eastAsia="Arial" w:hAnsi="Arial"/>
                <w:sz w:val="18"/>
                <w:szCs w:val="18"/>
                <w:i w:val="1"/>
                <w:iCs w:val="1"/>
                <w:color w:val="auto"/>
                <w:w w:val="97"/>
              </w:rPr>
              <w:t>1,124</w:t>
            </w:r>
          </w:p>
        </w:tc>
        <w:tc>
          <w:tcPr>
            <w:tcW w:w="1820" w:type="dxa"/>
            <w:vAlign w:val="bottom"/>
          </w:tcPr>
          <w:p>
            <w:pPr>
              <w:spacing w:after="0"/>
              <w:rPr>
                <w:sz w:val="24"/>
                <w:szCs w:val="24"/>
                <w:color w:val="auto"/>
              </w:rPr>
            </w:pPr>
          </w:p>
        </w:tc>
        <w:tc>
          <w:tcPr>
            <w:tcW w:w="2100" w:type="dxa"/>
            <w:vAlign w:val="bottom"/>
          </w:tcPr>
          <w:p>
            <w:pPr>
              <w:jc w:val="right"/>
              <w:ind w:right="1467"/>
              <w:spacing w:after="0"/>
              <w:rPr>
                <w:sz w:val="20"/>
                <w:szCs w:val="20"/>
                <w:color w:val="auto"/>
              </w:rPr>
            </w:pPr>
            <w:r>
              <w:rPr>
                <w:rFonts w:ascii="Arial" w:cs="Arial" w:eastAsia="Arial" w:hAnsi="Arial"/>
                <w:sz w:val="18"/>
                <w:szCs w:val="18"/>
                <w:i w:val="1"/>
                <w:iCs w:val="1"/>
                <w:color w:val="auto"/>
              </w:rPr>
              <w:t>1,166</w:t>
            </w:r>
          </w:p>
        </w:tc>
        <w:tc>
          <w:tcPr>
            <w:tcW w:w="1360" w:type="dxa"/>
            <w:vAlign w:val="bottom"/>
          </w:tcPr>
          <w:p>
            <w:pPr>
              <w:jc w:val="center"/>
              <w:ind w:left="207"/>
              <w:spacing w:after="0"/>
              <w:rPr>
                <w:sz w:val="20"/>
                <w:szCs w:val="20"/>
                <w:color w:val="auto"/>
              </w:rPr>
            </w:pPr>
            <w:r>
              <w:rPr>
                <w:rFonts w:ascii="Arial" w:cs="Arial" w:eastAsia="Arial" w:hAnsi="Arial"/>
                <w:sz w:val="18"/>
                <w:szCs w:val="18"/>
                <w:i w:val="1"/>
                <w:iCs w:val="1"/>
                <w:color w:val="auto"/>
                <w:w w:val="99"/>
              </w:rPr>
              <w:t>N/A</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0" w:right="540" w:hanging="74"/>
        <w:spacing w:after="0" w:line="278" w:lineRule="auto"/>
        <w:tabs>
          <w:tab w:leader="none" w:pos="1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Viability Plan based on 5/31 plan filed with U.S. Bankruptcy court in support of 363 sale, adjusted to include full year consolidation of GME and other items (see supplemental slides for detail)</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 Excludes IO eliminations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20</w:t>
      </w:r>
    </w:p>
    <w:p>
      <w:pPr>
        <w:sectPr>
          <w:pgSz w:w="11900" w:h="16838" w:orient="portrait"/>
          <w:cols w:equalWidth="0" w:num="1">
            <w:col w:w="10300"/>
          </w:cols>
          <w:pgMar w:left="440" w:top="411" w:right="1159" w:bottom="1440" w:gutter="0" w:footer="0" w:header="0"/>
        </w:sectPr>
      </w:pPr>
    </w:p>
    <w:bookmarkStart w:id="42" w:name="page43"/>
    <w:bookmarkEnd w:id="42"/>
    <w:p>
      <w:pPr>
        <w:ind w:left="102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Automotive Structural Cost Summary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820" w:type="dxa"/>
            <w:vAlign w:val="bottom"/>
          </w:tcPr>
          <w:p>
            <w:pPr>
              <w:spacing w:after="0"/>
              <w:rPr>
                <w:sz w:val="23"/>
                <w:szCs w:val="23"/>
                <w:color w:val="auto"/>
              </w:rPr>
            </w:pPr>
          </w:p>
        </w:tc>
        <w:tc>
          <w:tcPr>
            <w:tcW w:w="3040" w:type="dxa"/>
            <w:vAlign w:val="bottom"/>
          </w:tcPr>
          <w:p>
            <w:pPr>
              <w:ind w:left="2100"/>
              <w:spacing w:after="0"/>
              <w:rPr>
                <w:sz w:val="20"/>
                <w:szCs w:val="20"/>
                <w:color w:val="auto"/>
              </w:rPr>
            </w:pPr>
            <w:r>
              <w:rPr>
                <w:rFonts w:ascii="Arial" w:cs="Arial" w:eastAsia="Arial" w:hAnsi="Arial"/>
                <w:sz w:val="22"/>
                <w:szCs w:val="22"/>
                <w:color w:val="auto"/>
              </w:rPr>
              <w:t>Old GM</w:t>
            </w:r>
          </w:p>
        </w:tc>
        <w:tc>
          <w:tcPr>
            <w:tcW w:w="1840" w:type="dxa"/>
            <w:vAlign w:val="bottom"/>
          </w:tcPr>
          <w:p>
            <w:pPr>
              <w:spacing w:after="0"/>
              <w:rPr>
                <w:sz w:val="23"/>
                <w:szCs w:val="23"/>
                <w:color w:val="auto"/>
              </w:rPr>
            </w:pPr>
          </w:p>
        </w:tc>
        <w:tc>
          <w:tcPr>
            <w:tcW w:w="2520" w:type="dxa"/>
            <w:vAlign w:val="bottom"/>
          </w:tcPr>
          <w:p>
            <w:pPr>
              <w:jc w:val="center"/>
              <w:ind w:left="408"/>
              <w:spacing w:after="0"/>
              <w:rPr>
                <w:sz w:val="20"/>
                <w:szCs w:val="20"/>
                <w:color w:val="auto"/>
              </w:rPr>
            </w:pPr>
            <w:r>
              <w:rPr>
                <w:rFonts w:ascii="Arial" w:cs="Arial" w:eastAsia="Arial" w:hAnsi="Arial"/>
                <w:sz w:val="22"/>
                <w:szCs w:val="22"/>
                <w:color w:val="auto"/>
              </w:rPr>
              <w:t>New GM</w:t>
            </w:r>
          </w:p>
        </w:tc>
      </w:tr>
      <w:tr>
        <w:trPr>
          <w:trHeight w:val="564"/>
        </w:trPr>
        <w:tc>
          <w:tcPr>
            <w:tcW w:w="2820" w:type="dxa"/>
            <w:vAlign w:val="bottom"/>
          </w:tcPr>
          <w:p>
            <w:pPr>
              <w:spacing w:after="0"/>
              <w:rPr>
                <w:sz w:val="24"/>
                <w:szCs w:val="24"/>
                <w:color w:val="auto"/>
              </w:rPr>
            </w:pPr>
          </w:p>
        </w:tc>
        <w:tc>
          <w:tcPr>
            <w:tcW w:w="3040" w:type="dxa"/>
            <w:vAlign w:val="bottom"/>
          </w:tcPr>
          <w:p>
            <w:pPr>
              <w:jc w:val="center"/>
              <w:ind w:right="488"/>
              <w:spacing w:after="0"/>
              <w:rPr>
                <w:sz w:val="20"/>
                <w:szCs w:val="20"/>
                <w:color w:val="auto"/>
              </w:rPr>
            </w:pPr>
            <w:r>
              <w:rPr>
                <w:rFonts w:ascii="Arial" w:cs="Arial" w:eastAsia="Arial" w:hAnsi="Arial"/>
                <w:sz w:val="22"/>
                <w:szCs w:val="22"/>
                <w:color w:val="auto"/>
              </w:rPr>
              <w:t>9 Months</w:t>
            </w:r>
          </w:p>
        </w:tc>
        <w:tc>
          <w:tcPr>
            <w:tcW w:w="1840" w:type="dxa"/>
            <w:vAlign w:val="bottom"/>
          </w:tcPr>
          <w:p>
            <w:pPr>
              <w:jc w:val="center"/>
              <w:ind w:right="228"/>
              <w:spacing w:after="0"/>
              <w:rPr>
                <w:sz w:val="20"/>
                <w:szCs w:val="20"/>
                <w:color w:val="auto"/>
              </w:rPr>
            </w:pPr>
            <w:r>
              <w:rPr>
                <w:rFonts w:ascii="Arial" w:cs="Arial" w:eastAsia="Arial" w:hAnsi="Arial"/>
                <w:sz w:val="22"/>
                <w:szCs w:val="22"/>
                <w:color w:val="auto"/>
              </w:rPr>
              <w:t>January 1</w:t>
            </w:r>
          </w:p>
        </w:tc>
        <w:tc>
          <w:tcPr>
            <w:tcW w:w="2520" w:type="dxa"/>
            <w:vAlign w:val="bottom"/>
          </w:tcPr>
          <w:p>
            <w:pPr>
              <w:jc w:val="center"/>
              <w:ind w:left="388"/>
              <w:spacing w:after="0"/>
              <w:rPr>
                <w:sz w:val="20"/>
                <w:szCs w:val="20"/>
                <w:color w:val="auto"/>
              </w:rPr>
            </w:pPr>
            <w:r>
              <w:rPr>
                <w:rFonts w:ascii="Arial" w:cs="Arial" w:eastAsia="Arial" w:hAnsi="Arial"/>
                <w:sz w:val="22"/>
                <w:szCs w:val="22"/>
                <w:color w:val="auto"/>
              </w:rPr>
              <w:t>July 10</w:t>
            </w:r>
          </w:p>
        </w:tc>
      </w:tr>
      <w:tr>
        <w:trPr>
          <w:trHeight w:val="282"/>
        </w:trPr>
        <w:tc>
          <w:tcPr>
            <w:tcW w:w="2820" w:type="dxa"/>
            <w:vAlign w:val="bottom"/>
          </w:tcPr>
          <w:p>
            <w:pPr>
              <w:spacing w:after="0"/>
              <w:rPr>
                <w:sz w:val="24"/>
                <w:szCs w:val="24"/>
                <w:color w:val="auto"/>
              </w:rPr>
            </w:pPr>
          </w:p>
        </w:tc>
        <w:tc>
          <w:tcPr>
            <w:tcW w:w="3040" w:type="dxa"/>
            <w:vAlign w:val="bottom"/>
          </w:tcPr>
          <w:p>
            <w:pPr>
              <w:jc w:val="center"/>
              <w:ind w:right="508"/>
              <w:spacing w:after="0"/>
              <w:rPr>
                <w:sz w:val="20"/>
                <w:szCs w:val="20"/>
                <w:color w:val="auto"/>
              </w:rPr>
            </w:pPr>
            <w:r>
              <w:rPr>
                <w:rFonts w:ascii="Arial" w:cs="Arial" w:eastAsia="Arial" w:hAnsi="Arial"/>
                <w:sz w:val="22"/>
                <w:szCs w:val="22"/>
                <w:color w:val="auto"/>
              </w:rPr>
              <w:t>Ended</w:t>
            </w:r>
          </w:p>
        </w:tc>
        <w:tc>
          <w:tcPr>
            <w:tcW w:w="1840" w:type="dxa"/>
            <w:vAlign w:val="bottom"/>
          </w:tcPr>
          <w:p>
            <w:pPr>
              <w:jc w:val="center"/>
              <w:ind w:right="268"/>
              <w:spacing w:after="0"/>
              <w:rPr>
                <w:sz w:val="20"/>
                <w:szCs w:val="20"/>
                <w:color w:val="auto"/>
              </w:rPr>
            </w:pPr>
            <w:r>
              <w:rPr>
                <w:rFonts w:ascii="Arial" w:cs="Arial" w:eastAsia="Arial" w:hAnsi="Arial"/>
                <w:sz w:val="22"/>
                <w:szCs w:val="22"/>
                <w:color w:val="auto"/>
              </w:rPr>
              <w:t>Through</w:t>
            </w:r>
          </w:p>
        </w:tc>
        <w:tc>
          <w:tcPr>
            <w:tcW w:w="2520" w:type="dxa"/>
            <w:vAlign w:val="bottom"/>
          </w:tcPr>
          <w:p>
            <w:pPr>
              <w:jc w:val="center"/>
              <w:ind w:left="368"/>
              <w:spacing w:after="0"/>
              <w:rPr>
                <w:sz w:val="20"/>
                <w:szCs w:val="20"/>
                <w:color w:val="auto"/>
              </w:rPr>
            </w:pPr>
            <w:r>
              <w:rPr>
                <w:rFonts w:ascii="Arial" w:cs="Arial" w:eastAsia="Arial" w:hAnsi="Arial"/>
                <w:sz w:val="22"/>
                <w:szCs w:val="22"/>
                <w:color w:val="auto"/>
              </w:rPr>
              <w:t>Through</w:t>
            </w:r>
          </w:p>
        </w:tc>
      </w:tr>
      <w:tr>
        <w:trPr>
          <w:trHeight w:val="282"/>
        </w:trPr>
        <w:tc>
          <w:tcPr>
            <w:tcW w:w="2820" w:type="dxa"/>
            <w:vAlign w:val="bottom"/>
          </w:tcPr>
          <w:p>
            <w:pPr>
              <w:spacing w:after="0"/>
              <w:rPr>
                <w:sz w:val="24"/>
                <w:szCs w:val="24"/>
                <w:color w:val="auto"/>
              </w:rPr>
            </w:pPr>
          </w:p>
        </w:tc>
        <w:tc>
          <w:tcPr>
            <w:tcW w:w="3040" w:type="dxa"/>
            <w:vAlign w:val="bottom"/>
          </w:tcPr>
          <w:p>
            <w:pPr>
              <w:jc w:val="center"/>
              <w:ind w:right="468"/>
              <w:spacing w:after="0"/>
              <w:rPr>
                <w:sz w:val="20"/>
                <w:szCs w:val="20"/>
                <w:color w:val="auto"/>
              </w:rPr>
            </w:pPr>
            <w:r>
              <w:rPr>
                <w:rFonts w:ascii="Arial" w:cs="Arial" w:eastAsia="Arial" w:hAnsi="Arial"/>
                <w:sz w:val="22"/>
                <w:szCs w:val="22"/>
                <w:color w:val="auto"/>
              </w:rPr>
              <w:t>September 30, 2008</w:t>
            </w:r>
          </w:p>
        </w:tc>
        <w:tc>
          <w:tcPr>
            <w:tcW w:w="1840" w:type="dxa"/>
            <w:vAlign w:val="bottom"/>
          </w:tcPr>
          <w:p>
            <w:pPr>
              <w:jc w:val="center"/>
              <w:ind w:right="208"/>
              <w:spacing w:after="0"/>
              <w:rPr>
                <w:sz w:val="20"/>
                <w:szCs w:val="20"/>
                <w:color w:val="auto"/>
              </w:rPr>
            </w:pPr>
            <w:r>
              <w:rPr>
                <w:rFonts w:ascii="Arial" w:cs="Arial" w:eastAsia="Arial" w:hAnsi="Arial"/>
                <w:sz w:val="22"/>
                <w:szCs w:val="22"/>
                <w:color w:val="auto"/>
              </w:rPr>
              <w:t>July 9, 2009</w:t>
            </w:r>
          </w:p>
        </w:tc>
        <w:tc>
          <w:tcPr>
            <w:tcW w:w="2520" w:type="dxa"/>
            <w:vAlign w:val="bottom"/>
          </w:tcPr>
          <w:p>
            <w:pPr>
              <w:jc w:val="center"/>
              <w:ind w:left="388"/>
              <w:spacing w:after="0"/>
              <w:rPr>
                <w:sz w:val="20"/>
                <w:szCs w:val="20"/>
                <w:color w:val="auto"/>
              </w:rPr>
            </w:pPr>
            <w:r>
              <w:rPr>
                <w:rFonts w:ascii="Arial" w:cs="Arial" w:eastAsia="Arial" w:hAnsi="Arial"/>
                <w:sz w:val="22"/>
                <w:szCs w:val="22"/>
                <w:color w:val="auto"/>
              </w:rPr>
              <w:t>September 30, 2009</w:t>
            </w:r>
          </w:p>
        </w:tc>
      </w:tr>
      <w:tr>
        <w:trPr>
          <w:trHeight w:val="400"/>
        </w:trPr>
        <w:tc>
          <w:tcPr>
            <w:tcW w:w="2820" w:type="dxa"/>
            <w:vAlign w:val="bottom"/>
          </w:tcPr>
          <w:p>
            <w:pPr>
              <w:spacing w:after="0"/>
              <w:rPr>
                <w:sz w:val="20"/>
                <w:szCs w:val="20"/>
                <w:color w:val="auto"/>
              </w:rPr>
            </w:pPr>
            <w:r>
              <w:rPr>
                <w:rFonts w:ascii="Arial" w:cs="Arial" w:eastAsia="Arial" w:hAnsi="Arial"/>
                <w:sz w:val="22"/>
                <w:szCs w:val="22"/>
                <w:color w:val="auto"/>
              </w:rPr>
              <w:t>Total Structural Cost ($Bil)</w:t>
            </w:r>
          </w:p>
        </w:tc>
        <w:tc>
          <w:tcPr>
            <w:tcW w:w="3040" w:type="dxa"/>
            <w:vAlign w:val="bottom"/>
          </w:tcPr>
          <w:p>
            <w:pPr>
              <w:jc w:val="center"/>
              <w:ind w:right="488"/>
              <w:spacing w:after="0"/>
              <w:rPr>
                <w:sz w:val="20"/>
                <w:szCs w:val="20"/>
                <w:color w:val="auto"/>
              </w:rPr>
            </w:pPr>
            <w:r>
              <w:rPr>
                <w:rFonts w:ascii="Arial" w:cs="Arial" w:eastAsia="Arial" w:hAnsi="Arial"/>
                <w:sz w:val="22"/>
                <w:szCs w:val="22"/>
                <w:color w:val="auto"/>
              </w:rPr>
              <w:t>$37.8B</w:t>
            </w:r>
          </w:p>
        </w:tc>
        <w:tc>
          <w:tcPr>
            <w:tcW w:w="1840" w:type="dxa"/>
            <w:vAlign w:val="bottom"/>
          </w:tcPr>
          <w:p>
            <w:pPr>
              <w:jc w:val="center"/>
              <w:ind w:right="268"/>
              <w:spacing w:after="0"/>
              <w:rPr>
                <w:sz w:val="20"/>
                <w:szCs w:val="20"/>
                <w:color w:val="auto"/>
              </w:rPr>
            </w:pPr>
            <w:r>
              <w:rPr>
                <w:rFonts w:ascii="Arial" w:cs="Arial" w:eastAsia="Arial" w:hAnsi="Arial"/>
                <w:sz w:val="22"/>
                <w:szCs w:val="22"/>
                <w:color w:val="auto"/>
              </w:rPr>
              <w:t>$22.0B</w:t>
            </w:r>
          </w:p>
        </w:tc>
        <w:tc>
          <w:tcPr>
            <w:tcW w:w="2520" w:type="dxa"/>
            <w:vAlign w:val="bottom"/>
          </w:tcPr>
          <w:p>
            <w:pPr>
              <w:jc w:val="center"/>
              <w:ind w:left="348"/>
              <w:spacing w:after="0"/>
              <w:rPr>
                <w:sz w:val="20"/>
                <w:szCs w:val="20"/>
                <w:color w:val="auto"/>
              </w:rPr>
            </w:pPr>
            <w:r>
              <w:rPr>
                <w:rFonts w:ascii="Arial" w:cs="Arial" w:eastAsia="Arial" w:hAnsi="Arial"/>
                <w:sz w:val="22"/>
                <w:szCs w:val="22"/>
                <w:color w:val="auto"/>
              </w:rPr>
              <w:t>$9.1B</w:t>
            </w:r>
          </w:p>
        </w:tc>
      </w:tr>
    </w:tbl>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Arial" w:cs="Arial" w:eastAsia="Arial" w:hAnsi="Arial"/>
          <w:sz w:val="32"/>
          <w:szCs w:val="32"/>
          <w:color w:val="auto"/>
        </w:rPr>
        <w:t>Structural cost performance achieved through:</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28"/>
          <w:szCs w:val="28"/>
          <w:color w:val="auto"/>
        </w:rPr>
        <w:t>–  Salaried headcount reduction</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8"/>
          <w:szCs w:val="28"/>
          <w:color w:val="auto"/>
        </w:rPr>
        <w:t>–  Hourly headcount reduction</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28"/>
          <w:szCs w:val="28"/>
          <w:color w:val="auto"/>
        </w:rPr>
        <w:t>–  Engineering savings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8"/>
          <w:szCs w:val="28"/>
          <w:color w:val="auto"/>
        </w:rPr>
        <w:t>–  Volume related savings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28"/>
          <w:szCs w:val="28"/>
          <w:color w:val="auto"/>
        </w:rPr>
        <w:t>–  Media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21</w:t>
      </w:r>
    </w:p>
    <w:p>
      <w:pPr>
        <w:sectPr>
          <w:pgSz w:w="11900" w:h="16838" w:orient="portrait"/>
          <w:cols w:equalWidth="0" w:num="1">
            <w:col w:w="10300"/>
          </w:cols>
          <w:pgMar w:left="420" w:top="587" w:right="1179" w:bottom="1440" w:gutter="0" w:footer="0" w:header="0"/>
        </w:sectPr>
      </w:pPr>
    </w:p>
    <w:bookmarkStart w:id="43" w:name="page44"/>
    <w:bookmarkEnd w:id="43"/>
    <w:p>
      <w:pPr>
        <w:ind w:left="1340"/>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Total Debt</w:t>
      </w:r>
    </w:p>
    <w:p>
      <w:pPr>
        <w:spacing w:after="0" w:line="61" w:lineRule="exact"/>
        <w:rPr>
          <w:sz w:val="20"/>
          <w:szCs w:val="20"/>
          <w:color w:val="auto"/>
        </w:rPr>
      </w:pPr>
    </w:p>
    <w:p>
      <w:pPr>
        <w:ind w:left="1420"/>
        <w:spacing w:after="0"/>
        <w:rPr>
          <w:sz w:val="20"/>
          <w:szCs w:val="20"/>
          <w:color w:val="auto"/>
        </w:rPr>
      </w:pPr>
      <w:r>
        <w:rPr>
          <w:rFonts w:ascii="Arial" w:cs="Arial" w:eastAsia="Arial" w:hAnsi="Arial"/>
          <w:sz w:val="28"/>
          <w:szCs w:val="28"/>
          <w:i w:val="1"/>
          <w:iCs w:val="1"/>
          <w:color w:val="auto"/>
        </w:rPr>
        <w:t>September 30, 2009 vs. July 9, 2009</w:t>
      </w:r>
    </w:p>
    <w:p>
      <w:pPr>
        <w:spacing w:after="0" w:line="272"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Old GM</w:t>
      </w:r>
    </w:p>
    <w:p>
      <w:pPr>
        <w:spacing w:after="0" w:line="6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120</w:t>
      </w:r>
    </w:p>
    <w:p>
      <w:pPr>
        <w:spacing w:after="0" w:line="200" w:lineRule="exact"/>
        <w:rPr>
          <w:sz w:val="20"/>
          <w:szCs w:val="20"/>
          <w:color w:val="auto"/>
        </w:rPr>
      </w:pPr>
    </w:p>
    <w:p>
      <w:pPr>
        <w:spacing w:after="0" w:line="213" w:lineRule="exact"/>
        <w:rPr>
          <w:sz w:val="20"/>
          <w:szCs w:val="20"/>
          <w:color w:val="auto"/>
        </w:rPr>
      </w:pPr>
    </w:p>
    <w:p>
      <w:pPr>
        <w:ind w:left="1840" w:hanging="1108"/>
        <w:spacing w:after="0"/>
        <w:tabs>
          <w:tab w:leader="none" w:pos="1840" w:val="left"/>
        </w:tabs>
        <w:numPr>
          <w:ilvl w:val="0"/>
          <w:numId w:val="22"/>
        </w:numPr>
        <w:rPr>
          <w:rFonts w:ascii="Arial" w:cs="Arial" w:eastAsia="Arial" w:hAnsi="Arial"/>
          <w:sz w:val="35"/>
          <w:szCs w:val="35"/>
          <w:color w:val="auto"/>
          <w:vertAlign w:val="superscript"/>
        </w:rPr>
      </w:pPr>
      <w:r>
        <w:rPr>
          <w:rFonts w:ascii="Arial" w:cs="Arial" w:eastAsia="Arial" w:hAnsi="Arial"/>
          <w:sz w:val="18"/>
          <w:szCs w:val="18"/>
          <w:color w:val="auto"/>
        </w:rPr>
        <w:t>94.7</w:t>
      </w:r>
    </w:p>
    <w:p>
      <w:pPr>
        <w:spacing w:after="0" w:line="200" w:lineRule="exact"/>
        <w:rPr>
          <w:rFonts w:ascii="Arial" w:cs="Arial" w:eastAsia="Arial" w:hAnsi="Arial"/>
          <w:sz w:val="35"/>
          <w:szCs w:val="35"/>
          <w:color w:val="auto"/>
          <w:vertAlign w:val="superscript"/>
        </w:rPr>
      </w:pPr>
    </w:p>
    <w:p>
      <w:pPr>
        <w:spacing w:after="0" w:line="270" w:lineRule="exact"/>
        <w:rPr>
          <w:rFonts w:ascii="Arial" w:cs="Arial" w:eastAsia="Arial" w:hAnsi="Arial"/>
          <w:sz w:val="35"/>
          <w:szCs w:val="35"/>
          <w:color w:val="auto"/>
          <w:vertAlign w:val="superscript"/>
        </w:rPr>
      </w:pPr>
    </w:p>
    <w:p>
      <w:pPr>
        <w:spacing w:after="0"/>
        <w:tabs>
          <w:tab w:leader="none" w:pos="0" w:val="left"/>
        </w:tabs>
        <w:numPr>
          <w:ilvl w:val="0"/>
          <w:numId w:val="23"/>
        </w:numPr>
        <w:rPr>
          <w:rFonts w:ascii="Arial" w:cs="Arial" w:eastAsia="Arial" w:hAnsi="Arial"/>
          <w:sz w:val="18"/>
          <w:szCs w:val="18"/>
          <w:color w:val="auto"/>
        </w:rPr>
      </w:pPr>
    </w:p>
    <w:p>
      <w:pPr>
        <w:spacing w:after="0" w:line="19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(49.5)</w:t>
      </w:r>
    </w:p>
    <w:p>
      <w:pPr>
        <w:spacing w:after="0" w:line="134" w:lineRule="exact"/>
        <w:rPr>
          <w:sz w:val="20"/>
          <w:szCs w:val="20"/>
          <w:color w:val="auto"/>
        </w:rPr>
      </w:pPr>
    </w:p>
    <w:p>
      <w:pPr>
        <w:jc w:val="right"/>
        <w:ind w:left="820" w:right="6200" w:hanging="817"/>
        <w:spacing w:after="0" w:line="613" w:lineRule="auto"/>
        <w:tabs>
          <w:tab w:leader="none" w:pos="144"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billion  </w:t>
      </w:r>
      <w:r>
        <w:rPr>
          <w:rFonts w:ascii="Arial" w:cs="Arial" w:eastAsia="Arial" w:hAnsi="Arial"/>
          <w:sz w:val="17"/>
          <w:szCs w:val="17"/>
          <w:color w:val="auto"/>
        </w:rPr>
        <w:t>60</w:t>
      </w:r>
      <w:r>
        <w:rPr>
          <w:rFonts w:ascii="Arial" w:cs="Arial" w:eastAsia="Arial" w:hAnsi="Arial"/>
          <w:sz w:val="17"/>
          <w:szCs w:val="17"/>
          <w:b w:val="1"/>
          <w:bCs w:val="1"/>
          <w:color w:val="auto"/>
        </w:rPr>
        <w:t xml:space="preserve"> </w:t>
      </w:r>
      <w:r>
        <w:rPr>
          <w:rFonts w:ascii="Arial" w:cs="Arial" w:eastAsia="Arial" w:hAnsi="Arial"/>
          <w:sz w:val="17"/>
          <w:szCs w:val="17"/>
          <w:color w:val="auto"/>
        </w:rPr>
        <w:t>40</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(26.8)</w:t>
      </w:r>
    </w:p>
    <w:p>
      <w:pPr>
        <w:spacing w:after="0" w:line="2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w:t>
      </w:r>
    </w:p>
    <w:p>
      <w:pPr>
        <w:spacing w:after="0" w:line="327"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(1.2)</w:t>
      </w:r>
    </w:p>
    <w:p>
      <w:pPr>
        <w:ind w:left="9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New GM</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40" w:type="dxa"/>
            <w:vAlign w:val="bottom"/>
          </w:tcPr>
          <w:p>
            <w:pPr>
              <w:spacing w:after="0"/>
              <w:rPr>
                <w:sz w:val="20"/>
                <w:szCs w:val="20"/>
                <w:color w:val="auto"/>
              </w:rPr>
            </w:pPr>
            <w:r>
              <w:rPr>
                <w:rFonts w:ascii="Arial" w:cs="Arial" w:eastAsia="Arial" w:hAnsi="Arial"/>
                <w:sz w:val="11"/>
                <w:szCs w:val="11"/>
                <w:i w:val="1"/>
                <w:iCs w:val="1"/>
                <w:color w:val="auto"/>
              </w:rPr>
              <w:t>($ billions)</w:t>
            </w:r>
          </w:p>
        </w:tc>
        <w:tc>
          <w:tcPr>
            <w:tcW w:w="660" w:type="dxa"/>
            <w:vAlign w:val="bottom"/>
          </w:tcPr>
          <w:p>
            <w:pPr>
              <w:jc w:val="right"/>
              <w:ind w:right="27"/>
              <w:spacing w:after="0"/>
              <w:rPr>
                <w:sz w:val="20"/>
                <w:szCs w:val="20"/>
                <w:color w:val="auto"/>
              </w:rPr>
            </w:pPr>
            <w:r>
              <w:rPr>
                <w:rFonts w:ascii="Arial" w:cs="Arial" w:eastAsia="Arial" w:hAnsi="Arial"/>
                <w:sz w:val="11"/>
                <w:szCs w:val="11"/>
                <w:b w:val="1"/>
                <w:bCs w:val="1"/>
                <w:color w:val="auto"/>
              </w:rPr>
              <w:t>Sept 30</w:t>
            </w:r>
          </w:p>
        </w:tc>
      </w:tr>
      <w:tr>
        <w:trPr>
          <w:trHeight w:val="247"/>
        </w:trPr>
        <w:tc>
          <w:tcPr>
            <w:tcW w:w="1640" w:type="dxa"/>
            <w:vAlign w:val="bottom"/>
          </w:tcPr>
          <w:p>
            <w:pPr>
              <w:spacing w:after="0"/>
              <w:rPr>
                <w:sz w:val="20"/>
                <w:szCs w:val="20"/>
                <w:color w:val="auto"/>
              </w:rPr>
            </w:pPr>
            <w:r>
              <w:rPr>
                <w:rFonts w:ascii="Arial" w:cs="Arial" w:eastAsia="Arial" w:hAnsi="Arial"/>
                <w:sz w:val="11"/>
                <w:szCs w:val="11"/>
                <w:color w:val="auto"/>
              </w:rPr>
              <w:t>UST</w:t>
            </w:r>
          </w:p>
        </w:tc>
        <w:tc>
          <w:tcPr>
            <w:tcW w:w="660" w:type="dxa"/>
            <w:vAlign w:val="bottom"/>
          </w:tcPr>
          <w:p>
            <w:pPr>
              <w:jc w:val="right"/>
              <w:spacing w:after="0"/>
              <w:rPr>
                <w:sz w:val="20"/>
                <w:szCs w:val="20"/>
                <w:color w:val="auto"/>
              </w:rPr>
            </w:pPr>
            <w:r>
              <w:rPr>
                <w:rFonts w:ascii="Arial" w:cs="Arial" w:eastAsia="Arial" w:hAnsi="Arial"/>
                <w:sz w:val="11"/>
                <w:szCs w:val="11"/>
                <w:color w:val="auto"/>
              </w:rPr>
              <w:t>6.7</w:t>
            </w:r>
          </w:p>
        </w:tc>
      </w:tr>
      <w:tr>
        <w:trPr>
          <w:trHeight w:val="153"/>
        </w:trPr>
        <w:tc>
          <w:tcPr>
            <w:tcW w:w="1640" w:type="dxa"/>
            <w:vAlign w:val="bottom"/>
          </w:tcPr>
          <w:p>
            <w:pPr>
              <w:spacing w:after="0"/>
              <w:rPr>
                <w:sz w:val="20"/>
                <w:szCs w:val="20"/>
                <w:color w:val="auto"/>
              </w:rPr>
            </w:pPr>
            <w:r>
              <w:rPr>
                <w:rFonts w:ascii="Arial" w:cs="Arial" w:eastAsia="Arial" w:hAnsi="Arial"/>
                <w:sz w:val="11"/>
                <w:szCs w:val="11"/>
                <w:color w:val="auto"/>
              </w:rPr>
              <w:t>EDC (C$1.5)</w:t>
            </w:r>
          </w:p>
        </w:tc>
        <w:tc>
          <w:tcPr>
            <w:tcW w:w="66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53"/>
        </w:trPr>
        <w:tc>
          <w:tcPr>
            <w:tcW w:w="1640" w:type="dxa"/>
            <w:vAlign w:val="bottom"/>
          </w:tcPr>
          <w:p>
            <w:pPr>
              <w:spacing w:after="0"/>
              <w:rPr>
                <w:sz w:val="20"/>
                <w:szCs w:val="20"/>
                <w:color w:val="auto"/>
              </w:rPr>
            </w:pPr>
            <w:r>
              <w:rPr>
                <w:rFonts w:ascii="Arial" w:cs="Arial" w:eastAsia="Arial" w:hAnsi="Arial"/>
                <w:sz w:val="11"/>
                <w:szCs w:val="11"/>
                <w:color w:val="auto"/>
              </w:rPr>
              <w:t>Supplier Support</w:t>
            </w:r>
          </w:p>
        </w:tc>
        <w:tc>
          <w:tcPr>
            <w:tcW w:w="66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53"/>
        </w:trPr>
        <w:tc>
          <w:tcPr>
            <w:tcW w:w="1640" w:type="dxa"/>
            <w:vAlign w:val="bottom"/>
          </w:tcPr>
          <w:p>
            <w:pPr>
              <w:spacing w:after="0"/>
              <w:rPr>
                <w:sz w:val="20"/>
                <w:szCs w:val="20"/>
                <w:color w:val="auto"/>
              </w:rPr>
            </w:pPr>
            <w:r>
              <w:rPr>
                <w:rFonts w:ascii="Arial" w:cs="Arial" w:eastAsia="Arial" w:hAnsi="Arial"/>
                <w:sz w:val="11"/>
                <w:szCs w:val="11"/>
                <w:color w:val="auto"/>
              </w:rPr>
              <w:t>Adam Opel Bridge Loan (€0.9)</w:t>
            </w:r>
          </w:p>
        </w:tc>
        <w:tc>
          <w:tcPr>
            <w:tcW w:w="66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41"/>
        </w:trPr>
        <w:tc>
          <w:tcPr>
            <w:tcW w:w="1640" w:type="dxa"/>
            <w:vAlign w:val="bottom"/>
          </w:tcPr>
          <w:p>
            <w:pPr>
              <w:ind w:left="100"/>
              <w:spacing w:after="0"/>
              <w:rPr>
                <w:sz w:val="20"/>
                <w:szCs w:val="20"/>
                <w:color w:val="auto"/>
              </w:rPr>
            </w:pPr>
            <w:r>
              <w:rPr>
                <w:rFonts w:ascii="Arial" w:cs="Arial" w:eastAsia="Arial" w:hAnsi="Arial"/>
                <w:sz w:val="11"/>
                <w:szCs w:val="11"/>
                <w:color w:val="auto"/>
              </w:rPr>
              <w:t>Total Government</w:t>
            </w:r>
          </w:p>
        </w:tc>
        <w:tc>
          <w:tcPr>
            <w:tcW w:w="660" w:type="dxa"/>
            <w:vAlign w:val="bottom"/>
          </w:tcPr>
          <w:p>
            <w:pPr>
              <w:jc w:val="right"/>
              <w:spacing w:after="0"/>
              <w:rPr>
                <w:sz w:val="20"/>
                <w:szCs w:val="20"/>
                <w:color w:val="auto"/>
              </w:rPr>
            </w:pPr>
            <w:r>
              <w:rPr>
                <w:rFonts w:ascii="Arial" w:cs="Arial" w:eastAsia="Arial" w:hAnsi="Arial"/>
                <w:sz w:val="11"/>
                <w:szCs w:val="11"/>
                <w:color w:val="auto"/>
              </w:rPr>
              <w:t>9.7</w:t>
            </w:r>
          </w:p>
        </w:tc>
      </w:tr>
      <w:tr>
        <w:trPr>
          <w:trHeight w:val="235"/>
        </w:trPr>
        <w:tc>
          <w:tcPr>
            <w:tcW w:w="1640" w:type="dxa"/>
            <w:vAlign w:val="bottom"/>
          </w:tcPr>
          <w:p>
            <w:pPr>
              <w:spacing w:after="0"/>
              <w:rPr>
                <w:sz w:val="20"/>
                <w:szCs w:val="20"/>
                <w:color w:val="auto"/>
              </w:rPr>
            </w:pPr>
            <w:r>
              <w:rPr>
                <w:rFonts w:ascii="Arial" w:cs="Arial" w:eastAsia="Arial" w:hAnsi="Arial"/>
                <w:sz w:val="11"/>
                <w:szCs w:val="11"/>
                <w:color w:val="auto"/>
              </w:rPr>
              <w:t>GMNA (Ex. Gov't)</w:t>
            </w:r>
          </w:p>
        </w:tc>
        <w:tc>
          <w:tcPr>
            <w:tcW w:w="66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223"/>
        </w:trPr>
        <w:tc>
          <w:tcPr>
            <w:tcW w:w="1640" w:type="dxa"/>
            <w:vAlign w:val="bottom"/>
          </w:tcPr>
          <w:p>
            <w:pPr>
              <w:spacing w:after="0"/>
              <w:rPr>
                <w:sz w:val="20"/>
                <w:szCs w:val="20"/>
                <w:color w:val="auto"/>
              </w:rPr>
            </w:pPr>
            <w:r>
              <w:rPr>
                <w:rFonts w:ascii="Arial" w:cs="Arial" w:eastAsia="Arial" w:hAnsi="Arial"/>
                <w:sz w:val="11"/>
                <w:szCs w:val="11"/>
                <w:color w:val="auto"/>
              </w:rPr>
              <w:t>GMIO (Ex. Gov't)</w:t>
            </w:r>
          </w:p>
        </w:tc>
        <w:tc>
          <w:tcPr>
            <w:tcW w:w="660" w:type="dxa"/>
            <w:vAlign w:val="bottom"/>
          </w:tcPr>
          <w:p>
            <w:pPr>
              <w:jc w:val="right"/>
              <w:spacing w:after="0"/>
              <w:rPr>
                <w:sz w:val="20"/>
                <w:szCs w:val="20"/>
                <w:color w:val="auto"/>
              </w:rPr>
            </w:pPr>
            <w:r>
              <w:rPr>
                <w:rFonts w:ascii="Arial" w:cs="Arial" w:eastAsia="Arial" w:hAnsi="Arial"/>
                <w:sz w:val="11"/>
                <w:szCs w:val="11"/>
                <w:color w:val="auto"/>
              </w:rPr>
              <w:t>4.8</w:t>
            </w:r>
          </w:p>
        </w:tc>
      </w:tr>
      <w:tr>
        <w:trPr>
          <w:trHeight w:val="235"/>
        </w:trPr>
        <w:tc>
          <w:tcPr>
            <w:tcW w:w="1640" w:type="dxa"/>
            <w:vAlign w:val="bottom"/>
          </w:tcPr>
          <w:p>
            <w:pPr>
              <w:spacing w:after="0"/>
              <w:rPr>
                <w:sz w:val="20"/>
                <w:szCs w:val="20"/>
                <w:color w:val="auto"/>
              </w:rPr>
            </w:pPr>
            <w:r>
              <w:rPr>
                <w:rFonts w:ascii="Arial" w:cs="Arial" w:eastAsia="Arial" w:hAnsi="Arial"/>
                <w:sz w:val="11"/>
                <w:szCs w:val="11"/>
                <w:color w:val="auto"/>
              </w:rPr>
              <w:t>Capital Leases &amp; Other</w:t>
            </w:r>
          </w:p>
        </w:tc>
        <w:tc>
          <w:tcPr>
            <w:tcW w:w="66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306"/>
        </w:trPr>
        <w:tc>
          <w:tcPr>
            <w:tcW w:w="1640" w:type="dxa"/>
            <w:vAlign w:val="bottom"/>
          </w:tcPr>
          <w:p>
            <w:pPr>
              <w:spacing w:after="0"/>
              <w:rPr>
                <w:sz w:val="20"/>
                <w:szCs w:val="20"/>
                <w:color w:val="auto"/>
              </w:rPr>
            </w:pPr>
            <w:r>
              <w:rPr>
                <w:rFonts w:ascii="Arial" w:cs="Arial" w:eastAsia="Arial" w:hAnsi="Arial"/>
                <w:sz w:val="11"/>
                <w:szCs w:val="11"/>
                <w:b w:val="1"/>
                <w:bCs w:val="1"/>
                <w:color w:val="auto"/>
              </w:rPr>
              <w:t>Total Debt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tabs>
          <w:tab w:leader="none" w:pos="1640" w:val="left"/>
        </w:tabs>
        <w:rPr>
          <w:sz w:val="20"/>
          <w:szCs w:val="20"/>
          <w:color w:val="auto"/>
        </w:rPr>
      </w:pPr>
      <w:r>
        <w:rPr>
          <w:rFonts w:ascii="Arial" w:cs="Arial" w:eastAsia="Arial" w:hAnsi="Arial"/>
          <w:sz w:val="35"/>
          <w:szCs w:val="35"/>
          <w:color w:val="auto"/>
          <w:vertAlign w:val="superscript"/>
        </w:rPr>
        <w:t>17.2</w:t>
      </w:r>
      <w:r>
        <w:rPr>
          <w:sz w:val="20"/>
          <w:szCs w:val="20"/>
          <w:color w:val="auto"/>
        </w:rPr>
        <w:tab/>
      </w:r>
      <w:r>
        <w:rPr>
          <w:rFonts w:ascii="Arial" w:cs="Arial" w:eastAsia="Arial" w:hAnsi="Arial"/>
          <w:sz w:val="18"/>
          <w:szCs w:val="18"/>
          <w:color w:val="auto"/>
        </w:rPr>
        <w:t>17.0</w:t>
      </w:r>
    </w:p>
    <w:p>
      <w:pPr>
        <w:spacing w:after="0" w:line="619" w:lineRule="exact"/>
        <w:rPr>
          <w:sz w:val="20"/>
          <w:szCs w:val="20"/>
          <w:color w:val="auto"/>
        </w:rPr>
      </w:pPr>
    </w:p>
    <w:p>
      <w:pPr>
        <w:sectPr>
          <w:pgSz w:w="11900" w:h="16838" w:orient="portrait"/>
          <w:cols w:equalWidth="0" w:num="2">
            <w:col w:w="7220" w:space="720"/>
            <w:col w:w="2680"/>
          </w:cols>
          <w:pgMar w:left="360" w:top="409" w:right="919" w:bottom="1440" w:gutter="0" w:footer="0" w:header="0"/>
        </w:sectPr>
      </w:pPr>
    </w:p>
    <w:tbl>
      <w:tblPr>
        <w:tblLayout w:type="fixed"/>
        <w:tblInd w:w="1540" w:type="dxa"/>
        <w:tblCellMar>
          <w:top w:w="0" w:type="dxa"/>
          <w:left w:w="0" w:type="dxa"/>
          <w:bottom w:w="0" w:type="dxa"/>
          <w:right w:w="0" w:type="dxa"/>
        </w:tblCellMar>
      </w:tblPr>
      <w:tr>
        <w:trPr>
          <w:trHeight w:val="212"/>
        </w:trPr>
        <w:tc>
          <w:tcPr>
            <w:tcW w:w="1280" w:type="dxa"/>
            <w:vAlign w:val="bottom"/>
          </w:tcPr>
          <w:p>
            <w:pPr>
              <w:jc w:val="center"/>
              <w:ind w:right="172"/>
              <w:spacing w:after="0"/>
              <w:rPr>
                <w:sz w:val="20"/>
                <w:szCs w:val="20"/>
                <w:color w:val="auto"/>
              </w:rPr>
            </w:pPr>
            <w:r>
              <w:rPr>
                <w:rFonts w:ascii="Arial" w:cs="Arial" w:eastAsia="Arial" w:hAnsi="Arial"/>
                <w:sz w:val="18"/>
                <w:szCs w:val="18"/>
                <w:color w:val="auto"/>
                <w:w w:val="97"/>
              </w:rPr>
              <w:t>Old GM Debt</w:t>
            </w:r>
          </w:p>
        </w:tc>
        <w:tc>
          <w:tcPr>
            <w:tcW w:w="1460" w:type="dxa"/>
            <w:vAlign w:val="bottom"/>
          </w:tcPr>
          <w:p>
            <w:pPr>
              <w:ind w:left="260"/>
              <w:spacing w:after="0"/>
              <w:rPr>
                <w:sz w:val="20"/>
                <w:szCs w:val="20"/>
                <w:color w:val="auto"/>
              </w:rPr>
            </w:pPr>
            <w:r>
              <w:rPr>
                <w:rFonts w:ascii="Arial" w:cs="Arial" w:eastAsia="Arial" w:hAnsi="Arial"/>
                <w:sz w:val="18"/>
                <w:szCs w:val="18"/>
                <w:color w:val="auto"/>
              </w:rPr>
              <w:t>Government</w:t>
            </w:r>
          </w:p>
        </w:tc>
        <w:tc>
          <w:tcPr>
            <w:tcW w:w="1700" w:type="dxa"/>
            <w:vAlign w:val="bottom"/>
          </w:tcPr>
          <w:p>
            <w:pPr>
              <w:jc w:val="center"/>
              <w:ind w:left="12"/>
              <w:spacing w:after="0"/>
              <w:rPr>
                <w:sz w:val="20"/>
                <w:szCs w:val="20"/>
                <w:color w:val="auto"/>
              </w:rPr>
            </w:pPr>
            <w:r>
              <w:rPr>
                <w:rFonts w:ascii="Arial" w:cs="Arial" w:eastAsia="Arial" w:hAnsi="Arial"/>
                <w:sz w:val="18"/>
                <w:szCs w:val="18"/>
                <w:color w:val="auto"/>
                <w:w w:val="97"/>
              </w:rPr>
              <w:t>Unsecured Bonds</w:t>
            </w:r>
          </w:p>
        </w:tc>
        <w:tc>
          <w:tcPr>
            <w:tcW w:w="1580" w:type="dxa"/>
            <w:vAlign w:val="bottom"/>
          </w:tcPr>
          <w:p>
            <w:pPr>
              <w:ind w:left="120"/>
              <w:spacing w:after="0"/>
              <w:rPr>
                <w:sz w:val="20"/>
                <w:szCs w:val="20"/>
                <w:color w:val="auto"/>
              </w:rPr>
            </w:pPr>
            <w:r>
              <w:rPr>
                <w:rFonts w:ascii="Arial" w:cs="Arial" w:eastAsia="Arial" w:hAnsi="Arial"/>
                <w:sz w:val="18"/>
                <w:szCs w:val="18"/>
                <w:color w:val="auto"/>
              </w:rPr>
              <w:t>UST Debt Left at</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New GM Debt</w:t>
            </w:r>
          </w:p>
        </w:tc>
        <w:tc>
          <w:tcPr>
            <w:tcW w:w="1340" w:type="dxa"/>
            <w:vAlign w:val="bottom"/>
          </w:tcPr>
          <w:p>
            <w:pPr>
              <w:jc w:val="center"/>
              <w:ind w:left="132"/>
              <w:spacing w:after="0"/>
              <w:rPr>
                <w:sz w:val="20"/>
                <w:szCs w:val="20"/>
                <w:color w:val="auto"/>
              </w:rPr>
            </w:pPr>
            <w:r>
              <w:rPr>
                <w:rFonts w:ascii="Arial" w:cs="Arial" w:eastAsia="Arial" w:hAnsi="Arial"/>
                <w:sz w:val="18"/>
                <w:szCs w:val="18"/>
                <w:color w:val="auto"/>
                <w:w w:val="99"/>
              </w:rPr>
              <w:t>New GM Debt</w:t>
            </w:r>
          </w:p>
        </w:tc>
      </w:tr>
      <w:tr>
        <w:trPr>
          <w:trHeight w:val="200"/>
        </w:trPr>
        <w:tc>
          <w:tcPr>
            <w:tcW w:w="1280" w:type="dxa"/>
            <w:vAlign w:val="bottom"/>
          </w:tcPr>
          <w:p>
            <w:pPr>
              <w:jc w:val="center"/>
              <w:ind w:right="152"/>
              <w:spacing w:after="0" w:line="200" w:lineRule="exact"/>
              <w:rPr>
                <w:sz w:val="20"/>
                <w:szCs w:val="20"/>
                <w:color w:val="auto"/>
              </w:rPr>
            </w:pPr>
            <w:r>
              <w:rPr>
                <w:rFonts w:ascii="Arial" w:cs="Arial" w:eastAsia="Arial" w:hAnsi="Arial"/>
                <w:sz w:val="18"/>
                <w:szCs w:val="18"/>
                <w:color w:val="auto"/>
                <w:w w:val="99"/>
              </w:rPr>
              <w:t>Balance @</w:t>
            </w:r>
          </w:p>
        </w:tc>
        <w:tc>
          <w:tcPr>
            <w:tcW w:w="1460" w:type="dxa"/>
            <w:vAlign w:val="bottom"/>
          </w:tcPr>
          <w:p>
            <w:pPr>
              <w:ind w:left="260"/>
              <w:spacing w:after="0" w:line="200" w:lineRule="exact"/>
              <w:rPr>
                <w:sz w:val="20"/>
                <w:szCs w:val="20"/>
                <w:color w:val="auto"/>
              </w:rPr>
            </w:pPr>
            <w:r>
              <w:rPr>
                <w:rFonts w:ascii="Arial" w:cs="Arial" w:eastAsia="Arial" w:hAnsi="Arial"/>
                <w:sz w:val="18"/>
                <w:szCs w:val="18"/>
                <w:color w:val="auto"/>
              </w:rPr>
              <w:t>Equitization*</w:t>
            </w:r>
          </w:p>
        </w:tc>
        <w:tc>
          <w:tcPr>
            <w:tcW w:w="1700" w:type="dxa"/>
            <w:vAlign w:val="bottom"/>
          </w:tcPr>
          <w:p>
            <w:pPr>
              <w:jc w:val="center"/>
              <w:spacing w:after="0" w:line="200" w:lineRule="exact"/>
              <w:rPr>
                <w:sz w:val="20"/>
                <w:szCs w:val="20"/>
                <w:color w:val="auto"/>
              </w:rPr>
            </w:pPr>
            <w:r>
              <w:rPr>
                <w:rFonts w:ascii="Arial" w:cs="Arial" w:eastAsia="Arial" w:hAnsi="Arial"/>
                <w:sz w:val="18"/>
                <w:szCs w:val="18"/>
                <w:color w:val="auto"/>
                <w:w w:val="99"/>
              </w:rPr>
              <w:t>Left at Old GM</w:t>
            </w:r>
          </w:p>
        </w:tc>
        <w:tc>
          <w:tcPr>
            <w:tcW w:w="1580" w:type="dxa"/>
            <w:vAlign w:val="bottom"/>
          </w:tcPr>
          <w:p>
            <w:pPr>
              <w:ind w:left="400"/>
              <w:spacing w:after="0" w:line="200" w:lineRule="exact"/>
              <w:rPr>
                <w:sz w:val="20"/>
                <w:szCs w:val="20"/>
                <w:color w:val="auto"/>
              </w:rPr>
            </w:pPr>
            <w:r>
              <w:rPr>
                <w:rFonts w:ascii="Arial" w:cs="Arial" w:eastAsia="Arial" w:hAnsi="Arial"/>
                <w:sz w:val="18"/>
                <w:szCs w:val="18"/>
                <w:color w:val="auto"/>
              </w:rPr>
              <w:t>Old GM</w:t>
            </w:r>
          </w:p>
        </w:tc>
        <w:tc>
          <w:tcPr>
            <w:tcW w:w="1480" w:type="dxa"/>
            <w:vAlign w:val="bottom"/>
          </w:tcPr>
          <w:p>
            <w:pPr>
              <w:jc w:val="center"/>
              <w:spacing w:after="0" w:line="200" w:lineRule="exact"/>
              <w:rPr>
                <w:sz w:val="20"/>
                <w:szCs w:val="20"/>
                <w:color w:val="auto"/>
              </w:rPr>
            </w:pPr>
            <w:r>
              <w:rPr>
                <w:rFonts w:ascii="Arial" w:cs="Arial" w:eastAsia="Arial" w:hAnsi="Arial"/>
                <w:sz w:val="18"/>
                <w:szCs w:val="18"/>
                <w:color w:val="auto"/>
                <w:w w:val="99"/>
              </w:rPr>
              <w:t>Balance @</w:t>
            </w:r>
          </w:p>
        </w:tc>
        <w:tc>
          <w:tcPr>
            <w:tcW w:w="1340" w:type="dxa"/>
            <w:vAlign w:val="bottom"/>
          </w:tcPr>
          <w:p>
            <w:pPr>
              <w:jc w:val="center"/>
              <w:ind w:left="172"/>
              <w:spacing w:after="0" w:line="200" w:lineRule="exact"/>
              <w:rPr>
                <w:sz w:val="20"/>
                <w:szCs w:val="20"/>
                <w:color w:val="auto"/>
              </w:rPr>
            </w:pPr>
            <w:r>
              <w:rPr>
                <w:rFonts w:ascii="Arial" w:cs="Arial" w:eastAsia="Arial" w:hAnsi="Arial"/>
                <w:sz w:val="18"/>
                <w:szCs w:val="18"/>
                <w:color w:val="auto"/>
                <w:w w:val="99"/>
              </w:rPr>
              <w:t>Balance @</w:t>
            </w:r>
          </w:p>
        </w:tc>
      </w:tr>
      <w:tr>
        <w:trPr>
          <w:trHeight w:val="212"/>
        </w:trPr>
        <w:tc>
          <w:tcPr>
            <w:tcW w:w="1280" w:type="dxa"/>
            <w:vAlign w:val="bottom"/>
          </w:tcPr>
          <w:p>
            <w:pPr>
              <w:jc w:val="right"/>
              <w:ind w:right="372"/>
              <w:spacing w:after="0"/>
              <w:rPr>
                <w:sz w:val="20"/>
                <w:szCs w:val="20"/>
                <w:color w:val="auto"/>
              </w:rPr>
            </w:pPr>
            <w:r>
              <w:rPr>
                <w:rFonts w:ascii="Arial" w:cs="Arial" w:eastAsia="Arial" w:hAnsi="Arial"/>
                <w:sz w:val="18"/>
                <w:szCs w:val="18"/>
                <w:color w:val="auto"/>
              </w:rPr>
              <w:t>7/9/2009</w:t>
            </w:r>
          </w:p>
        </w:tc>
        <w:tc>
          <w:tcPr>
            <w:tcW w:w="1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80" w:type="dxa"/>
            <w:vAlign w:val="bottom"/>
          </w:tcPr>
          <w:p>
            <w:pPr>
              <w:jc w:val="center"/>
              <w:ind w:right="12"/>
              <w:spacing w:after="0"/>
              <w:rPr>
                <w:sz w:val="20"/>
                <w:szCs w:val="20"/>
                <w:color w:val="auto"/>
              </w:rPr>
            </w:pPr>
            <w:r>
              <w:rPr>
                <w:rFonts w:ascii="Arial" w:cs="Arial" w:eastAsia="Arial" w:hAnsi="Arial"/>
                <w:sz w:val="18"/>
                <w:szCs w:val="18"/>
                <w:color w:val="auto"/>
                <w:w w:val="97"/>
              </w:rPr>
              <w:t>7/10/2009</w:t>
            </w: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9/30/2009**</w:t>
            </w:r>
          </w:p>
        </w:tc>
      </w:tr>
    </w:tbl>
    <w:p>
      <w:pPr>
        <w:spacing w:after="0" w:line="200" w:lineRule="exact"/>
        <w:rPr>
          <w:sz w:val="20"/>
          <w:szCs w:val="20"/>
          <w:color w:val="auto"/>
        </w:rPr>
      </w:pPr>
    </w:p>
    <w:p>
      <w:pPr>
        <w:spacing w:after="0" w:line="2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Does not include equitizationof $3.9B received from EDC post July 10th</w:t>
      </w:r>
    </w:p>
    <w:p>
      <w:pPr>
        <w:spacing w:after="0" w:line="4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Total debt as of 9/30/2009 does not include $9B preferred stock, $2.5B UAW VEBA note, or $0.7B CAW note</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22</w:t>
      </w:r>
    </w:p>
    <w:p>
      <w:pPr>
        <w:sectPr>
          <w:pgSz w:w="11900" w:h="16838" w:orient="portrait"/>
          <w:cols w:equalWidth="0" w:num="1">
            <w:col w:w="10620"/>
          </w:cols>
          <w:pgMar w:left="360" w:top="409" w:right="919" w:bottom="1440" w:gutter="0" w:footer="0" w:header="0"/>
          <w:type w:val="continuous"/>
        </w:sectPr>
      </w:pPr>
    </w:p>
    <w:bookmarkStart w:id="44" w:name="page45"/>
    <w:bookmarkEnd w:id="44"/>
    <w:p>
      <w:pPr>
        <w:ind w:left="940"/>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Total Liabilities</w:t>
      </w:r>
    </w:p>
    <w:p>
      <w:pPr>
        <w:spacing w:after="0" w:line="61" w:lineRule="exact"/>
        <w:rPr>
          <w:sz w:val="20"/>
          <w:szCs w:val="20"/>
          <w:color w:val="auto"/>
        </w:rPr>
      </w:pPr>
    </w:p>
    <w:p>
      <w:pPr>
        <w:ind w:left="1020"/>
        <w:spacing w:after="0"/>
        <w:rPr>
          <w:sz w:val="20"/>
          <w:szCs w:val="20"/>
          <w:color w:val="auto"/>
        </w:rPr>
      </w:pPr>
      <w:r>
        <w:rPr>
          <w:rFonts w:ascii="Arial" w:cs="Arial" w:eastAsia="Arial" w:hAnsi="Arial"/>
          <w:sz w:val="28"/>
          <w:szCs w:val="28"/>
          <w:i w:val="1"/>
          <w:iCs w:val="1"/>
          <w:color w:val="auto"/>
        </w:rPr>
        <w:t>September 30, 2009 vs. July 9, 2009</w:t>
      </w:r>
    </w:p>
    <w:p>
      <w:pPr>
        <w:spacing w:after="0" w:line="272" w:lineRule="exact"/>
        <w:rPr>
          <w:sz w:val="20"/>
          <w:szCs w:val="20"/>
          <w:color w:val="auto"/>
        </w:rPr>
      </w:pPr>
    </w:p>
    <w:tbl>
      <w:tblPr>
        <w:tblLayout w:type="fixed"/>
        <w:tblInd w:w="260" w:type="dxa"/>
        <w:tblCellMar>
          <w:top w:w="0" w:type="dxa"/>
          <w:left w:w="0" w:type="dxa"/>
          <w:bottom w:w="0" w:type="dxa"/>
          <w:right w:w="0" w:type="dxa"/>
        </w:tblCellMar>
      </w:tblPr>
      <w:tr>
        <w:trPr>
          <w:trHeight w:val="292"/>
        </w:trPr>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80" w:type="dxa"/>
            <w:vAlign w:val="bottom"/>
          </w:tcPr>
          <w:p>
            <w:pPr>
              <w:jc w:val="right"/>
              <w:ind w:right="1378"/>
              <w:spacing w:after="0"/>
              <w:rPr>
                <w:sz w:val="20"/>
                <w:szCs w:val="20"/>
                <w:color w:val="auto"/>
              </w:rPr>
            </w:pPr>
            <w:r>
              <w:rPr>
                <w:rFonts w:ascii="Arial" w:cs="Arial" w:eastAsia="Arial" w:hAnsi="Arial"/>
                <w:sz w:val="22"/>
                <w:szCs w:val="22"/>
                <w:i w:val="1"/>
                <w:iCs w:val="1"/>
                <w:color w:val="auto"/>
              </w:rPr>
              <w:t>Old GM</w:t>
            </w:r>
          </w:p>
        </w:tc>
        <w:tc>
          <w:tcPr>
            <w:tcW w:w="1100" w:type="dxa"/>
            <w:vAlign w:val="bottom"/>
          </w:tcPr>
          <w:p>
            <w:pPr>
              <w:spacing w:after="0"/>
              <w:rPr>
                <w:sz w:val="24"/>
                <w:szCs w:val="24"/>
                <w:color w:val="auto"/>
              </w:rPr>
            </w:pPr>
          </w:p>
        </w:tc>
        <w:tc>
          <w:tcPr>
            <w:tcW w:w="2560" w:type="dxa"/>
            <w:vAlign w:val="bottom"/>
          </w:tcPr>
          <w:p>
            <w:pPr>
              <w:jc w:val="right"/>
              <w:ind w:right="195"/>
              <w:spacing w:after="0"/>
              <w:rPr>
                <w:sz w:val="20"/>
                <w:szCs w:val="20"/>
                <w:color w:val="auto"/>
              </w:rPr>
            </w:pPr>
            <w:r>
              <w:rPr>
                <w:rFonts w:ascii="Arial" w:cs="Arial" w:eastAsia="Arial" w:hAnsi="Arial"/>
                <w:sz w:val="22"/>
                <w:szCs w:val="22"/>
                <w:i w:val="1"/>
                <w:iCs w:val="1"/>
                <w:color w:val="auto"/>
              </w:rPr>
              <w:t>New GM</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20" w:type="dxa"/>
            <w:vAlign w:val="bottom"/>
          </w:tcPr>
          <w:p>
            <w:pPr>
              <w:jc w:val="right"/>
              <w:ind w:right="84"/>
              <w:spacing w:after="0"/>
              <w:rPr>
                <w:sz w:val="20"/>
                <w:szCs w:val="20"/>
                <w:color w:val="auto"/>
              </w:rPr>
            </w:pPr>
            <w:r>
              <w:rPr>
                <w:rFonts w:ascii="Arial" w:cs="Arial" w:eastAsia="Arial" w:hAnsi="Arial"/>
                <w:sz w:val="15"/>
                <w:szCs w:val="15"/>
                <w:color w:val="auto"/>
                <w:w w:val="95"/>
              </w:rPr>
              <w:t>240</w:t>
            </w:r>
          </w:p>
        </w:tc>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7"/>
        </w:trPr>
        <w:tc>
          <w:tcPr>
            <w:tcW w:w="420" w:type="dxa"/>
            <w:vAlign w:val="bottom"/>
          </w:tcPr>
          <w:p>
            <w:pPr>
              <w:jc w:val="right"/>
              <w:ind w:right="84"/>
              <w:spacing w:after="0"/>
              <w:rPr>
                <w:sz w:val="20"/>
                <w:szCs w:val="20"/>
                <w:color w:val="auto"/>
              </w:rPr>
            </w:pPr>
            <w:r>
              <w:rPr>
                <w:rFonts w:ascii="Arial" w:cs="Arial" w:eastAsia="Arial" w:hAnsi="Arial"/>
                <w:sz w:val="15"/>
                <w:szCs w:val="15"/>
                <w:color w:val="auto"/>
                <w:w w:val="95"/>
              </w:rPr>
              <w:t>220</w:t>
            </w:r>
          </w:p>
        </w:tc>
        <w:tc>
          <w:tcPr>
            <w:tcW w:w="1120" w:type="dxa"/>
            <w:vAlign w:val="bottom"/>
            <w:vMerge w:val="restart"/>
          </w:tcPr>
          <w:p>
            <w:pPr>
              <w:jc w:val="center"/>
              <w:ind w:left="24"/>
              <w:spacing w:after="0"/>
              <w:rPr>
                <w:sz w:val="20"/>
                <w:szCs w:val="20"/>
                <w:color w:val="auto"/>
              </w:rPr>
            </w:pPr>
            <w:r>
              <w:rPr>
                <w:rFonts w:ascii="Arial" w:cs="Arial" w:eastAsia="Arial" w:hAnsi="Arial"/>
                <w:sz w:val="15"/>
                <w:szCs w:val="15"/>
                <w:color w:val="auto"/>
              </w:rPr>
              <w:t>214.2</w:t>
            </w: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4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4"/>
        </w:trPr>
        <w:tc>
          <w:tcPr>
            <w:tcW w:w="420" w:type="dxa"/>
            <w:vAlign w:val="bottom"/>
          </w:tcPr>
          <w:p>
            <w:pPr>
              <w:jc w:val="right"/>
              <w:ind w:right="84"/>
              <w:spacing w:after="0"/>
              <w:rPr>
                <w:sz w:val="20"/>
                <w:szCs w:val="20"/>
                <w:color w:val="auto"/>
              </w:rPr>
            </w:pPr>
            <w:r>
              <w:rPr>
                <w:rFonts w:ascii="Arial" w:cs="Arial" w:eastAsia="Arial" w:hAnsi="Arial"/>
                <w:sz w:val="15"/>
                <w:szCs w:val="15"/>
                <w:color w:val="auto"/>
                <w:w w:val="95"/>
              </w:rPr>
              <w:t>200</w:t>
            </w: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7"/>
        </w:trPr>
        <w:tc>
          <w:tcPr>
            <w:tcW w:w="420" w:type="dxa"/>
            <w:vAlign w:val="bottom"/>
          </w:tcPr>
          <w:p>
            <w:pPr>
              <w:jc w:val="right"/>
              <w:ind w:right="84"/>
              <w:spacing w:after="0"/>
              <w:rPr>
                <w:sz w:val="20"/>
                <w:szCs w:val="20"/>
                <w:color w:val="auto"/>
              </w:rPr>
            </w:pPr>
            <w:r>
              <w:rPr>
                <w:rFonts w:ascii="Arial" w:cs="Arial" w:eastAsia="Arial" w:hAnsi="Arial"/>
                <w:sz w:val="15"/>
                <w:szCs w:val="15"/>
                <w:color w:val="auto"/>
                <w:w w:val="95"/>
              </w:rPr>
              <w:t>180</w:t>
            </w:r>
          </w:p>
        </w:tc>
        <w:tc>
          <w:tcPr>
            <w:tcW w:w="1120" w:type="dxa"/>
            <w:vAlign w:val="bottom"/>
          </w:tcPr>
          <w:p>
            <w:pPr>
              <w:spacing w:after="0"/>
              <w:rPr>
                <w:sz w:val="24"/>
                <w:szCs w:val="24"/>
                <w:color w:val="auto"/>
              </w:rPr>
            </w:pPr>
          </w:p>
        </w:tc>
        <w:tc>
          <w:tcPr>
            <w:tcW w:w="2480" w:type="dxa"/>
            <w:vAlign w:val="bottom"/>
            <w:vMerge w:val="restart"/>
          </w:tcPr>
          <w:p>
            <w:pPr>
              <w:jc w:val="right"/>
              <w:ind w:right="1518"/>
              <w:spacing w:after="0"/>
              <w:rPr>
                <w:sz w:val="20"/>
                <w:szCs w:val="20"/>
                <w:color w:val="auto"/>
              </w:rPr>
            </w:pPr>
            <w:r>
              <w:rPr>
                <w:rFonts w:ascii="Arial" w:cs="Arial" w:eastAsia="Arial" w:hAnsi="Arial"/>
                <w:sz w:val="15"/>
                <w:szCs w:val="15"/>
                <w:color w:val="auto"/>
              </w:rPr>
              <w:t>(77.5)</w:t>
            </w:r>
          </w:p>
        </w:tc>
        <w:tc>
          <w:tcPr>
            <w:tcW w:w="1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8"/>
        </w:trPr>
        <w:tc>
          <w:tcPr>
            <w:tcW w:w="420" w:type="dxa"/>
            <w:vAlign w:val="bottom"/>
          </w:tcPr>
          <w:p>
            <w:pPr>
              <w:jc w:val="right"/>
              <w:ind w:right="84"/>
              <w:spacing w:after="0"/>
              <w:rPr>
                <w:sz w:val="20"/>
                <w:szCs w:val="20"/>
                <w:color w:val="auto"/>
              </w:rPr>
            </w:pPr>
            <w:r>
              <w:rPr>
                <w:rFonts w:ascii="Arial" w:cs="Arial" w:eastAsia="Arial" w:hAnsi="Arial"/>
                <w:sz w:val="15"/>
                <w:szCs w:val="15"/>
                <w:color w:val="auto"/>
                <w:w w:val="95"/>
              </w:rPr>
              <w:t>160</w:t>
            </w: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420" w:type="dxa"/>
            <w:vAlign w:val="bottom"/>
          </w:tcPr>
          <w:p>
            <w:pPr>
              <w:jc w:val="right"/>
              <w:ind w:right="84"/>
              <w:spacing w:after="0"/>
              <w:rPr>
                <w:sz w:val="20"/>
                <w:szCs w:val="20"/>
                <w:color w:val="auto"/>
              </w:rPr>
            </w:pPr>
            <w:r>
              <w:rPr>
                <w:rFonts w:ascii="Arial" w:cs="Arial" w:eastAsia="Arial" w:hAnsi="Arial"/>
                <w:sz w:val="15"/>
                <w:szCs w:val="15"/>
                <w:color w:val="auto"/>
                <w:w w:val="95"/>
              </w:rPr>
              <w:t>140</w:t>
            </w: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5"/>
                <w:szCs w:val="15"/>
                <w:color w:val="auto"/>
              </w:rPr>
              <w:t>133.2</w:t>
            </w:r>
          </w:p>
        </w:tc>
        <w:tc>
          <w:tcPr>
            <w:tcW w:w="2560" w:type="dxa"/>
            <w:vAlign w:val="bottom"/>
            <w:vMerge w:val="restart"/>
          </w:tcPr>
          <w:p>
            <w:pPr>
              <w:jc w:val="right"/>
              <w:ind w:right="1755"/>
              <w:spacing w:after="0"/>
              <w:rPr>
                <w:sz w:val="20"/>
                <w:szCs w:val="20"/>
                <w:color w:val="auto"/>
              </w:rPr>
            </w:pPr>
            <w:r>
              <w:rPr>
                <w:rFonts w:ascii="Arial" w:cs="Arial" w:eastAsia="Arial" w:hAnsi="Arial"/>
                <w:sz w:val="15"/>
                <w:szCs w:val="15"/>
                <w:color w:val="auto"/>
              </w:rPr>
              <w:t>7.4</w:t>
            </w:r>
          </w:p>
        </w:tc>
        <w:tc>
          <w:tcPr>
            <w:tcW w:w="880" w:type="dxa"/>
            <w:vAlign w:val="bottom"/>
          </w:tcPr>
          <w:p>
            <w:pPr>
              <w:spacing w:after="0"/>
              <w:rPr>
                <w:sz w:val="24"/>
                <w:szCs w:val="24"/>
                <w:color w:val="auto"/>
              </w:rPr>
            </w:pPr>
          </w:p>
        </w:tc>
        <w:tc>
          <w:tcPr>
            <w:tcW w:w="1240" w:type="dxa"/>
            <w:vAlign w:val="bottom"/>
          </w:tcPr>
          <w:p>
            <w:pPr>
              <w:jc w:val="right"/>
              <w:ind w:right="244"/>
              <w:spacing w:after="0"/>
              <w:rPr>
                <w:sz w:val="20"/>
                <w:szCs w:val="20"/>
                <w:color w:val="auto"/>
              </w:rPr>
            </w:pPr>
            <w:r>
              <w:rPr>
                <w:rFonts w:ascii="Arial" w:cs="Arial" w:eastAsia="Arial" w:hAnsi="Arial"/>
                <w:sz w:val="15"/>
                <w:szCs w:val="15"/>
                <w:color w:val="auto"/>
              </w:rPr>
              <w:t>135.6</w:t>
            </w:r>
          </w:p>
        </w:tc>
        <w:tc>
          <w:tcPr>
            <w:tcW w:w="0" w:type="dxa"/>
            <w:vAlign w:val="bottom"/>
          </w:tcPr>
          <w:p>
            <w:pPr>
              <w:spacing w:after="0"/>
              <w:rPr>
                <w:sz w:val="1"/>
                <w:szCs w:val="1"/>
                <w:color w:val="auto"/>
              </w:rPr>
            </w:pPr>
          </w:p>
        </w:tc>
      </w:tr>
      <w:tr>
        <w:trPr>
          <w:trHeight w:val="82"/>
        </w:trPr>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256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8"/>
        </w:trPr>
        <w:tc>
          <w:tcPr>
            <w:tcW w:w="420" w:type="dxa"/>
            <w:vAlign w:val="bottom"/>
            <w:vMerge w:val="restart"/>
          </w:tcPr>
          <w:p>
            <w:pPr>
              <w:jc w:val="right"/>
              <w:ind w:right="84"/>
              <w:spacing w:after="0"/>
              <w:rPr>
                <w:sz w:val="20"/>
                <w:szCs w:val="20"/>
                <w:color w:val="auto"/>
              </w:rPr>
            </w:pPr>
            <w:r>
              <w:rPr>
                <w:rFonts w:ascii="Arial" w:cs="Arial" w:eastAsia="Arial" w:hAnsi="Arial"/>
                <w:sz w:val="15"/>
                <w:szCs w:val="15"/>
                <w:color w:val="auto"/>
                <w:w w:val="95"/>
              </w:rPr>
              <w:t>120</w:t>
            </w:r>
          </w:p>
        </w:tc>
        <w:tc>
          <w:tcPr>
            <w:tcW w:w="1120" w:type="dxa"/>
            <w:vAlign w:val="bottom"/>
          </w:tcPr>
          <w:p>
            <w:pPr>
              <w:spacing w:after="0"/>
              <w:rPr>
                <w:sz w:val="24"/>
                <w:szCs w:val="24"/>
                <w:color w:val="auto"/>
              </w:rPr>
            </w:pPr>
          </w:p>
        </w:tc>
        <w:tc>
          <w:tcPr>
            <w:tcW w:w="2480" w:type="dxa"/>
            <w:vAlign w:val="bottom"/>
            <w:vMerge w:val="restart"/>
          </w:tcPr>
          <w:p>
            <w:pPr>
              <w:jc w:val="right"/>
              <w:ind w:right="398"/>
              <w:spacing w:after="0"/>
              <w:rPr>
                <w:sz w:val="20"/>
                <w:szCs w:val="20"/>
                <w:color w:val="auto"/>
              </w:rPr>
            </w:pPr>
            <w:r>
              <w:rPr>
                <w:rFonts w:ascii="Arial" w:cs="Arial" w:eastAsia="Arial" w:hAnsi="Arial"/>
                <w:sz w:val="15"/>
                <w:szCs w:val="15"/>
                <w:color w:val="auto"/>
              </w:rPr>
              <w:t>(3.5)</w:t>
            </w:r>
          </w:p>
        </w:tc>
        <w:tc>
          <w:tcPr>
            <w:tcW w:w="1100" w:type="dxa"/>
            <w:vAlign w:val="bottom"/>
          </w:tcPr>
          <w:p>
            <w:pPr>
              <w:spacing w:after="0"/>
              <w:rPr>
                <w:sz w:val="24"/>
                <w:szCs w:val="24"/>
                <w:color w:val="auto"/>
              </w:rPr>
            </w:pPr>
          </w:p>
        </w:tc>
        <w:tc>
          <w:tcPr>
            <w:tcW w:w="2560" w:type="dxa"/>
            <w:vAlign w:val="bottom"/>
          </w:tcPr>
          <w:p>
            <w:pPr>
              <w:jc w:val="right"/>
              <w:ind w:right="515"/>
              <w:spacing w:after="0"/>
              <w:rPr>
                <w:sz w:val="20"/>
                <w:szCs w:val="20"/>
                <w:color w:val="auto"/>
              </w:rPr>
            </w:pPr>
            <w:r>
              <w:rPr>
                <w:rFonts w:ascii="Arial" w:cs="Arial" w:eastAsia="Arial" w:hAnsi="Arial"/>
                <w:sz w:val="15"/>
                <w:szCs w:val="15"/>
                <w:color w:val="auto"/>
              </w:rPr>
              <w:t>(3.4)</w:t>
            </w:r>
          </w:p>
        </w:tc>
        <w:tc>
          <w:tcPr>
            <w:tcW w:w="880" w:type="dxa"/>
            <w:vAlign w:val="bottom"/>
            <w:vMerge w:val="restart"/>
          </w:tcPr>
          <w:p>
            <w:pPr>
              <w:jc w:val="right"/>
              <w:ind w:right="204"/>
              <w:spacing w:after="0"/>
              <w:rPr>
                <w:sz w:val="20"/>
                <w:szCs w:val="20"/>
                <w:color w:val="auto"/>
              </w:rPr>
            </w:pPr>
            <w:r>
              <w:rPr>
                <w:rFonts w:ascii="Arial" w:cs="Arial" w:eastAsia="Arial" w:hAnsi="Arial"/>
                <w:sz w:val="15"/>
                <w:szCs w:val="15"/>
                <w:color w:val="auto"/>
              </w:rPr>
              <w:t>(1.6)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20" w:type="dxa"/>
            <w:vAlign w:val="bottom"/>
            <w:vMerge w:val="continue"/>
          </w:tcPr>
          <w:p>
            <w:pPr>
              <w:spacing w:after="0"/>
              <w:rPr>
                <w:sz w:val="4"/>
                <w:szCs w:val="4"/>
                <w:color w:val="auto"/>
              </w:rPr>
            </w:pPr>
          </w:p>
        </w:tc>
        <w:tc>
          <w:tcPr>
            <w:tcW w:w="112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25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2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5"/>
        </w:trPr>
        <w:tc>
          <w:tcPr>
            <w:tcW w:w="420" w:type="dxa"/>
            <w:vAlign w:val="bottom"/>
          </w:tcPr>
          <w:p>
            <w:pPr>
              <w:jc w:val="right"/>
              <w:ind w:right="84"/>
              <w:spacing w:after="0"/>
              <w:rPr>
                <w:sz w:val="20"/>
                <w:szCs w:val="20"/>
                <w:color w:val="auto"/>
              </w:rPr>
            </w:pPr>
            <w:r>
              <w:rPr>
                <w:rFonts w:ascii="Arial" w:cs="Arial" w:eastAsia="Arial" w:hAnsi="Arial"/>
                <w:sz w:val="15"/>
                <w:szCs w:val="15"/>
                <w:color w:val="auto"/>
                <w:w w:val="95"/>
              </w:rPr>
              <w:t>100</w:t>
            </w:r>
          </w:p>
        </w:tc>
        <w:tc>
          <w:tcPr>
            <w:tcW w:w="1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20" w:type="dxa"/>
            <w:vAlign w:val="bottom"/>
          </w:tcPr>
          <w:p>
            <w:pPr>
              <w:spacing w:after="0"/>
              <w:rPr>
                <w:sz w:val="21"/>
                <w:szCs w:val="21"/>
                <w:color w:val="auto"/>
              </w:rPr>
            </w:pPr>
          </w:p>
        </w:tc>
        <w:tc>
          <w:tcPr>
            <w:tcW w:w="1120" w:type="dxa"/>
            <w:vAlign w:val="bottom"/>
          </w:tcPr>
          <w:p>
            <w:pPr>
              <w:jc w:val="center"/>
              <w:ind w:left="44"/>
              <w:spacing w:after="0"/>
              <w:rPr>
                <w:sz w:val="20"/>
                <w:szCs w:val="20"/>
                <w:color w:val="auto"/>
              </w:rPr>
            </w:pPr>
            <w:r>
              <w:rPr>
                <w:rFonts w:ascii="Arial" w:cs="Arial" w:eastAsia="Arial" w:hAnsi="Arial"/>
                <w:sz w:val="15"/>
                <w:szCs w:val="15"/>
                <w:color w:val="auto"/>
                <w:w w:val="98"/>
              </w:rPr>
              <w:t>Total Old GM</w:t>
            </w:r>
          </w:p>
        </w:tc>
        <w:tc>
          <w:tcPr>
            <w:tcW w:w="2480" w:type="dxa"/>
            <w:vAlign w:val="bottom"/>
          </w:tcPr>
          <w:p>
            <w:pPr>
              <w:jc w:val="right"/>
              <w:ind w:right="78"/>
              <w:spacing w:after="0"/>
              <w:rPr>
                <w:sz w:val="20"/>
                <w:szCs w:val="20"/>
                <w:color w:val="auto"/>
              </w:rPr>
            </w:pPr>
            <w:r>
              <w:rPr>
                <w:rFonts w:ascii="Arial" w:cs="Arial" w:eastAsia="Arial" w:hAnsi="Arial"/>
                <w:sz w:val="15"/>
                <w:szCs w:val="15"/>
                <w:color w:val="auto"/>
              </w:rPr>
              <w:t>Debt Equitizedor Other Liabilities</w:t>
            </w:r>
          </w:p>
        </w:tc>
        <w:tc>
          <w:tcPr>
            <w:tcW w:w="1100" w:type="dxa"/>
            <w:vAlign w:val="bottom"/>
          </w:tcPr>
          <w:p>
            <w:pPr>
              <w:jc w:val="center"/>
              <w:spacing w:after="0"/>
              <w:rPr>
                <w:sz w:val="20"/>
                <w:szCs w:val="20"/>
                <w:color w:val="auto"/>
              </w:rPr>
            </w:pPr>
            <w:r>
              <w:rPr>
                <w:rFonts w:ascii="Arial" w:cs="Arial" w:eastAsia="Arial" w:hAnsi="Arial"/>
                <w:sz w:val="15"/>
                <w:szCs w:val="15"/>
                <w:color w:val="auto"/>
              </w:rPr>
              <w:t>Total New GM</w:t>
            </w:r>
          </w:p>
        </w:tc>
        <w:tc>
          <w:tcPr>
            <w:tcW w:w="3440" w:type="dxa"/>
            <w:vAlign w:val="bottom"/>
            <w:gridSpan w:val="2"/>
          </w:tcPr>
          <w:p>
            <w:pPr>
              <w:jc w:val="right"/>
              <w:ind w:right="184"/>
              <w:spacing w:after="0"/>
              <w:rPr>
                <w:sz w:val="20"/>
                <w:szCs w:val="20"/>
                <w:color w:val="auto"/>
              </w:rPr>
            </w:pPr>
            <w:r>
              <w:rPr>
                <w:rFonts w:ascii="Arial" w:cs="Arial" w:eastAsia="Arial" w:hAnsi="Arial"/>
                <w:sz w:val="15"/>
                <w:szCs w:val="15"/>
                <w:color w:val="auto"/>
              </w:rPr>
              <w:t>Accounts PayablePensions &amp; OPEB    Other</w:t>
            </w:r>
          </w:p>
        </w:tc>
        <w:tc>
          <w:tcPr>
            <w:tcW w:w="1240" w:type="dxa"/>
            <w:vAlign w:val="bottom"/>
          </w:tcPr>
          <w:p>
            <w:pPr>
              <w:jc w:val="center"/>
              <w:ind w:left="204"/>
              <w:spacing w:after="0"/>
              <w:rPr>
                <w:sz w:val="20"/>
                <w:szCs w:val="20"/>
                <w:color w:val="auto"/>
              </w:rPr>
            </w:pPr>
            <w:r>
              <w:rPr>
                <w:rFonts w:ascii="Arial" w:cs="Arial" w:eastAsia="Arial" w:hAnsi="Arial"/>
                <w:sz w:val="15"/>
                <w:szCs w:val="15"/>
                <w:color w:val="auto"/>
              </w:rPr>
              <w:t>Total New GM</w:t>
            </w: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1120" w:type="dxa"/>
            <w:vAlign w:val="bottom"/>
          </w:tcPr>
          <w:p>
            <w:pPr>
              <w:jc w:val="center"/>
              <w:ind w:left="64"/>
              <w:spacing w:after="0"/>
              <w:rPr>
                <w:sz w:val="20"/>
                <w:szCs w:val="20"/>
                <w:color w:val="auto"/>
              </w:rPr>
            </w:pPr>
            <w:r>
              <w:rPr>
                <w:rFonts w:ascii="Arial" w:cs="Arial" w:eastAsia="Arial" w:hAnsi="Arial"/>
                <w:sz w:val="15"/>
                <w:szCs w:val="15"/>
                <w:color w:val="auto"/>
              </w:rPr>
              <w:t>Liabilities @</w:t>
            </w:r>
          </w:p>
        </w:tc>
        <w:tc>
          <w:tcPr>
            <w:tcW w:w="2480" w:type="dxa"/>
            <w:vAlign w:val="bottom"/>
          </w:tcPr>
          <w:p>
            <w:pPr>
              <w:jc w:val="right"/>
              <w:spacing w:after="0"/>
              <w:rPr>
                <w:sz w:val="20"/>
                <w:szCs w:val="20"/>
                <w:color w:val="auto"/>
              </w:rPr>
            </w:pPr>
            <w:r>
              <w:rPr>
                <w:rFonts w:ascii="Arial" w:cs="Arial" w:eastAsia="Arial" w:hAnsi="Arial"/>
                <w:sz w:val="15"/>
                <w:szCs w:val="15"/>
                <w:color w:val="auto"/>
              </w:rPr>
              <w:t>Left at Old GM Equitizedor Left at</w:t>
            </w:r>
          </w:p>
        </w:tc>
        <w:tc>
          <w:tcPr>
            <w:tcW w:w="1100" w:type="dxa"/>
            <w:vAlign w:val="bottom"/>
          </w:tcPr>
          <w:p>
            <w:pPr>
              <w:jc w:val="center"/>
              <w:spacing w:after="0"/>
              <w:rPr>
                <w:sz w:val="20"/>
                <w:szCs w:val="20"/>
                <w:color w:val="auto"/>
              </w:rPr>
            </w:pPr>
            <w:r>
              <w:rPr>
                <w:rFonts w:ascii="Arial" w:cs="Arial" w:eastAsia="Arial" w:hAnsi="Arial"/>
                <w:sz w:val="15"/>
                <w:szCs w:val="15"/>
                <w:color w:val="auto"/>
              </w:rPr>
              <w:t>Liabilities @</w:t>
            </w:r>
          </w:p>
        </w:tc>
        <w:tc>
          <w:tcPr>
            <w:tcW w:w="2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Pr>
          <w:p>
            <w:pPr>
              <w:jc w:val="center"/>
              <w:ind w:left="224"/>
              <w:spacing w:after="0"/>
              <w:rPr>
                <w:sz w:val="20"/>
                <w:szCs w:val="20"/>
                <w:color w:val="auto"/>
              </w:rPr>
            </w:pPr>
            <w:r>
              <w:rPr>
                <w:rFonts w:ascii="Arial" w:cs="Arial" w:eastAsia="Arial" w:hAnsi="Arial"/>
                <w:sz w:val="15"/>
                <w:szCs w:val="15"/>
                <w:color w:val="auto"/>
              </w:rPr>
              <w:t>Liabilities @</w:t>
            </w: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1120" w:type="dxa"/>
            <w:vAlign w:val="bottom"/>
          </w:tcPr>
          <w:p>
            <w:pPr>
              <w:jc w:val="center"/>
              <w:ind w:left="4"/>
              <w:spacing w:after="0"/>
              <w:rPr>
                <w:sz w:val="20"/>
                <w:szCs w:val="20"/>
                <w:color w:val="auto"/>
              </w:rPr>
            </w:pPr>
            <w:r>
              <w:rPr>
                <w:rFonts w:ascii="Arial" w:cs="Arial" w:eastAsia="Arial" w:hAnsi="Arial"/>
                <w:sz w:val="15"/>
                <w:szCs w:val="15"/>
                <w:color w:val="auto"/>
              </w:rPr>
              <w:t>7/9/2009</w:t>
            </w:r>
          </w:p>
        </w:tc>
        <w:tc>
          <w:tcPr>
            <w:tcW w:w="2480" w:type="dxa"/>
            <w:vAlign w:val="bottom"/>
          </w:tcPr>
          <w:p>
            <w:pPr>
              <w:jc w:val="right"/>
              <w:ind w:right="358"/>
              <w:spacing w:after="0"/>
              <w:rPr>
                <w:sz w:val="20"/>
                <w:szCs w:val="20"/>
                <w:color w:val="auto"/>
              </w:rPr>
            </w:pPr>
            <w:r>
              <w:rPr>
                <w:rFonts w:ascii="Arial" w:cs="Arial" w:eastAsia="Arial" w:hAnsi="Arial"/>
                <w:sz w:val="15"/>
                <w:szCs w:val="15"/>
                <w:color w:val="auto"/>
              </w:rPr>
              <w:t>Old GM</w:t>
            </w:r>
          </w:p>
        </w:tc>
        <w:tc>
          <w:tcPr>
            <w:tcW w:w="1100" w:type="dxa"/>
            <w:vAlign w:val="bottom"/>
          </w:tcPr>
          <w:p>
            <w:pPr>
              <w:jc w:val="center"/>
              <w:spacing w:after="0"/>
              <w:rPr>
                <w:sz w:val="20"/>
                <w:szCs w:val="20"/>
                <w:color w:val="auto"/>
              </w:rPr>
            </w:pPr>
            <w:r>
              <w:rPr>
                <w:rFonts w:ascii="Arial" w:cs="Arial" w:eastAsia="Arial" w:hAnsi="Arial"/>
                <w:sz w:val="15"/>
                <w:szCs w:val="15"/>
                <w:color w:val="auto"/>
              </w:rPr>
              <w:t>7/10/2009</w:t>
            </w:r>
          </w:p>
        </w:tc>
        <w:tc>
          <w:tcPr>
            <w:tcW w:w="2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Pr>
          <w:p>
            <w:pPr>
              <w:jc w:val="right"/>
              <w:ind w:right="44"/>
              <w:spacing w:after="0"/>
              <w:rPr>
                <w:sz w:val="20"/>
                <w:szCs w:val="20"/>
                <w:color w:val="auto"/>
              </w:rPr>
            </w:pPr>
            <w:r>
              <w:rPr>
                <w:rFonts w:ascii="Arial" w:cs="Arial" w:eastAsia="Arial" w:hAnsi="Arial"/>
                <w:sz w:val="15"/>
                <w:szCs w:val="15"/>
                <w:color w:val="auto"/>
              </w:rPr>
              <w:t>9/30/2009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160" w:right="400" w:hanging="160"/>
        <w:spacing w:after="0" w:line="238" w:lineRule="auto"/>
        <w:tabs>
          <w:tab w:leader="none" w:pos="1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liabilities as of 9/30/2009 do not reflect the impact of the employee healthcare settlement agreements reached with our various constituencies</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23</w:t>
      </w:r>
    </w:p>
    <w:p>
      <w:pPr>
        <w:sectPr>
          <w:pgSz w:w="11900" w:h="16838" w:orient="portrait"/>
          <w:cols w:equalWidth="0" w:num="1">
            <w:col w:w="10220"/>
          </w:cols>
          <w:pgMar w:left="540" w:top="409" w:right="1139" w:bottom="1440" w:gutter="0" w:footer="0" w:header="0"/>
        </w:sectPr>
      </w:pPr>
    </w:p>
    <w:bookmarkStart w:id="45" w:name="page46"/>
    <w:bookmarkEnd w:id="45"/>
    <w:p>
      <w:pPr>
        <w:ind w:left="8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Liquidity Walk</w:t>
      </w:r>
    </w:p>
    <w:p>
      <w:pPr>
        <w:spacing w:after="0" w:line="312" w:lineRule="exact"/>
        <w:rPr>
          <w:sz w:val="20"/>
          <w:szCs w:val="20"/>
          <w:color w:val="auto"/>
        </w:rPr>
      </w:pPr>
    </w:p>
    <w:tbl>
      <w:tblPr>
        <w:tblLayout w:type="fixed"/>
        <w:tblInd w:w="2300" w:type="dxa"/>
        <w:tblCellMar>
          <w:top w:w="0" w:type="dxa"/>
          <w:left w:w="0" w:type="dxa"/>
          <w:bottom w:w="0" w:type="dxa"/>
          <w:right w:w="0" w:type="dxa"/>
        </w:tblCellMar>
      </w:tblPr>
      <w:tr>
        <w:trPr>
          <w:trHeight w:val="292"/>
        </w:trPr>
        <w:tc>
          <w:tcPr>
            <w:tcW w:w="2240" w:type="dxa"/>
            <w:vAlign w:val="bottom"/>
          </w:tcPr>
          <w:p>
            <w:pPr>
              <w:spacing w:after="0"/>
              <w:rPr>
                <w:sz w:val="20"/>
                <w:szCs w:val="20"/>
                <w:color w:val="auto"/>
              </w:rPr>
            </w:pPr>
            <w:r>
              <w:rPr>
                <w:rFonts w:ascii="Arial" w:cs="Arial" w:eastAsia="Arial" w:hAnsi="Arial"/>
                <w:sz w:val="22"/>
                <w:szCs w:val="22"/>
                <w:i w:val="1"/>
                <w:iCs w:val="1"/>
                <w:color w:val="auto"/>
              </w:rPr>
              <w:t>Old GM</w:t>
            </w:r>
          </w:p>
        </w:tc>
        <w:tc>
          <w:tcPr>
            <w:tcW w:w="3580" w:type="dxa"/>
            <w:vAlign w:val="bottom"/>
          </w:tcPr>
          <w:p>
            <w:pPr>
              <w:ind w:left="2520"/>
              <w:spacing w:after="0"/>
              <w:rPr>
                <w:sz w:val="20"/>
                <w:szCs w:val="20"/>
                <w:color w:val="auto"/>
              </w:rPr>
            </w:pPr>
            <w:r>
              <w:rPr>
                <w:rFonts w:ascii="Arial" w:cs="Arial" w:eastAsia="Arial" w:hAnsi="Arial"/>
                <w:sz w:val="22"/>
                <w:szCs w:val="22"/>
                <w:i w:val="1"/>
                <w:iCs w:val="1"/>
                <w:color w:val="auto"/>
              </w:rPr>
              <w:t>New GM</w:t>
            </w:r>
          </w:p>
        </w:tc>
        <w:tc>
          <w:tcPr>
            <w:tcW w:w="360" w:type="dxa"/>
            <w:vAlign w:val="bottom"/>
          </w:tcPr>
          <w:p>
            <w:pPr>
              <w:spacing w:after="0"/>
              <w:rPr>
                <w:sz w:val="24"/>
                <w:szCs w:val="24"/>
                <w:color w:val="auto"/>
              </w:rPr>
            </w:pPr>
          </w:p>
        </w:tc>
      </w:tr>
      <w:tr>
        <w:trPr>
          <w:trHeight w:val="310"/>
        </w:trPr>
        <w:tc>
          <w:tcPr>
            <w:tcW w:w="2240" w:type="dxa"/>
            <w:vAlign w:val="bottom"/>
          </w:tcPr>
          <w:p>
            <w:pPr>
              <w:spacing w:after="0"/>
              <w:rPr>
                <w:sz w:val="24"/>
                <w:szCs w:val="24"/>
                <w:color w:val="auto"/>
              </w:rPr>
            </w:pPr>
          </w:p>
        </w:tc>
        <w:tc>
          <w:tcPr>
            <w:tcW w:w="3580" w:type="dxa"/>
            <w:vAlign w:val="bottom"/>
          </w:tcPr>
          <w:p>
            <w:pPr>
              <w:ind w:left="1460"/>
              <w:spacing w:after="0"/>
              <w:rPr>
                <w:sz w:val="20"/>
                <w:szCs w:val="20"/>
                <w:color w:val="auto"/>
              </w:rPr>
            </w:pPr>
            <w:r>
              <w:rPr>
                <w:rFonts w:ascii="Arial" w:cs="Arial" w:eastAsia="Arial" w:hAnsi="Arial"/>
                <w:sz w:val="15"/>
                <w:szCs w:val="15"/>
                <w:b w:val="1"/>
                <w:bCs w:val="1"/>
                <w:color w:val="auto"/>
              </w:rPr>
              <w:t>Repayment of UST/EDC Debt</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rPr>
              <w:t>8.1</w:t>
            </w:r>
          </w:p>
        </w:tc>
      </w:tr>
      <w:tr>
        <w:trPr>
          <w:trHeight w:val="153"/>
        </w:trPr>
        <w:tc>
          <w:tcPr>
            <w:tcW w:w="2240" w:type="dxa"/>
            <w:vAlign w:val="bottom"/>
          </w:tcPr>
          <w:p>
            <w:pPr>
              <w:spacing w:after="0"/>
              <w:rPr>
                <w:sz w:val="13"/>
                <w:szCs w:val="13"/>
                <w:color w:val="auto"/>
              </w:rPr>
            </w:pPr>
          </w:p>
        </w:tc>
        <w:tc>
          <w:tcPr>
            <w:tcW w:w="3580" w:type="dxa"/>
            <w:vAlign w:val="bottom"/>
          </w:tcPr>
          <w:p>
            <w:pPr>
              <w:ind w:left="1460"/>
              <w:spacing w:after="0" w:line="153" w:lineRule="exact"/>
              <w:rPr>
                <w:sz w:val="20"/>
                <w:szCs w:val="20"/>
                <w:color w:val="auto"/>
              </w:rPr>
            </w:pPr>
            <w:r>
              <w:rPr>
                <w:rFonts w:ascii="Arial" w:cs="Arial" w:eastAsia="Arial" w:hAnsi="Arial"/>
                <w:sz w:val="15"/>
                <w:szCs w:val="15"/>
                <w:b w:val="1"/>
                <w:bCs w:val="1"/>
                <w:color w:val="auto"/>
              </w:rPr>
              <w:t>Delphi</w:t>
            </w:r>
          </w:p>
        </w:tc>
        <w:tc>
          <w:tcPr>
            <w:tcW w:w="360" w:type="dxa"/>
            <w:vAlign w:val="bottom"/>
          </w:tcPr>
          <w:p>
            <w:pPr>
              <w:jc w:val="right"/>
              <w:spacing w:after="0" w:line="153" w:lineRule="exact"/>
              <w:rPr>
                <w:sz w:val="20"/>
                <w:szCs w:val="20"/>
                <w:color w:val="auto"/>
              </w:rPr>
            </w:pPr>
            <w:r>
              <w:rPr>
                <w:rFonts w:ascii="Arial" w:cs="Arial" w:eastAsia="Arial" w:hAnsi="Arial"/>
                <w:sz w:val="15"/>
                <w:szCs w:val="15"/>
                <w:b w:val="1"/>
                <w:bCs w:val="1"/>
                <w:color w:val="auto"/>
              </w:rPr>
              <w:t>2.8</w:t>
            </w:r>
          </w:p>
        </w:tc>
      </w:tr>
      <w:tr>
        <w:trPr>
          <w:trHeight w:val="153"/>
        </w:trPr>
        <w:tc>
          <w:tcPr>
            <w:tcW w:w="2240" w:type="dxa"/>
            <w:vAlign w:val="bottom"/>
          </w:tcPr>
          <w:p>
            <w:pPr>
              <w:spacing w:after="0"/>
              <w:rPr>
                <w:sz w:val="13"/>
                <w:szCs w:val="13"/>
                <w:color w:val="auto"/>
              </w:rPr>
            </w:pPr>
          </w:p>
        </w:tc>
        <w:tc>
          <w:tcPr>
            <w:tcW w:w="3580" w:type="dxa"/>
            <w:vAlign w:val="bottom"/>
          </w:tcPr>
          <w:p>
            <w:pPr>
              <w:ind w:left="1460"/>
              <w:spacing w:after="0" w:line="153" w:lineRule="exact"/>
              <w:rPr>
                <w:sz w:val="20"/>
                <w:szCs w:val="20"/>
                <w:color w:val="auto"/>
              </w:rPr>
            </w:pPr>
            <w:r>
              <w:rPr>
                <w:rFonts w:ascii="Arial" w:cs="Arial" w:eastAsia="Arial" w:hAnsi="Arial"/>
                <w:sz w:val="15"/>
                <w:szCs w:val="15"/>
                <w:b w:val="1"/>
                <w:bCs w:val="1"/>
                <w:color w:val="auto"/>
              </w:rPr>
              <w:t>Canada Healthcare</w:t>
            </w:r>
          </w:p>
        </w:tc>
        <w:tc>
          <w:tcPr>
            <w:tcW w:w="360" w:type="dxa"/>
            <w:vAlign w:val="bottom"/>
          </w:tcPr>
          <w:p>
            <w:pPr>
              <w:jc w:val="right"/>
              <w:spacing w:after="0" w:line="153" w:lineRule="exact"/>
              <w:rPr>
                <w:sz w:val="20"/>
                <w:szCs w:val="20"/>
                <w:color w:val="auto"/>
              </w:rPr>
            </w:pPr>
            <w:r>
              <w:rPr>
                <w:rFonts w:ascii="Arial" w:cs="Arial" w:eastAsia="Arial" w:hAnsi="Arial"/>
                <w:sz w:val="15"/>
                <w:szCs w:val="15"/>
                <w:b w:val="1"/>
                <w:bCs w:val="1"/>
                <w:color w:val="auto"/>
              </w:rPr>
              <w:t>0.9</w:t>
            </w:r>
          </w:p>
        </w:tc>
      </w:tr>
      <w:tr>
        <w:trPr>
          <w:trHeight w:val="153"/>
        </w:trPr>
        <w:tc>
          <w:tcPr>
            <w:tcW w:w="2240" w:type="dxa"/>
            <w:vAlign w:val="bottom"/>
          </w:tcPr>
          <w:p>
            <w:pPr>
              <w:spacing w:after="0"/>
              <w:rPr>
                <w:sz w:val="13"/>
                <w:szCs w:val="13"/>
                <w:color w:val="auto"/>
              </w:rPr>
            </w:pPr>
          </w:p>
        </w:tc>
        <w:tc>
          <w:tcPr>
            <w:tcW w:w="3580" w:type="dxa"/>
            <w:vAlign w:val="bottom"/>
          </w:tcPr>
          <w:p>
            <w:pPr>
              <w:ind w:left="1460"/>
              <w:spacing w:after="0" w:line="153" w:lineRule="exact"/>
              <w:rPr>
                <w:sz w:val="20"/>
                <w:szCs w:val="20"/>
                <w:color w:val="auto"/>
              </w:rPr>
            </w:pPr>
            <w:r>
              <w:rPr>
                <w:rFonts w:ascii="Arial" w:cs="Arial" w:eastAsia="Arial" w:hAnsi="Arial"/>
                <w:sz w:val="15"/>
                <w:szCs w:val="15"/>
                <w:b w:val="1"/>
                <w:bCs w:val="1"/>
                <w:color w:val="auto"/>
              </w:rPr>
              <w:t>Remaining Escrow</w:t>
            </w:r>
          </w:p>
        </w:tc>
        <w:tc>
          <w:tcPr>
            <w:tcW w:w="360" w:type="dxa"/>
            <w:vAlign w:val="bottom"/>
          </w:tcPr>
          <w:p>
            <w:pPr>
              <w:jc w:val="right"/>
              <w:spacing w:after="0" w:line="153" w:lineRule="exact"/>
              <w:rPr>
                <w:sz w:val="20"/>
                <w:szCs w:val="20"/>
                <w:color w:val="auto"/>
              </w:rPr>
            </w:pPr>
            <w:r>
              <w:rPr>
                <w:rFonts w:ascii="Arial" w:cs="Arial" w:eastAsia="Arial" w:hAnsi="Arial"/>
                <w:sz w:val="15"/>
                <w:szCs w:val="15"/>
                <w:b w:val="1"/>
                <w:bCs w:val="1"/>
                <w:color w:val="auto"/>
              </w:rPr>
              <w:t>5.6</w:t>
            </w:r>
          </w:p>
        </w:tc>
      </w:tr>
      <w:tr>
        <w:trPr>
          <w:trHeight w:val="202"/>
        </w:trPr>
        <w:tc>
          <w:tcPr>
            <w:tcW w:w="2240" w:type="dxa"/>
            <w:vAlign w:val="bottom"/>
          </w:tcPr>
          <w:p>
            <w:pPr>
              <w:spacing w:after="0"/>
              <w:rPr>
                <w:sz w:val="17"/>
                <w:szCs w:val="17"/>
                <w:color w:val="auto"/>
              </w:rPr>
            </w:pPr>
          </w:p>
        </w:tc>
        <w:tc>
          <w:tcPr>
            <w:tcW w:w="3580" w:type="dxa"/>
            <w:vAlign w:val="bottom"/>
          </w:tcPr>
          <w:p>
            <w:pPr>
              <w:ind w:left="1460"/>
              <w:spacing w:after="0"/>
              <w:rPr>
                <w:sz w:val="20"/>
                <w:szCs w:val="20"/>
                <w:color w:val="auto"/>
              </w:rPr>
            </w:pPr>
            <w:r>
              <w:rPr>
                <w:rFonts w:ascii="Arial" w:cs="Arial" w:eastAsia="Arial" w:hAnsi="Arial"/>
                <w:sz w:val="15"/>
                <w:szCs w:val="15"/>
                <w:b w:val="1"/>
                <w:bCs w:val="1"/>
                <w:color w:val="auto"/>
              </w:rPr>
              <w:t>Total Escrowed Cash</w:t>
            </w:r>
          </w:p>
        </w:tc>
        <w:tc>
          <w:tcPr>
            <w:tcW w:w="360" w:type="dxa"/>
            <w:vAlign w:val="bottom"/>
          </w:tcPr>
          <w:p>
            <w:pPr>
              <w:jc w:val="right"/>
              <w:spacing w:after="0"/>
              <w:rPr>
                <w:sz w:val="20"/>
                <w:szCs w:val="20"/>
                <w:color w:val="auto"/>
              </w:rPr>
            </w:pPr>
            <w:r>
              <w:rPr>
                <w:rFonts w:ascii="Arial" w:cs="Arial" w:eastAsia="Arial" w:hAnsi="Arial"/>
                <w:sz w:val="15"/>
                <w:szCs w:val="15"/>
                <w:b w:val="1"/>
                <w:bCs w:val="1"/>
                <w:color w:val="auto"/>
                <w:w w:val="95"/>
              </w:rPr>
              <w:t>17.4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320"/>
        <w:spacing w:after="0"/>
        <w:rPr>
          <w:sz w:val="20"/>
          <w:szCs w:val="20"/>
          <w:color w:val="auto"/>
        </w:rPr>
      </w:pPr>
      <w:r>
        <w:rPr>
          <w:rFonts w:ascii="Arial" w:cs="Arial" w:eastAsia="Arial" w:hAnsi="Arial"/>
          <w:sz w:val="19"/>
          <w:szCs w:val="19"/>
          <w:b w:val="1"/>
          <w:bCs w:val="1"/>
          <w:color w:val="auto"/>
        </w:rPr>
        <w:t>Debt Balance Does Not Include:</w:t>
      </w:r>
    </w:p>
    <w:p>
      <w:pPr>
        <w:spacing w:after="0" w:line="146" w:lineRule="exact"/>
        <w:rPr>
          <w:sz w:val="20"/>
          <w:szCs w:val="20"/>
          <w:color w:val="auto"/>
        </w:rPr>
      </w:pPr>
    </w:p>
    <w:p>
      <w:pPr>
        <w:ind w:left="6320"/>
        <w:spacing w:after="0"/>
        <w:tabs>
          <w:tab w:leader="none" w:pos="67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b w:val="1"/>
          <w:bCs w:val="1"/>
          <w:color w:val="auto"/>
        </w:rPr>
        <w:t>$2.5B UAW VEBA Note</w:t>
      </w:r>
    </w:p>
    <w:p>
      <w:pPr>
        <w:spacing w:after="0" w:line="146" w:lineRule="exact"/>
        <w:rPr>
          <w:sz w:val="20"/>
          <w:szCs w:val="20"/>
          <w:color w:val="auto"/>
        </w:rPr>
      </w:pPr>
    </w:p>
    <w:p>
      <w:pPr>
        <w:ind w:left="6320"/>
        <w:spacing w:after="0"/>
        <w:tabs>
          <w:tab w:leader="none" w:pos="67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b w:val="1"/>
          <w:bCs w:val="1"/>
          <w:color w:val="auto"/>
        </w:rPr>
        <w:t>$0.7B CAW Note</w:t>
      </w:r>
    </w:p>
    <w:p>
      <w:pPr>
        <w:spacing w:after="0" w:line="146" w:lineRule="exact"/>
        <w:rPr>
          <w:sz w:val="20"/>
          <w:szCs w:val="20"/>
          <w:color w:val="auto"/>
        </w:rPr>
      </w:pPr>
    </w:p>
    <w:p>
      <w:pPr>
        <w:ind w:left="6320"/>
        <w:spacing w:after="0"/>
        <w:tabs>
          <w:tab w:leader="none" w:pos="672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b w:val="1"/>
          <w:bCs w:val="1"/>
          <w:color w:val="auto"/>
        </w:rPr>
        <w:t>$9.0B Preferred Stock</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24</w:t>
      </w:r>
    </w:p>
    <w:p>
      <w:pPr>
        <w:sectPr>
          <w:pgSz w:w="11900" w:h="16838" w:orient="portrait"/>
          <w:cols w:equalWidth="0" w:num="1">
            <w:col w:w="9360"/>
          </w:cols>
          <w:pgMar w:left="1440" w:top="587" w:right="1099" w:bottom="1440" w:gutter="0" w:footer="0" w:header="0"/>
        </w:sectPr>
      </w:pPr>
    </w:p>
    <w:bookmarkStart w:id="46" w:name="page47"/>
    <w:bookmarkEnd w:id="46"/>
    <w:p>
      <w:pPr>
        <w:ind w:left="104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Managerial Cash Flow Summary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8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1740" w:type="dxa"/>
            <w:vAlign w:val="bottom"/>
          </w:tcPr>
          <w:p>
            <w:pPr>
              <w:jc w:val="right"/>
              <w:ind w:right="629"/>
              <w:spacing w:after="0"/>
              <w:rPr>
                <w:sz w:val="20"/>
                <w:szCs w:val="20"/>
                <w:color w:val="auto"/>
              </w:rPr>
            </w:pPr>
            <w:r>
              <w:rPr>
                <w:rFonts w:ascii="Arial" w:cs="Arial" w:eastAsia="Arial" w:hAnsi="Arial"/>
                <w:sz w:val="15"/>
                <w:szCs w:val="15"/>
                <w:b w:val="1"/>
                <w:bCs w:val="1"/>
                <w:color w:val="auto"/>
              </w:rPr>
              <w:t>Old GM</w:t>
            </w:r>
          </w:p>
        </w:tc>
        <w:tc>
          <w:tcPr>
            <w:tcW w:w="1940" w:type="dxa"/>
            <w:vAlign w:val="bottom"/>
          </w:tcPr>
          <w:p>
            <w:pPr>
              <w:jc w:val="right"/>
              <w:ind w:right="669"/>
              <w:spacing w:after="0"/>
              <w:rPr>
                <w:sz w:val="20"/>
                <w:szCs w:val="20"/>
                <w:color w:val="auto"/>
              </w:rPr>
            </w:pPr>
            <w:r>
              <w:rPr>
                <w:rFonts w:ascii="Arial" w:cs="Arial" w:eastAsia="Arial" w:hAnsi="Arial"/>
                <w:sz w:val="15"/>
                <w:szCs w:val="15"/>
                <w:b w:val="1"/>
                <w:bCs w:val="1"/>
                <w:color w:val="auto"/>
              </w:rPr>
              <w:t>New GM</w:t>
            </w:r>
          </w:p>
        </w:tc>
        <w:tc>
          <w:tcPr>
            <w:tcW w:w="1800" w:type="dxa"/>
            <w:vAlign w:val="bottom"/>
          </w:tcPr>
          <w:p>
            <w:pPr>
              <w:jc w:val="right"/>
              <w:ind w:right="529"/>
              <w:spacing w:after="0"/>
              <w:rPr>
                <w:sz w:val="20"/>
                <w:szCs w:val="20"/>
                <w:color w:val="auto"/>
              </w:rPr>
            </w:pPr>
            <w:r>
              <w:rPr>
                <w:rFonts w:ascii="Arial" w:cs="Arial" w:eastAsia="Arial" w:hAnsi="Arial"/>
                <w:sz w:val="15"/>
                <w:szCs w:val="15"/>
                <w:b w:val="1"/>
                <w:bCs w:val="1"/>
                <w:color w:val="auto"/>
              </w:rPr>
              <w:t>Memo:</w:t>
            </w:r>
          </w:p>
        </w:tc>
      </w:tr>
      <w:tr>
        <w:trPr>
          <w:trHeight w:val="466"/>
        </w:trPr>
        <w:tc>
          <w:tcPr>
            <w:tcW w:w="4360" w:type="dxa"/>
            <w:vAlign w:val="bottom"/>
          </w:tcPr>
          <w:p>
            <w:pPr>
              <w:spacing w:after="0"/>
              <w:rPr>
                <w:sz w:val="20"/>
                <w:szCs w:val="20"/>
                <w:color w:val="auto"/>
              </w:rPr>
            </w:pPr>
            <w:r>
              <w:rPr>
                <w:rFonts w:ascii="Arial" w:cs="Arial" w:eastAsia="Arial" w:hAnsi="Arial"/>
                <w:sz w:val="14"/>
                <w:szCs w:val="14"/>
                <w:b w:val="1"/>
                <w:bCs w:val="1"/>
                <w:i w:val="1"/>
                <w:iCs w:val="1"/>
                <w:color w:val="auto"/>
              </w:rPr>
              <w:t>($ Billions)</w:t>
            </w:r>
          </w:p>
        </w:tc>
        <w:tc>
          <w:tcPr>
            <w:tcW w:w="1740" w:type="dxa"/>
            <w:vAlign w:val="bottom"/>
          </w:tcPr>
          <w:p>
            <w:pPr>
              <w:jc w:val="right"/>
              <w:ind w:right="409"/>
              <w:spacing w:after="0"/>
              <w:rPr>
                <w:sz w:val="20"/>
                <w:szCs w:val="20"/>
                <w:color w:val="auto"/>
              </w:rPr>
            </w:pPr>
            <w:r>
              <w:rPr>
                <w:rFonts w:ascii="Arial" w:cs="Arial" w:eastAsia="Arial" w:hAnsi="Arial"/>
                <w:sz w:val="14"/>
                <w:szCs w:val="14"/>
                <w:b w:val="1"/>
                <w:bCs w:val="1"/>
                <w:color w:val="auto"/>
              </w:rPr>
              <w:t>July 1 -9, 2009</w:t>
            </w:r>
          </w:p>
        </w:tc>
        <w:tc>
          <w:tcPr>
            <w:tcW w:w="1940" w:type="dxa"/>
            <w:vAlign w:val="bottom"/>
          </w:tcPr>
          <w:p>
            <w:pPr>
              <w:jc w:val="right"/>
              <w:ind w:right="209"/>
              <w:spacing w:after="0"/>
              <w:rPr>
                <w:sz w:val="20"/>
                <w:szCs w:val="20"/>
                <w:color w:val="auto"/>
              </w:rPr>
            </w:pPr>
            <w:r>
              <w:rPr>
                <w:rFonts w:ascii="Arial" w:cs="Arial" w:eastAsia="Arial" w:hAnsi="Arial"/>
                <w:sz w:val="14"/>
                <w:szCs w:val="14"/>
                <w:b w:val="1"/>
                <w:bCs w:val="1"/>
                <w:color w:val="auto"/>
              </w:rPr>
              <w:t>July 10 - Sept. 30, 2009</w:t>
            </w:r>
          </w:p>
        </w:tc>
        <w:tc>
          <w:tcPr>
            <w:tcW w:w="1800" w:type="dxa"/>
            <w:vAlign w:val="bottom"/>
          </w:tcPr>
          <w:p>
            <w:pPr>
              <w:jc w:val="right"/>
              <w:ind w:right="9"/>
              <w:spacing w:after="0"/>
              <w:rPr>
                <w:sz w:val="20"/>
                <w:szCs w:val="20"/>
                <w:color w:val="auto"/>
              </w:rPr>
            </w:pPr>
            <w:r>
              <w:rPr>
                <w:rFonts w:ascii="Arial" w:cs="Arial" w:eastAsia="Arial" w:hAnsi="Arial"/>
                <w:sz w:val="14"/>
                <w:szCs w:val="14"/>
                <w:b w:val="1"/>
                <w:bCs w:val="1"/>
                <w:color w:val="auto"/>
              </w:rPr>
              <w:t>Viability Plan 3Q 2009*</w:t>
            </w:r>
          </w:p>
        </w:tc>
      </w:tr>
      <w:tr>
        <w:trPr>
          <w:trHeight w:val="270"/>
        </w:trPr>
        <w:tc>
          <w:tcPr>
            <w:tcW w:w="4360" w:type="dxa"/>
            <w:vAlign w:val="bottom"/>
          </w:tcPr>
          <w:p>
            <w:pPr>
              <w:spacing w:after="0"/>
              <w:rPr>
                <w:sz w:val="20"/>
                <w:szCs w:val="20"/>
                <w:color w:val="auto"/>
              </w:rPr>
            </w:pPr>
            <w:r>
              <w:rPr>
                <w:rFonts w:ascii="Arial" w:cs="Arial" w:eastAsia="Arial" w:hAnsi="Arial"/>
                <w:sz w:val="14"/>
                <w:szCs w:val="14"/>
                <w:b w:val="1"/>
                <w:bCs w:val="1"/>
                <w:color w:val="auto"/>
              </w:rPr>
              <w:t>Earnings Before Tax</w:t>
            </w:r>
          </w:p>
        </w:tc>
        <w:tc>
          <w:tcPr>
            <w:tcW w:w="1740" w:type="dxa"/>
            <w:vAlign w:val="bottom"/>
          </w:tcPr>
          <w:p>
            <w:pPr>
              <w:jc w:val="right"/>
              <w:ind w:right="129"/>
              <w:spacing w:after="0"/>
              <w:rPr>
                <w:sz w:val="20"/>
                <w:szCs w:val="20"/>
                <w:color w:val="auto"/>
              </w:rPr>
            </w:pPr>
            <w:r>
              <w:rPr>
                <w:rFonts w:ascii="Arial" w:cs="Arial" w:eastAsia="Arial" w:hAnsi="Arial"/>
                <w:sz w:val="14"/>
                <w:szCs w:val="14"/>
                <w:b w:val="1"/>
                <w:bCs w:val="1"/>
                <w:color w:val="auto"/>
              </w:rPr>
              <w:t>78.8</w:t>
            </w:r>
          </w:p>
        </w:tc>
        <w:tc>
          <w:tcPr>
            <w:tcW w:w="1940" w:type="dxa"/>
            <w:vAlign w:val="bottom"/>
          </w:tcPr>
          <w:p>
            <w:pPr>
              <w:jc w:val="right"/>
              <w:ind w:right="149"/>
              <w:spacing w:after="0"/>
              <w:rPr>
                <w:sz w:val="20"/>
                <w:szCs w:val="20"/>
                <w:color w:val="auto"/>
              </w:rPr>
            </w:pPr>
            <w:r>
              <w:rPr>
                <w:rFonts w:ascii="Arial" w:cs="Arial" w:eastAsia="Arial" w:hAnsi="Arial"/>
                <w:sz w:val="14"/>
                <w:szCs w:val="14"/>
                <w:b w:val="1"/>
                <w:bCs w:val="1"/>
                <w:color w:val="auto"/>
              </w:rPr>
              <w:t>(1.0)</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r>
        <w:trPr>
          <w:trHeight w:val="270"/>
        </w:trPr>
        <w:tc>
          <w:tcPr>
            <w:tcW w:w="4360" w:type="dxa"/>
            <w:vAlign w:val="bottom"/>
          </w:tcPr>
          <w:p>
            <w:pPr>
              <w:spacing w:after="0"/>
              <w:rPr>
                <w:sz w:val="20"/>
                <w:szCs w:val="20"/>
                <w:color w:val="auto"/>
              </w:rPr>
            </w:pPr>
            <w:r>
              <w:rPr>
                <w:rFonts w:ascii="Arial" w:cs="Arial" w:eastAsia="Arial" w:hAnsi="Arial"/>
                <w:sz w:val="14"/>
                <w:szCs w:val="14"/>
                <w:color w:val="auto"/>
              </w:rPr>
              <w:t>Depreciation &amp; Amortization</w:t>
            </w:r>
          </w:p>
        </w:tc>
        <w:tc>
          <w:tcPr>
            <w:tcW w:w="1740" w:type="dxa"/>
            <w:vAlign w:val="bottom"/>
          </w:tcPr>
          <w:p>
            <w:pPr>
              <w:jc w:val="right"/>
              <w:ind w:right="129"/>
              <w:spacing w:after="0"/>
              <w:rPr>
                <w:sz w:val="20"/>
                <w:szCs w:val="20"/>
                <w:color w:val="auto"/>
              </w:rPr>
            </w:pPr>
            <w:r>
              <w:rPr>
                <w:rFonts w:ascii="Arial" w:cs="Arial" w:eastAsia="Arial" w:hAnsi="Arial"/>
                <w:sz w:val="14"/>
                <w:szCs w:val="14"/>
                <w:color w:val="auto"/>
              </w:rPr>
              <w:t>0.4</w:t>
            </w:r>
          </w:p>
        </w:tc>
        <w:tc>
          <w:tcPr>
            <w:tcW w:w="1940" w:type="dxa"/>
            <w:vAlign w:val="bottom"/>
          </w:tcPr>
          <w:p>
            <w:pPr>
              <w:jc w:val="right"/>
              <w:ind w:right="189"/>
              <w:spacing w:after="0"/>
              <w:rPr>
                <w:sz w:val="20"/>
                <w:szCs w:val="20"/>
                <w:color w:val="auto"/>
              </w:rPr>
            </w:pPr>
            <w:r>
              <w:rPr>
                <w:rFonts w:ascii="Arial" w:cs="Arial" w:eastAsia="Arial" w:hAnsi="Arial"/>
                <w:sz w:val="14"/>
                <w:szCs w:val="14"/>
                <w:color w:val="auto"/>
              </w:rPr>
              <w:t>1.8</w:t>
            </w:r>
          </w:p>
        </w:tc>
        <w:tc>
          <w:tcPr>
            <w:tcW w:w="18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0"/>
        </w:trPr>
        <w:tc>
          <w:tcPr>
            <w:tcW w:w="4360" w:type="dxa"/>
            <w:vAlign w:val="bottom"/>
          </w:tcPr>
          <w:p>
            <w:pPr>
              <w:spacing w:after="0"/>
              <w:rPr>
                <w:sz w:val="20"/>
                <w:szCs w:val="20"/>
                <w:color w:val="auto"/>
              </w:rPr>
            </w:pPr>
            <w:r>
              <w:rPr>
                <w:rFonts w:ascii="Arial" w:cs="Arial" w:eastAsia="Arial" w:hAnsi="Arial"/>
                <w:sz w:val="14"/>
                <w:szCs w:val="14"/>
                <w:color w:val="auto"/>
              </w:rPr>
              <w:t>Capital Expenditures</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(0.6)</w:t>
            </w:r>
          </w:p>
        </w:tc>
        <w:tc>
          <w:tcPr>
            <w:tcW w:w="1940" w:type="dxa"/>
            <w:vAlign w:val="bottom"/>
          </w:tcPr>
          <w:p>
            <w:pPr>
              <w:jc w:val="right"/>
              <w:ind w:right="149"/>
              <w:spacing w:after="0"/>
              <w:rPr>
                <w:sz w:val="20"/>
                <w:szCs w:val="20"/>
                <w:color w:val="auto"/>
              </w:rPr>
            </w:pPr>
            <w:r>
              <w:rPr>
                <w:rFonts w:ascii="Arial" w:cs="Arial" w:eastAsia="Arial" w:hAnsi="Arial"/>
                <w:sz w:val="14"/>
                <w:szCs w:val="14"/>
                <w:color w:val="auto"/>
              </w:rPr>
              <w:t>(0.6)</w:t>
            </w:r>
          </w:p>
        </w:tc>
        <w:tc>
          <w:tcPr>
            <w:tcW w:w="18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00"/>
        </w:trPr>
        <w:tc>
          <w:tcPr>
            <w:tcW w:w="4360" w:type="dxa"/>
            <w:vAlign w:val="bottom"/>
          </w:tcPr>
          <w:p>
            <w:pPr>
              <w:spacing w:after="0"/>
              <w:rPr>
                <w:sz w:val="20"/>
                <w:szCs w:val="20"/>
                <w:color w:val="auto"/>
              </w:rPr>
            </w:pPr>
            <w:r>
              <w:rPr>
                <w:rFonts w:ascii="Arial" w:cs="Arial" w:eastAsia="Arial" w:hAnsi="Arial"/>
                <w:sz w:val="14"/>
                <w:szCs w:val="14"/>
                <w:color w:val="auto"/>
              </w:rPr>
              <w:t>Change in Receivables, Payables &amp; Inventory</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(2.7)</w:t>
            </w:r>
          </w:p>
        </w:tc>
        <w:tc>
          <w:tcPr>
            <w:tcW w:w="1940" w:type="dxa"/>
            <w:vAlign w:val="bottom"/>
          </w:tcPr>
          <w:p>
            <w:pPr>
              <w:jc w:val="right"/>
              <w:ind w:right="189"/>
              <w:spacing w:after="0"/>
              <w:rPr>
                <w:sz w:val="20"/>
                <w:szCs w:val="20"/>
                <w:color w:val="auto"/>
              </w:rPr>
            </w:pPr>
            <w:r>
              <w:rPr>
                <w:rFonts w:ascii="Arial" w:cs="Arial" w:eastAsia="Arial" w:hAnsi="Arial"/>
                <w:sz w:val="14"/>
                <w:szCs w:val="14"/>
                <w:color w:val="auto"/>
              </w:rPr>
              <w:t>8.2</w:t>
            </w:r>
          </w:p>
        </w:tc>
        <w:tc>
          <w:tcPr>
            <w:tcW w:w="18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00"/>
        </w:trPr>
        <w:tc>
          <w:tcPr>
            <w:tcW w:w="4360" w:type="dxa"/>
            <w:vAlign w:val="bottom"/>
          </w:tcPr>
          <w:p>
            <w:pPr>
              <w:spacing w:after="0"/>
              <w:rPr>
                <w:sz w:val="20"/>
                <w:szCs w:val="20"/>
                <w:color w:val="auto"/>
              </w:rPr>
            </w:pPr>
            <w:r>
              <w:rPr>
                <w:rFonts w:ascii="Arial" w:cs="Arial" w:eastAsia="Arial" w:hAnsi="Arial"/>
                <w:sz w:val="14"/>
                <w:szCs w:val="14"/>
                <w:color w:val="auto"/>
              </w:rPr>
              <w:t>Pension &amp; OPEB Expense (Net of Payments)</w:t>
            </w:r>
          </w:p>
        </w:tc>
        <w:tc>
          <w:tcPr>
            <w:tcW w:w="174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149"/>
              <w:spacing w:after="0"/>
              <w:rPr>
                <w:sz w:val="20"/>
                <w:szCs w:val="20"/>
                <w:color w:val="auto"/>
              </w:rPr>
            </w:pPr>
            <w:r>
              <w:rPr>
                <w:rFonts w:ascii="Arial" w:cs="Arial" w:eastAsia="Arial" w:hAnsi="Arial"/>
                <w:sz w:val="14"/>
                <w:szCs w:val="14"/>
                <w:color w:val="auto"/>
              </w:rPr>
              <w:t>(3.9)</w:t>
            </w:r>
          </w:p>
        </w:tc>
        <w:tc>
          <w:tcPr>
            <w:tcW w:w="18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0"/>
        </w:trPr>
        <w:tc>
          <w:tcPr>
            <w:tcW w:w="4360" w:type="dxa"/>
            <w:vAlign w:val="bottom"/>
          </w:tcPr>
          <w:p>
            <w:pPr>
              <w:spacing w:after="0"/>
              <w:rPr>
                <w:sz w:val="20"/>
                <w:szCs w:val="20"/>
                <w:color w:val="auto"/>
              </w:rPr>
            </w:pPr>
            <w:r>
              <w:rPr>
                <w:rFonts w:ascii="Arial" w:cs="Arial" w:eastAsia="Arial" w:hAnsi="Arial"/>
                <w:sz w:val="14"/>
                <w:szCs w:val="14"/>
                <w:color w:val="auto"/>
              </w:rPr>
              <w:t>Accrued Expenses &amp; Other</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(79.5)</w:t>
            </w:r>
          </w:p>
        </w:tc>
        <w:tc>
          <w:tcPr>
            <w:tcW w:w="1940" w:type="dxa"/>
            <w:vAlign w:val="bottom"/>
          </w:tcPr>
          <w:p>
            <w:pPr>
              <w:jc w:val="right"/>
              <w:ind w:right="149"/>
              <w:spacing w:after="0"/>
              <w:rPr>
                <w:sz w:val="20"/>
                <w:szCs w:val="20"/>
                <w:color w:val="auto"/>
              </w:rPr>
            </w:pPr>
            <w:r>
              <w:rPr>
                <w:rFonts w:ascii="Arial" w:cs="Arial" w:eastAsia="Arial" w:hAnsi="Arial"/>
                <w:sz w:val="14"/>
                <w:szCs w:val="14"/>
                <w:color w:val="auto"/>
              </w:rPr>
              <w:t>(1.2)</w:t>
            </w:r>
          </w:p>
        </w:tc>
        <w:tc>
          <w:tcPr>
            <w:tcW w:w="180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0"/>
        </w:trPr>
        <w:tc>
          <w:tcPr>
            <w:tcW w:w="4360" w:type="dxa"/>
            <w:vAlign w:val="bottom"/>
          </w:tcPr>
          <w:p>
            <w:pPr>
              <w:spacing w:after="0"/>
              <w:rPr>
                <w:sz w:val="20"/>
                <w:szCs w:val="20"/>
                <w:color w:val="auto"/>
              </w:rPr>
            </w:pPr>
            <w:r>
              <w:rPr>
                <w:rFonts w:ascii="Arial" w:cs="Arial" w:eastAsia="Arial" w:hAnsi="Arial"/>
                <w:sz w:val="14"/>
                <w:szCs w:val="14"/>
                <w:b w:val="1"/>
                <w:bCs w:val="1"/>
                <w:color w:val="auto"/>
              </w:rPr>
              <w:t>Managerial Operating Cash Flow before Special Items</w:t>
            </w:r>
          </w:p>
        </w:tc>
        <w:tc>
          <w:tcPr>
            <w:tcW w:w="1740" w:type="dxa"/>
            <w:vAlign w:val="bottom"/>
          </w:tcPr>
          <w:p>
            <w:pPr>
              <w:jc w:val="right"/>
              <w:ind w:right="69"/>
              <w:spacing w:after="0"/>
              <w:rPr>
                <w:sz w:val="20"/>
                <w:szCs w:val="20"/>
                <w:color w:val="auto"/>
              </w:rPr>
            </w:pPr>
            <w:r>
              <w:rPr>
                <w:rFonts w:ascii="Arial" w:cs="Arial" w:eastAsia="Arial" w:hAnsi="Arial"/>
                <w:sz w:val="14"/>
                <w:szCs w:val="14"/>
                <w:b w:val="1"/>
                <w:bCs w:val="1"/>
                <w:color w:val="auto"/>
              </w:rPr>
              <w:t>(3.6)</w:t>
            </w:r>
          </w:p>
        </w:tc>
        <w:tc>
          <w:tcPr>
            <w:tcW w:w="1940" w:type="dxa"/>
            <w:vAlign w:val="bottom"/>
          </w:tcPr>
          <w:p>
            <w:pPr>
              <w:jc w:val="right"/>
              <w:ind w:right="189"/>
              <w:spacing w:after="0"/>
              <w:rPr>
                <w:sz w:val="20"/>
                <w:szCs w:val="20"/>
                <w:color w:val="auto"/>
              </w:rPr>
            </w:pPr>
            <w:r>
              <w:rPr>
                <w:rFonts w:ascii="Arial" w:cs="Arial" w:eastAsia="Arial" w:hAnsi="Arial"/>
                <w:sz w:val="14"/>
                <w:szCs w:val="14"/>
                <w:b w:val="1"/>
                <w:bCs w:val="1"/>
                <w:color w:val="auto"/>
              </w:rPr>
              <w:t>3.3</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r>
        <w:trPr>
          <w:trHeight w:val="259"/>
        </w:trPr>
        <w:tc>
          <w:tcPr>
            <w:tcW w:w="4360" w:type="dxa"/>
            <w:vAlign w:val="bottom"/>
          </w:tcPr>
          <w:p>
            <w:pPr>
              <w:spacing w:after="0"/>
              <w:rPr>
                <w:sz w:val="20"/>
                <w:szCs w:val="20"/>
                <w:color w:val="auto"/>
              </w:rPr>
            </w:pPr>
            <w:r>
              <w:rPr>
                <w:rFonts w:ascii="Arial" w:cs="Arial" w:eastAsia="Arial" w:hAnsi="Arial"/>
                <w:sz w:val="14"/>
                <w:szCs w:val="14"/>
                <w:color w:val="auto"/>
              </w:rPr>
              <w:t>Cash Restructuring Costs</w:t>
            </w:r>
          </w:p>
        </w:tc>
        <w:tc>
          <w:tcPr>
            <w:tcW w:w="174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1940" w:type="dxa"/>
            <w:vAlign w:val="bottom"/>
          </w:tcPr>
          <w:p>
            <w:pPr>
              <w:jc w:val="right"/>
              <w:ind w:right="149"/>
              <w:spacing w:after="0"/>
              <w:rPr>
                <w:sz w:val="20"/>
                <w:szCs w:val="20"/>
                <w:color w:val="auto"/>
              </w:rPr>
            </w:pPr>
            <w:r>
              <w:rPr>
                <w:rFonts w:ascii="Arial" w:cs="Arial" w:eastAsia="Arial" w:hAnsi="Arial"/>
                <w:sz w:val="14"/>
                <w:szCs w:val="14"/>
                <w:color w:val="auto"/>
              </w:rPr>
              <w:t>(0.9)</w:t>
            </w:r>
          </w:p>
        </w:tc>
        <w:tc>
          <w:tcPr>
            <w:tcW w:w="180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0"/>
        </w:trPr>
        <w:tc>
          <w:tcPr>
            <w:tcW w:w="4360" w:type="dxa"/>
            <w:vAlign w:val="bottom"/>
          </w:tcPr>
          <w:p>
            <w:pPr>
              <w:spacing w:after="0"/>
              <w:rPr>
                <w:sz w:val="20"/>
                <w:szCs w:val="20"/>
                <w:color w:val="auto"/>
              </w:rPr>
            </w:pPr>
            <w:r>
              <w:rPr>
                <w:rFonts w:ascii="Arial" w:cs="Arial" w:eastAsia="Arial" w:hAnsi="Arial"/>
                <w:sz w:val="14"/>
                <w:szCs w:val="14"/>
                <w:color w:val="auto"/>
              </w:rPr>
              <w:t>Delphi Related</w:t>
            </w:r>
          </w:p>
        </w:tc>
        <w:tc>
          <w:tcPr>
            <w:tcW w:w="174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149"/>
              <w:spacing w:after="0"/>
              <w:rPr>
                <w:sz w:val="20"/>
                <w:szCs w:val="20"/>
                <w:color w:val="auto"/>
              </w:rPr>
            </w:pPr>
            <w:r>
              <w:rPr>
                <w:rFonts w:ascii="Arial" w:cs="Arial" w:eastAsia="Arial" w:hAnsi="Arial"/>
                <w:sz w:val="14"/>
                <w:szCs w:val="14"/>
                <w:color w:val="auto"/>
              </w:rPr>
              <w:t>(0.2)</w:t>
            </w:r>
          </w:p>
        </w:tc>
        <w:tc>
          <w:tcPr>
            <w:tcW w:w="18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0"/>
        </w:trPr>
        <w:tc>
          <w:tcPr>
            <w:tcW w:w="4360" w:type="dxa"/>
            <w:vAlign w:val="bottom"/>
          </w:tcPr>
          <w:p>
            <w:pPr>
              <w:spacing w:after="0"/>
              <w:rPr>
                <w:sz w:val="20"/>
                <w:szCs w:val="20"/>
                <w:color w:val="auto"/>
              </w:rPr>
            </w:pPr>
            <w:r>
              <w:rPr>
                <w:rFonts w:ascii="Arial" w:cs="Arial" w:eastAsia="Arial" w:hAnsi="Arial"/>
                <w:sz w:val="14"/>
                <w:szCs w:val="14"/>
                <w:b w:val="1"/>
                <w:bCs w:val="1"/>
                <w:color w:val="auto"/>
              </w:rPr>
              <w:t>Special Cash Charges</w:t>
            </w:r>
          </w:p>
        </w:tc>
        <w:tc>
          <w:tcPr>
            <w:tcW w:w="1740" w:type="dxa"/>
            <w:vAlign w:val="bottom"/>
          </w:tcPr>
          <w:p>
            <w:pPr>
              <w:jc w:val="right"/>
              <w:ind w:right="69"/>
              <w:spacing w:after="0"/>
              <w:rPr>
                <w:sz w:val="20"/>
                <w:szCs w:val="20"/>
                <w:color w:val="auto"/>
              </w:rPr>
            </w:pPr>
            <w:r>
              <w:rPr>
                <w:rFonts w:ascii="Arial" w:cs="Arial" w:eastAsia="Arial" w:hAnsi="Arial"/>
                <w:sz w:val="14"/>
                <w:szCs w:val="14"/>
                <w:b w:val="1"/>
                <w:bCs w:val="1"/>
                <w:color w:val="auto"/>
              </w:rPr>
              <w:t>(0.1)</w:t>
            </w:r>
          </w:p>
        </w:tc>
        <w:tc>
          <w:tcPr>
            <w:tcW w:w="1940" w:type="dxa"/>
            <w:vAlign w:val="bottom"/>
          </w:tcPr>
          <w:p>
            <w:pPr>
              <w:jc w:val="right"/>
              <w:ind w:right="149"/>
              <w:spacing w:after="0"/>
              <w:rPr>
                <w:sz w:val="20"/>
                <w:szCs w:val="20"/>
                <w:color w:val="auto"/>
              </w:rPr>
            </w:pPr>
            <w:r>
              <w:rPr>
                <w:rFonts w:ascii="Arial" w:cs="Arial" w:eastAsia="Arial" w:hAnsi="Arial"/>
                <w:sz w:val="14"/>
                <w:szCs w:val="14"/>
                <w:b w:val="1"/>
                <w:bCs w:val="1"/>
                <w:color w:val="auto"/>
              </w:rPr>
              <w:t>(1.1)</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270"/>
        </w:trPr>
        <w:tc>
          <w:tcPr>
            <w:tcW w:w="4360" w:type="dxa"/>
            <w:vAlign w:val="bottom"/>
          </w:tcPr>
          <w:p>
            <w:pPr>
              <w:spacing w:after="0"/>
              <w:rPr>
                <w:sz w:val="20"/>
                <w:szCs w:val="20"/>
                <w:color w:val="auto"/>
              </w:rPr>
            </w:pPr>
            <w:r>
              <w:rPr>
                <w:rFonts w:ascii="Arial" w:cs="Arial" w:eastAsia="Arial" w:hAnsi="Arial"/>
                <w:sz w:val="14"/>
                <w:szCs w:val="14"/>
                <w:b w:val="1"/>
                <w:bCs w:val="1"/>
                <w:color w:val="auto"/>
              </w:rPr>
              <w:t>Managerial Operating Cash Flow after Special Cash Charges</w:t>
            </w:r>
          </w:p>
        </w:tc>
        <w:tc>
          <w:tcPr>
            <w:tcW w:w="1740" w:type="dxa"/>
            <w:vAlign w:val="bottom"/>
          </w:tcPr>
          <w:p>
            <w:pPr>
              <w:jc w:val="right"/>
              <w:ind w:right="69"/>
              <w:spacing w:after="0"/>
              <w:rPr>
                <w:sz w:val="20"/>
                <w:szCs w:val="20"/>
                <w:color w:val="auto"/>
              </w:rPr>
            </w:pPr>
            <w:r>
              <w:rPr>
                <w:rFonts w:ascii="Arial" w:cs="Arial" w:eastAsia="Arial" w:hAnsi="Arial"/>
                <w:sz w:val="14"/>
                <w:szCs w:val="14"/>
                <w:b w:val="1"/>
                <w:bCs w:val="1"/>
                <w:color w:val="auto"/>
              </w:rPr>
              <w:t>(3.7)</w:t>
            </w:r>
          </w:p>
        </w:tc>
        <w:tc>
          <w:tcPr>
            <w:tcW w:w="1940" w:type="dxa"/>
            <w:vAlign w:val="bottom"/>
          </w:tcPr>
          <w:p>
            <w:pPr>
              <w:jc w:val="right"/>
              <w:ind w:right="189"/>
              <w:spacing w:after="0"/>
              <w:rPr>
                <w:sz w:val="20"/>
                <w:szCs w:val="20"/>
                <w:color w:val="auto"/>
              </w:rPr>
            </w:pPr>
            <w:r>
              <w:rPr>
                <w:rFonts w:ascii="Arial" w:cs="Arial" w:eastAsia="Arial" w:hAnsi="Arial"/>
                <w:sz w:val="14"/>
                <w:szCs w:val="14"/>
                <w:b w:val="1"/>
                <w:bCs w:val="1"/>
                <w:color w:val="auto"/>
              </w:rPr>
              <w:t>2.2</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(8.7)</w:t>
            </w:r>
          </w:p>
        </w:tc>
      </w:tr>
      <w:tr>
        <w:trPr>
          <w:trHeight w:val="270"/>
        </w:trPr>
        <w:tc>
          <w:tcPr>
            <w:tcW w:w="4360" w:type="dxa"/>
            <w:vAlign w:val="bottom"/>
          </w:tcPr>
          <w:p>
            <w:pPr>
              <w:spacing w:after="0"/>
              <w:rPr>
                <w:sz w:val="20"/>
                <w:szCs w:val="20"/>
                <w:color w:val="auto"/>
              </w:rPr>
            </w:pPr>
            <w:r>
              <w:rPr>
                <w:rFonts w:ascii="Arial" w:cs="Arial" w:eastAsia="Arial" w:hAnsi="Arial"/>
                <w:sz w:val="14"/>
                <w:szCs w:val="14"/>
                <w:b w:val="1"/>
                <w:bCs w:val="1"/>
                <w:color w:val="auto"/>
              </w:rPr>
              <w:t>Non-Operating Related</w:t>
            </w:r>
          </w:p>
        </w:tc>
        <w:tc>
          <w:tcPr>
            <w:tcW w:w="17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00"/>
        </w:trPr>
        <w:tc>
          <w:tcPr>
            <w:tcW w:w="4360" w:type="dxa"/>
            <w:vAlign w:val="bottom"/>
          </w:tcPr>
          <w:p>
            <w:pPr>
              <w:spacing w:after="0"/>
              <w:rPr>
                <w:sz w:val="20"/>
                <w:szCs w:val="20"/>
                <w:color w:val="auto"/>
              </w:rPr>
            </w:pPr>
            <w:r>
              <w:rPr>
                <w:rFonts w:ascii="Arial" w:cs="Arial" w:eastAsia="Arial" w:hAnsi="Arial"/>
                <w:sz w:val="14"/>
                <w:szCs w:val="14"/>
                <w:color w:val="auto"/>
              </w:rPr>
              <w:t>Change in Debt</w:t>
            </w:r>
          </w:p>
        </w:tc>
        <w:tc>
          <w:tcPr>
            <w:tcW w:w="1740" w:type="dxa"/>
            <w:vAlign w:val="bottom"/>
          </w:tcPr>
          <w:p>
            <w:pPr>
              <w:jc w:val="right"/>
              <w:ind w:right="129"/>
              <w:spacing w:after="0"/>
              <w:rPr>
                <w:sz w:val="20"/>
                <w:szCs w:val="20"/>
                <w:color w:val="auto"/>
              </w:rPr>
            </w:pPr>
            <w:r>
              <w:rPr>
                <w:rFonts w:ascii="Arial" w:cs="Arial" w:eastAsia="Arial" w:hAnsi="Arial"/>
                <w:sz w:val="14"/>
                <w:szCs w:val="14"/>
                <w:color w:val="auto"/>
              </w:rPr>
              <w:t>23.7</w:t>
            </w:r>
          </w:p>
        </w:tc>
        <w:tc>
          <w:tcPr>
            <w:tcW w:w="1940" w:type="dxa"/>
            <w:vAlign w:val="bottom"/>
          </w:tcPr>
          <w:p>
            <w:pPr>
              <w:jc w:val="right"/>
              <w:ind w:right="149"/>
              <w:spacing w:after="0"/>
              <w:rPr>
                <w:sz w:val="20"/>
                <w:szCs w:val="20"/>
                <w:color w:val="auto"/>
              </w:rPr>
            </w:pPr>
            <w:r>
              <w:rPr>
                <w:rFonts w:ascii="Arial" w:cs="Arial" w:eastAsia="Arial" w:hAnsi="Arial"/>
                <w:sz w:val="14"/>
                <w:szCs w:val="14"/>
                <w:color w:val="auto"/>
              </w:rPr>
              <w:t>(0.4)</w:t>
            </w:r>
          </w:p>
        </w:tc>
        <w:tc>
          <w:tcPr>
            <w:tcW w:w="180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00"/>
        </w:trPr>
        <w:tc>
          <w:tcPr>
            <w:tcW w:w="4360" w:type="dxa"/>
            <w:vAlign w:val="bottom"/>
          </w:tcPr>
          <w:p>
            <w:pPr>
              <w:spacing w:after="0"/>
              <w:rPr>
                <w:sz w:val="20"/>
                <w:szCs w:val="20"/>
                <w:color w:val="auto"/>
              </w:rPr>
            </w:pPr>
            <w:r>
              <w:rPr>
                <w:rFonts w:ascii="Arial" w:cs="Arial" w:eastAsia="Arial" w:hAnsi="Arial"/>
                <w:sz w:val="14"/>
                <w:szCs w:val="14"/>
                <w:color w:val="auto"/>
              </w:rPr>
              <w:t>Proceeds from Investment by EDC</w:t>
            </w:r>
          </w:p>
        </w:tc>
        <w:tc>
          <w:tcPr>
            <w:tcW w:w="174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940" w:type="dxa"/>
            <w:vAlign w:val="bottom"/>
          </w:tcPr>
          <w:p>
            <w:pPr>
              <w:jc w:val="right"/>
              <w:ind w:right="189"/>
              <w:spacing w:after="0"/>
              <w:rPr>
                <w:sz w:val="20"/>
                <w:szCs w:val="20"/>
                <w:color w:val="auto"/>
              </w:rPr>
            </w:pPr>
            <w:r>
              <w:rPr>
                <w:rFonts w:ascii="Arial" w:cs="Arial" w:eastAsia="Arial" w:hAnsi="Arial"/>
                <w:sz w:val="14"/>
                <w:szCs w:val="14"/>
                <w:color w:val="auto"/>
              </w:rPr>
              <w:t>4.0</w:t>
            </w:r>
          </w:p>
        </w:tc>
        <w:tc>
          <w:tcPr>
            <w:tcW w:w="18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0"/>
        </w:trPr>
        <w:tc>
          <w:tcPr>
            <w:tcW w:w="4360" w:type="dxa"/>
            <w:vAlign w:val="bottom"/>
          </w:tcPr>
          <w:p>
            <w:pPr>
              <w:spacing w:after="0"/>
              <w:rPr>
                <w:sz w:val="20"/>
                <w:szCs w:val="20"/>
                <w:color w:val="auto"/>
              </w:rPr>
            </w:pPr>
            <w:r>
              <w:rPr>
                <w:rFonts w:ascii="Arial" w:cs="Arial" w:eastAsia="Arial" w:hAnsi="Arial"/>
                <w:sz w:val="14"/>
                <w:szCs w:val="14"/>
                <w:color w:val="auto"/>
              </w:rPr>
              <w:t>Other</w:t>
            </w:r>
          </w:p>
        </w:tc>
        <w:tc>
          <w:tcPr>
            <w:tcW w:w="1740" w:type="dxa"/>
            <w:vAlign w:val="bottom"/>
          </w:tcPr>
          <w:p>
            <w:pPr>
              <w:jc w:val="right"/>
              <w:ind w:right="129"/>
              <w:spacing w:after="0"/>
              <w:rPr>
                <w:sz w:val="20"/>
                <w:szCs w:val="20"/>
                <w:color w:val="auto"/>
              </w:rPr>
            </w:pPr>
            <w:r>
              <w:rPr>
                <w:rFonts w:ascii="Arial" w:cs="Arial" w:eastAsia="Arial" w:hAnsi="Arial"/>
                <w:sz w:val="14"/>
                <w:szCs w:val="14"/>
                <w:color w:val="auto"/>
              </w:rPr>
              <w:t>0.1</w:t>
            </w:r>
          </w:p>
        </w:tc>
        <w:tc>
          <w:tcPr>
            <w:tcW w:w="1940" w:type="dxa"/>
            <w:vAlign w:val="bottom"/>
          </w:tcPr>
          <w:p>
            <w:pPr>
              <w:jc w:val="right"/>
              <w:ind w:right="189"/>
              <w:spacing w:after="0"/>
              <w:rPr>
                <w:sz w:val="20"/>
                <w:szCs w:val="20"/>
                <w:color w:val="auto"/>
              </w:rPr>
            </w:pPr>
            <w:r>
              <w:rPr>
                <w:rFonts w:ascii="Arial" w:cs="Arial" w:eastAsia="Arial" w:hAnsi="Arial"/>
                <w:sz w:val="14"/>
                <w:szCs w:val="14"/>
                <w:color w:val="auto"/>
              </w:rPr>
              <w:t>0.4</w:t>
            </w:r>
          </w:p>
        </w:tc>
        <w:tc>
          <w:tcPr>
            <w:tcW w:w="18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00"/>
        </w:trPr>
        <w:tc>
          <w:tcPr>
            <w:tcW w:w="4360" w:type="dxa"/>
            <w:vAlign w:val="bottom"/>
          </w:tcPr>
          <w:p>
            <w:pPr>
              <w:spacing w:after="0"/>
              <w:rPr>
                <w:sz w:val="20"/>
                <w:szCs w:val="20"/>
                <w:color w:val="auto"/>
              </w:rPr>
            </w:pPr>
            <w:r>
              <w:rPr>
                <w:rFonts w:ascii="Arial" w:cs="Arial" w:eastAsia="Arial" w:hAnsi="Arial"/>
                <w:sz w:val="14"/>
                <w:szCs w:val="14"/>
                <w:b w:val="1"/>
                <w:bCs w:val="1"/>
                <w:color w:val="auto"/>
              </w:rPr>
              <w:t>Total Non-Operating Related</w:t>
            </w:r>
          </w:p>
        </w:tc>
        <w:tc>
          <w:tcPr>
            <w:tcW w:w="1740" w:type="dxa"/>
            <w:vAlign w:val="bottom"/>
          </w:tcPr>
          <w:p>
            <w:pPr>
              <w:jc w:val="right"/>
              <w:ind w:right="129"/>
              <w:spacing w:after="0"/>
              <w:rPr>
                <w:sz w:val="20"/>
                <w:szCs w:val="20"/>
                <w:color w:val="auto"/>
              </w:rPr>
            </w:pPr>
            <w:r>
              <w:rPr>
                <w:rFonts w:ascii="Arial" w:cs="Arial" w:eastAsia="Arial" w:hAnsi="Arial"/>
                <w:sz w:val="14"/>
                <w:szCs w:val="14"/>
                <w:b w:val="1"/>
                <w:bCs w:val="1"/>
                <w:color w:val="auto"/>
              </w:rPr>
              <w:t>23.8</w:t>
            </w:r>
          </w:p>
        </w:tc>
        <w:tc>
          <w:tcPr>
            <w:tcW w:w="1940" w:type="dxa"/>
            <w:vAlign w:val="bottom"/>
          </w:tcPr>
          <w:p>
            <w:pPr>
              <w:jc w:val="right"/>
              <w:ind w:right="189"/>
              <w:spacing w:after="0"/>
              <w:rPr>
                <w:sz w:val="20"/>
                <w:szCs w:val="20"/>
                <w:color w:val="auto"/>
              </w:rPr>
            </w:pPr>
            <w:r>
              <w:rPr>
                <w:rFonts w:ascii="Arial" w:cs="Arial" w:eastAsia="Arial" w:hAnsi="Arial"/>
                <w:sz w:val="14"/>
                <w:szCs w:val="14"/>
                <w:b w:val="1"/>
                <w:bCs w:val="1"/>
                <w:color w:val="auto"/>
              </w:rPr>
              <w:t>4.0</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16.5</w:t>
            </w:r>
          </w:p>
        </w:tc>
      </w:tr>
      <w:tr>
        <w:trPr>
          <w:trHeight w:val="270"/>
        </w:trPr>
        <w:tc>
          <w:tcPr>
            <w:tcW w:w="4360" w:type="dxa"/>
            <w:vAlign w:val="bottom"/>
          </w:tcPr>
          <w:p>
            <w:pPr>
              <w:spacing w:after="0"/>
              <w:rPr>
                <w:sz w:val="20"/>
                <w:szCs w:val="20"/>
                <w:color w:val="auto"/>
              </w:rPr>
            </w:pPr>
            <w:r>
              <w:rPr>
                <w:rFonts w:ascii="Arial" w:cs="Arial" w:eastAsia="Arial" w:hAnsi="Arial"/>
                <w:sz w:val="14"/>
                <w:szCs w:val="14"/>
                <w:b w:val="1"/>
                <w:bCs w:val="1"/>
                <w:color w:val="auto"/>
              </w:rPr>
              <w:t>Net Change in Cash and Cash-related</w:t>
            </w:r>
          </w:p>
        </w:tc>
        <w:tc>
          <w:tcPr>
            <w:tcW w:w="1740" w:type="dxa"/>
            <w:vAlign w:val="bottom"/>
          </w:tcPr>
          <w:p>
            <w:pPr>
              <w:jc w:val="right"/>
              <w:ind w:right="129"/>
              <w:spacing w:after="0"/>
              <w:rPr>
                <w:sz w:val="20"/>
                <w:szCs w:val="20"/>
                <w:color w:val="auto"/>
              </w:rPr>
            </w:pPr>
            <w:r>
              <w:rPr>
                <w:rFonts w:ascii="Arial" w:cs="Arial" w:eastAsia="Arial" w:hAnsi="Arial"/>
                <w:sz w:val="14"/>
                <w:szCs w:val="14"/>
                <w:b w:val="1"/>
                <w:bCs w:val="1"/>
                <w:color w:val="auto"/>
              </w:rPr>
              <w:t>20.1</w:t>
            </w:r>
          </w:p>
        </w:tc>
        <w:tc>
          <w:tcPr>
            <w:tcW w:w="1940" w:type="dxa"/>
            <w:vAlign w:val="bottom"/>
          </w:tcPr>
          <w:p>
            <w:pPr>
              <w:jc w:val="right"/>
              <w:ind w:right="189"/>
              <w:spacing w:after="0"/>
              <w:rPr>
                <w:sz w:val="20"/>
                <w:szCs w:val="20"/>
                <w:color w:val="auto"/>
              </w:rPr>
            </w:pPr>
            <w:r>
              <w:rPr>
                <w:rFonts w:ascii="Arial" w:cs="Arial" w:eastAsia="Arial" w:hAnsi="Arial"/>
                <w:sz w:val="14"/>
                <w:szCs w:val="14"/>
                <w:b w:val="1"/>
                <w:bCs w:val="1"/>
                <w:color w:val="auto"/>
              </w:rPr>
              <w:t>6.2</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bl>
    <w:p>
      <w:pPr>
        <w:spacing w:after="0" w:line="200" w:lineRule="exact"/>
        <w:rPr>
          <w:sz w:val="20"/>
          <w:szCs w:val="20"/>
          <w:color w:val="auto"/>
        </w:rPr>
      </w:pPr>
    </w:p>
    <w:p>
      <w:pPr>
        <w:spacing w:after="0" w:line="237" w:lineRule="exact"/>
        <w:rPr>
          <w:sz w:val="20"/>
          <w:szCs w:val="20"/>
          <w:color w:val="auto"/>
        </w:rPr>
      </w:pPr>
    </w:p>
    <w:p>
      <w:pPr>
        <w:ind w:left="580" w:right="280" w:hanging="481"/>
        <w:spacing w:after="0" w:line="303"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The $20.1 billion net change in cash and cash-related includes $1.2 billion of UST DIP that was subsequently carved-out and left behind with</w:t>
      </w:r>
      <w:r>
        <w:rPr>
          <w:rFonts w:ascii="Arial" w:cs="Arial" w:eastAsia="Arial" w:hAnsi="Arial"/>
          <w:sz w:val="15"/>
          <w:szCs w:val="15"/>
          <w:b w:val="1"/>
          <w:bCs w:val="1"/>
          <w:color w:val="auto"/>
        </w:rPr>
        <w:t xml:space="preserve"> </w:t>
      </w:r>
      <w:r>
        <w:rPr>
          <w:rFonts w:ascii="Arial" w:cs="Arial" w:eastAsia="Arial" w:hAnsi="Arial"/>
          <w:sz w:val="15"/>
          <w:szCs w:val="15"/>
          <w:color w:val="auto"/>
        </w:rPr>
        <w:t>MLC, while the Viability Plan cash flow walk recognized a $1.0B outflow.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right="560" w:hanging="73"/>
        <w:spacing w:after="0" w:line="278" w:lineRule="auto"/>
        <w:tabs>
          <w:tab w:leader="none" w:pos="1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Viability Plan based on 5/31 plan filed with U.S. Bankruptcy court in support of 363 sale, adjusted to include full year consolidation of GME and other items (see supplemental slides for detail)</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25</w:t>
      </w:r>
    </w:p>
    <w:p>
      <w:pPr>
        <w:sectPr>
          <w:pgSz w:w="11900" w:h="16838" w:orient="portrait"/>
          <w:cols w:equalWidth="0" w:num="1">
            <w:col w:w="10320"/>
          </w:cols>
          <w:pgMar w:left="380" w:top="587" w:right="1199" w:bottom="1440" w:gutter="0" w:footer="0" w:header="0"/>
        </w:sectPr>
      </w:pPr>
    </w:p>
    <w:bookmarkStart w:id="47" w:name="page48"/>
    <w:bookmarkEnd w:id="47"/>
    <w:p>
      <w:pPr>
        <w:ind w:left="94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Escrow Account</w:t>
      </w:r>
    </w:p>
    <w:p>
      <w:pPr>
        <w:spacing w:after="0" w:line="390" w:lineRule="exact"/>
        <w:rPr>
          <w:sz w:val="20"/>
          <w:szCs w:val="20"/>
          <w:color w:val="auto"/>
        </w:rPr>
      </w:pPr>
    </w:p>
    <w:p>
      <w:pPr>
        <w:ind w:left="420" w:right="740" w:hanging="419"/>
        <w:spacing w:after="0" w:line="223" w:lineRule="auto"/>
        <w:tabs>
          <w:tab w:leader="none" w:pos="420" w:val="left"/>
        </w:tabs>
        <w:numPr>
          <w:ilvl w:val="0"/>
          <w:numId w:val="27"/>
        </w:numPr>
        <w:rPr>
          <w:rFonts w:ascii="Arial" w:cs="Arial" w:eastAsia="Arial" w:hAnsi="Arial"/>
          <w:sz w:val="29"/>
          <w:szCs w:val="29"/>
          <w:color w:val="auto"/>
        </w:rPr>
      </w:pPr>
      <w:r>
        <w:rPr>
          <w:rFonts w:ascii="Arial" w:cs="Arial" w:eastAsia="Arial" w:hAnsi="Arial"/>
          <w:sz w:val="29"/>
          <w:szCs w:val="29"/>
          <w:color w:val="auto"/>
        </w:rPr>
        <w:t>$16.4B from the DIP Facility deposited in a US escrow established on July 10</w:t>
      </w:r>
    </w:p>
    <w:p>
      <w:pPr>
        <w:spacing w:after="0" w:line="1" w:lineRule="exact"/>
        <w:rPr>
          <w:rFonts w:ascii="Arial" w:cs="Arial" w:eastAsia="Arial" w:hAnsi="Arial"/>
          <w:sz w:val="29"/>
          <w:szCs w:val="29"/>
          <w:color w:val="auto"/>
        </w:rPr>
      </w:pPr>
    </w:p>
    <w:p>
      <w:pPr>
        <w:ind w:left="560"/>
        <w:spacing w:after="0" w:line="236" w:lineRule="auto"/>
        <w:rPr>
          <w:rFonts w:ascii="Arial" w:cs="Arial" w:eastAsia="Arial" w:hAnsi="Arial"/>
          <w:sz w:val="29"/>
          <w:szCs w:val="29"/>
          <w:color w:val="auto"/>
        </w:rPr>
      </w:pPr>
      <w:r>
        <w:rPr>
          <w:rFonts w:ascii="Arial" w:cs="Arial" w:eastAsia="Arial" w:hAnsi="Arial"/>
          <w:sz w:val="27"/>
          <w:szCs w:val="27"/>
          <w:color w:val="auto"/>
        </w:rPr>
        <w:t>–  $2.8B drawn to date for Delphi related payments</w:t>
      </w:r>
    </w:p>
    <w:p>
      <w:pPr>
        <w:ind w:left="920" w:right="320" w:hanging="353"/>
        <w:spacing w:after="0" w:line="213" w:lineRule="auto"/>
        <w:rPr>
          <w:rFonts w:ascii="Arial" w:cs="Arial" w:eastAsia="Arial" w:hAnsi="Arial"/>
          <w:sz w:val="29"/>
          <w:szCs w:val="29"/>
          <w:color w:val="auto"/>
        </w:rPr>
      </w:pPr>
      <w:r>
        <w:rPr>
          <w:rFonts w:ascii="Arial" w:cs="Arial" w:eastAsia="Arial" w:hAnsi="Arial"/>
          <w:sz w:val="27"/>
          <w:szCs w:val="27"/>
          <w:color w:val="auto"/>
        </w:rPr>
        <w:t>– Escrow to expire in June 2010 and undrawn funds used to repay UST loan; GM may request one year extension subject to UST agreement</w:t>
      </w:r>
    </w:p>
    <w:p>
      <w:pPr>
        <w:spacing w:after="0" w:line="1" w:lineRule="exact"/>
        <w:rPr>
          <w:rFonts w:ascii="Arial" w:cs="Arial" w:eastAsia="Arial" w:hAnsi="Arial"/>
          <w:sz w:val="29"/>
          <w:szCs w:val="29"/>
          <w:color w:val="auto"/>
        </w:rPr>
      </w:pPr>
    </w:p>
    <w:p>
      <w:pPr>
        <w:ind w:left="560"/>
        <w:spacing w:after="0"/>
        <w:rPr>
          <w:rFonts w:ascii="Arial" w:cs="Arial" w:eastAsia="Arial" w:hAnsi="Arial"/>
          <w:sz w:val="29"/>
          <w:szCs w:val="29"/>
          <w:color w:val="auto"/>
        </w:rPr>
      </w:pPr>
      <w:r>
        <w:rPr>
          <w:rFonts w:ascii="Arial" w:cs="Arial" w:eastAsia="Arial" w:hAnsi="Arial"/>
          <w:sz w:val="27"/>
          <w:szCs w:val="27"/>
          <w:color w:val="auto"/>
        </w:rPr>
        <w:t>–  Remaining funds to be distributed to GM</w:t>
      </w:r>
    </w:p>
    <w:p>
      <w:pPr>
        <w:spacing w:after="0" w:line="91" w:lineRule="exact"/>
        <w:rPr>
          <w:rFonts w:ascii="Arial" w:cs="Arial" w:eastAsia="Arial" w:hAnsi="Arial"/>
          <w:sz w:val="29"/>
          <w:szCs w:val="29"/>
          <w:color w:val="auto"/>
        </w:rPr>
      </w:pPr>
    </w:p>
    <w:p>
      <w:pPr>
        <w:ind w:left="420" w:right="680" w:hanging="419"/>
        <w:spacing w:after="0" w:line="223" w:lineRule="auto"/>
        <w:tabs>
          <w:tab w:leader="none" w:pos="420" w:val="left"/>
        </w:tabs>
        <w:numPr>
          <w:ilvl w:val="0"/>
          <w:numId w:val="27"/>
        </w:numPr>
        <w:rPr>
          <w:rFonts w:ascii="Arial" w:cs="Arial" w:eastAsia="Arial" w:hAnsi="Arial"/>
          <w:sz w:val="29"/>
          <w:szCs w:val="29"/>
          <w:color w:val="auto"/>
        </w:rPr>
      </w:pPr>
      <w:r>
        <w:rPr>
          <w:rFonts w:ascii="Arial" w:cs="Arial" w:eastAsia="Arial" w:hAnsi="Arial"/>
          <w:sz w:val="29"/>
          <w:szCs w:val="29"/>
          <w:color w:val="auto"/>
        </w:rPr>
        <w:t>US escrow originally established to cover certain contingencies anticipated in GM’s viability plan which are not expected to materialize</w:t>
      </w:r>
    </w:p>
    <w:p>
      <w:pPr>
        <w:spacing w:after="0" w:line="1" w:lineRule="exact"/>
        <w:rPr>
          <w:rFonts w:ascii="Arial" w:cs="Arial" w:eastAsia="Arial" w:hAnsi="Arial"/>
          <w:sz w:val="29"/>
          <w:szCs w:val="29"/>
          <w:color w:val="auto"/>
        </w:rPr>
      </w:pPr>
    </w:p>
    <w:p>
      <w:pPr>
        <w:ind w:left="560"/>
        <w:spacing w:after="0"/>
        <w:rPr>
          <w:rFonts w:ascii="Arial" w:cs="Arial" w:eastAsia="Arial" w:hAnsi="Arial"/>
          <w:sz w:val="29"/>
          <w:szCs w:val="29"/>
          <w:color w:val="auto"/>
        </w:rPr>
      </w:pPr>
      <w:r>
        <w:rPr>
          <w:rFonts w:ascii="Arial" w:cs="Arial" w:eastAsia="Arial" w:hAnsi="Arial"/>
          <w:sz w:val="27"/>
          <w:szCs w:val="27"/>
          <w:color w:val="auto"/>
        </w:rPr>
        <w:t>–  Underlying performance also better than viability plan</w:t>
      </w:r>
    </w:p>
    <w:p>
      <w:pPr>
        <w:spacing w:after="0" w:line="122" w:lineRule="exact"/>
        <w:rPr>
          <w:rFonts w:ascii="Arial" w:cs="Arial" w:eastAsia="Arial" w:hAnsi="Arial"/>
          <w:sz w:val="29"/>
          <w:szCs w:val="29"/>
          <w:color w:val="auto"/>
        </w:rPr>
      </w:pPr>
    </w:p>
    <w:p>
      <w:pPr>
        <w:ind w:left="420" w:hanging="419"/>
        <w:spacing w:after="0"/>
        <w:tabs>
          <w:tab w:leader="none" w:pos="420" w:val="left"/>
        </w:tabs>
        <w:numPr>
          <w:ilvl w:val="0"/>
          <w:numId w:val="27"/>
        </w:numPr>
        <w:rPr>
          <w:rFonts w:ascii="Arial" w:cs="Arial" w:eastAsia="Arial" w:hAnsi="Arial"/>
          <w:sz w:val="29"/>
          <w:szCs w:val="29"/>
          <w:color w:val="auto"/>
        </w:rPr>
      </w:pPr>
      <w:r>
        <w:rPr>
          <w:rFonts w:ascii="Arial" w:cs="Arial" w:eastAsia="Arial" w:hAnsi="Arial"/>
          <w:sz w:val="29"/>
          <w:szCs w:val="29"/>
          <w:color w:val="auto"/>
        </w:rPr>
        <w:t>As a result GM has entered into an agreement with UST to repay</w:t>
      </w:r>
    </w:p>
    <w:p>
      <w:pPr>
        <w:ind w:left="420" w:right="700"/>
        <w:spacing w:after="0" w:line="223" w:lineRule="auto"/>
        <w:rPr>
          <w:rFonts w:ascii="Arial" w:cs="Arial" w:eastAsia="Arial" w:hAnsi="Arial"/>
          <w:sz w:val="29"/>
          <w:szCs w:val="29"/>
          <w:color w:val="auto"/>
        </w:rPr>
      </w:pPr>
      <w:r>
        <w:rPr>
          <w:rFonts w:ascii="Arial" w:cs="Arial" w:eastAsia="Arial" w:hAnsi="Arial"/>
          <w:sz w:val="29"/>
          <w:szCs w:val="29"/>
          <w:color w:val="auto"/>
        </w:rPr>
        <w:t>$1.2B/quarter ($1B to UST and $192M to Canadian government) from US escrow funds starting Q4 2009 until GM completes an IPO</w:t>
      </w:r>
    </w:p>
    <w:p>
      <w:pPr>
        <w:spacing w:after="0" w:line="1" w:lineRule="exact"/>
        <w:rPr>
          <w:rFonts w:ascii="Arial" w:cs="Arial" w:eastAsia="Arial" w:hAnsi="Arial"/>
          <w:sz w:val="29"/>
          <w:szCs w:val="29"/>
          <w:color w:val="auto"/>
        </w:rPr>
      </w:pPr>
    </w:p>
    <w:p>
      <w:pPr>
        <w:ind w:left="920" w:right="740" w:hanging="353"/>
        <w:spacing w:after="0" w:line="218" w:lineRule="auto"/>
        <w:rPr>
          <w:rFonts w:ascii="Arial" w:cs="Arial" w:eastAsia="Arial" w:hAnsi="Arial"/>
          <w:sz w:val="29"/>
          <w:szCs w:val="29"/>
          <w:color w:val="auto"/>
        </w:rPr>
      </w:pPr>
      <w:r>
        <w:rPr>
          <w:rFonts w:ascii="Arial" w:cs="Arial" w:eastAsia="Arial" w:hAnsi="Arial"/>
          <w:sz w:val="27"/>
          <w:szCs w:val="27"/>
          <w:color w:val="auto"/>
        </w:rPr>
        <w:t>– Begin process of repaying taxpayer funds and reduce negative carry on interest</w:t>
      </w:r>
    </w:p>
    <w:p>
      <w:pPr>
        <w:ind w:left="920" w:right="180" w:hanging="353"/>
        <w:spacing w:after="0" w:line="220" w:lineRule="auto"/>
        <w:rPr>
          <w:rFonts w:ascii="Arial" w:cs="Arial" w:eastAsia="Arial" w:hAnsi="Arial"/>
          <w:sz w:val="29"/>
          <w:szCs w:val="29"/>
          <w:color w:val="auto"/>
        </w:rPr>
      </w:pPr>
      <w:r>
        <w:rPr>
          <w:rFonts w:ascii="Arial" w:cs="Arial" w:eastAsia="Arial" w:hAnsi="Arial"/>
          <w:sz w:val="27"/>
          <w:szCs w:val="27"/>
          <w:color w:val="auto"/>
        </w:rPr>
        <w:t>– Balance of the terms remain unchanged versus original agreement including June 2010 expiration date of escrow and potential for one year extension</w:t>
      </w:r>
    </w:p>
    <w:p>
      <w:pPr>
        <w:spacing w:after="0" w:line="79" w:lineRule="exact"/>
        <w:rPr>
          <w:rFonts w:ascii="Arial" w:cs="Arial" w:eastAsia="Arial" w:hAnsi="Arial"/>
          <w:sz w:val="29"/>
          <w:szCs w:val="29"/>
          <w:color w:val="auto"/>
        </w:rPr>
      </w:pPr>
    </w:p>
    <w:p>
      <w:pPr>
        <w:ind w:left="420" w:right="1260" w:hanging="419"/>
        <w:spacing w:after="0" w:line="223" w:lineRule="auto"/>
        <w:tabs>
          <w:tab w:leader="none" w:pos="420" w:val="left"/>
        </w:tabs>
        <w:numPr>
          <w:ilvl w:val="0"/>
          <w:numId w:val="27"/>
        </w:numPr>
        <w:rPr>
          <w:rFonts w:ascii="Arial" w:cs="Arial" w:eastAsia="Arial" w:hAnsi="Arial"/>
          <w:sz w:val="29"/>
          <w:szCs w:val="29"/>
          <w:color w:val="auto"/>
        </w:rPr>
      </w:pPr>
      <w:r>
        <w:rPr>
          <w:rFonts w:ascii="Arial" w:cs="Arial" w:eastAsia="Arial" w:hAnsi="Arial"/>
          <w:sz w:val="29"/>
          <w:szCs w:val="29"/>
          <w:color w:val="auto"/>
        </w:rPr>
        <w:t>In addition C$5.0B deposited in escrow for Canadian pension and healthcare contributions</w:t>
      </w:r>
    </w:p>
    <w:p>
      <w:pPr>
        <w:spacing w:after="0" w:line="1" w:lineRule="exact"/>
        <w:rPr>
          <w:rFonts w:ascii="Arial" w:cs="Arial" w:eastAsia="Arial" w:hAnsi="Arial"/>
          <w:sz w:val="29"/>
          <w:szCs w:val="29"/>
          <w:color w:val="auto"/>
        </w:rPr>
      </w:pPr>
    </w:p>
    <w:p>
      <w:pPr>
        <w:ind w:left="560"/>
        <w:spacing w:after="0"/>
        <w:rPr>
          <w:rFonts w:ascii="Arial" w:cs="Arial" w:eastAsia="Arial" w:hAnsi="Arial"/>
          <w:sz w:val="29"/>
          <w:szCs w:val="29"/>
          <w:color w:val="auto"/>
        </w:rPr>
      </w:pPr>
      <w:r>
        <w:rPr>
          <w:rFonts w:ascii="Arial" w:cs="Arial" w:eastAsia="Arial" w:hAnsi="Arial"/>
          <w:sz w:val="27"/>
          <w:szCs w:val="27"/>
          <w:color w:val="auto"/>
        </w:rPr>
        <w:t>–  C$1.0B remains in escrow to fund Canadian Health Care Trust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26</w:t>
      </w:r>
    </w:p>
    <w:p>
      <w:pPr>
        <w:sectPr>
          <w:pgSz w:w="11900" w:h="16838" w:orient="portrait"/>
          <w:cols w:equalWidth="0" w:num="1">
            <w:col w:w="10220"/>
          </w:cols>
          <w:pgMar w:left="480" w:top="587" w:right="119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80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4405" cy="548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40"/>
        <w:spacing w:after="0"/>
        <w:rPr>
          <w:sz w:val="20"/>
          <w:szCs w:val="20"/>
          <w:color w:val="auto"/>
        </w:rPr>
      </w:pPr>
      <w:r>
        <w:rPr>
          <w:rFonts w:ascii="Arial" w:cs="Arial" w:eastAsia="Arial" w:hAnsi="Arial"/>
          <w:sz w:val="42"/>
          <w:szCs w:val="42"/>
          <w:b w:val="1"/>
          <w:bCs w:val="1"/>
          <w:color w:val="auto"/>
        </w:rPr>
        <w:t>General Motors Company</w:t>
      </w:r>
    </w:p>
    <w:p>
      <w:pPr>
        <w:spacing w:after="0" w:line="352" w:lineRule="exact"/>
        <w:rPr>
          <w:sz w:val="20"/>
          <w:szCs w:val="20"/>
          <w:color w:val="auto"/>
        </w:rPr>
      </w:pPr>
    </w:p>
    <w:p>
      <w:pPr>
        <w:jc w:val="center"/>
        <w:ind w:right="640"/>
        <w:spacing w:after="0"/>
        <w:rPr>
          <w:sz w:val="20"/>
          <w:szCs w:val="20"/>
          <w:color w:val="auto"/>
        </w:rPr>
      </w:pPr>
      <w:r>
        <w:rPr>
          <w:rFonts w:ascii="Arial" w:cs="Arial" w:eastAsia="Arial" w:hAnsi="Arial"/>
          <w:sz w:val="44"/>
          <w:szCs w:val="44"/>
          <w:b w:val="1"/>
          <w:bCs w:val="1"/>
          <w:color w:val="auto"/>
        </w:rPr>
        <w:t>Forward Perspectives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27</w:t>
      </w:r>
    </w:p>
    <w:p>
      <w:pPr>
        <w:sectPr>
          <w:pgSz w:w="11900" w:h="16838" w:orient="portrait"/>
          <w:cols w:equalWidth="0" w:num="1">
            <w:col w:w="9740"/>
          </w:cols>
          <w:pgMar w:left="1440" w:top="1440" w:right="719" w:bottom="1440" w:gutter="0" w:footer="0" w:header="0"/>
        </w:sectPr>
      </w:pPr>
    </w:p>
    <w:bookmarkStart w:id="49" w:name="page50"/>
    <w:bookmarkEnd w:id="49"/>
    <w:p>
      <w:pPr>
        <w:ind w:left="56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Global Industry Outlook Q4 &amp; CY 2009</w:t>
      </w:r>
    </w:p>
    <w:p>
      <w:pPr>
        <w:sectPr>
          <w:pgSz w:w="11900" w:h="16838" w:orient="portrait"/>
          <w:cols w:equalWidth="0" w:num="1">
            <w:col w:w="9840"/>
          </w:cols>
          <w:pgMar w:left="860" w:top="587"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SAAR * (Mil)</w:t>
      </w:r>
    </w:p>
    <w:p>
      <w:pPr>
        <w:spacing w:after="0" w:line="5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FFFFFF"/>
        </w:rPr>
        <w:t>Total Including Heavy</w:t>
      </w:r>
    </w:p>
    <w:p>
      <w:pPr>
        <w:spacing w:after="0" w:line="130" w:lineRule="exact"/>
        <w:rPr>
          <w:sz w:val="20"/>
          <w:szCs w:val="20"/>
          <w:color w:val="auto"/>
        </w:rPr>
      </w:pPr>
    </w:p>
    <w:p>
      <w:pPr>
        <w:spacing w:after="0"/>
        <w:rPr>
          <w:sz w:val="20"/>
          <w:szCs w:val="20"/>
          <w:color w:val="auto"/>
        </w:rPr>
      </w:pPr>
      <w:r>
        <w:rPr>
          <w:rFonts w:ascii="Arial" w:cs="Arial" w:eastAsia="Arial" w:hAnsi="Arial"/>
          <w:sz w:val="32"/>
          <w:szCs w:val="32"/>
          <w:color w:val="auto"/>
        </w:rPr>
        <w:t>GMNA</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28"/>
          <w:szCs w:val="28"/>
          <w:i w:val="1"/>
          <w:iCs w:val="1"/>
          <w:color w:val="auto"/>
        </w:rPr>
        <w:t>U.S.</w:t>
      </w:r>
    </w:p>
    <w:p>
      <w:pPr>
        <w:spacing w:after="0" w:line="202" w:lineRule="exact"/>
        <w:rPr>
          <w:sz w:val="20"/>
          <w:szCs w:val="20"/>
          <w:color w:val="auto"/>
        </w:rPr>
      </w:pPr>
    </w:p>
    <w:p>
      <w:pPr>
        <w:spacing w:after="0"/>
        <w:rPr>
          <w:sz w:val="20"/>
          <w:szCs w:val="20"/>
          <w:color w:val="auto"/>
        </w:rPr>
      </w:pPr>
      <w:r>
        <w:rPr>
          <w:rFonts w:ascii="Arial" w:cs="Arial" w:eastAsia="Arial" w:hAnsi="Arial"/>
          <w:sz w:val="32"/>
          <w:szCs w:val="32"/>
          <w:color w:val="auto"/>
        </w:rPr>
        <w:t>GMIO</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28"/>
          <w:szCs w:val="28"/>
          <w:i w:val="1"/>
          <w:iCs w:val="1"/>
          <w:color w:val="auto"/>
        </w:rPr>
        <w:t>Brazil</w:t>
      </w:r>
    </w:p>
    <w:p>
      <w:pPr>
        <w:spacing w:after="0" w:line="47" w:lineRule="exact"/>
        <w:rPr>
          <w:sz w:val="20"/>
          <w:szCs w:val="20"/>
          <w:color w:val="auto"/>
        </w:rPr>
      </w:pPr>
    </w:p>
    <w:p>
      <w:pPr>
        <w:ind w:left="240"/>
        <w:spacing w:after="0"/>
        <w:rPr>
          <w:sz w:val="20"/>
          <w:szCs w:val="20"/>
          <w:color w:val="auto"/>
        </w:rPr>
      </w:pPr>
      <w:r>
        <w:rPr>
          <w:rFonts w:ascii="Arial" w:cs="Arial" w:eastAsia="Arial" w:hAnsi="Arial"/>
          <w:sz w:val="28"/>
          <w:szCs w:val="28"/>
          <w:i w:val="1"/>
          <w:iCs w:val="1"/>
          <w:color w:val="auto"/>
        </w:rPr>
        <w:t>Russia</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28"/>
          <w:szCs w:val="28"/>
          <w:i w:val="1"/>
          <w:iCs w:val="1"/>
          <w:color w:val="auto"/>
        </w:rPr>
        <w:t>India</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28"/>
          <w:szCs w:val="28"/>
          <w:i w:val="1"/>
          <w:iCs w:val="1"/>
          <w:color w:val="auto"/>
        </w:rPr>
        <w:t>China</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28"/>
          <w:szCs w:val="28"/>
          <w:i w:val="1"/>
          <w:iCs w:val="1"/>
          <w:color w:val="auto"/>
        </w:rPr>
        <w:t>Germany</w:t>
      </w:r>
    </w:p>
    <w:p>
      <w:pPr>
        <w:spacing w:after="0" w:line="21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Global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6"/>
        </w:trPr>
        <w:tc>
          <w:tcPr>
            <w:tcW w:w="1720" w:type="dxa"/>
            <w:vAlign w:val="bottom"/>
          </w:tcPr>
          <w:p>
            <w:pPr>
              <w:jc w:val="center"/>
              <w:ind w:right="351"/>
              <w:spacing w:after="0"/>
              <w:rPr>
                <w:sz w:val="20"/>
                <w:szCs w:val="20"/>
                <w:color w:val="auto"/>
              </w:rPr>
            </w:pPr>
            <w:r>
              <w:rPr>
                <w:rFonts w:ascii="Arial" w:cs="Arial" w:eastAsia="Arial" w:hAnsi="Arial"/>
                <w:sz w:val="32"/>
                <w:szCs w:val="32"/>
                <w:b w:val="1"/>
                <w:bCs w:val="1"/>
                <w:color w:val="FFFFFF"/>
                <w:w w:val="99"/>
              </w:rPr>
              <w:t>Q3 2009</w:t>
            </w:r>
          </w:p>
        </w:tc>
        <w:tc>
          <w:tcPr>
            <w:tcW w:w="2200" w:type="dxa"/>
            <w:vAlign w:val="bottom"/>
          </w:tcPr>
          <w:p>
            <w:pPr>
              <w:jc w:val="center"/>
              <w:spacing w:after="0"/>
              <w:rPr>
                <w:sz w:val="20"/>
                <w:szCs w:val="20"/>
                <w:color w:val="auto"/>
              </w:rPr>
            </w:pPr>
            <w:r>
              <w:rPr>
                <w:rFonts w:ascii="Arial" w:cs="Arial" w:eastAsia="Arial" w:hAnsi="Arial"/>
                <w:sz w:val="32"/>
                <w:szCs w:val="32"/>
                <w:b w:val="1"/>
                <w:bCs w:val="1"/>
                <w:color w:val="FFFFFF"/>
                <w:w w:val="99"/>
              </w:rPr>
              <w:t>Q4 2009</w:t>
            </w:r>
          </w:p>
        </w:tc>
        <w:tc>
          <w:tcPr>
            <w:tcW w:w="1740" w:type="dxa"/>
            <w:vAlign w:val="bottom"/>
          </w:tcPr>
          <w:p>
            <w:pPr>
              <w:ind w:left="500"/>
              <w:spacing w:after="0"/>
              <w:rPr>
                <w:sz w:val="20"/>
                <w:szCs w:val="20"/>
                <w:color w:val="auto"/>
              </w:rPr>
            </w:pPr>
            <w:r>
              <w:rPr>
                <w:rFonts w:ascii="Arial" w:cs="Arial" w:eastAsia="Arial" w:hAnsi="Arial"/>
                <w:sz w:val="32"/>
                <w:szCs w:val="32"/>
                <w:b w:val="1"/>
                <w:bCs w:val="1"/>
                <w:color w:val="FFFFFF"/>
                <w:w w:val="97"/>
              </w:rPr>
              <w:t>CY 2009</w:t>
            </w:r>
          </w:p>
        </w:tc>
      </w:tr>
      <w:tr>
        <w:trPr>
          <w:trHeight w:val="421"/>
        </w:trPr>
        <w:tc>
          <w:tcPr>
            <w:tcW w:w="1720" w:type="dxa"/>
            <w:vAlign w:val="bottom"/>
          </w:tcPr>
          <w:p>
            <w:pPr>
              <w:ind w:left="120"/>
              <w:spacing w:after="0"/>
              <w:rPr>
                <w:sz w:val="20"/>
                <w:szCs w:val="20"/>
                <w:color w:val="auto"/>
              </w:rPr>
            </w:pPr>
            <w:r>
              <w:rPr>
                <w:rFonts w:ascii="Arial" w:cs="Arial" w:eastAsia="Arial" w:hAnsi="Arial"/>
                <w:sz w:val="32"/>
                <w:szCs w:val="32"/>
                <w:b w:val="1"/>
                <w:bCs w:val="1"/>
                <w:color w:val="FFFFFF"/>
              </w:rPr>
              <w:t>Actual</w:t>
            </w:r>
          </w:p>
        </w:tc>
        <w:tc>
          <w:tcPr>
            <w:tcW w:w="2200" w:type="dxa"/>
            <w:vAlign w:val="bottom"/>
          </w:tcPr>
          <w:p>
            <w:pPr>
              <w:ind w:left="500"/>
              <w:spacing w:after="0"/>
              <w:rPr>
                <w:sz w:val="20"/>
                <w:szCs w:val="20"/>
                <w:color w:val="auto"/>
              </w:rPr>
            </w:pPr>
            <w:r>
              <w:rPr>
                <w:rFonts w:ascii="Arial" w:cs="Arial" w:eastAsia="Arial" w:hAnsi="Arial"/>
                <w:sz w:val="32"/>
                <w:szCs w:val="32"/>
                <w:b w:val="1"/>
                <w:bCs w:val="1"/>
                <w:color w:val="FFFFFF"/>
              </w:rPr>
              <w:t>Outlook</w:t>
            </w:r>
          </w:p>
        </w:tc>
        <w:tc>
          <w:tcPr>
            <w:tcW w:w="1740" w:type="dxa"/>
            <w:vAlign w:val="bottom"/>
          </w:tcPr>
          <w:p>
            <w:pPr>
              <w:ind w:left="520"/>
              <w:spacing w:after="0"/>
              <w:rPr>
                <w:sz w:val="20"/>
                <w:szCs w:val="20"/>
                <w:color w:val="auto"/>
              </w:rPr>
            </w:pPr>
            <w:r>
              <w:rPr>
                <w:rFonts w:ascii="Arial" w:cs="Arial" w:eastAsia="Arial" w:hAnsi="Arial"/>
                <w:sz w:val="32"/>
                <w:szCs w:val="32"/>
                <w:b w:val="1"/>
                <w:bCs w:val="1"/>
                <w:color w:val="FFFFFF"/>
                <w:w w:val="99"/>
              </w:rPr>
              <w:t>Outlook</w:t>
            </w:r>
          </w:p>
        </w:tc>
      </w:tr>
      <w:tr>
        <w:trPr>
          <w:trHeight w:val="455"/>
        </w:trPr>
        <w:tc>
          <w:tcPr>
            <w:tcW w:w="1720" w:type="dxa"/>
            <w:vAlign w:val="bottom"/>
          </w:tcPr>
          <w:p>
            <w:pPr>
              <w:jc w:val="center"/>
              <w:ind w:right="351"/>
              <w:spacing w:after="0"/>
              <w:rPr>
                <w:sz w:val="20"/>
                <w:szCs w:val="20"/>
                <w:color w:val="auto"/>
              </w:rPr>
            </w:pPr>
            <w:r>
              <w:rPr>
                <w:rFonts w:ascii="Arial" w:cs="Arial" w:eastAsia="Arial" w:hAnsi="Arial"/>
                <w:sz w:val="32"/>
                <w:szCs w:val="32"/>
                <w:color w:val="auto"/>
                <w:w w:val="99"/>
              </w:rPr>
              <w:t>14.2</w:t>
            </w:r>
          </w:p>
        </w:tc>
        <w:tc>
          <w:tcPr>
            <w:tcW w:w="2200" w:type="dxa"/>
            <w:vAlign w:val="bottom"/>
          </w:tcPr>
          <w:p>
            <w:pPr>
              <w:jc w:val="center"/>
              <w:spacing w:after="0"/>
              <w:rPr>
                <w:sz w:val="20"/>
                <w:szCs w:val="20"/>
                <w:color w:val="auto"/>
              </w:rPr>
            </w:pPr>
            <w:r>
              <w:rPr>
                <w:rFonts w:ascii="Arial" w:cs="Arial" w:eastAsia="Arial" w:hAnsi="Arial"/>
                <w:sz w:val="32"/>
                <w:szCs w:val="32"/>
                <w:color w:val="auto"/>
                <w:w w:val="99"/>
              </w:rPr>
              <w:t>13.3</w:t>
            </w:r>
          </w:p>
        </w:tc>
        <w:tc>
          <w:tcPr>
            <w:tcW w:w="1740" w:type="dxa"/>
            <w:vAlign w:val="bottom"/>
          </w:tcPr>
          <w:p>
            <w:pPr>
              <w:jc w:val="center"/>
              <w:ind w:left="331"/>
              <w:spacing w:after="0"/>
              <w:rPr>
                <w:sz w:val="20"/>
                <w:szCs w:val="20"/>
                <w:color w:val="auto"/>
              </w:rPr>
            </w:pPr>
            <w:r>
              <w:rPr>
                <w:rFonts w:ascii="Arial" w:cs="Arial" w:eastAsia="Arial" w:hAnsi="Arial"/>
                <w:sz w:val="32"/>
                <w:szCs w:val="32"/>
                <w:color w:val="auto"/>
                <w:w w:val="99"/>
              </w:rPr>
              <w:t>13.0</w:t>
            </w:r>
          </w:p>
        </w:tc>
      </w:tr>
      <w:tr>
        <w:trPr>
          <w:trHeight w:val="369"/>
        </w:trPr>
        <w:tc>
          <w:tcPr>
            <w:tcW w:w="1720" w:type="dxa"/>
            <w:vAlign w:val="bottom"/>
          </w:tcPr>
          <w:p>
            <w:pPr>
              <w:jc w:val="center"/>
              <w:ind w:right="371"/>
              <w:spacing w:after="0"/>
              <w:rPr>
                <w:sz w:val="20"/>
                <w:szCs w:val="20"/>
                <w:color w:val="auto"/>
              </w:rPr>
            </w:pPr>
            <w:r>
              <w:rPr>
                <w:rFonts w:ascii="Arial" w:cs="Arial" w:eastAsia="Arial" w:hAnsi="Arial"/>
                <w:sz w:val="28"/>
                <w:szCs w:val="28"/>
                <w:i w:val="1"/>
                <w:iCs w:val="1"/>
                <w:color w:val="auto"/>
              </w:rPr>
              <w:t>11.7</w:t>
            </w:r>
          </w:p>
        </w:tc>
        <w:tc>
          <w:tcPr>
            <w:tcW w:w="2200" w:type="dxa"/>
            <w:vAlign w:val="bottom"/>
          </w:tcPr>
          <w:p>
            <w:pPr>
              <w:jc w:val="center"/>
              <w:spacing w:after="0"/>
              <w:rPr>
                <w:sz w:val="20"/>
                <w:szCs w:val="20"/>
                <w:color w:val="auto"/>
              </w:rPr>
            </w:pPr>
            <w:r>
              <w:rPr>
                <w:rFonts w:ascii="Arial" w:cs="Arial" w:eastAsia="Arial" w:hAnsi="Arial"/>
                <w:sz w:val="28"/>
                <w:szCs w:val="28"/>
                <w:i w:val="1"/>
                <w:iCs w:val="1"/>
                <w:color w:val="auto"/>
                <w:w w:val="99"/>
              </w:rPr>
              <w:t>10.7</w:t>
            </w:r>
          </w:p>
        </w:tc>
        <w:tc>
          <w:tcPr>
            <w:tcW w:w="1740" w:type="dxa"/>
            <w:vAlign w:val="bottom"/>
          </w:tcPr>
          <w:p>
            <w:pPr>
              <w:jc w:val="center"/>
              <w:ind w:left="331"/>
              <w:spacing w:after="0"/>
              <w:rPr>
                <w:sz w:val="20"/>
                <w:szCs w:val="20"/>
                <w:color w:val="auto"/>
              </w:rPr>
            </w:pPr>
            <w:r>
              <w:rPr>
                <w:rFonts w:ascii="Arial" w:cs="Arial" w:eastAsia="Arial" w:hAnsi="Arial"/>
                <w:sz w:val="28"/>
                <w:szCs w:val="28"/>
                <w:i w:val="1"/>
                <w:iCs w:val="1"/>
                <w:color w:val="auto"/>
                <w:w w:val="99"/>
              </w:rPr>
              <w:t>10.5</w:t>
            </w:r>
          </w:p>
        </w:tc>
      </w:tr>
      <w:tr>
        <w:trPr>
          <w:trHeight w:val="548"/>
        </w:trPr>
        <w:tc>
          <w:tcPr>
            <w:tcW w:w="1720" w:type="dxa"/>
            <w:vAlign w:val="bottom"/>
          </w:tcPr>
          <w:p>
            <w:pPr>
              <w:jc w:val="center"/>
              <w:ind w:right="351"/>
              <w:spacing w:after="0"/>
              <w:rPr>
                <w:sz w:val="20"/>
                <w:szCs w:val="20"/>
                <w:color w:val="auto"/>
              </w:rPr>
            </w:pPr>
            <w:r>
              <w:rPr>
                <w:rFonts w:ascii="Arial" w:cs="Arial" w:eastAsia="Arial" w:hAnsi="Arial"/>
                <w:sz w:val="32"/>
                <w:szCs w:val="32"/>
                <w:color w:val="auto"/>
                <w:w w:val="99"/>
              </w:rPr>
              <w:t>53.6</w:t>
            </w:r>
          </w:p>
        </w:tc>
        <w:tc>
          <w:tcPr>
            <w:tcW w:w="2200" w:type="dxa"/>
            <w:vAlign w:val="bottom"/>
          </w:tcPr>
          <w:p>
            <w:pPr>
              <w:jc w:val="center"/>
              <w:spacing w:after="0"/>
              <w:rPr>
                <w:sz w:val="20"/>
                <w:szCs w:val="20"/>
                <w:color w:val="auto"/>
              </w:rPr>
            </w:pPr>
            <w:r>
              <w:rPr>
                <w:rFonts w:ascii="Arial" w:cs="Arial" w:eastAsia="Arial" w:hAnsi="Arial"/>
                <w:sz w:val="32"/>
                <w:szCs w:val="32"/>
                <w:color w:val="auto"/>
                <w:w w:val="99"/>
              </w:rPr>
              <w:t>52.1</w:t>
            </w:r>
          </w:p>
        </w:tc>
        <w:tc>
          <w:tcPr>
            <w:tcW w:w="1740" w:type="dxa"/>
            <w:vAlign w:val="bottom"/>
          </w:tcPr>
          <w:p>
            <w:pPr>
              <w:jc w:val="center"/>
              <w:ind w:left="331"/>
              <w:spacing w:after="0"/>
              <w:rPr>
                <w:sz w:val="20"/>
                <w:szCs w:val="20"/>
                <w:color w:val="auto"/>
              </w:rPr>
            </w:pPr>
            <w:r>
              <w:rPr>
                <w:rFonts w:ascii="Arial" w:cs="Arial" w:eastAsia="Arial" w:hAnsi="Arial"/>
                <w:sz w:val="32"/>
                <w:szCs w:val="32"/>
                <w:color w:val="auto"/>
                <w:w w:val="99"/>
              </w:rPr>
              <w:t>50.3</w:t>
            </w:r>
          </w:p>
        </w:tc>
      </w:tr>
      <w:tr>
        <w:trPr>
          <w:trHeight w:val="341"/>
        </w:trPr>
        <w:tc>
          <w:tcPr>
            <w:tcW w:w="1720" w:type="dxa"/>
            <w:vAlign w:val="bottom"/>
          </w:tcPr>
          <w:p>
            <w:pPr>
              <w:jc w:val="center"/>
              <w:ind w:right="351"/>
              <w:spacing w:after="0"/>
              <w:rPr>
                <w:sz w:val="20"/>
                <w:szCs w:val="20"/>
                <w:color w:val="auto"/>
              </w:rPr>
            </w:pPr>
            <w:r>
              <w:rPr>
                <w:rFonts w:ascii="Arial" w:cs="Arial" w:eastAsia="Arial" w:hAnsi="Arial"/>
                <w:sz w:val="28"/>
                <w:szCs w:val="28"/>
                <w:i w:val="1"/>
                <w:iCs w:val="1"/>
                <w:color w:val="auto"/>
                <w:w w:val="97"/>
              </w:rPr>
              <w:t>3.3</w:t>
            </w:r>
          </w:p>
        </w:tc>
        <w:tc>
          <w:tcPr>
            <w:tcW w:w="2200" w:type="dxa"/>
            <w:vAlign w:val="bottom"/>
          </w:tcPr>
          <w:p>
            <w:pPr>
              <w:jc w:val="center"/>
              <w:spacing w:after="0"/>
              <w:rPr>
                <w:sz w:val="20"/>
                <w:szCs w:val="20"/>
                <w:color w:val="auto"/>
              </w:rPr>
            </w:pPr>
            <w:r>
              <w:rPr>
                <w:rFonts w:ascii="Arial" w:cs="Arial" w:eastAsia="Arial" w:hAnsi="Arial"/>
                <w:sz w:val="28"/>
                <w:szCs w:val="28"/>
                <w:i w:val="1"/>
                <w:iCs w:val="1"/>
                <w:color w:val="auto"/>
                <w:w w:val="97"/>
              </w:rPr>
              <w:t>3.2</w:t>
            </w:r>
          </w:p>
        </w:tc>
        <w:tc>
          <w:tcPr>
            <w:tcW w:w="1740" w:type="dxa"/>
            <w:vAlign w:val="bottom"/>
          </w:tcPr>
          <w:p>
            <w:pPr>
              <w:jc w:val="center"/>
              <w:ind w:left="351"/>
              <w:spacing w:after="0"/>
              <w:rPr>
                <w:sz w:val="20"/>
                <w:szCs w:val="20"/>
                <w:color w:val="auto"/>
              </w:rPr>
            </w:pPr>
            <w:r>
              <w:rPr>
                <w:rFonts w:ascii="Arial" w:cs="Arial" w:eastAsia="Arial" w:hAnsi="Arial"/>
                <w:sz w:val="28"/>
                <w:szCs w:val="28"/>
                <w:i w:val="1"/>
                <w:iCs w:val="1"/>
                <w:color w:val="auto"/>
              </w:rPr>
              <w:t>3.2</w:t>
            </w:r>
          </w:p>
        </w:tc>
      </w:tr>
      <w:tr>
        <w:trPr>
          <w:trHeight w:val="329"/>
        </w:trPr>
        <w:tc>
          <w:tcPr>
            <w:tcW w:w="1720" w:type="dxa"/>
            <w:vAlign w:val="bottom"/>
          </w:tcPr>
          <w:p>
            <w:pPr>
              <w:jc w:val="center"/>
              <w:ind w:right="351"/>
              <w:spacing w:after="0"/>
              <w:rPr>
                <w:sz w:val="20"/>
                <w:szCs w:val="20"/>
                <w:color w:val="auto"/>
              </w:rPr>
            </w:pPr>
            <w:r>
              <w:rPr>
                <w:rFonts w:ascii="Arial" w:cs="Arial" w:eastAsia="Arial" w:hAnsi="Arial"/>
                <w:sz w:val="28"/>
                <w:szCs w:val="28"/>
                <w:i w:val="1"/>
                <w:iCs w:val="1"/>
                <w:color w:val="auto"/>
                <w:w w:val="97"/>
              </w:rPr>
              <w:t>1.4</w:t>
            </w:r>
          </w:p>
        </w:tc>
        <w:tc>
          <w:tcPr>
            <w:tcW w:w="2200" w:type="dxa"/>
            <w:vAlign w:val="bottom"/>
          </w:tcPr>
          <w:p>
            <w:pPr>
              <w:jc w:val="center"/>
              <w:spacing w:after="0"/>
              <w:rPr>
                <w:sz w:val="20"/>
                <w:szCs w:val="20"/>
                <w:color w:val="auto"/>
              </w:rPr>
            </w:pPr>
            <w:r>
              <w:rPr>
                <w:rFonts w:ascii="Arial" w:cs="Arial" w:eastAsia="Arial" w:hAnsi="Arial"/>
                <w:sz w:val="28"/>
                <w:szCs w:val="28"/>
                <w:i w:val="1"/>
                <w:iCs w:val="1"/>
                <w:color w:val="auto"/>
                <w:w w:val="97"/>
              </w:rPr>
              <w:t>1.3</w:t>
            </w:r>
          </w:p>
        </w:tc>
        <w:tc>
          <w:tcPr>
            <w:tcW w:w="1740" w:type="dxa"/>
            <w:vAlign w:val="bottom"/>
          </w:tcPr>
          <w:p>
            <w:pPr>
              <w:jc w:val="center"/>
              <w:ind w:left="351"/>
              <w:spacing w:after="0"/>
              <w:rPr>
                <w:sz w:val="20"/>
                <w:szCs w:val="20"/>
                <w:color w:val="auto"/>
              </w:rPr>
            </w:pPr>
            <w:r>
              <w:rPr>
                <w:rFonts w:ascii="Arial" w:cs="Arial" w:eastAsia="Arial" w:hAnsi="Arial"/>
                <w:sz w:val="28"/>
                <w:szCs w:val="28"/>
                <w:i w:val="1"/>
                <w:iCs w:val="1"/>
                <w:color w:val="auto"/>
              </w:rPr>
              <w:t>1.5</w:t>
            </w:r>
          </w:p>
        </w:tc>
      </w:tr>
      <w:tr>
        <w:trPr>
          <w:trHeight w:val="341"/>
        </w:trPr>
        <w:tc>
          <w:tcPr>
            <w:tcW w:w="1720" w:type="dxa"/>
            <w:vAlign w:val="bottom"/>
          </w:tcPr>
          <w:p>
            <w:pPr>
              <w:jc w:val="center"/>
              <w:ind w:right="351"/>
              <w:spacing w:after="0"/>
              <w:rPr>
                <w:sz w:val="20"/>
                <w:szCs w:val="20"/>
                <w:color w:val="auto"/>
              </w:rPr>
            </w:pPr>
            <w:r>
              <w:rPr>
                <w:rFonts w:ascii="Arial" w:cs="Arial" w:eastAsia="Arial" w:hAnsi="Arial"/>
                <w:sz w:val="28"/>
                <w:szCs w:val="28"/>
                <w:i w:val="1"/>
                <w:iCs w:val="1"/>
                <w:color w:val="auto"/>
                <w:w w:val="97"/>
              </w:rPr>
              <w:t>2.4</w:t>
            </w:r>
          </w:p>
        </w:tc>
        <w:tc>
          <w:tcPr>
            <w:tcW w:w="2200" w:type="dxa"/>
            <w:vAlign w:val="bottom"/>
          </w:tcPr>
          <w:p>
            <w:pPr>
              <w:jc w:val="center"/>
              <w:spacing w:after="0"/>
              <w:rPr>
                <w:sz w:val="20"/>
                <w:szCs w:val="20"/>
                <w:color w:val="auto"/>
              </w:rPr>
            </w:pPr>
            <w:r>
              <w:rPr>
                <w:rFonts w:ascii="Arial" w:cs="Arial" w:eastAsia="Arial" w:hAnsi="Arial"/>
                <w:sz w:val="28"/>
                <w:szCs w:val="28"/>
                <w:i w:val="1"/>
                <w:iCs w:val="1"/>
                <w:color w:val="auto"/>
                <w:w w:val="97"/>
              </w:rPr>
              <w:t>2.5</w:t>
            </w:r>
          </w:p>
        </w:tc>
        <w:tc>
          <w:tcPr>
            <w:tcW w:w="1740" w:type="dxa"/>
            <w:vAlign w:val="bottom"/>
          </w:tcPr>
          <w:p>
            <w:pPr>
              <w:jc w:val="center"/>
              <w:ind w:left="351"/>
              <w:spacing w:after="0"/>
              <w:rPr>
                <w:sz w:val="20"/>
                <w:szCs w:val="20"/>
                <w:color w:val="auto"/>
              </w:rPr>
            </w:pPr>
            <w:r>
              <w:rPr>
                <w:rFonts w:ascii="Arial" w:cs="Arial" w:eastAsia="Arial" w:hAnsi="Arial"/>
                <w:sz w:val="28"/>
                <w:szCs w:val="28"/>
                <w:i w:val="1"/>
                <w:iCs w:val="1"/>
                <w:color w:val="auto"/>
              </w:rPr>
              <w:t>2.2</w:t>
            </w:r>
          </w:p>
        </w:tc>
      </w:tr>
      <w:tr>
        <w:trPr>
          <w:trHeight w:val="341"/>
        </w:trPr>
        <w:tc>
          <w:tcPr>
            <w:tcW w:w="1720" w:type="dxa"/>
            <w:vAlign w:val="bottom"/>
          </w:tcPr>
          <w:p>
            <w:pPr>
              <w:jc w:val="center"/>
              <w:ind w:right="371"/>
              <w:spacing w:after="0"/>
              <w:rPr>
                <w:sz w:val="20"/>
                <w:szCs w:val="20"/>
                <w:color w:val="auto"/>
              </w:rPr>
            </w:pPr>
            <w:r>
              <w:rPr>
                <w:rFonts w:ascii="Arial" w:cs="Arial" w:eastAsia="Arial" w:hAnsi="Arial"/>
                <w:sz w:val="28"/>
                <w:szCs w:val="28"/>
                <w:i w:val="1"/>
                <w:iCs w:val="1"/>
                <w:color w:val="auto"/>
              </w:rPr>
              <w:t>15.7</w:t>
            </w:r>
          </w:p>
        </w:tc>
        <w:tc>
          <w:tcPr>
            <w:tcW w:w="2200" w:type="dxa"/>
            <w:vAlign w:val="bottom"/>
          </w:tcPr>
          <w:p>
            <w:pPr>
              <w:jc w:val="center"/>
              <w:spacing w:after="0"/>
              <w:rPr>
                <w:sz w:val="20"/>
                <w:szCs w:val="20"/>
                <w:color w:val="auto"/>
              </w:rPr>
            </w:pPr>
            <w:r>
              <w:rPr>
                <w:rFonts w:ascii="Arial" w:cs="Arial" w:eastAsia="Arial" w:hAnsi="Arial"/>
                <w:sz w:val="28"/>
                <w:szCs w:val="28"/>
                <w:i w:val="1"/>
                <w:iCs w:val="1"/>
                <w:color w:val="auto"/>
                <w:w w:val="99"/>
              </w:rPr>
              <w:t>13.4</w:t>
            </w:r>
          </w:p>
        </w:tc>
        <w:tc>
          <w:tcPr>
            <w:tcW w:w="1740" w:type="dxa"/>
            <w:vAlign w:val="bottom"/>
          </w:tcPr>
          <w:p>
            <w:pPr>
              <w:jc w:val="center"/>
              <w:ind w:left="331"/>
              <w:spacing w:after="0"/>
              <w:rPr>
                <w:sz w:val="20"/>
                <w:szCs w:val="20"/>
                <w:color w:val="auto"/>
              </w:rPr>
            </w:pPr>
            <w:r>
              <w:rPr>
                <w:rFonts w:ascii="Arial" w:cs="Arial" w:eastAsia="Arial" w:hAnsi="Arial"/>
                <w:sz w:val="28"/>
                <w:szCs w:val="28"/>
                <w:i w:val="1"/>
                <w:iCs w:val="1"/>
                <w:color w:val="auto"/>
                <w:w w:val="99"/>
              </w:rPr>
              <w:t>13.0</w:t>
            </w:r>
          </w:p>
        </w:tc>
      </w:tr>
      <w:tr>
        <w:trPr>
          <w:trHeight w:val="369"/>
        </w:trPr>
        <w:tc>
          <w:tcPr>
            <w:tcW w:w="1720" w:type="dxa"/>
            <w:vAlign w:val="bottom"/>
          </w:tcPr>
          <w:p>
            <w:pPr>
              <w:jc w:val="center"/>
              <w:ind w:right="351"/>
              <w:spacing w:after="0"/>
              <w:rPr>
                <w:sz w:val="20"/>
                <w:szCs w:val="20"/>
                <w:color w:val="auto"/>
              </w:rPr>
            </w:pPr>
            <w:r>
              <w:rPr>
                <w:rFonts w:ascii="Arial" w:cs="Arial" w:eastAsia="Arial" w:hAnsi="Arial"/>
                <w:sz w:val="28"/>
                <w:szCs w:val="28"/>
                <w:i w:val="1"/>
                <w:iCs w:val="1"/>
                <w:color w:val="auto"/>
                <w:w w:val="97"/>
              </w:rPr>
              <w:t>4.0</w:t>
            </w:r>
          </w:p>
        </w:tc>
        <w:tc>
          <w:tcPr>
            <w:tcW w:w="2200" w:type="dxa"/>
            <w:vAlign w:val="bottom"/>
          </w:tcPr>
          <w:p>
            <w:pPr>
              <w:jc w:val="center"/>
              <w:spacing w:after="0"/>
              <w:rPr>
                <w:sz w:val="20"/>
                <w:szCs w:val="20"/>
                <w:color w:val="auto"/>
              </w:rPr>
            </w:pPr>
            <w:r>
              <w:rPr>
                <w:rFonts w:ascii="Arial" w:cs="Arial" w:eastAsia="Arial" w:hAnsi="Arial"/>
                <w:sz w:val="28"/>
                <w:szCs w:val="28"/>
                <w:i w:val="1"/>
                <w:iCs w:val="1"/>
                <w:color w:val="auto"/>
                <w:w w:val="97"/>
              </w:rPr>
              <w:t>3.6</w:t>
            </w:r>
          </w:p>
        </w:tc>
        <w:tc>
          <w:tcPr>
            <w:tcW w:w="1740" w:type="dxa"/>
            <w:vAlign w:val="bottom"/>
          </w:tcPr>
          <w:p>
            <w:pPr>
              <w:jc w:val="center"/>
              <w:ind w:left="351"/>
              <w:spacing w:after="0"/>
              <w:rPr>
                <w:sz w:val="20"/>
                <w:szCs w:val="20"/>
                <w:color w:val="auto"/>
              </w:rPr>
            </w:pPr>
            <w:r>
              <w:rPr>
                <w:rFonts w:ascii="Arial" w:cs="Arial" w:eastAsia="Arial" w:hAnsi="Arial"/>
                <w:sz w:val="28"/>
                <w:szCs w:val="28"/>
                <w:i w:val="1"/>
                <w:iCs w:val="1"/>
                <w:color w:val="auto"/>
              </w:rPr>
              <w:t>4.1</w:t>
            </w:r>
          </w:p>
        </w:tc>
      </w:tr>
      <w:tr>
        <w:trPr>
          <w:trHeight w:val="657"/>
        </w:trPr>
        <w:tc>
          <w:tcPr>
            <w:tcW w:w="1720" w:type="dxa"/>
            <w:vAlign w:val="bottom"/>
          </w:tcPr>
          <w:p>
            <w:pPr>
              <w:jc w:val="center"/>
              <w:ind w:right="351"/>
              <w:spacing w:after="0"/>
              <w:rPr>
                <w:sz w:val="20"/>
                <w:szCs w:val="20"/>
                <w:color w:val="auto"/>
              </w:rPr>
            </w:pPr>
            <w:r>
              <w:rPr>
                <w:rFonts w:ascii="Arial" w:cs="Arial" w:eastAsia="Arial" w:hAnsi="Arial"/>
                <w:sz w:val="32"/>
                <w:szCs w:val="32"/>
                <w:b w:val="1"/>
                <w:bCs w:val="1"/>
                <w:color w:val="auto"/>
                <w:w w:val="99"/>
              </w:rPr>
              <w:t>67.8</w:t>
            </w:r>
          </w:p>
        </w:tc>
        <w:tc>
          <w:tcPr>
            <w:tcW w:w="2200" w:type="dxa"/>
            <w:vAlign w:val="bottom"/>
          </w:tcPr>
          <w:p>
            <w:pPr>
              <w:jc w:val="center"/>
              <w:spacing w:after="0"/>
              <w:rPr>
                <w:sz w:val="20"/>
                <w:szCs w:val="20"/>
                <w:color w:val="auto"/>
              </w:rPr>
            </w:pPr>
            <w:r>
              <w:rPr>
                <w:rFonts w:ascii="Arial" w:cs="Arial" w:eastAsia="Arial" w:hAnsi="Arial"/>
                <w:sz w:val="32"/>
                <w:szCs w:val="32"/>
                <w:b w:val="1"/>
                <w:bCs w:val="1"/>
                <w:color w:val="auto"/>
                <w:w w:val="99"/>
              </w:rPr>
              <w:t>65.4</w:t>
            </w:r>
          </w:p>
        </w:tc>
        <w:tc>
          <w:tcPr>
            <w:tcW w:w="1740" w:type="dxa"/>
            <w:vAlign w:val="bottom"/>
          </w:tcPr>
          <w:p>
            <w:pPr>
              <w:jc w:val="center"/>
              <w:ind w:left="331"/>
              <w:spacing w:after="0"/>
              <w:rPr>
                <w:sz w:val="20"/>
                <w:szCs w:val="20"/>
                <w:color w:val="auto"/>
              </w:rPr>
            </w:pPr>
            <w:r>
              <w:rPr>
                <w:rFonts w:ascii="Arial" w:cs="Arial" w:eastAsia="Arial" w:hAnsi="Arial"/>
                <w:sz w:val="32"/>
                <w:szCs w:val="32"/>
                <w:b w:val="1"/>
                <w:bCs w:val="1"/>
                <w:color w:val="auto"/>
                <w:w w:val="99"/>
              </w:rPr>
              <w:t>63.3</w:t>
            </w:r>
          </w:p>
        </w:tc>
      </w:tr>
    </w:tbl>
    <w:p>
      <w:pPr>
        <w:spacing w:after="0" w:line="200" w:lineRule="exact"/>
        <w:rPr>
          <w:sz w:val="20"/>
          <w:szCs w:val="20"/>
          <w:color w:val="auto"/>
        </w:rPr>
      </w:pPr>
    </w:p>
    <w:p>
      <w:pPr>
        <w:sectPr>
          <w:pgSz w:w="11900" w:h="16838" w:orient="portrait"/>
          <w:cols w:equalWidth="0" w:num="2">
            <w:col w:w="2700" w:space="720"/>
            <w:col w:w="6420"/>
          </w:cols>
          <w:pgMar w:left="860" w:top="587" w:right="119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Arial" w:cs="Arial" w:eastAsia="Arial" w:hAnsi="Arial"/>
          <w:sz w:val="22"/>
          <w:szCs w:val="22"/>
          <w:i w:val="1"/>
          <w:iCs w:val="1"/>
          <w:color w:val="auto"/>
        </w:rPr>
        <w:t>* SAAR – Seasonally Adjusted Annualized Rate</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28</w:t>
      </w:r>
    </w:p>
    <w:p>
      <w:pPr>
        <w:sectPr>
          <w:pgSz w:w="11900" w:h="16838" w:orient="portrait"/>
          <w:cols w:equalWidth="0" w:num="1">
            <w:col w:w="9840"/>
          </w:cols>
          <w:pgMar w:left="860" w:top="587" w:right="1199" w:bottom="1440" w:gutter="0" w:footer="0" w:header="0"/>
          <w:type w:val="continuous"/>
        </w:sectPr>
      </w:pPr>
    </w:p>
    <w:bookmarkStart w:id="50" w:name="page51"/>
    <w:bookmarkEnd w:id="50"/>
    <w:p>
      <w:pPr>
        <w:ind w:left="76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Fourth Quarter Perspectives</w:t>
      </w:r>
    </w:p>
    <w:p>
      <w:pPr>
        <w:sectPr>
          <w:pgSz w:w="11900" w:h="16838" w:orient="portrait"/>
          <w:cols w:equalWidth="0" w:num="1">
            <w:col w:w="10040"/>
          </w:cols>
          <w:pgMar w:left="660" w:top="587"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60"/>
        <w:spacing w:after="0"/>
        <w:tabs>
          <w:tab w:leader="none" w:pos="2500" w:val="left"/>
        </w:tabs>
        <w:rPr>
          <w:sz w:val="20"/>
          <w:szCs w:val="20"/>
          <w:color w:val="auto"/>
        </w:rPr>
      </w:pPr>
      <w:r>
        <w:rPr>
          <w:rFonts w:ascii="Arial" w:cs="Arial" w:eastAsia="Arial" w:hAnsi="Arial"/>
          <w:sz w:val="32"/>
          <w:szCs w:val="32"/>
          <w:b w:val="1"/>
          <w:bCs w:val="1"/>
          <w:color w:val="FFFFFF"/>
        </w:rPr>
        <w:t>Item</w:t>
      </w:r>
      <w:r>
        <w:rPr>
          <w:sz w:val="20"/>
          <w:szCs w:val="20"/>
          <w:color w:val="auto"/>
        </w:rPr>
        <w:tab/>
      </w:r>
      <w:r>
        <w:rPr>
          <w:rFonts w:ascii="Arial" w:cs="Arial" w:eastAsia="Arial" w:hAnsi="Arial"/>
          <w:sz w:val="28"/>
          <w:szCs w:val="28"/>
          <w:b w:val="1"/>
          <w:bCs w:val="1"/>
          <w:color w:val="FFFFFF"/>
        </w:rPr>
        <w:t>Fav/(Unfav)</w:t>
      </w:r>
    </w:p>
    <w:p>
      <w:pPr>
        <w:spacing w:after="0" w:line="200" w:lineRule="exact"/>
        <w:rPr>
          <w:sz w:val="20"/>
          <w:szCs w:val="20"/>
          <w:color w:val="auto"/>
        </w:rPr>
      </w:pPr>
    </w:p>
    <w:p>
      <w:pPr>
        <w:spacing w:after="0" w:line="292" w:lineRule="exact"/>
        <w:rPr>
          <w:sz w:val="20"/>
          <w:szCs w:val="20"/>
          <w:color w:val="auto"/>
        </w:rPr>
      </w:pPr>
    </w:p>
    <w:p>
      <w:pPr>
        <w:spacing w:after="0"/>
        <w:tabs>
          <w:tab w:leader="none" w:pos="2420" w:val="left"/>
        </w:tabs>
        <w:rPr>
          <w:sz w:val="20"/>
          <w:szCs w:val="20"/>
          <w:color w:val="auto"/>
        </w:rPr>
      </w:pPr>
      <w:r>
        <w:rPr>
          <w:rFonts w:ascii="Arial" w:cs="Arial" w:eastAsia="Arial" w:hAnsi="Arial"/>
          <w:sz w:val="28"/>
          <w:szCs w:val="28"/>
          <w:color w:val="auto"/>
        </w:rPr>
        <w:t>Market</w:t>
      </w:r>
      <w:r>
        <w:rPr>
          <w:sz w:val="20"/>
          <w:szCs w:val="20"/>
          <w:color w:val="auto"/>
        </w:rPr>
        <w:tab/>
      </w:r>
      <w:r>
        <w:rPr>
          <w:rFonts w:ascii="Arial" w:cs="Arial" w:eastAsia="Arial" w:hAnsi="Arial"/>
          <w:sz w:val="28"/>
          <w:szCs w:val="28"/>
          <w:color w:val="auto"/>
        </w:rPr>
        <w:t>(Unfavorable)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8"/>
          <w:szCs w:val="28"/>
          <w:color w:val="auto"/>
        </w:rPr>
        <w:t>GM’s Market</w:t>
      </w:r>
    </w:p>
    <w:p>
      <w:pPr>
        <w:spacing w:after="0" w:line="19" w:lineRule="exact"/>
        <w:rPr>
          <w:sz w:val="20"/>
          <w:szCs w:val="20"/>
          <w:color w:val="auto"/>
        </w:rPr>
      </w:pPr>
    </w:p>
    <w:p>
      <w:pPr>
        <w:spacing w:after="0"/>
        <w:tabs>
          <w:tab w:leader="none" w:pos="2640" w:val="left"/>
        </w:tabs>
        <w:rPr>
          <w:sz w:val="20"/>
          <w:szCs w:val="20"/>
          <w:color w:val="auto"/>
        </w:rPr>
      </w:pPr>
      <w:r>
        <w:rPr>
          <w:rFonts w:ascii="Arial" w:cs="Arial" w:eastAsia="Arial" w:hAnsi="Arial"/>
          <w:sz w:val="28"/>
          <w:szCs w:val="28"/>
          <w:color w:val="auto"/>
        </w:rPr>
        <w:t>Performance /</w:t>
      </w:r>
      <w:r>
        <w:rPr>
          <w:sz w:val="20"/>
          <w:szCs w:val="20"/>
          <w:color w:val="auto"/>
        </w:rPr>
        <w:tab/>
      </w:r>
      <w:r>
        <w:rPr>
          <w:rFonts w:ascii="Arial" w:cs="Arial" w:eastAsia="Arial" w:hAnsi="Arial"/>
          <w:sz w:val="28"/>
          <w:szCs w:val="28"/>
          <w:color w:val="auto"/>
        </w:rPr>
        <w:t>Favorable</w:t>
      </w:r>
    </w:p>
    <w:p>
      <w:pPr>
        <w:spacing w:after="0" w:line="19" w:lineRule="exact"/>
        <w:rPr>
          <w:sz w:val="20"/>
          <w:szCs w:val="20"/>
          <w:color w:val="auto"/>
        </w:rPr>
      </w:pPr>
    </w:p>
    <w:p>
      <w:pPr>
        <w:spacing w:after="0"/>
        <w:rPr>
          <w:sz w:val="20"/>
          <w:szCs w:val="20"/>
          <w:color w:val="auto"/>
        </w:rPr>
      </w:pPr>
      <w:r>
        <w:rPr>
          <w:rFonts w:ascii="Arial" w:cs="Arial" w:eastAsia="Arial" w:hAnsi="Arial"/>
          <w:sz w:val="28"/>
          <w:szCs w:val="28"/>
          <w:color w:val="auto"/>
        </w:rPr>
        <w:t>Production</w:t>
      </w:r>
    </w:p>
    <w:p>
      <w:pPr>
        <w:spacing w:after="0" w:line="200" w:lineRule="exact"/>
        <w:rPr>
          <w:sz w:val="20"/>
          <w:szCs w:val="20"/>
          <w:color w:val="auto"/>
        </w:rPr>
      </w:pPr>
    </w:p>
    <w:p>
      <w:pPr>
        <w:spacing w:after="0" w:line="313" w:lineRule="exact"/>
        <w:rPr>
          <w:sz w:val="20"/>
          <w:szCs w:val="20"/>
          <w:color w:val="auto"/>
        </w:rPr>
      </w:pPr>
    </w:p>
    <w:p>
      <w:pPr>
        <w:spacing w:after="0"/>
        <w:tabs>
          <w:tab w:leader="none" w:pos="2420" w:val="left"/>
        </w:tabs>
        <w:rPr>
          <w:sz w:val="20"/>
          <w:szCs w:val="20"/>
          <w:color w:val="auto"/>
        </w:rPr>
      </w:pPr>
      <w:r>
        <w:rPr>
          <w:rFonts w:ascii="Arial" w:cs="Arial" w:eastAsia="Arial" w:hAnsi="Arial"/>
          <w:sz w:val="28"/>
          <w:szCs w:val="28"/>
          <w:color w:val="auto"/>
        </w:rPr>
        <w:t>Cost Drivers</w:t>
      </w:r>
      <w:r>
        <w:rPr>
          <w:sz w:val="20"/>
          <w:szCs w:val="20"/>
          <w:color w:val="auto"/>
        </w:rPr>
        <w:tab/>
      </w:r>
      <w:r>
        <w:rPr>
          <w:rFonts w:ascii="Arial" w:cs="Arial" w:eastAsia="Arial" w:hAnsi="Arial"/>
          <w:sz w:val="28"/>
          <w:szCs w:val="28"/>
          <w:color w:val="auto"/>
        </w:rPr>
        <w:t>(Unfavorable)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420" w:val="left"/>
        </w:tabs>
        <w:rPr>
          <w:sz w:val="20"/>
          <w:szCs w:val="20"/>
          <w:color w:val="auto"/>
        </w:rPr>
      </w:pPr>
      <w:r>
        <w:rPr>
          <w:rFonts w:ascii="Arial" w:cs="Arial" w:eastAsia="Arial" w:hAnsi="Arial"/>
          <w:sz w:val="28"/>
          <w:szCs w:val="28"/>
          <w:color w:val="auto"/>
        </w:rPr>
        <w:t>Net Cash Flow</w:t>
      </w:r>
      <w:r>
        <w:rPr>
          <w:sz w:val="20"/>
          <w:szCs w:val="20"/>
          <w:color w:val="auto"/>
        </w:rPr>
        <w:tab/>
      </w:r>
      <w:r>
        <w:rPr>
          <w:rFonts w:ascii="Arial" w:cs="Arial" w:eastAsia="Arial" w:hAnsi="Arial"/>
          <w:sz w:val="28"/>
          <w:szCs w:val="28"/>
          <w:color w:val="auto"/>
        </w:rPr>
        <w:t>(Unfavorable)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770"/>
        <w:spacing w:after="0"/>
        <w:rPr>
          <w:sz w:val="20"/>
          <w:szCs w:val="20"/>
          <w:color w:val="auto"/>
        </w:rPr>
      </w:pPr>
      <w:r>
        <w:rPr>
          <w:rFonts w:ascii="Arial" w:cs="Arial" w:eastAsia="Arial" w:hAnsi="Arial"/>
          <w:sz w:val="32"/>
          <w:szCs w:val="32"/>
          <w:b w:val="1"/>
          <w:bCs w:val="1"/>
          <w:color w:val="FFFFFF"/>
        </w:rPr>
        <w:t>Status vs. Q3</w:t>
      </w:r>
    </w:p>
    <w:p>
      <w:pPr>
        <w:spacing w:after="0" w:line="115" w:lineRule="exact"/>
        <w:rPr>
          <w:sz w:val="20"/>
          <w:szCs w:val="20"/>
          <w:color w:val="auto"/>
        </w:rPr>
      </w:pPr>
    </w:p>
    <w:p>
      <w:pPr>
        <w:ind w:left="2310"/>
        <w:spacing w:after="0"/>
        <w:rPr>
          <w:sz w:val="20"/>
          <w:szCs w:val="20"/>
          <w:color w:val="auto"/>
        </w:rPr>
      </w:pPr>
      <w:r>
        <w:rPr>
          <w:rFonts w:ascii="Arial" w:cs="Arial" w:eastAsia="Arial" w:hAnsi="Arial"/>
          <w:sz w:val="28"/>
          <w:szCs w:val="28"/>
          <w:b w:val="1"/>
          <w:bCs w:val="1"/>
          <w:color w:val="FFFFFF"/>
        </w:rPr>
        <w:t>Drivers</w:t>
      </w:r>
    </w:p>
    <w:p>
      <w:pPr>
        <w:spacing w:after="0" w:line="369" w:lineRule="exact"/>
        <w:rPr>
          <w:sz w:val="20"/>
          <w:szCs w:val="20"/>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Moderating global markets</w:t>
      </w:r>
    </w:p>
    <w:p>
      <w:pPr>
        <w:spacing w:after="0" w:line="18"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End of various vehicle tax incentives</w:t>
      </w:r>
    </w:p>
    <w:p>
      <w:pPr>
        <w:spacing w:after="0" w:line="382"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Launch product strength</w:t>
      </w:r>
    </w:p>
    <w:p>
      <w:pPr>
        <w:spacing w:after="0" w:line="18"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Balanced U.S. dealer inventory</w:t>
      </w:r>
    </w:p>
    <w:p>
      <w:pPr>
        <w:spacing w:after="0" w:line="6"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U.S. pricing flat to slightly down</w:t>
      </w:r>
    </w:p>
    <w:p>
      <w:pPr>
        <w:spacing w:after="0" w:line="288"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Increased media</w:t>
      </w:r>
    </w:p>
    <w:p>
      <w:pPr>
        <w:spacing w:after="0" w:line="18"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Increased engineering</w:t>
      </w:r>
    </w:p>
    <w:p>
      <w:pPr>
        <w:spacing w:after="0" w:line="6"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Higher capital expenditures</w:t>
      </w:r>
    </w:p>
    <w:p>
      <w:pPr>
        <w:spacing w:after="0" w:line="335"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Favorable Q3 working capital</w:t>
      </w:r>
    </w:p>
    <w:p>
      <w:pPr>
        <w:spacing w:after="0" w:line="6"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4"/>
          <w:szCs w:val="24"/>
          <w:color w:val="auto"/>
        </w:rPr>
      </w:pPr>
      <w:r>
        <w:rPr>
          <w:rFonts w:ascii="Arial" w:cs="Arial" w:eastAsia="Arial" w:hAnsi="Arial"/>
          <w:sz w:val="24"/>
          <w:szCs w:val="24"/>
          <w:color w:val="auto"/>
        </w:rPr>
        <w:t>Supplier payment terms to net 47 days ~$(2.0)B</w:t>
      </w:r>
    </w:p>
    <w:p>
      <w:pPr>
        <w:spacing w:after="0" w:line="29" w:lineRule="exact"/>
        <w:rPr>
          <w:rFonts w:ascii="Arial" w:cs="Arial" w:eastAsia="Arial" w:hAnsi="Arial"/>
          <w:sz w:val="24"/>
          <w:szCs w:val="24"/>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Delphi ~$(2.8)B</w:t>
      </w:r>
    </w:p>
    <w:p>
      <w:pPr>
        <w:spacing w:after="0" w:line="18"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Continued restructuring costs ~$(1.0)B</w:t>
      </w:r>
    </w:p>
    <w:p>
      <w:pPr>
        <w:spacing w:after="0" w:line="6" w:lineRule="exact"/>
        <w:rPr>
          <w:rFonts w:ascii="Arial" w:cs="Arial" w:eastAsia="Arial" w:hAnsi="Arial"/>
          <w:sz w:val="25"/>
          <w:szCs w:val="25"/>
          <w:color w:val="auto"/>
        </w:rPr>
      </w:pPr>
    </w:p>
    <w:p>
      <w:pPr>
        <w:ind w:left="210" w:hanging="210"/>
        <w:spacing w:after="0"/>
        <w:tabs>
          <w:tab w:leader="none" w:pos="210" w:val="left"/>
        </w:tabs>
        <w:numPr>
          <w:ilvl w:val="0"/>
          <w:numId w:val="28"/>
        </w:numPr>
        <w:rPr>
          <w:rFonts w:ascii="Arial" w:cs="Arial" w:eastAsia="Arial" w:hAnsi="Arial"/>
          <w:sz w:val="25"/>
          <w:szCs w:val="25"/>
          <w:color w:val="auto"/>
        </w:rPr>
      </w:pPr>
      <w:r>
        <w:rPr>
          <w:rFonts w:ascii="Arial" w:cs="Arial" w:eastAsia="Arial" w:hAnsi="Arial"/>
          <w:sz w:val="25"/>
          <w:szCs w:val="25"/>
          <w:color w:val="auto"/>
        </w:rPr>
        <w:t>Repayment various gov’t loans ~$(2.5)B</w:t>
      </w:r>
    </w:p>
    <w:p>
      <w:pPr>
        <w:spacing w:after="0" w:line="200" w:lineRule="exact"/>
        <w:rPr>
          <w:sz w:val="20"/>
          <w:szCs w:val="20"/>
          <w:color w:val="auto"/>
        </w:rPr>
      </w:pPr>
    </w:p>
    <w:p>
      <w:pPr>
        <w:sectPr>
          <w:pgSz w:w="11900" w:h="16838" w:orient="portrait"/>
          <w:cols w:equalWidth="0" w:num="2">
            <w:col w:w="4160" w:space="270"/>
            <w:col w:w="5610"/>
          </w:cols>
          <w:pgMar w:left="660" w:top="587" w:right="11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9760"/>
        <w:spacing w:after="0"/>
        <w:rPr>
          <w:sz w:val="20"/>
          <w:szCs w:val="20"/>
          <w:color w:val="auto"/>
        </w:rPr>
      </w:pPr>
      <w:r>
        <w:rPr>
          <w:rFonts w:ascii="Arial" w:cs="Arial" w:eastAsia="Arial" w:hAnsi="Arial"/>
          <w:sz w:val="25"/>
          <w:szCs w:val="25"/>
          <w:b w:val="1"/>
          <w:bCs w:val="1"/>
          <w:color w:val="auto"/>
        </w:rPr>
        <w:t>29</w:t>
      </w:r>
    </w:p>
    <w:p>
      <w:pPr>
        <w:sectPr>
          <w:pgSz w:w="11900" w:h="16838" w:orient="portrait"/>
          <w:cols w:equalWidth="0" w:num="1">
            <w:col w:w="10040"/>
          </w:cols>
          <w:pgMar w:left="660" w:top="587" w:right="1199" w:bottom="1440" w:gutter="0" w:footer="0" w:header="0"/>
          <w:type w:val="continuous"/>
        </w:sectPr>
      </w:pPr>
    </w:p>
    <w:bookmarkStart w:id="51" w:name="page52"/>
    <w:bookmarkEnd w:id="51"/>
    <w:p>
      <w:pPr>
        <w:ind w:left="760"/>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Global Industry Outlook CY 2009 &amp; 2010</w:t>
      </w:r>
    </w:p>
    <w:p>
      <w:pPr>
        <w:sectPr>
          <w:pgSz w:w="11900" w:h="16838" w:orient="portrait"/>
          <w:cols w:equalWidth="0" w:num="1">
            <w:col w:w="10040"/>
          </w:cols>
          <w:pgMar w:left="660" w:top="587"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Units (Mil)</w:t>
      </w:r>
    </w:p>
    <w:p>
      <w:pPr>
        <w:spacing w:after="0" w:line="53"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FFFFFF"/>
        </w:rPr>
        <w:t>Total Including Heavy</w:t>
      </w:r>
    </w:p>
    <w:p>
      <w:pPr>
        <w:spacing w:after="0" w:line="119" w:lineRule="exact"/>
        <w:rPr>
          <w:sz w:val="20"/>
          <w:szCs w:val="20"/>
          <w:color w:val="auto"/>
        </w:rPr>
      </w:pPr>
    </w:p>
    <w:p>
      <w:pPr>
        <w:spacing w:after="0"/>
        <w:rPr>
          <w:sz w:val="20"/>
          <w:szCs w:val="20"/>
          <w:color w:val="auto"/>
        </w:rPr>
      </w:pPr>
      <w:r>
        <w:rPr>
          <w:rFonts w:ascii="Arial" w:cs="Arial" w:eastAsia="Arial" w:hAnsi="Arial"/>
          <w:sz w:val="32"/>
          <w:szCs w:val="32"/>
          <w:color w:val="auto"/>
        </w:rPr>
        <w:t>GMNA</w:t>
      </w:r>
    </w:p>
    <w:p>
      <w:pPr>
        <w:spacing w:after="0" w:line="13" w:lineRule="exact"/>
        <w:rPr>
          <w:sz w:val="20"/>
          <w:szCs w:val="20"/>
          <w:color w:val="auto"/>
        </w:rPr>
      </w:pPr>
    </w:p>
    <w:p>
      <w:pPr>
        <w:ind w:left="260"/>
        <w:spacing w:after="0"/>
        <w:rPr>
          <w:sz w:val="20"/>
          <w:szCs w:val="20"/>
          <w:color w:val="auto"/>
        </w:rPr>
      </w:pPr>
      <w:r>
        <w:rPr>
          <w:rFonts w:ascii="Arial" w:cs="Arial" w:eastAsia="Arial" w:hAnsi="Arial"/>
          <w:sz w:val="28"/>
          <w:szCs w:val="28"/>
          <w:i w:val="1"/>
          <w:iCs w:val="1"/>
          <w:color w:val="auto"/>
        </w:rPr>
        <w:t>U.S.</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color w:val="auto"/>
        </w:rPr>
        <w:t>GMIO</w:t>
      </w:r>
    </w:p>
    <w:p>
      <w:pPr>
        <w:spacing w:after="0" w:line="34" w:lineRule="exact"/>
        <w:rPr>
          <w:sz w:val="20"/>
          <w:szCs w:val="20"/>
          <w:color w:val="auto"/>
        </w:rPr>
      </w:pPr>
    </w:p>
    <w:p>
      <w:pPr>
        <w:ind w:left="280"/>
        <w:spacing w:after="0"/>
        <w:rPr>
          <w:sz w:val="20"/>
          <w:szCs w:val="20"/>
          <w:color w:val="auto"/>
        </w:rPr>
      </w:pPr>
      <w:r>
        <w:rPr>
          <w:rFonts w:ascii="Arial" w:cs="Arial" w:eastAsia="Arial" w:hAnsi="Arial"/>
          <w:sz w:val="28"/>
          <w:szCs w:val="28"/>
          <w:i w:val="1"/>
          <w:iCs w:val="1"/>
          <w:color w:val="auto"/>
        </w:rPr>
        <w:t>Brazil</w:t>
      </w:r>
    </w:p>
    <w:p>
      <w:pPr>
        <w:spacing w:after="0" w:line="37" w:lineRule="exact"/>
        <w:rPr>
          <w:sz w:val="20"/>
          <w:szCs w:val="20"/>
          <w:color w:val="auto"/>
        </w:rPr>
      </w:pPr>
    </w:p>
    <w:p>
      <w:pPr>
        <w:ind w:left="260"/>
        <w:spacing w:after="0"/>
        <w:rPr>
          <w:sz w:val="20"/>
          <w:szCs w:val="20"/>
          <w:color w:val="auto"/>
        </w:rPr>
      </w:pPr>
      <w:r>
        <w:rPr>
          <w:rFonts w:ascii="Arial" w:cs="Arial" w:eastAsia="Arial" w:hAnsi="Arial"/>
          <w:sz w:val="28"/>
          <w:szCs w:val="28"/>
          <w:i w:val="1"/>
          <w:iCs w:val="1"/>
          <w:color w:val="auto"/>
        </w:rPr>
        <w:t>Russia</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28"/>
          <w:szCs w:val="28"/>
          <w:i w:val="1"/>
          <w:iCs w:val="1"/>
          <w:color w:val="auto"/>
        </w:rPr>
        <w:t>India</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28"/>
          <w:szCs w:val="28"/>
          <w:i w:val="1"/>
          <w:iCs w:val="1"/>
          <w:color w:val="auto"/>
        </w:rPr>
        <w:t>China</w:t>
      </w:r>
    </w:p>
    <w:p>
      <w:pPr>
        <w:spacing w:after="0" w:line="19" w:lineRule="exact"/>
        <w:rPr>
          <w:sz w:val="20"/>
          <w:szCs w:val="20"/>
          <w:color w:val="auto"/>
        </w:rPr>
      </w:pPr>
    </w:p>
    <w:p>
      <w:pPr>
        <w:ind w:left="260"/>
        <w:spacing w:after="0"/>
        <w:rPr>
          <w:sz w:val="20"/>
          <w:szCs w:val="20"/>
          <w:color w:val="auto"/>
        </w:rPr>
      </w:pPr>
      <w:r>
        <w:rPr>
          <w:rFonts w:ascii="Arial" w:cs="Arial" w:eastAsia="Arial" w:hAnsi="Arial"/>
          <w:sz w:val="28"/>
          <w:szCs w:val="28"/>
          <w:i w:val="1"/>
          <w:iCs w:val="1"/>
          <w:color w:val="auto"/>
        </w:rPr>
        <w:t>Germany</w:t>
      </w:r>
    </w:p>
    <w:p>
      <w:pPr>
        <w:spacing w:after="0" w:line="1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Global 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6"/>
        </w:trPr>
        <w:tc>
          <w:tcPr>
            <w:tcW w:w="1880" w:type="dxa"/>
            <w:vAlign w:val="bottom"/>
          </w:tcPr>
          <w:p>
            <w:pPr>
              <w:spacing w:after="0"/>
              <w:rPr>
                <w:sz w:val="24"/>
                <w:szCs w:val="24"/>
                <w:color w:val="auto"/>
              </w:rPr>
            </w:pPr>
          </w:p>
        </w:tc>
        <w:tc>
          <w:tcPr>
            <w:tcW w:w="2380" w:type="dxa"/>
            <w:vAlign w:val="bottom"/>
            <w:gridSpan w:val="2"/>
          </w:tcPr>
          <w:p>
            <w:pPr>
              <w:jc w:val="center"/>
              <w:ind w:left="490"/>
              <w:spacing w:after="0"/>
              <w:rPr>
                <w:sz w:val="20"/>
                <w:szCs w:val="20"/>
                <w:color w:val="auto"/>
              </w:rPr>
            </w:pPr>
            <w:r>
              <w:rPr>
                <w:rFonts w:ascii="Arial" w:cs="Arial" w:eastAsia="Arial" w:hAnsi="Arial"/>
                <w:sz w:val="32"/>
                <w:szCs w:val="32"/>
                <w:b w:val="1"/>
                <w:bCs w:val="1"/>
                <w:color w:val="FFFFFF"/>
                <w:w w:val="99"/>
              </w:rPr>
              <w:t>Preliminary</w:t>
            </w:r>
          </w:p>
        </w:tc>
      </w:tr>
      <w:tr>
        <w:trPr>
          <w:trHeight w:val="376"/>
        </w:trPr>
        <w:tc>
          <w:tcPr>
            <w:tcW w:w="1880" w:type="dxa"/>
            <w:vAlign w:val="bottom"/>
          </w:tcPr>
          <w:p>
            <w:pPr>
              <w:jc w:val="center"/>
              <w:ind w:right="491"/>
              <w:spacing w:after="0"/>
              <w:rPr>
                <w:sz w:val="20"/>
                <w:szCs w:val="20"/>
                <w:color w:val="auto"/>
              </w:rPr>
            </w:pPr>
            <w:r>
              <w:rPr>
                <w:rFonts w:ascii="Arial" w:cs="Arial" w:eastAsia="Arial" w:hAnsi="Arial"/>
                <w:sz w:val="32"/>
                <w:szCs w:val="32"/>
                <w:b w:val="1"/>
                <w:bCs w:val="1"/>
                <w:color w:val="FFFFFF"/>
                <w:w w:val="99"/>
              </w:rPr>
              <w:t>CY 2009</w:t>
            </w:r>
          </w:p>
        </w:tc>
        <w:tc>
          <w:tcPr>
            <w:tcW w:w="2380" w:type="dxa"/>
            <w:vAlign w:val="bottom"/>
            <w:gridSpan w:val="2"/>
          </w:tcPr>
          <w:p>
            <w:pPr>
              <w:jc w:val="center"/>
              <w:ind w:left="470"/>
              <w:spacing w:after="0"/>
              <w:rPr>
                <w:sz w:val="20"/>
                <w:szCs w:val="20"/>
                <w:color w:val="auto"/>
              </w:rPr>
            </w:pPr>
            <w:r>
              <w:rPr>
                <w:rFonts w:ascii="Arial" w:cs="Arial" w:eastAsia="Arial" w:hAnsi="Arial"/>
                <w:sz w:val="32"/>
                <w:szCs w:val="32"/>
                <w:b w:val="1"/>
                <w:bCs w:val="1"/>
                <w:color w:val="FFFFFF"/>
                <w:w w:val="99"/>
              </w:rPr>
              <w:t>CY 2010</w:t>
            </w:r>
          </w:p>
        </w:tc>
      </w:tr>
      <w:tr>
        <w:trPr>
          <w:trHeight w:val="421"/>
        </w:trPr>
        <w:tc>
          <w:tcPr>
            <w:tcW w:w="1880" w:type="dxa"/>
            <w:vAlign w:val="bottom"/>
          </w:tcPr>
          <w:p>
            <w:pPr>
              <w:jc w:val="center"/>
              <w:ind w:right="531"/>
              <w:spacing w:after="0"/>
              <w:rPr>
                <w:sz w:val="20"/>
                <w:szCs w:val="20"/>
                <w:color w:val="auto"/>
              </w:rPr>
            </w:pPr>
            <w:r>
              <w:rPr>
                <w:rFonts w:ascii="Arial" w:cs="Arial" w:eastAsia="Arial" w:hAnsi="Arial"/>
                <w:sz w:val="32"/>
                <w:szCs w:val="32"/>
                <w:b w:val="1"/>
                <w:bCs w:val="1"/>
                <w:color w:val="FFFFFF"/>
                <w:w w:val="99"/>
              </w:rPr>
              <w:t>Outlook</w:t>
            </w:r>
          </w:p>
        </w:tc>
        <w:tc>
          <w:tcPr>
            <w:tcW w:w="2380" w:type="dxa"/>
            <w:vAlign w:val="bottom"/>
            <w:gridSpan w:val="2"/>
          </w:tcPr>
          <w:p>
            <w:pPr>
              <w:jc w:val="center"/>
              <w:ind w:left="470"/>
              <w:spacing w:after="0"/>
              <w:rPr>
                <w:sz w:val="20"/>
                <w:szCs w:val="20"/>
                <w:color w:val="auto"/>
              </w:rPr>
            </w:pPr>
            <w:r>
              <w:rPr>
                <w:rFonts w:ascii="Arial" w:cs="Arial" w:eastAsia="Arial" w:hAnsi="Arial"/>
                <w:sz w:val="32"/>
                <w:szCs w:val="32"/>
                <w:b w:val="1"/>
                <w:bCs w:val="1"/>
                <w:color w:val="FFFFFF"/>
                <w:w w:val="99"/>
              </w:rPr>
              <w:t>Outlook</w:t>
            </w:r>
          </w:p>
        </w:tc>
      </w:tr>
      <w:tr>
        <w:trPr>
          <w:trHeight w:val="455"/>
        </w:trPr>
        <w:tc>
          <w:tcPr>
            <w:tcW w:w="1880" w:type="dxa"/>
            <w:vAlign w:val="bottom"/>
          </w:tcPr>
          <w:p>
            <w:pPr>
              <w:jc w:val="center"/>
              <w:ind w:right="531"/>
              <w:spacing w:after="0"/>
              <w:rPr>
                <w:sz w:val="20"/>
                <w:szCs w:val="20"/>
                <w:color w:val="auto"/>
              </w:rPr>
            </w:pPr>
            <w:r>
              <w:rPr>
                <w:rFonts w:ascii="Arial" w:cs="Arial" w:eastAsia="Arial" w:hAnsi="Arial"/>
                <w:sz w:val="32"/>
                <w:szCs w:val="32"/>
                <w:color w:val="auto"/>
                <w:w w:val="96"/>
              </w:rPr>
              <w:t>13.0</w:t>
            </w:r>
          </w:p>
        </w:tc>
        <w:tc>
          <w:tcPr>
            <w:tcW w:w="2380" w:type="dxa"/>
            <w:vAlign w:val="bottom"/>
            <w:gridSpan w:val="2"/>
          </w:tcPr>
          <w:p>
            <w:pPr>
              <w:jc w:val="center"/>
              <w:ind w:left="490"/>
              <w:spacing w:after="0"/>
              <w:rPr>
                <w:sz w:val="20"/>
                <w:szCs w:val="20"/>
                <w:color w:val="auto"/>
              </w:rPr>
            </w:pPr>
            <w:r>
              <w:rPr>
                <w:rFonts w:ascii="Arial" w:cs="Arial" w:eastAsia="Arial" w:hAnsi="Arial"/>
                <w:sz w:val="32"/>
                <w:szCs w:val="32"/>
                <w:color w:val="auto"/>
                <w:w w:val="99"/>
              </w:rPr>
              <w:t>13.5-14.5</w:t>
            </w:r>
          </w:p>
        </w:tc>
      </w:tr>
      <w:tr>
        <w:trPr>
          <w:trHeight w:val="369"/>
        </w:trPr>
        <w:tc>
          <w:tcPr>
            <w:tcW w:w="1880" w:type="dxa"/>
            <w:vAlign w:val="bottom"/>
          </w:tcPr>
          <w:p>
            <w:pPr>
              <w:jc w:val="center"/>
              <w:ind w:right="511"/>
              <w:spacing w:after="0"/>
              <w:rPr>
                <w:sz w:val="20"/>
                <w:szCs w:val="20"/>
                <w:color w:val="auto"/>
              </w:rPr>
            </w:pPr>
            <w:r>
              <w:rPr>
                <w:rFonts w:ascii="Arial" w:cs="Arial" w:eastAsia="Arial" w:hAnsi="Arial"/>
                <w:sz w:val="28"/>
                <w:szCs w:val="28"/>
                <w:i w:val="1"/>
                <w:iCs w:val="1"/>
                <w:color w:val="auto"/>
                <w:w w:val="99"/>
              </w:rPr>
              <w:t>10.5</w:t>
            </w:r>
          </w:p>
        </w:tc>
        <w:tc>
          <w:tcPr>
            <w:tcW w:w="1380" w:type="dxa"/>
            <w:vAlign w:val="bottom"/>
          </w:tcPr>
          <w:p>
            <w:pPr>
              <w:jc w:val="right"/>
              <w:spacing w:after="0"/>
              <w:rPr>
                <w:sz w:val="20"/>
                <w:szCs w:val="20"/>
                <w:color w:val="auto"/>
              </w:rPr>
            </w:pPr>
            <w:r>
              <w:rPr>
                <w:rFonts w:ascii="Arial" w:cs="Arial" w:eastAsia="Arial" w:hAnsi="Arial"/>
                <w:sz w:val="28"/>
                <w:szCs w:val="28"/>
                <w:i w:val="1"/>
                <w:iCs w:val="1"/>
                <w:color w:val="auto"/>
              </w:rPr>
              <w:t>11.0</w:t>
            </w:r>
          </w:p>
        </w:tc>
        <w:tc>
          <w:tcPr>
            <w:tcW w:w="1000" w:type="dxa"/>
            <w:vAlign w:val="bottom"/>
          </w:tcPr>
          <w:p>
            <w:pPr>
              <w:ind w:left="40"/>
              <w:spacing w:after="0"/>
              <w:rPr>
                <w:sz w:val="20"/>
                <w:szCs w:val="20"/>
                <w:color w:val="auto"/>
              </w:rPr>
            </w:pPr>
            <w:r>
              <w:rPr>
                <w:rFonts w:ascii="Arial" w:cs="Arial" w:eastAsia="Arial" w:hAnsi="Arial"/>
                <w:sz w:val="28"/>
                <w:szCs w:val="28"/>
                <w:i w:val="1"/>
                <w:iCs w:val="1"/>
                <w:color w:val="auto"/>
              </w:rPr>
              <w:t>– 12.0</w:t>
            </w:r>
          </w:p>
        </w:tc>
      </w:tr>
      <w:tr>
        <w:trPr>
          <w:trHeight w:val="454"/>
        </w:trPr>
        <w:tc>
          <w:tcPr>
            <w:tcW w:w="1880" w:type="dxa"/>
            <w:vAlign w:val="bottom"/>
          </w:tcPr>
          <w:p>
            <w:pPr>
              <w:jc w:val="center"/>
              <w:ind w:right="531"/>
              <w:spacing w:after="0"/>
              <w:rPr>
                <w:sz w:val="20"/>
                <w:szCs w:val="20"/>
                <w:color w:val="auto"/>
              </w:rPr>
            </w:pPr>
            <w:r>
              <w:rPr>
                <w:rFonts w:ascii="Arial" w:cs="Arial" w:eastAsia="Arial" w:hAnsi="Arial"/>
                <w:sz w:val="32"/>
                <w:szCs w:val="32"/>
                <w:color w:val="auto"/>
                <w:w w:val="96"/>
              </w:rPr>
              <w:t>50.3</w:t>
            </w:r>
          </w:p>
        </w:tc>
        <w:tc>
          <w:tcPr>
            <w:tcW w:w="2380" w:type="dxa"/>
            <w:vAlign w:val="bottom"/>
            <w:gridSpan w:val="2"/>
          </w:tcPr>
          <w:p>
            <w:pPr>
              <w:jc w:val="center"/>
              <w:ind w:left="490"/>
              <w:spacing w:after="0"/>
              <w:rPr>
                <w:sz w:val="20"/>
                <w:szCs w:val="20"/>
                <w:color w:val="auto"/>
              </w:rPr>
            </w:pPr>
            <w:r>
              <w:rPr>
                <w:rFonts w:ascii="Arial" w:cs="Arial" w:eastAsia="Arial" w:hAnsi="Arial"/>
                <w:sz w:val="32"/>
                <w:szCs w:val="32"/>
                <w:color w:val="auto"/>
                <w:w w:val="98"/>
              </w:rPr>
              <w:t>48.5 – 50.5</w:t>
            </w:r>
          </w:p>
        </w:tc>
      </w:tr>
      <w:tr>
        <w:trPr>
          <w:trHeight w:val="341"/>
        </w:trPr>
        <w:tc>
          <w:tcPr>
            <w:tcW w:w="1880" w:type="dxa"/>
            <w:vAlign w:val="bottom"/>
          </w:tcPr>
          <w:p>
            <w:pPr>
              <w:jc w:val="center"/>
              <w:ind w:right="531"/>
              <w:spacing w:after="0"/>
              <w:rPr>
                <w:sz w:val="20"/>
                <w:szCs w:val="20"/>
                <w:color w:val="auto"/>
              </w:rPr>
            </w:pPr>
            <w:r>
              <w:rPr>
                <w:rFonts w:ascii="Arial" w:cs="Arial" w:eastAsia="Arial" w:hAnsi="Arial"/>
                <w:sz w:val="28"/>
                <w:szCs w:val="28"/>
                <w:i w:val="1"/>
                <w:iCs w:val="1"/>
                <w:color w:val="auto"/>
              </w:rPr>
              <w:t>3.2</w:t>
            </w:r>
          </w:p>
        </w:tc>
        <w:tc>
          <w:tcPr>
            <w:tcW w:w="1380" w:type="dxa"/>
            <w:vAlign w:val="bottom"/>
          </w:tcPr>
          <w:p>
            <w:pPr>
              <w:jc w:val="right"/>
              <w:spacing w:after="0"/>
              <w:rPr>
                <w:sz w:val="20"/>
                <w:szCs w:val="20"/>
                <w:color w:val="auto"/>
              </w:rPr>
            </w:pPr>
            <w:r>
              <w:rPr>
                <w:rFonts w:ascii="Arial" w:cs="Arial" w:eastAsia="Arial" w:hAnsi="Arial"/>
                <w:sz w:val="28"/>
                <w:szCs w:val="28"/>
                <w:i w:val="1"/>
                <w:iCs w:val="1"/>
                <w:color w:val="auto"/>
              </w:rPr>
              <w:t>3.1</w:t>
            </w:r>
          </w:p>
        </w:tc>
        <w:tc>
          <w:tcPr>
            <w:tcW w:w="1000" w:type="dxa"/>
            <w:vAlign w:val="bottom"/>
          </w:tcPr>
          <w:p>
            <w:pPr>
              <w:ind w:left="40"/>
              <w:spacing w:after="0"/>
              <w:rPr>
                <w:sz w:val="20"/>
                <w:szCs w:val="20"/>
                <w:color w:val="auto"/>
              </w:rPr>
            </w:pPr>
            <w:r>
              <w:rPr>
                <w:rFonts w:ascii="Arial" w:cs="Arial" w:eastAsia="Arial" w:hAnsi="Arial"/>
                <w:sz w:val="28"/>
                <w:szCs w:val="28"/>
                <w:i w:val="1"/>
                <w:iCs w:val="1"/>
                <w:color w:val="auto"/>
              </w:rPr>
              <w:t>– 3.3</w:t>
            </w:r>
          </w:p>
        </w:tc>
      </w:tr>
      <w:tr>
        <w:trPr>
          <w:trHeight w:val="341"/>
        </w:trPr>
        <w:tc>
          <w:tcPr>
            <w:tcW w:w="1880" w:type="dxa"/>
            <w:vAlign w:val="bottom"/>
          </w:tcPr>
          <w:p>
            <w:pPr>
              <w:jc w:val="center"/>
              <w:ind w:right="531"/>
              <w:spacing w:after="0"/>
              <w:rPr>
                <w:sz w:val="20"/>
                <w:szCs w:val="20"/>
                <w:color w:val="auto"/>
              </w:rPr>
            </w:pPr>
            <w:r>
              <w:rPr>
                <w:rFonts w:ascii="Arial" w:cs="Arial" w:eastAsia="Arial" w:hAnsi="Arial"/>
                <w:sz w:val="28"/>
                <w:szCs w:val="28"/>
                <w:i w:val="1"/>
                <w:iCs w:val="1"/>
                <w:color w:val="auto"/>
              </w:rPr>
              <w:t>1.5</w:t>
            </w:r>
          </w:p>
        </w:tc>
        <w:tc>
          <w:tcPr>
            <w:tcW w:w="1380" w:type="dxa"/>
            <w:vAlign w:val="bottom"/>
          </w:tcPr>
          <w:p>
            <w:pPr>
              <w:jc w:val="right"/>
              <w:spacing w:after="0"/>
              <w:rPr>
                <w:sz w:val="20"/>
                <w:szCs w:val="20"/>
                <w:color w:val="auto"/>
              </w:rPr>
            </w:pPr>
            <w:r>
              <w:rPr>
                <w:rFonts w:ascii="Arial" w:cs="Arial" w:eastAsia="Arial" w:hAnsi="Arial"/>
                <w:sz w:val="28"/>
                <w:szCs w:val="28"/>
                <w:i w:val="1"/>
                <w:iCs w:val="1"/>
                <w:color w:val="auto"/>
              </w:rPr>
              <w:t>1.4</w:t>
            </w:r>
          </w:p>
        </w:tc>
        <w:tc>
          <w:tcPr>
            <w:tcW w:w="1000" w:type="dxa"/>
            <w:vAlign w:val="bottom"/>
          </w:tcPr>
          <w:p>
            <w:pPr>
              <w:ind w:left="40"/>
              <w:spacing w:after="0"/>
              <w:rPr>
                <w:sz w:val="20"/>
                <w:szCs w:val="20"/>
                <w:color w:val="auto"/>
              </w:rPr>
            </w:pPr>
            <w:r>
              <w:rPr>
                <w:rFonts w:ascii="Arial" w:cs="Arial" w:eastAsia="Arial" w:hAnsi="Arial"/>
                <w:sz w:val="28"/>
                <w:szCs w:val="28"/>
                <w:i w:val="1"/>
                <w:iCs w:val="1"/>
                <w:color w:val="auto"/>
              </w:rPr>
              <w:t>– 1.5</w:t>
            </w:r>
          </w:p>
        </w:tc>
      </w:tr>
      <w:tr>
        <w:trPr>
          <w:trHeight w:val="341"/>
        </w:trPr>
        <w:tc>
          <w:tcPr>
            <w:tcW w:w="1880" w:type="dxa"/>
            <w:vAlign w:val="bottom"/>
          </w:tcPr>
          <w:p>
            <w:pPr>
              <w:jc w:val="center"/>
              <w:ind w:right="531"/>
              <w:spacing w:after="0"/>
              <w:rPr>
                <w:sz w:val="20"/>
                <w:szCs w:val="20"/>
                <w:color w:val="auto"/>
              </w:rPr>
            </w:pPr>
            <w:r>
              <w:rPr>
                <w:rFonts w:ascii="Arial" w:cs="Arial" w:eastAsia="Arial" w:hAnsi="Arial"/>
                <w:sz w:val="28"/>
                <w:szCs w:val="28"/>
                <w:i w:val="1"/>
                <w:iCs w:val="1"/>
                <w:color w:val="auto"/>
              </w:rPr>
              <w:t>2.2</w:t>
            </w:r>
          </w:p>
        </w:tc>
        <w:tc>
          <w:tcPr>
            <w:tcW w:w="1380" w:type="dxa"/>
            <w:vAlign w:val="bottom"/>
          </w:tcPr>
          <w:p>
            <w:pPr>
              <w:jc w:val="right"/>
              <w:spacing w:after="0"/>
              <w:rPr>
                <w:sz w:val="20"/>
                <w:szCs w:val="20"/>
                <w:color w:val="auto"/>
              </w:rPr>
            </w:pPr>
            <w:r>
              <w:rPr>
                <w:rFonts w:ascii="Arial" w:cs="Arial" w:eastAsia="Arial" w:hAnsi="Arial"/>
                <w:sz w:val="28"/>
                <w:szCs w:val="28"/>
                <w:i w:val="1"/>
                <w:iCs w:val="1"/>
                <w:color w:val="auto"/>
              </w:rPr>
              <w:t>2.4</w:t>
            </w:r>
          </w:p>
        </w:tc>
        <w:tc>
          <w:tcPr>
            <w:tcW w:w="1000" w:type="dxa"/>
            <w:vAlign w:val="bottom"/>
          </w:tcPr>
          <w:p>
            <w:pPr>
              <w:ind w:left="40"/>
              <w:spacing w:after="0"/>
              <w:rPr>
                <w:sz w:val="20"/>
                <w:szCs w:val="20"/>
                <w:color w:val="auto"/>
              </w:rPr>
            </w:pPr>
            <w:r>
              <w:rPr>
                <w:rFonts w:ascii="Arial" w:cs="Arial" w:eastAsia="Arial" w:hAnsi="Arial"/>
                <w:sz w:val="28"/>
                <w:szCs w:val="28"/>
                <w:i w:val="1"/>
                <w:iCs w:val="1"/>
                <w:color w:val="auto"/>
              </w:rPr>
              <w:t>– 2.5</w:t>
            </w:r>
          </w:p>
        </w:tc>
      </w:tr>
      <w:tr>
        <w:trPr>
          <w:trHeight w:val="341"/>
        </w:trPr>
        <w:tc>
          <w:tcPr>
            <w:tcW w:w="1880" w:type="dxa"/>
            <w:vAlign w:val="bottom"/>
          </w:tcPr>
          <w:p>
            <w:pPr>
              <w:jc w:val="center"/>
              <w:ind w:right="511"/>
              <w:spacing w:after="0"/>
              <w:rPr>
                <w:sz w:val="20"/>
                <w:szCs w:val="20"/>
                <w:color w:val="auto"/>
              </w:rPr>
            </w:pPr>
            <w:r>
              <w:rPr>
                <w:rFonts w:ascii="Arial" w:cs="Arial" w:eastAsia="Arial" w:hAnsi="Arial"/>
                <w:sz w:val="28"/>
                <w:szCs w:val="28"/>
                <w:i w:val="1"/>
                <w:iCs w:val="1"/>
                <w:color w:val="auto"/>
                <w:w w:val="99"/>
              </w:rPr>
              <w:t>13.0</w:t>
            </w:r>
          </w:p>
        </w:tc>
        <w:tc>
          <w:tcPr>
            <w:tcW w:w="1380" w:type="dxa"/>
            <w:vAlign w:val="bottom"/>
          </w:tcPr>
          <w:p>
            <w:pPr>
              <w:jc w:val="right"/>
              <w:spacing w:after="0"/>
              <w:rPr>
                <w:sz w:val="20"/>
                <w:szCs w:val="20"/>
                <w:color w:val="auto"/>
              </w:rPr>
            </w:pPr>
            <w:r>
              <w:rPr>
                <w:rFonts w:ascii="Arial" w:cs="Arial" w:eastAsia="Arial" w:hAnsi="Arial"/>
                <w:sz w:val="28"/>
                <w:szCs w:val="28"/>
                <w:i w:val="1"/>
                <w:iCs w:val="1"/>
                <w:color w:val="auto"/>
              </w:rPr>
              <w:t>12.0</w:t>
            </w:r>
          </w:p>
        </w:tc>
        <w:tc>
          <w:tcPr>
            <w:tcW w:w="1000" w:type="dxa"/>
            <w:vAlign w:val="bottom"/>
          </w:tcPr>
          <w:p>
            <w:pPr>
              <w:ind w:left="40"/>
              <w:spacing w:after="0"/>
              <w:rPr>
                <w:sz w:val="20"/>
                <w:szCs w:val="20"/>
                <w:color w:val="auto"/>
              </w:rPr>
            </w:pPr>
            <w:r>
              <w:rPr>
                <w:rFonts w:ascii="Arial" w:cs="Arial" w:eastAsia="Arial" w:hAnsi="Arial"/>
                <w:sz w:val="28"/>
                <w:szCs w:val="28"/>
                <w:i w:val="1"/>
                <w:iCs w:val="1"/>
                <w:color w:val="auto"/>
              </w:rPr>
              <w:t>– 13.8</w:t>
            </w:r>
          </w:p>
        </w:tc>
      </w:tr>
      <w:tr>
        <w:trPr>
          <w:trHeight w:val="369"/>
        </w:trPr>
        <w:tc>
          <w:tcPr>
            <w:tcW w:w="1880" w:type="dxa"/>
            <w:vAlign w:val="bottom"/>
          </w:tcPr>
          <w:p>
            <w:pPr>
              <w:jc w:val="center"/>
              <w:ind w:right="531"/>
              <w:spacing w:after="0"/>
              <w:rPr>
                <w:sz w:val="20"/>
                <w:szCs w:val="20"/>
                <w:color w:val="auto"/>
              </w:rPr>
            </w:pPr>
            <w:r>
              <w:rPr>
                <w:rFonts w:ascii="Arial" w:cs="Arial" w:eastAsia="Arial" w:hAnsi="Arial"/>
                <w:sz w:val="28"/>
                <w:szCs w:val="28"/>
                <w:i w:val="1"/>
                <w:iCs w:val="1"/>
                <w:color w:val="auto"/>
              </w:rPr>
              <w:t>4.1</w:t>
            </w:r>
          </w:p>
        </w:tc>
        <w:tc>
          <w:tcPr>
            <w:tcW w:w="1380" w:type="dxa"/>
            <w:vAlign w:val="bottom"/>
          </w:tcPr>
          <w:p>
            <w:pPr>
              <w:jc w:val="right"/>
              <w:spacing w:after="0"/>
              <w:rPr>
                <w:sz w:val="20"/>
                <w:szCs w:val="20"/>
                <w:color w:val="auto"/>
              </w:rPr>
            </w:pPr>
            <w:r>
              <w:rPr>
                <w:rFonts w:ascii="Arial" w:cs="Arial" w:eastAsia="Arial" w:hAnsi="Arial"/>
                <w:sz w:val="28"/>
                <w:szCs w:val="28"/>
                <w:i w:val="1"/>
                <w:iCs w:val="1"/>
                <w:color w:val="auto"/>
              </w:rPr>
              <w:t>2.9</w:t>
            </w:r>
          </w:p>
        </w:tc>
        <w:tc>
          <w:tcPr>
            <w:tcW w:w="1000" w:type="dxa"/>
            <w:vAlign w:val="bottom"/>
          </w:tcPr>
          <w:p>
            <w:pPr>
              <w:ind w:left="40"/>
              <w:spacing w:after="0"/>
              <w:rPr>
                <w:sz w:val="20"/>
                <w:szCs w:val="20"/>
                <w:color w:val="auto"/>
              </w:rPr>
            </w:pPr>
            <w:r>
              <w:rPr>
                <w:rFonts w:ascii="Arial" w:cs="Arial" w:eastAsia="Arial" w:hAnsi="Arial"/>
                <w:sz w:val="28"/>
                <w:szCs w:val="28"/>
                <w:i w:val="1"/>
                <w:iCs w:val="1"/>
                <w:color w:val="auto"/>
              </w:rPr>
              <w:t>– 3.1</w:t>
            </w:r>
          </w:p>
        </w:tc>
      </w:tr>
      <w:tr>
        <w:trPr>
          <w:trHeight w:val="551"/>
        </w:trPr>
        <w:tc>
          <w:tcPr>
            <w:tcW w:w="1880" w:type="dxa"/>
            <w:vAlign w:val="bottom"/>
          </w:tcPr>
          <w:p>
            <w:pPr>
              <w:jc w:val="center"/>
              <w:ind w:right="531"/>
              <w:spacing w:after="0"/>
              <w:rPr>
                <w:sz w:val="20"/>
                <w:szCs w:val="20"/>
                <w:color w:val="auto"/>
              </w:rPr>
            </w:pPr>
            <w:r>
              <w:rPr>
                <w:rFonts w:ascii="Arial" w:cs="Arial" w:eastAsia="Arial" w:hAnsi="Arial"/>
                <w:sz w:val="32"/>
                <w:szCs w:val="32"/>
                <w:b w:val="1"/>
                <w:bCs w:val="1"/>
                <w:color w:val="auto"/>
                <w:w w:val="96"/>
              </w:rPr>
              <w:t>63.3</w:t>
            </w:r>
          </w:p>
        </w:tc>
        <w:tc>
          <w:tcPr>
            <w:tcW w:w="2380" w:type="dxa"/>
            <w:vAlign w:val="bottom"/>
            <w:gridSpan w:val="2"/>
          </w:tcPr>
          <w:p>
            <w:pPr>
              <w:jc w:val="center"/>
              <w:ind w:left="490"/>
              <w:spacing w:after="0"/>
              <w:rPr>
                <w:sz w:val="20"/>
                <w:szCs w:val="20"/>
                <w:color w:val="auto"/>
              </w:rPr>
            </w:pPr>
            <w:r>
              <w:rPr>
                <w:rFonts w:ascii="Arial" w:cs="Arial" w:eastAsia="Arial" w:hAnsi="Arial"/>
                <w:sz w:val="32"/>
                <w:szCs w:val="32"/>
                <w:b w:val="1"/>
                <w:bCs w:val="1"/>
                <w:color w:val="auto"/>
                <w:w w:val="99"/>
              </w:rPr>
              <w:t>62.0– 65.0</w:t>
            </w:r>
          </w:p>
        </w:tc>
      </w:tr>
    </w:tbl>
    <w:p>
      <w:pPr>
        <w:spacing w:after="0" w:line="200" w:lineRule="exact"/>
        <w:rPr>
          <w:sz w:val="20"/>
          <w:szCs w:val="20"/>
          <w:color w:val="auto"/>
        </w:rPr>
      </w:pPr>
    </w:p>
    <w:p>
      <w:pPr>
        <w:sectPr>
          <w:pgSz w:w="11900" w:h="16838" w:orient="portrait"/>
          <w:cols w:equalWidth="0" w:num="2">
            <w:col w:w="4100" w:space="720"/>
            <w:col w:w="5220"/>
          </w:cols>
          <w:pgMar w:left="660" w:top="587"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760"/>
        <w:spacing w:after="0"/>
        <w:rPr>
          <w:sz w:val="20"/>
          <w:szCs w:val="20"/>
          <w:color w:val="auto"/>
        </w:rPr>
      </w:pPr>
      <w:r>
        <w:rPr>
          <w:rFonts w:ascii="Arial" w:cs="Arial" w:eastAsia="Arial" w:hAnsi="Arial"/>
          <w:sz w:val="25"/>
          <w:szCs w:val="25"/>
          <w:b w:val="1"/>
          <w:bCs w:val="1"/>
          <w:color w:val="auto"/>
        </w:rPr>
        <w:t>30</w:t>
      </w:r>
    </w:p>
    <w:p>
      <w:pPr>
        <w:sectPr>
          <w:pgSz w:w="11900" w:h="16838" w:orient="portrait"/>
          <w:cols w:equalWidth="0" w:num="1">
            <w:col w:w="10040"/>
          </w:cols>
          <w:pgMar w:left="660" w:top="587" w:right="1199" w:bottom="1440" w:gutter="0" w:footer="0" w:header="0"/>
          <w:type w:val="continuous"/>
        </w:sectPr>
      </w:pPr>
    </w:p>
    <w:bookmarkStart w:id="52" w:name="page53"/>
    <w:bookmarkEnd w:id="52"/>
    <w:p>
      <w:pPr>
        <w:ind w:left="845"/>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Q3 Summary</w:t>
      </w:r>
    </w:p>
    <w:p>
      <w:pPr>
        <w:spacing w:after="0" w:line="200" w:lineRule="exact"/>
        <w:rPr>
          <w:sz w:val="20"/>
          <w:szCs w:val="20"/>
          <w:color w:val="auto"/>
        </w:rPr>
      </w:pPr>
    </w:p>
    <w:p>
      <w:pPr>
        <w:spacing w:after="0" w:line="227" w:lineRule="exact"/>
        <w:rPr>
          <w:sz w:val="20"/>
          <w:szCs w:val="20"/>
          <w:color w:val="auto"/>
        </w:rPr>
      </w:pPr>
    </w:p>
    <w:p>
      <w:pPr>
        <w:ind w:left="425" w:hanging="425"/>
        <w:spacing w:after="0"/>
        <w:tabs>
          <w:tab w:leader="none" w:pos="425" w:val="left"/>
        </w:tabs>
        <w:numPr>
          <w:ilvl w:val="0"/>
          <w:numId w:val="29"/>
        </w:numPr>
        <w:rPr>
          <w:rFonts w:ascii="Arial" w:cs="Arial" w:eastAsia="Arial" w:hAnsi="Arial"/>
          <w:sz w:val="32"/>
          <w:szCs w:val="32"/>
          <w:color w:val="auto"/>
        </w:rPr>
      </w:pPr>
      <w:r>
        <w:rPr>
          <w:rFonts w:ascii="Arial" w:cs="Arial" w:eastAsia="Arial" w:hAnsi="Arial"/>
          <w:sz w:val="32"/>
          <w:szCs w:val="32"/>
          <w:color w:val="auto"/>
        </w:rPr>
        <w:t>Recorded $1.2B managerial loss ….significantly more work to do</w:t>
      </w:r>
    </w:p>
    <w:p>
      <w:pPr>
        <w:spacing w:after="0" w:line="149" w:lineRule="exact"/>
        <w:rPr>
          <w:rFonts w:ascii="Arial" w:cs="Arial" w:eastAsia="Arial" w:hAnsi="Arial"/>
          <w:sz w:val="32"/>
          <w:szCs w:val="32"/>
          <w:color w:val="auto"/>
        </w:rPr>
      </w:pPr>
    </w:p>
    <w:p>
      <w:pPr>
        <w:ind w:left="425" w:hanging="425"/>
        <w:spacing w:after="0"/>
        <w:tabs>
          <w:tab w:leader="none" w:pos="425" w:val="left"/>
        </w:tabs>
        <w:numPr>
          <w:ilvl w:val="0"/>
          <w:numId w:val="29"/>
        </w:numPr>
        <w:rPr>
          <w:rFonts w:ascii="Arial" w:cs="Arial" w:eastAsia="Arial" w:hAnsi="Arial"/>
          <w:sz w:val="32"/>
          <w:szCs w:val="32"/>
          <w:color w:val="auto"/>
        </w:rPr>
      </w:pPr>
      <w:r>
        <w:rPr>
          <w:rFonts w:ascii="Arial" w:cs="Arial" w:eastAsia="Arial" w:hAnsi="Arial"/>
          <w:sz w:val="32"/>
          <w:szCs w:val="32"/>
          <w:color w:val="auto"/>
        </w:rPr>
        <w:t>Positive managerial operating cash flow favorably impacted by:</w:t>
      </w:r>
    </w:p>
    <w:p>
      <w:pPr>
        <w:spacing w:after="0" w:line="87"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Working capital driven by supplier payments &amp; production start up</w:t>
      </w:r>
    </w:p>
    <w:p>
      <w:pPr>
        <w:spacing w:after="0" w:line="66"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Low level of capital spending</w:t>
      </w:r>
    </w:p>
    <w:p>
      <w:pPr>
        <w:spacing w:after="0" w:line="128" w:lineRule="exact"/>
        <w:rPr>
          <w:rFonts w:ascii="Arial" w:cs="Arial" w:eastAsia="Arial" w:hAnsi="Arial"/>
          <w:sz w:val="32"/>
          <w:szCs w:val="32"/>
          <w:color w:val="auto"/>
        </w:rPr>
      </w:pPr>
    </w:p>
    <w:p>
      <w:pPr>
        <w:ind w:left="425" w:right="1040" w:hanging="425"/>
        <w:spacing w:after="0" w:line="254" w:lineRule="auto"/>
        <w:tabs>
          <w:tab w:leader="none" w:pos="425" w:val="left"/>
        </w:tabs>
        <w:numPr>
          <w:ilvl w:val="0"/>
          <w:numId w:val="29"/>
        </w:numPr>
        <w:rPr>
          <w:rFonts w:ascii="Arial" w:cs="Arial" w:eastAsia="Arial" w:hAnsi="Arial"/>
          <w:sz w:val="32"/>
          <w:szCs w:val="32"/>
          <w:color w:val="auto"/>
        </w:rPr>
      </w:pPr>
      <w:r>
        <w:rPr>
          <w:rFonts w:ascii="Arial" w:cs="Arial" w:eastAsia="Arial" w:hAnsi="Arial"/>
          <w:sz w:val="32"/>
          <w:szCs w:val="32"/>
          <w:color w:val="auto"/>
        </w:rPr>
        <w:t>Third quarter GM global deliveries and market share ahead of Viability Plan</w:t>
      </w:r>
    </w:p>
    <w:p>
      <w:pPr>
        <w:spacing w:after="0" w:line="40"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U.S. share also ahead of Viability Plan</w:t>
      </w:r>
    </w:p>
    <w:p>
      <w:pPr>
        <w:spacing w:after="0" w:line="128" w:lineRule="exact"/>
        <w:rPr>
          <w:rFonts w:ascii="Arial" w:cs="Arial" w:eastAsia="Arial" w:hAnsi="Arial"/>
          <w:sz w:val="32"/>
          <w:szCs w:val="32"/>
          <w:color w:val="auto"/>
        </w:rPr>
      </w:pPr>
    </w:p>
    <w:p>
      <w:pPr>
        <w:ind w:left="425" w:hanging="425"/>
        <w:spacing w:after="0"/>
        <w:tabs>
          <w:tab w:leader="none" w:pos="425" w:val="left"/>
        </w:tabs>
        <w:numPr>
          <w:ilvl w:val="0"/>
          <w:numId w:val="29"/>
        </w:numPr>
        <w:rPr>
          <w:rFonts w:ascii="Arial" w:cs="Arial" w:eastAsia="Arial" w:hAnsi="Arial"/>
          <w:sz w:val="32"/>
          <w:szCs w:val="32"/>
          <w:color w:val="auto"/>
        </w:rPr>
      </w:pPr>
      <w:r>
        <w:rPr>
          <w:rFonts w:ascii="Arial" w:cs="Arial" w:eastAsia="Arial" w:hAnsi="Arial"/>
          <w:sz w:val="32"/>
          <w:szCs w:val="32"/>
          <w:color w:val="auto"/>
        </w:rPr>
        <w:t>Strong structural cost performance</w:t>
      </w:r>
    </w:p>
    <w:p>
      <w:pPr>
        <w:spacing w:after="0" w:line="149" w:lineRule="exact"/>
        <w:rPr>
          <w:rFonts w:ascii="Arial" w:cs="Arial" w:eastAsia="Arial" w:hAnsi="Arial"/>
          <w:sz w:val="32"/>
          <w:szCs w:val="32"/>
          <w:color w:val="auto"/>
        </w:rPr>
      </w:pPr>
    </w:p>
    <w:p>
      <w:pPr>
        <w:ind w:left="425" w:hanging="425"/>
        <w:spacing w:after="0"/>
        <w:tabs>
          <w:tab w:leader="none" w:pos="425" w:val="left"/>
        </w:tabs>
        <w:numPr>
          <w:ilvl w:val="0"/>
          <w:numId w:val="29"/>
        </w:numPr>
        <w:rPr>
          <w:rFonts w:ascii="Arial" w:cs="Arial" w:eastAsia="Arial" w:hAnsi="Arial"/>
          <w:sz w:val="32"/>
          <w:szCs w:val="32"/>
          <w:color w:val="auto"/>
        </w:rPr>
      </w:pPr>
      <w:r>
        <w:rPr>
          <w:rFonts w:ascii="Arial" w:cs="Arial" w:eastAsia="Arial" w:hAnsi="Arial"/>
          <w:sz w:val="32"/>
          <w:szCs w:val="32"/>
          <w:color w:val="auto"/>
        </w:rPr>
        <w:t>Balance sheet significantly de-levered</w:t>
      </w:r>
    </w:p>
    <w:p>
      <w:pPr>
        <w:spacing w:after="0" w:line="149" w:lineRule="exact"/>
        <w:rPr>
          <w:rFonts w:ascii="Arial" w:cs="Arial" w:eastAsia="Arial" w:hAnsi="Arial"/>
          <w:sz w:val="32"/>
          <w:szCs w:val="32"/>
          <w:color w:val="auto"/>
        </w:rPr>
      </w:pPr>
    </w:p>
    <w:p>
      <w:pPr>
        <w:ind w:left="425" w:hanging="425"/>
        <w:spacing w:after="0"/>
        <w:tabs>
          <w:tab w:leader="none" w:pos="425" w:val="left"/>
        </w:tabs>
        <w:numPr>
          <w:ilvl w:val="0"/>
          <w:numId w:val="29"/>
        </w:numPr>
        <w:rPr>
          <w:rFonts w:ascii="Arial" w:cs="Arial" w:eastAsia="Arial" w:hAnsi="Arial"/>
          <w:sz w:val="32"/>
          <w:szCs w:val="32"/>
          <w:color w:val="auto"/>
        </w:rPr>
      </w:pPr>
      <w:r>
        <w:rPr>
          <w:rFonts w:ascii="Arial" w:cs="Arial" w:eastAsia="Arial" w:hAnsi="Arial"/>
          <w:sz w:val="32"/>
          <w:szCs w:val="32"/>
          <w:color w:val="auto"/>
        </w:rPr>
        <w:t>Stronger cash balances</w:t>
      </w:r>
    </w:p>
    <w:p>
      <w:pPr>
        <w:spacing w:after="0" w:line="87" w:lineRule="exact"/>
        <w:rPr>
          <w:rFonts w:ascii="Arial" w:cs="Arial" w:eastAsia="Arial" w:hAnsi="Arial"/>
          <w:sz w:val="32"/>
          <w:szCs w:val="32"/>
          <w:color w:val="auto"/>
        </w:rPr>
      </w:pPr>
    </w:p>
    <w:p>
      <w:pPr>
        <w:ind w:left="565"/>
        <w:spacing w:after="0"/>
        <w:rPr>
          <w:rFonts w:ascii="Arial" w:cs="Arial" w:eastAsia="Arial" w:hAnsi="Arial"/>
          <w:sz w:val="32"/>
          <w:szCs w:val="32"/>
          <w:color w:val="auto"/>
        </w:rPr>
      </w:pPr>
      <w:r>
        <w:rPr>
          <w:rFonts w:ascii="Arial" w:cs="Arial" w:eastAsia="Arial" w:hAnsi="Arial"/>
          <w:sz w:val="28"/>
          <w:szCs w:val="28"/>
          <w:color w:val="auto"/>
        </w:rPr>
        <w:t>–  Begin process of UST/EDC repayment</w:t>
      </w:r>
    </w:p>
    <w:p>
      <w:pPr>
        <w:spacing w:after="0" w:line="66" w:lineRule="exact"/>
        <w:rPr>
          <w:rFonts w:ascii="Arial" w:cs="Arial" w:eastAsia="Arial" w:hAnsi="Arial"/>
          <w:sz w:val="32"/>
          <w:szCs w:val="32"/>
          <w:color w:val="auto"/>
        </w:rPr>
      </w:pPr>
    </w:p>
    <w:p>
      <w:pPr>
        <w:ind w:left="925" w:right="460" w:hanging="353"/>
        <w:spacing w:after="0" w:line="267" w:lineRule="auto"/>
        <w:rPr>
          <w:rFonts w:ascii="Arial" w:cs="Arial" w:eastAsia="Arial" w:hAnsi="Arial"/>
          <w:sz w:val="32"/>
          <w:szCs w:val="32"/>
          <w:color w:val="auto"/>
        </w:rPr>
      </w:pPr>
      <w:r>
        <w:rPr>
          <w:rFonts w:ascii="Arial" w:cs="Arial" w:eastAsia="Arial" w:hAnsi="Arial"/>
          <w:sz w:val="28"/>
          <w:szCs w:val="28"/>
          <w:color w:val="auto"/>
        </w:rPr>
        <w:t>– Fourth quarter global cash balances materially lower due to number of special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31</w:t>
      </w:r>
    </w:p>
    <w:p>
      <w:pPr>
        <w:sectPr>
          <w:pgSz w:w="11900" w:h="16838" w:orient="portrait"/>
          <w:cols w:equalWidth="0" w:num="1">
            <w:col w:w="10125"/>
          </w:cols>
          <w:pgMar w:left="575" w:top="587" w:right="1199" w:bottom="1440" w:gutter="0" w:footer="0" w:header="0"/>
        </w:sectPr>
      </w:pPr>
    </w:p>
    <w:bookmarkStart w:id="53" w:name="page54"/>
    <w:bookmarkEnd w:id="53"/>
    <w:p>
      <w:pPr>
        <w:ind w:left="845"/>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Key Focus Areas</w:t>
      </w:r>
    </w:p>
    <w:p>
      <w:pPr>
        <w:spacing w:after="0" w:line="200" w:lineRule="exact"/>
        <w:rPr>
          <w:sz w:val="20"/>
          <w:szCs w:val="20"/>
          <w:color w:val="auto"/>
        </w:rPr>
      </w:pPr>
    </w:p>
    <w:p>
      <w:pPr>
        <w:spacing w:after="0" w:line="256" w:lineRule="exact"/>
        <w:rPr>
          <w:sz w:val="20"/>
          <w:szCs w:val="20"/>
          <w:color w:val="auto"/>
        </w:rPr>
      </w:pPr>
    </w:p>
    <w:p>
      <w:pPr>
        <w:ind w:left="425" w:right="2400" w:hanging="425"/>
        <w:spacing w:after="0" w:line="260" w:lineRule="auto"/>
        <w:tabs>
          <w:tab w:leader="none" w:pos="425" w:val="left"/>
        </w:tabs>
        <w:numPr>
          <w:ilvl w:val="0"/>
          <w:numId w:val="30"/>
        </w:numPr>
        <w:rPr>
          <w:rFonts w:ascii="Arial" w:cs="Arial" w:eastAsia="Arial" w:hAnsi="Arial"/>
          <w:sz w:val="38"/>
          <w:szCs w:val="38"/>
          <w:color w:val="auto"/>
        </w:rPr>
      </w:pPr>
      <w:r>
        <w:rPr>
          <w:rFonts w:ascii="Arial" w:cs="Arial" w:eastAsia="Arial" w:hAnsi="Arial"/>
          <w:sz w:val="38"/>
          <w:szCs w:val="38"/>
          <w:color w:val="auto"/>
        </w:rPr>
        <w:t>Drive profitable top line market and revenue performance</w:t>
      </w:r>
    </w:p>
    <w:p>
      <w:pPr>
        <w:spacing w:after="0" w:line="200" w:lineRule="exact"/>
        <w:rPr>
          <w:rFonts w:ascii="Arial" w:cs="Arial" w:eastAsia="Arial" w:hAnsi="Arial"/>
          <w:sz w:val="38"/>
          <w:szCs w:val="38"/>
          <w:color w:val="auto"/>
        </w:rPr>
      </w:pPr>
    </w:p>
    <w:p>
      <w:pPr>
        <w:spacing w:after="0" w:line="322" w:lineRule="exact"/>
        <w:rPr>
          <w:rFonts w:ascii="Arial" w:cs="Arial" w:eastAsia="Arial" w:hAnsi="Arial"/>
          <w:sz w:val="38"/>
          <w:szCs w:val="38"/>
          <w:color w:val="auto"/>
        </w:rPr>
      </w:pPr>
    </w:p>
    <w:p>
      <w:pPr>
        <w:ind w:left="425" w:hanging="425"/>
        <w:spacing w:after="0"/>
        <w:tabs>
          <w:tab w:leader="none" w:pos="425" w:val="left"/>
        </w:tabs>
        <w:numPr>
          <w:ilvl w:val="0"/>
          <w:numId w:val="30"/>
        </w:numPr>
        <w:rPr>
          <w:rFonts w:ascii="Arial" w:cs="Arial" w:eastAsia="Arial" w:hAnsi="Arial"/>
          <w:sz w:val="38"/>
          <w:szCs w:val="38"/>
          <w:color w:val="auto"/>
        </w:rPr>
      </w:pPr>
      <w:r>
        <w:rPr>
          <w:rFonts w:ascii="Arial" w:cs="Arial" w:eastAsia="Arial" w:hAnsi="Arial"/>
          <w:sz w:val="38"/>
          <w:szCs w:val="38"/>
          <w:color w:val="auto"/>
        </w:rPr>
        <w:t>European restructuring</w:t>
      </w:r>
    </w:p>
    <w:p>
      <w:pPr>
        <w:spacing w:after="0" w:line="200" w:lineRule="exact"/>
        <w:rPr>
          <w:rFonts w:ascii="Arial" w:cs="Arial" w:eastAsia="Arial" w:hAnsi="Arial"/>
          <w:sz w:val="38"/>
          <w:szCs w:val="38"/>
          <w:color w:val="auto"/>
        </w:rPr>
      </w:pPr>
    </w:p>
    <w:p>
      <w:pPr>
        <w:spacing w:after="0" w:line="374" w:lineRule="exact"/>
        <w:rPr>
          <w:rFonts w:ascii="Arial" w:cs="Arial" w:eastAsia="Arial" w:hAnsi="Arial"/>
          <w:sz w:val="38"/>
          <w:szCs w:val="38"/>
          <w:color w:val="auto"/>
        </w:rPr>
      </w:pPr>
    </w:p>
    <w:p>
      <w:pPr>
        <w:ind w:left="425" w:hanging="425"/>
        <w:spacing w:after="0"/>
        <w:tabs>
          <w:tab w:leader="none" w:pos="425" w:val="left"/>
        </w:tabs>
        <w:numPr>
          <w:ilvl w:val="0"/>
          <w:numId w:val="30"/>
        </w:numPr>
        <w:rPr>
          <w:rFonts w:ascii="Arial" w:cs="Arial" w:eastAsia="Arial" w:hAnsi="Arial"/>
          <w:sz w:val="38"/>
          <w:szCs w:val="38"/>
          <w:color w:val="auto"/>
        </w:rPr>
      </w:pPr>
      <w:r>
        <w:rPr>
          <w:rFonts w:ascii="Arial" w:cs="Arial" w:eastAsia="Arial" w:hAnsi="Arial"/>
          <w:sz w:val="38"/>
          <w:szCs w:val="38"/>
          <w:color w:val="auto"/>
        </w:rPr>
        <w:t>Continued execution of North American Operating Plan</w:t>
      </w:r>
    </w:p>
    <w:p>
      <w:pPr>
        <w:spacing w:after="0" w:line="200" w:lineRule="exact"/>
        <w:rPr>
          <w:rFonts w:ascii="Arial" w:cs="Arial" w:eastAsia="Arial" w:hAnsi="Arial"/>
          <w:sz w:val="38"/>
          <w:szCs w:val="38"/>
          <w:color w:val="auto"/>
        </w:rPr>
      </w:pPr>
    </w:p>
    <w:p>
      <w:pPr>
        <w:spacing w:after="0" w:line="385" w:lineRule="exact"/>
        <w:rPr>
          <w:rFonts w:ascii="Arial" w:cs="Arial" w:eastAsia="Arial" w:hAnsi="Arial"/>
          <w:sz w:val="38"/>
          <w:szCs w:val="38"/>
          <w:color w:val="auto"/>
        </w:rPr>
      </w:pPr>
    </w:p>
    <w:p>
      <w:pPr>
        <w:ind w:left="425" w:hanging="425"/>
        <w:spacing w:after="0"/>
        <w:tabs>
          <w:tab w:leader="none" w:pos="425" w:val="left"/>
        </w:tabs>
        <w:numPr>
          <w:ilvl w:val="0"/>
          <w:numId w:val="30"/>
        </w:numPr>
        <w:rPr>
          <w:rFonts w:ascii="Arial" w:cs="Arial" w:eastAsia="Arial" w:hAnsi="Arial"/>
          <w:sz w:val="38"/>
          <w:szCs w:val="38"/>
          <w:color w:val="auto"/>
        </w:rPr>
      </w:pPr>
      <w:r>
        <w:rPr>
          <w:rFonts w:ascii="Arial" w:cs="Arial" w:eastAsia="Arial" w:hAnsi="Arial"/>
          <w:sz w:val="38"/>
          <w:szCs w:val="38"/>
          <w:color w:val="auto"/>
        </w:rPr>
        <w:t>Reinvention of GM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32</w:t>
      </w:r>
    </w:p>
    <w:p>
      <w:pPr>
        <w:sectPr>
          <w:pgSz w:w="11900" w:h="16838" w:orient="portrait"/>
          <w:cols w:equalWidth="0" w:num="1">
            <w:col w:w="10125"/>
          </w:cols>
          <w:pgMar w:left="575" w:top="587" w:right="119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405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4405" cy="540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40"/>
        <w:spacing w:after="0"/>
        <w:rPr>
          <w:sz w:val="20"/>
          <w:szCs w:val="20"/>
          <w:color w:val="auto"/>
        </w:rPr>
      </w:pPr>
      <w:r>
        <w:rPr>
          <w:rFonts w:ascii="Arial" w:cs="Arial" w:eastAsia="Arial" w:hAnsi="Arial"/>
          <w:sz w:val="44"/>
          <w:szCs w:val="44"/>
          <w:b w:val="1"/>
          <w:bCs w:val="1"/>
          <w:color w:val="auto"/>
        </w:rPr>
        <w:t>General Motors Company</w:t>
      </w:r>
    </w:p>
    <w:p>
      <w:pPr>
        <w:spacing w:after="0" w:line="329" w:lineRule="exact"/>
        <w:rPr>
          <w:sz w:val="20"/>
          <w:szCs w:val="20"/>
          <w:color w:val="auto"/>
        </w:rPr>
      </w:pPr>
    </w:p>
    <w:p>
      <w:pPr>
        <w:ind w:left="2380"/>
        <w:spacing w:after="0"/>
        <w:rPr>
          <w:sz w:val="20"/>
          <w:szCs w:val="20"/>
          <w:color w:val="auto"/>
        </w:rPr>
      </w:pPr>
      <w:r>
        <w:rPr>
          <w:rFonts w:ascii="Arial" w:cs="Arial" w:eastAsia="Arial" w:hAnsi="Arial"/>
          <w:sz w:val="44"/>
          <w:szCs w:val="44"/>
          <w:b w:val="1"/>
          <w:bCs w:val="1"/>
          <w:color w:val="auto"/>
        </w:rPr>
        <w:t>Supplemental Charts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S-0</w:t>
      </w:r>
    </w:p>
    <w:p>
      <w:pPr>
        <w:sectPr>
          <w:pgSz w:w="11900" w:h="16838" w:orient="portrait"/>
          <w:cols w:equalWidth="0" w:num="1">
            <w:col w:w="9680"/>
          </w:cols>
          <w:pgMar w:left="1440" w:top="1440" w:right="779" w:bottom="1440" w:gutter="0" w:footer="0" w:header="0"/>
        </w:sectPr>
      </w:pPr>
    </w:p>
    <w:bookmarkStart w:id="55" w:name="page56"/>
    <w:bookmarkEnd w:id="55"/>
    <w:p>
      <w:pPr>
        <w:ind w:left="940"/>
        <w:spacing w:after="0"/>
        <w:rPr>
          <w:sz w:val="20"/>
          <w:szCs w:val="20"/>
          <w:color w:val="auto"/>
        </w:rPr>
      </w:pPr>
      <w:r>
        <w:rPr>
          <w:rFonts w:ascii="Arial" w:cs="Arial" w:eastAsia="Arial" w:hAnsi="Arial"/>
          <w:sz w:val="33"/>
          <w:szCs w:val="33"/>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Viability Plan Filed in Support of 363 Sale</w:t>
      </w:r>
    </w:p>
    <w:p>
      <w:pPr>
        <w:spacing w:after="0" w:line="58" w:lineRule="exact"/>
        <w:rPr>
          <w:sz w:val="20"/>
          <w:szCs w:val="20"/>
          <w:color w:val="auto"/>
        </w:rPr>
      </w:pPr>
    </w:p>
    <w:p>
      <w:pPr>
        <w:ind w:left="940"/>
        <w:spacing w:after="0"/>
        <w:rPr>
          <w:sz w:val="20"/>
          <w:szCs w:val="20"/>
          <w:color w:val="auto"/>
        </w:rPr>
      </w:pPr>
      <w:r>
        <w:rPr>
          <w:rFonts w:ascii="Arial" w:cs="Arial" w:eastAsia="Arial" w:hAnsi="Arial"/>
          <w:sz w:val="28"/>
          <w:szCs w:val="28"/>
          <w:b w:val="1"/>
          <w:bCs w:val="1"/>
          <w:color w:val="auto"/>
        </w:rPr>
        <w:t>Adjusted to Include Full Year Consolidation of GME &amp;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360" w:type="dxa"/>
            <w:vAlign w:val="bottom"/>
          </w:tcPr>
          <w:p>
            <w:pPr>
              <w:jc w:val="right"/>
              <w:ind w:right="264"/>
              <w:spacing w:after="0"/>
              <w:rPr>
                <w:sz w:val="20"/>
                <w:szCs w:val="20"/>
                <w:color w:val="auto"/>
              </w:rPr>
            </w:pPr>
            <w:r>
              <w:rPr>
                <w:rFonts w:ascii="Arial" w:cs="Arial" w:eastAsia="Arial" w:hAnsi="Arial"/>
                <w:sz w:val="15"/>
                <w:szCs w:val="15"/>
                <w:color w:val="auto"/>
              </w:rPr>
              <w:t>5/31/2009</w:t>
            </w:r>
          </w:p>
        </w:tc>
        <w:tc>
          <w:tcPr>
            <w:tcW w:w="13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5"/>
                <w:szCs w:val="15"/>
                <w:color w:val="auto"/>
              </w:rPr>
              <w:t>Adjusted</w:t>
            </w:r>
          </w:p>
        </w:tc>
        <w:tc>
          <w:tcPr>
            <w:tcW w:w="1720" w:type="dxa"/>
            <w:vAlign w:val="bottom"/>
          </w:tcPr>
          <w:p>
            <w:pPr>
              <w:jc w:val="right"/>
              <w:ind w:right="524"/>
              <w:spacing w:after="0"/>
              <w:rPr>
                <w:sz w:val="20"/>
                <w:szCs w:val="20"/>
                <w:color w:val="auto"/>
              </w:rPr>
            </w:pPr>
            <w:r>
              <w:rPr>
                <w:rFonts w:ascii="Arial" w:cs="Arial" w:eastAsia="Arial" w:hAnsi="Arial"/>
                <w:sz w:val="15"/>
                <w:szCs w:val="15"/>
                <w:color w:val="auto"/>
              </w:rPr>
              <w:t>Memo:</w:t>
            </w:r>
          </w:p>
        </w:tc>
      </w:tr>
      <w:tr>
        <w:trPr>
          <w:trHeight w:val="200"/>
        </w:trPr>
        <w:tc>
          <w:tcPr>
            <w:tcW w:w="3780" w:type="dxa"/>
            <w:vAlign w:val="bottom"/>
          </w:tcPr>
          <w:p>
            <w:pPr>
              <w:spacing w:after="0"/>
              <w:rPr>
                <w:sz w:val="17"/>
                <w:szCs w:val="17"/>
                <w:color w:val="auto"/>
              </w:rPr>
            </w:pPr>
          </w:p>
        </w:tc>
        <w:tc>
          <w:tcPr>
            <w:tcW w:w="1360" w:type="dxa"/>
            <w:vAlign w:val="bottom"/>
          </w:tcPr>
          <w:p>
            <w:pPr>
              <w:jc w:val="right"/>
              <w:ind w:right="184"/>
              <w:spacing w:after="0"/>
              <w:rPr>
                <w:sz w:val="20"/>
                <w:szCs w:val="20"/>
                <w:color w:val="auto"/>
              </w:rPr>
            </w:pPr>
            <w:r>
              <w:rPr>
                <w:rFonts w:ascii="Arial" w:cs="Arial" w:eastAsia="Arial" w:hAnsi="Arial"/>
                <w:sz w:val="15"/>
                <w:szCs w:val="15"/>
                <w:color w:val="auto"/>
              </w:rPr>
              <w:t>Viability Plan</w:t>
            </w:r>
          </w:p>
        </w:tc>
        <w:tc>
          <w:tcPr>
            <w:tcW w:w="1340" w:type="dxa"/>
            <w:vAlign w:val="bottom"/>
          </w:tcPr>
          <w:p>
            <w:pPr>
              <w:spacing w:after="0"/>
              <w:rPr>
                <w:sz w:val="17"/>
                <w:szCs w:val="17"/>
                <w:color w:val="auto"/>
              </w:rPr>
            </w:pPr>
          </w:p>
        </w:tc>
        <w:tc>
          <w:tcPr>
            <w:tcW w:w="1300" w:type="dxa"/>
            <w:vAlign w:val="bottom"/>
          </w:tcPr>
          <w:p>
            <w:pPr>
              <w:jc w:val="center"/>
              <w:ind w:right="24"/>
              <w:spacing w:after="0"/>
              <w:rPr>
                <w:sz w:val="20"/>
                <w:szCs w:val="20"/>
                <w:color w:val="auto"/>
              </w:rPr>
            </w:pPr>
            <w:r>
              <w:rPr>
                <w:rFonts w:ascii="Arial" w:cs="Arial" w:eastAsia="Arial" w:hAnsi="Arial"/>
                <w:sz w:val="15"/>
                <w:szCs w:val="15"/>
                <w:color w:val="auto"/>
              </w:rPr>
              <w:t>Viability Plan</w:t>
            </w:r>
          </w:p>
        </w:tc>
        <w:tc>
          <w:tcPr>
            <w:tcW w:w="1720" w:type="dxa"/>
            <w:vAlign w:val="bottom"/>
          </w:tcPr>
          <w:p>
            <w:pPr>
              <w:jc w:val="right"/>
              <w:ind w:right="4"/>
              <w:spacing w:after="0"/>
              <w:rPr>
                <w:sz w:val="20"/>
                <w:szCs w:val="20"/>
                <w:color w:val="auto"/>
              </w:rPr>
            </w:pPr>
            <w:r>
              <w:rPr>
                <w:rFonts w:ascii="Arial" w:cs="Arial" w:eastAsia="Arial" w:hAnsi="Arial"/>
                <w:sz w:val="15"/>
                <w:szCs w:val="15"/>
                <w:color w:val="auto"/>
              </w:rPr>
              <w:t>Adjusted Viability Plan</w:t>
            </w:r>
          </w:p>
        </w:tc>
      </w:tr>
      <w:tr>
        <w:trPr>
          <w:trHeight w:val="200"/>
        </w:trPr>
        <w:tc>
          <w:tcPr>
            <w:tcW w:w="3780" w:type="dxa"/>
            <w:vAlign w:val="bottom"/>
          </w:tcPr>
          <w:p>
            <w:pPr>
              <w:spacing w:after="0"/>
              <w:rPr>
                <w:sz w:val="20"/>
                <w:szCs w:val="20"/>
                <w:color w:val="auto"/>
              </w:rPr>
            </w:pPr>
            <w:r>
              <w:rPr>
                <w:rFonts w:ascii="Arial" w:cs="Arial" w:eastAsia="Arial" w:hAnsi="Arial"/>
                <w:sz w:val="15"/>
                <w:szCs w:val="15"/>
                <w:color w:val="auto"/>
              </w:rPr>
              <w:t>($ Millions)</w:t>
            </w:r>
          </w:p>
        </w:tc>
        <w:tc>
          <w:tcPr>
            <w:tcW w:w="1360" w:type="dxa"/>
            <w:vAlign w:val="bottom"/>
          </w:tcPr>
          <w:p>
            <w:pPr>
              <w:jc w:val="right"/>
              <w:ind w:right="304"/>
              <w:spacing w:after="0"/>
              <w:rPr>
                <w:sz w:val="20"/>
                <w:szCs w:val="20"/>
                <w:color w:val="auto"/>
              </w:rPr>
            </w:pPr>
            <w:r>
              <w:rPr>
                <w:rFonts w:ascii="Arial" w:cs="Arial" w:eastAsia="Arial" w:hAnsi="Arial"/>
                <w:sz w:val="15"/>
                <w:szCs w:val="15"/>
                <w:color w:val="auto"/>
              </w:rPr>
              <w:t>CY 2009</w:t>
            </w:r>
          </w:p>
        </w:tc>
        <w:tc>
          <w:tcPr>
            <w:tcW w:w="1340" w:type="dxa"/>
            <w:vAlign w:val="bottom"/>
          </w:tcPr>
          <w:p>
            <w:pPr>
              <w:jc w:val="right"/>
              <w:ind w:right="184"/>
              <w:spacing w:after="0"/>
              <w:rPr>
                <w:sz w:val="20"/>
                <w:szCs w:val="20"/>
                <w:color w:val="auto"/>
              </w:rPr>
            </w:pPr>
            <w:r>
              <w:rPr>
                <w:rFonts w:ascii="Arial" w:cs="Arial" w:eastAsia="Arial" w:hAnsi="Arial"/>
                <w:sz w:val="15"/>
                <w:szCs w:val="15"/>
                <w:color w:val="auto"/>
              </w:rPr>
              <w:t>Adjustments *</w:t>
            </w:r>
          </w:p>
        </w:tc>
        <w:tc>
          <w:tcPr>
            <w:tcW w:w="1300" w:type="dxa"/>
            <w:vAlign w:val="bottom"/>
          </w:tcPr>
          <w:p>
            <w:pPr>
              <w:jc w:val="center"/>
              <w:spacing w:after="0"/>
              <w:rPr>
                <w:sz w:val="20"/>
                <w:szCs w:val="20"/>
                <w:color w:val="auto"/>
              </w:rPr>
            </w:pPr>
            <w:r>
              <w:rPr>
                <w:rFonts w:ascii="Arial" w:cs="Arial" w:eastAsia="Arial" w:hAnsi="Arial"/>
                <w:sz w:val="15"/>
                <w:szCs w:val="15"/>
                <w:color w:val="auto"/>
              </w:rPr>
              <w:t>CY 2009</w:t>
            </w:r>
          </w:p>
        </w:tc>
        <w:tc>
          <w:tcPr>
            <w:tcW w:w="1720" w:type="dxa"/>
            <w:vAlign w:val="bottom"/>
          </w:tcPr>
          <w:p>
            <w:pPr>
              <w:jc w:val="right"/>
              <w:ind w:right="444"/>
              <w:spacing w:after="0"/>
              <w:rPr>
                <w:sz w:val="20"/>
                <w:szCs w:val="20"/>
                <w:color w:val="auto"/>
              </w:rPr>
            </w:pPr>
            <w:r>
              <w:rPr>
                <w:rFonts w:ascii="Arial" w:cs="Arial" w:eastAsia="Arial" w:hAnsi="Arial"/>
                <w:sz w:val="15"/>
                <w:szCs w:val="15"/>
                <w:color w:val="auto"/>
              </w:rPr>
              <w:t>3Q 2009</w:t>
            </w:r>
          </w:p>
        </w:tc>
      </w:tr>
      <w:tr>
        <w:trPr>
          <w:trHeight w:val="317"/>
        </w:trPr>
        <w:tc>
          <w:tcPr>
            <w:tcW w:w="3780" w:type="dxa"/>
            <w:vAlign w:val="bottom"/>
          </w:tcPr>
          <w:p>
            <w:pPr>
              <w:spacing w:after="0"/>
              <w:rPr>
                <w:sz w:val="20"/>
                <w:szCs w:val="20"/>
                <w:color w:val="auto"/>
              </w:rPr>
            </w:pPr>
            <w:r>
              <w:rPr>
                <w:rFonts w:ascii="Arial" w:cs="Arial" w:eastAsia="Arial" w:hAnsi="Arial"/>
                <w:sz w:val="15"/>
                <w:szCs w:val="15"/>
                <w:color w:val="auto"/>
              </w:rPr>
              <w:t>GMNA</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(10,847)</w:t>
            </w:r>
          </w:p>
        </w:tc>
        <w:tc>
          <w:tcPr>
            <w:tcW w:w="1340" w:type="dxa"/>
            <w:vAlign w:val="bottom"/>
          </w:tcPr>
          <w:p>
            <w:pPr>
              <w:jc w:val="right"/>
              <w:ind w:right="84"/>
              <w:spacing w:after="0"/>
              <w:rPr>
                <w:sz w:val="20"/>
                <w:szCs w:val="20"/>
                <w:color w:val="auto"/>
              </w:rPr>
            </w:pPr>
            <w:r>
              <w:rPr>
                <w:rFonts w:ascii="Arial" w:cs="Arial" w:eastAsia="Arial" w:hAnsi="Arial"/>
                <w:sz w:val="15"/>
                <w:szCs w:val="15"/>
                <w:color w:val="auto"/>
              </w:rPr>
              <w:t>(82)</w:t>
            </w:r>
          </w:p>
        </w:tc>
        <w:tc>
          <w:tcPr>
            <w:tcW w:w="1300" w:type="dxa"/>
            <w:vAlign w:val="bottom"/>
          </w:tcPr>
          <w:p>
            <w:pPr>
              <w:jc w:val="right"/>
              <w:ind w:right="64"/>
              <w:spacing w:after="0"/>
              <w:rPr>
                <w:sz w:val="20"/>
                <w:szCs w:val="20"/>
                <w:color w:val="auto"/>
              </w:rPr>
            </w:pPr>
            <w:r>
              <w:rPr>
                <w:rFonts w:ascii="Arial" w:cs="Arial" w:eastAsia="Arial" w:hAnsi="Arial"/>
                <w:sz w:val="15"/>
                <w:szCs w:val="15"/>
                <w:color w:val="auto"/>
              </w:rPr>
              <w:t>(10,929)</w:t>
            </w:r>
          </w:p>
        </w:tc>
        <w:tc>
          <w:tcPr>
            <w:tcW w:w="1720" w:type="dxa"/>
            <w:vAlign w:val="bottom"/>
          </w:tcPr>
          <w:p>
            <w:pPr>
              <w:jc w:val="right"/>
              <w:spacing w:after="0"/>
              <w:rPr>
                <w:sz w:val="20"/>
                <w:szCs w:val="20"/>
                <w:color w:val="auto"/>
              </w:rPr>
            </w:pPr>
            <w:r>
              <w:rPr>
                <w:rFonts w:ascii="Arial" w:cs="Arial" w:eastAsia="Arial" w:hAnsi="Arial"/>
                <w:sz w:val="15"/>
                <w:szCs w:val="15"/>
                <w:color w:val="auto"/>
              </w:rPr>
              <w:t>(2,094)</w:t>
            </w:r>
          </w:p>
        </w:tc>
      </w:tr>
      <w:tr>
        <w:trPr>
          <w:trHeight w:val="200"/>
        </w:trPr>
        <w:tc>
          <w:tcPr>
            <w:tcW w:w="3780" w:type="dxa"/>
            <w:vAlign w:val="bottom"/>
          </w:tcPr>
          <w:p>
            <w:pPr>
              <w:spacing w:after="0"/>
              <w:rPr>
                <w:sz w:val="20"/>
                <w:szCs w:val="20"/>
                <w:color w:val="auto"/>
              </w:rPr>
            </w:pPr>
            <w:r>
              <w:rPr>
                <w:rFonts w:ascii="Arial" w:cs="Arial" w:eastAsia="Arial" w:hAnsi="Arial"/>
                <w:sz w:val="15"/>
                <w:szCs w:val="15"/>
                <w:color w:val="auto"/>
              </w:rPr>
              <w:t>GMIO</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(3,495)</w:t>
            </w:r>
          </w:p>
        </w:tc>
        <w:tc>
          <w:tcPr>
            <w:tcW w:w="1340" w:type="dxa"/>
            <w:vAlign w:val="bottom"/>
          </w:tcPr>
          <w:p>
            <w:pPr>
              <w:jc w:val="right"/>
              <w:ind w:right="84"/>
              <w:spacing w:after="0"/>
              <w:rPr>
                <w:sz w:val="20"/>
                <w:szCs w:val="20"/>
                <w:color w:val="auto"/>
              </w:rPr>
            </w:pPr>
            <w:r>
              <w:rPr>
                <w:rFonts w:ascii="Arial" w:cs="Arial" w:eastAsia="Arial" w:hAnsi="Arial"/>
                <w:sz w:val="15"/>
                <w:szCs w:val="15"/>
                <w:color w:val="auto"/>
              </w:rPr>
              <w:t>(1,012)</w:t>
            </w:r>
          </w:p>
        </w:tc>
        <w:tc>
          <w:tcPr>
            <w:tcW w:w="1300" w:type="dxa"/>
            <w:vAlign w:val="bottom"/>
          </w:tcPr>
          <w:p>
            <w:pPr>
              <w:jc w:val="right"/>
              <w:ind w:right="64"/>
              <w:spacing w:after="0"/>
              <w:rPr>
                <w:sz w:val="20"/>
                <w:szCs w:val="20"/>
                <w:color w:val="auto"/>
              </w:rPr>
            </w:pPr>
            <w:r>
              <w:rPr>
                <w:rFonts w:ascii="Arial" w:cs="Arial" w:eastAsia="Arial" w:hAnsi="Arial"/>
                <w:sz w:val="15"/>
                <w:szCs w:val="15"/>
                <w:color w:val="auto"/>
              </w:rPr>
              <w:t>(4,507)</w:t>
            </w:r>
          </w:p>
        </w:tc>
        <w:tc>
          <w:tcPr>
            <w:tcW w:w="1720" w:type="dxa"/>
            <w:vAlign w:val="bottom"/>
          </w:tcPr>
          <w:p>
            <w:pPr>
              <w:jc w:val="right"/>
              <w:spacing w:after="0"/>
              <w:rPr>
                <w:sz w:val="20"/>
                <w:szCs w:val="20"/>
                <w:color w:val="auto"/>
              </w:rPr>
            </w:pPr>
            <w:r>
              <w:rPr>
                <w:rFonts w:ascii="Arial" w:cs="Arial" w:eastAsia="Arial" w:hAnsi="Arial"/>
                <w:sz w:val="15"/>
                <w:szCs w:val="15"/>
                <w:color w:val="auto"/>
              </w:rPr>
              <w:t>(967)</w:t>
            </w:r>
          </w:p>
        </w:tc>
      </w:tr>
      <w:tr>
        <w:trPr>
          <w:trHeight w:val="197"/>
        </w:trPr>
        <w:tc>
          <w:tcPr>
            <w:tcW w:w="3780" w:type="dxa"/>
            <w:vAlign w:val="bottom"/>
          </w:tcPr>
          <w:p>
            <w:pPr>
              <w:spacing w:after="0"/>
              <w:rPr>
                <w:sz w:val="20"/>
                <w:szCs w:val="20"/>
                <w:color w:val="auto"/>
              </w:rPr>
            </w:pPr>
            <w:r>
              <w:rPr>
                <w:rFonts w:ascii="Arial" w:cs="Arial" w:eastAsia="Arial" w:hAnsi="Arial"/>
                <w:sz w:val="15"/>
                <w:szCs w:val="15"/>
                <w:color w:val="auto"/>
              </w:rPr>
              <w:t>Auto Eliminations</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(134)</w:t>
            </w:r>
          </w:p>
        </w:tc>
        <w:tc>
          <w:tcPr>
            <w:tcW w:w="13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64"/>
              <w:spacing w:after="0"/>
              <w:rPr>
                <w:sz w:val="20"/>
                <w:szCs w:val="20"/>
                <w:color w:val="auto"/>
              </w:rPr>
            </w:pPr>
            <w:r>
              <w:rPr>
                <w:rFonts w:ascii="Arial" w:cs="Arial" w:eastAsia="Arial" w:hAnsi="Arial"/>
                <w:sz w:val="15"/>
                <w:szCs w:val="15"/>
                <w:color w:val="auto"/>
              </w:rPr>
              <w:t>(134)</w:t>
            </w:r>
          </w:p>
        </w:tc>
        <w:tc>
          <w:tcPr>
            <w:tcW w:w="1720" w:type="dxa"/>
            <w:vAlign w:val="bottom"/>
          </w:tcPr>
          <w:p>
            <w:pPr>
              <w:jc w:val="right"/>
              <w:spacing w:after="0"/>
              <w:rPr>
                <w:sz w:val="20"/>
                <w:szCs w:val="20"/>
                <w:color w:val="auto"/>
              </w:rPr>
            </w:pPr>
            <w:r>
              <w:rPr>
                <w:rFonts w:ascii="Arial" w:cs="Arial" w:eastAsia="Arial" w:hAnsi="Arial"/>
                <w:sz w:val="15"/>
                <w:szCs w:val="15"/>
                <w:color w:val="auto"/>
              </w:rPr>
              <w:t>(89)</w:t>
            </w:r>
          </w:p>
        </w:tc>
      </w:tr>
      <w:tr>
        <w:trPr>
          <w:trHeight w:val="202"/>
        </w:trPr>
        <w:tc>
          <w:tcPr>
            <w:tcW w:w="3780" w:type="dxa"/>
            <w:vAlign w:val="bottom"/>
          </w:tcPr>
          <w:p>
            <w:pPr>
              <w:ind w:left="140"/>
              <w:spacing w:after="0"/>
              <w:rPr>
                <w:sz w:val="20"/>
                <w:szCs w:val="20"/>
                <w:color w:val="auto"/>
              </w:rPr>
            </w:pPr>
            <w:r>
              <w:rPr>
                <w:rFonts w:ascii="Arial" w:cs="Arial" w:eastAsia="Arial" w:hAnsi="Arial"/>
                <w:sz w:val="15"/>
                <w:szCs w:val="15"/>
                <w:b w:val="1"/>
                <w:bCs w:val="1"/>
                <w:color w:val="auto"/>
              </w:rPr>
              <w:t>Total Automotive EBIT Excluding Special Items</w:t>
            </w:r>
          </w:p>
        </w:tc>
        <w:tc>
          <w:tcPr>
            <w:tcW w:w="1360" w:type="dxa"/>
            <w:vAlign w:val="bottom"/>
          </w:tcPr>
          <w:p>
            <w:pPr>
              <w:jc w:val="right"/>
              <w:ind w:right="64"/>
              <w:spacing w:after="0"/>
              <w:rPr>
                <w:sz w:val="20"/>
                <w:szCs w:val="20"/>
                <w:color w:val="auto"/>
              </w:rPr>
            </w:pPr>
            <w:r>
              <w:rPr>
                <w:rFonts w:ascii="Arial" w:cs="Arial" w:eastAsia="Arial" w:hAnsi="Arial"/>
                <w:sz w:val="15"/>
                <w:szCs w:val="15"/>
                <w:b w:val="1"/>
                <w:bCs w:val="1"/>
                <w:color w:val="auto"/>
              </w:rPr>
              <w:t>(14,476)</w:t>
            </w:r>
          </w:p>
        </w:tc>
        <w:tc>
          <w:tcPr>
            <w:tcW w:w="1340" w:type="dxa"/>
            <w:vAlign w:val="bottom"/>
          </w:tcPr>
          <w:p>
            <w:pPr>
              <w:jc w:val="right"/>
              <w:ind w:right="84"/>
              <w:spacing w:after="0"/>
              <w:rPr>
                <w:sz w:val="20"/>
                <w:szCs w:val="20"/>
                <w:color w:val="auto"/>
              </w:rPr>
            </w:pPr>
            <w:r>
              <w:rPr>
                <w:rFonts w:ascii="Arial" w:cs="Arial" w:eastAsia="Arial" w:hAnsi="Arial"/>
                <w:sz w:val="15"/>
                <w:szCs w:val="15"/>
                <w:b w:val="1"/>
                <w:bCs w:val="1"/>
                <w:color w:val="auto"/>
              </w:rPr>
              <w:t>(1,094)</w:t>
            </w:r>
          </w:p>
        </w:tc>
        <w:tc>
          <w:tcPr>
            <w:tcW w:w="1300" w:type="dxa"/>
            <w:vAlign w:val="bottom"/>
          </w:tcPr>
          <w:p>
            <w:pPr>
              <w:jc w:val="right"/>
              <w:ind w:right="64"/>
              <w:spacing w:after="0"/>
              <w:rPr>
                <w:sz w:val="20"/>
                <w:szCs w:val="20"/>
                <w:color w:val="auto"/>
              </w:rPr>
            </w:pPr>
            <w:r>
              <w:rPr>
                <w:rFonts w:ascii="Arial" w:cs="Arial" w:eastAsia="Arial" w:hAnsi="Arial"/>
                <w:sz w:val="15"/>
                <w:szCs w:val="15"/>
                <w:b w:val="1"/>
                <w:bCs w:val="1"/>
                <w:color w:val="auto"/>
              </w:rPr>
              <w:t>(15,570)</w:t>
            </w:r>
          </w:p>
        </w:tc>
        <w:tc>
          <w:tcPr>
            <w:tcW w:w="1720" w:type="dxa"/>
            <w:vAlign w:val="bottom"/>
          </w:tcPr>
          <w:p>
            <w:pPr>
              <w:jc w:val="right"/>
              <w:spacing w:after="0"/>
              <w:rPr>
                <w:sz w:val="20"/>
                <w:szCs w:val="20"/>
                <w:color w:val="auto"/>
              </w:rPr>
            </w:pPr>
            <w:r>
              <w:rPr>
                <w:rFonts w:ascii="Arial" w:cs="Arial" w:eastAsia="Arial" w:hAnsi="Arial"/>
                <w:sz w:val="15"/>
                <w:szCs w:val="15"/>
                <w:b w:val="1"/>
                <w:bCs w:val="1"/>
                <w:color w:val="auto"/>
              </w:rPr>
              <w:t>(3,150)</w:t>
            </w:r>
          </w:p>
        </w:tc>
      </w:tr>
      <w:tr>
        <w:trPr>
          <w:trHeight w:val="317"/>
        </w:trPr>
        <w:tc>
          <w:tcPr>
            <w:tcW w:w="3780" w:type="dxa"/>
            <w:vAlign w:val="bottom"/>
          </w:tcPr>
          <w:p>
            <w:pPr>
              <w:spacing w:after="0"/>
              <w:rPr>
                <w:sz w:val="20"/>
                <w:szCs w:val="20"/>
                <w:color w:val="auto"/>
              </w:rPr>
            </w:pPr>
            <w:r>
              <w:rPr>
                <w:rFonts w:ascii="Arial" w:cs="Arial" w:eastAsia="Arial" w:hAnsi="Arial"/>
                <w:sz w:val="15"/>
                <w:szCs w:val="15"/>
                <w:color w:val="auto"/>
              </w:rPr>
              <w:t>Corp Other</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(1,077)</w:t>
            </w:r>
          </w:p>
        </w:tc>
        <w:tc>
          <w:tcPr>
            <w:tcW w:w="1340" w:type="dxa"/>
            <w:vAlign w:val="bottom"/>
          </w:tcPr>
          <w:p>
            <w:pPr>
              <w:jc w:val="right"/>
              <w:ind w:right="144"/>
              <w:spacing w:after="0"/>
              <w:rPr>
                <w:sz w:val="20"/>
                <w:szCs w:val="20"/>
                <w:color w:val="auto"/>
              </w:rPr>
            </w:pPr>
            <w:r>
              <w:rPr>
                <w:rFonts w:ascii="Arial" w:cs="Arial" w:eastAsia="Arial" w:hAnsi="Arial"/>
                <w:sz w:val="15"/>
                <w:szCs w:val="15"/>
                <w:color w:val="auto"/>
              </w:rPr>
              <w:t>81</w:t>
            </w:r>
          </w:p>
        </w:tc>
        <w:tc>
          <w:tcPr>
            <w:tcW w:w="1300" w:type="dxa"/>
            <w:vAlign w:val="bottom"/>
          </w:tcPr>
          <w:p>
            <w:pPr>
              <w:jc w:val="right"/>
              <w:ind w:right="64"/>
              <w:spacing w:after="0"/>
              <w:rPr>
                <w:sz w:val="20"/>
                <w:szCs w:val="20"/>
                <w:color w:val="auto"/>
              </w:rPr>
            </w:pPr>
            <w:r>
              <w:rPr>
                <w:rFonts w:ascii="Arial" w:cs="Arial" w:eastAsia="Arial" w:hAnsi="Arial"/>
                <w:sz w:val="15"/>
                <w:szCs w:val="15"/>
                <w:color w:val="auto"/>
              </w:rPr>
              <w:t>(996)</w:t>
            </w:r>
          </w:p>
        </w:tc>
        <w:tc>
          <w:tcPr>
            <w:tcW w:w="1720" w:type="dxa"/>
            <w:vAlign w:val="bottom"/>
          </w:tcPr>
          <w:p>
            <w:pPr>
              <w:jc w:val="right"/>
              <w:spacing w:after="0"/>
              <w:rPr>
                <w:sz w:val="20"/>
                <w:szCs w:val="20"/>
                <w:color w:val="auto"/>
              </w:rPr>
            </w:pPr>
            <w:r>
              <w:rPr>
                <w:rFonts w:ascii="Arial" w:cs="Arial" w:eastAsia="Arial" w:hAnsi="Arial"/>
                <w:sz w:val="15"/>
                <w:szCs w:val="15"/>
                <w:color w:val="auto"/>
              </w:rPr>
              <w:t>(429)</w:t>
            </w:r>
          </w:p>
        </w:tc>
      </w:tr>
      <w:tr>
        <w:trPr>
          <w:trHeight w:val="186"/>
        </w:trPr>
        <w:tc>
          <w:tcPr>
            <w:tcW w:w="3780" w:type="dxa"/>
            <w:vAlign w:val="bottom"/>
          </w:tcPr>
          <w:p>
            <w:pPr>
              <w:spacing w:after="0"/>
              <w:rPr>
                <w:sz w:val="20"/>
                <w:szCs w:val="20"/>
                <w:color w:val="auto"/>
              </w:rPr>
            </w:pPr>
            <w:r>
              <w:rPr>
                <w:rFonts w:ascii="Arial" w:cs="Arial" w:eastAsia="Arial" w:hAnsi="Arial"/>
                <w:sz w:val="15"/>
                <w:szCs w:val="15"/>
                <w:color w:val="auto"/>
              </w:rPr>
              <w:t>GMAC **</w:t>
            </w:r>
          </w:p>
        </w:tc>
        <w:tc>
          <w:tcPr>
            <w:tcW w:w="1360" w:type="dxa"/>
            <w:vAlign w:val="bottom"/>
          </w:tcPr>
          <w:p>
            <w:pPr>
              <w:jc w:val="right"/>
              <w:ind w:right="144"/>
              <w:spacing w:after="0"/>
              <w:rPr>
                <w:sz w:val="20"/>
                <w:szCs w:val="20"/>
                <w:color w:val="auto"/>
              </w:rPr>
            </w:pPr>
            <w:r>
              <w:rPr>
                <w:rFonts w:ascii="Arial" w:cs="Arial" w:eastAsia="Arial" w:hAnsi="Arial"/>
                <w:sz w:val="15"/>
                <w:szCs w:val="15"/>
                <w:color w:val="auto"/>
              </w:rPr>
              <w:t>N/A</w:t>
            </w:r>
          </w:p>
        </w:tc>
        <w:tc>
          <w:tcPr>
            <w:tcW w:w="13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N/A</w:t>
            </w:r>
          </w:p>
        </w:tc>
        <w:tc>
          <w:tcPr>
            <w:tcW w:w="1720" w:type="dxa"/>
            <w:vAlign w:val="bottom"/>
          </w:tcPr>
          <w:p>
            <w:pPr>
              <w:jc w:val="right"/>
              <w:spacing w:after="0"/>
              <w:rPr>
                <w:sz w:val="20"/>
                <w:szCs w:val="20"/>
                <w:color w:val="auto"/>
              </w:rPr>
            </w:pPr>
            <w:r>
              <w:rPr>
                <w:rFonts w:ascii="Arial" w:cs="Arial" w:eastAsia="Arial" w:hAnsi="Arial"/>
                <w:sz w:val="15"/>
                <w:szCs w:val="15"/>
                <w:color w:val="auto"/>
              </w:rPr>
              <w:t>N/A</w:t>
            </w:r>
          </w:p>
        </w:tc>
      </w:tr>
      <w:tr>
        <w:trPr>
          <w:trHeight w:val="202"/>
        </w:trPr>
        <w:tc>
          <w:tcPr>
            <w:tcW w:w="3780" w:type="dxa"/>
            <w:vAlign w:val="bottom"/>
          </w:tcPr>
          <w:p>
            <w:pPr>
              <w:ind w:left="260"/>
              <w:spacing w:after="0"/>
              <w:rPr>
                <w:sz w:val="20"/>
                <w:szCs w:val="20"/>
                <w:color w:val="auto"/>
              </w:rPr>
            </w:pPr>
            <w:r>
              <w:rPr>
                <w:rFonts w:ascii="Arial" w:cs="Arial" w:eastAsia="Arial" w:hAnsi="Arial"/>
                <w:sz w:val="15"/>
                <w:szCs w:val="15"/>
                <w:b w:val="1"/>
                <w:bCs w:val="1"/>
                <w:color w:val="auto"/>
              </w:rPr>
              <w:t>Total EBIT Excluding Special Items</w:t>
            </w:r>
          </w:p>
        </w:tc>
        <w:tc>
          <w:tcPr>
            <w:tcW w:w="1360" w:type="dxa"/>
            <w:vAlign w:val="bottom"/>
          </w:tcPr>
          <w:p>
            <w:pPr>
              <w:jc w:val="right"/>
              <w:ind w:right="64"/>
              <w:spacing w:after="0"/>
              <w:rPr>
                <w:sz w:val="20"/>
                <w:szCs w:val="20"/>
                <w:color w:val="auto"/>
              </w:rPr>
            </w:pPr>
            <w:r>
              <w:rPr>
                <w:rFonts w:ascii="Arial" w:cs="Arial" w:eastAsia="Arial" w:hAnsi="Arial"/>
                <w:sz w:val="15"/>
                <w:szCs w:val="15"/>
                <w:b w:val="1"/>
                <w:bCs w:val="1"/>
                <w:color w:val="auto"/>
              </w:rPr>
              <w:t>(15,553)</w:t>
            </w:r>
          </w:p>
        </w:tc>
        <w:tc>
          <w:tcPr>
            <w:tcW w:w="1340" w:type="dxa"/>
            <w:vAlign w:val="bottom"/>
          </w:tcPr>
          <w:p>
            <w:pPr>
              <w:jc w:val="right"/>
              <w:ind w:right="84"/>
              <w:spacing w:after="0"/>
              <w:rPr>
                <w:sz w:val="20"/>
                <w:szCs w:val="20"/>
                <w:color w:val="auto"/>
              </w:rPr>
            </w:pPr>
            <w:r>
              <w:rPr>
                <w:rFonts w:ascii="Arial" w:cs="Arial" w:eastAsia="Arial" w:hAnsi="Arial"/>
                <w:sz w:val="15"/>
                <w:szCs w:val="15"/>
                <w:b w:val="1"/>
                <w:bCs w:val="1"/>
                <w:color w:val="auto"/>
              </w:rPr>
              <w:t>(1,013)</w:t>
            </w:r>
          </w:p>
        </w:tc>
        <w:tc>
          <w:tcPr>
            <w:tcW w:w="1300" w:type="dxa"/>
            <w:vAlign w:val="bottom"/>
          </w:tcPr>
          <w:p>
            <w:pPr>
              <w:jc w:val="right"/>
              <w:ind w:right="64"/>
              <w:spacing w:after="0"/>
              <w:rPr>
                <w:sz w:val="20"/>
                <w:szCs w:val="20"/>
                <w:color w:val="auto"/>
              </w:rPr>
            </w:pPr>
            <w:r>
              <w:rPr>
                <w:rFonts w:ascii="Arial" w:cs="Arial" w:eastAsia="Arial" w:hAnsi="Arial"/>
                <w:sz w:val="15"/>
                <w:szCs w:val="15"/>
                <w:b w:val="1"/>
                <w:bCs w:val="1"/>
                <w:color w:val="auto"/>
              </w:rPr>
              <w:t>(16,566)</w:t>
            </w:r>
          </w:p>
        </w:tc>
        <w:tc>
          <w:tcPr>
            <w:tcW w:w="1720" w:type="dxa"/>
            <w:vAlign w:val="bottom"/>
          </w:tcPr>
          <w:p>
            <w:pPr>
              <w:jc w:val="right"/>
              <w:spacing w:after="0"/>
              <w:rPr>
                <w:sz w:val="20"/>
                <w:szCs w:val="20"/>
                <w:color w:val="auto"/>
              </w:rPr>
            </w:pPr>
            <w:r>
              <w:rPr>
                <w:rFonts w:ascii="Arial" w:cs="Arial" w:eastAsia="Arial" w:hAnsi="Arial"/>
                <w:sz w:val="15"/>
                <w:szCs w:val="15"/>
                <w:b w:val="1"/>
                <w:bCs w:val="1"/>
                <w:color w:val="auto"/>
              </w:rPr>
              <w:t>(3,579)</w:t>
            </w:r>
          </w:p>
        </w:tc>
      </w:tr>
      <w:tr>
        <w:trPr>
          <w:trHeight w:val="400"/>
        </w:trPr>
        <w:tc>
          <w:tcPr>
            <w:tcW w:w="3780" w:type="dxa"/>
            <w:vAlign w:val="bottom"/>
          </w:tcPr>
          <w:p>
            <w:pPr>
              <w:spacing w:after="0"/>
              <w:rPr>
                <w:sz w:val="20"/>
                <w:szCs w:val="20"/>
                <w:color w:val="auto"/>
              </w:rPr>
            </w:pPr>
            <w:r>
              <w:rPr>
                <w:rFonts w:ascii="Arial" w:cs="Arial" w:eastAsia="Arial" w:hAnsi="Arial"/>
                <w:sz w:val="15"/>
                <w:szCs w:val="15"/>
                <w:color w:val="auto"/>
              </w:rPr>
              <w:t>Equity Income</w:t>
            </w: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308</w:t>
            </w:r>
          </w:p>
        </w:tc>
        <w:tc>
          <w:tcPr>
            <w:tcW w:w="1340" w:type="dxa"/>
            <w:vAlign w:val="bottom"/>
          </w:tcPr>
          <w:p>
            <w:pPr>
              <w:jc w:val="right"/>
              <w:ind w:right="84"/>
              <w:spacing w:after="0"/>
              <w:rPr>
                <w:sz w:val="20"/>
                <w:szCs w:val="20"/>
                <w:color w:val="auto"/>
              </w:rPr>
            </w:pPr>
            <w:r>
              <w:rPr>
                <w:rFonts w:ascii="Arial" w:cs="Arial" w:eastAsia="Arial" w:hAnsi="Arial"/>
                <w:sz w:val="15"/>
                <w:szCs w:val="15"/>
                <w:color w:val="auto"/>
              </w:rPr>
              <w:t>(308)</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0</w:t>
            </w:r>
          </w:p>
        </w:tc>
        <w:tc>
          <w:tcPr>
            <w:tcW w:w="1720" w:type="dxa"/>
            <w:vAlign w:val="bottom"/>
          </w:tcPr>
          <w:p>
            <w:pPr>
              <w:spacing w:after="0"/>
              <w:rPr>
                <w:sz w:val="24"/>
                <w:szCs w:val="24"/>
                <w:color w:val="auto"/>
              </w:rPr>
            </w:pPr>
          </w:p>
        </w:tc>
      </w:tr>
      <w:tr>
        <w:trPr>
          <w:trHeight w:val="200"/>
        </w:trPr>
        <w:tc>
          <w:tcPr>
            <w:tcW w:w="3780" w:type="dxa"/>
            <w:vAlign w:val="bottom"/>
          </w:tcPr>
          <w:p>
            <w:pPr>
              <w:spacing w:after="0"/>
              <w:rPr>
                <w:sz w:val="20"/>
                <w:szCs w:val="20"/>
                <w:color w:val="auto"/>
              </w:rPr>
            </w:pPr>
            <w:r>
              <w:rPr>
                <w:rFonts w:ascii="Arial" w:cs="Arial" w:eastAsia="Arial" w:hAnsi="Arial"/>
                <w:sz w:val="15"/>
                <w:szCs w:val="15"/>
                <w:color w:val="auto"/>
              </w:rPr>
              <w:t>Minority Interest</w:t>
            </w:r>
          </w:p>
        </w:tc>
        <w:tc>
          <w:tcPr>
            <w:tcW w:w="1360" w:type="dxa"/>
            <w:vAlign w:val="bottom"/>
          </w:tcPr>
          <w:p>
            <w:pPr>
              <w:jc w:val="right"/>
              <w:ind w:right="124"/>
              <w:spacing w:after="0"/>
              <w:rPr>
                <w:sz w:val="20"/>
                <w:szCs w:val="20"/>
                <w:color w:val="auto"/>
              </w:rPr>
            </w:pPr>
            <w:r>
              <w:rPr>
                <w:rFonts w:ascii="Arial" w:cs="Arial" w:eastAsia="Arial" w:hAnsi="Arial"/>
                <w:sz w:val="15"/>
                <w:szCs w:val="15"/>
                <w:color w:val="auto"/>
              </w:rPr>
              <w:t>499</w:t>
            </w:r>
          </w:p>
        </w:tc>
        <w:tc>
          <w:tcPr>
            <w:tcW w:w="1340" w:type="dxa"/>
            <w:vAlign w:val="bottom"/>
          </w:tcPr>
          <w:p>
            <w:pPr>
              <w:jc w:val="right"/>
              <w:ind w:right="84"/>
              <w:spacing w:after="0"/>
              <w:rPr>
                <w:sz w:val="20"/>
                <w:szCs w:val="20"/>
                <w:color w:val="auto"/>
              </w:rPr>
            </w:pPr>
            <w:r>
              <w:rPr>
                <w:rFonts w:ascii="Arial" w:cs="Arial" w:eastAsia="Arial" w:hAnsi="Arial"/>
                <w:sz w:val="15"/>
                <w:szCs w:val="15"/>
                <w:color w:val="auto"/>
              </w:rPr>
              <w:t>(499)</w:t>
            </w:r>
          </w:p>
        </w:tc>
        <w:tc>
          <w:tcPr>
            <w:tcW w:w="1300" w:type="dxa"/>
            <w:vAlign w:val="bottom"/>
          </w:tcPr>
          <w:p>
            <w:pPr>
              <w:jc w:val="right"/>
              <w:ind w:right="124"/>
              <w:spacing w:after="0"/>
              <w:rPr>
                <w:sz w:val="20"/>
                <w:szCs w:val="20"/>
                <w:color w:val="auto"/>
              </w:rPr>
            </w:pPr>
            <w:r>
              <w:rPr>
                <w:rFonts w:ascii="Arial" w:cs="Arial" w:eastAsia="Arial" w:hAnsi="Arial"/>
                <w:sz w:val="15"/>
                <w:szCs w:val="15"/>
                <w:color w:val="auto"/>
              </w:rPr>
              <w:t>0</w:t>
            </w:r>
          </w:p>
        </w:tc>
        <w:tc>
          <w:tcPr>
            <w:tcW w:w="1720" w:type="dxa"/>
            <w:vAlign w:val="bottom"/>
          </w:tcPr>
          <w:p>
            <w:pPr>
              <w:spacing w:after="0"/>
              <w:rPr>
                <w:sz w:val="17"/>
                <w:szCs w:val="17"/>
                <w:color w:val="auto"/>
              </w:rPr>
            </w:pPr>
          </w:p>
        </w:tc>
      </w:tr>
      <w:tr>
        <w:trPr>
          <w:trHeight w:val="197"/>
        </w:trPr>
        <w:tc>
          <w:tcPr>
            <w:tcW w:w="3780" w:type="dxa"/>
            <w:vAlign w:val="bottom"/>
          </w:tcPr>
          <w:p>
            <w:pPr>
              <w:spacing w:after="0"/>
              <w:rPr>
                <w:sz w:val="20"/>
                <w:szCs w:val="20"/>
                <w:color w:val="auto"/>
              </w:rPr>
            </w:pPr>
            <w:r>
              <w:rPr>
                <w:rFonts w:ascii="Arial" w:cs="Arial" w:eastAsia="Arial" w:hAnsi="Arial"/>
                <w:sz w:val="15"/>
                <w:szCs w:val="15"/>
                <w:color w:val="auto"/>
              </w:rPr>
              <w:t>Interest</w:t>
            </w: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(2,786)</w:t>
            </w:r>
          </w:p>
        </w:tc>
        <w:tc>
          <w:tcPr>
            <w:tcW w:w="1340" w:type="dxa"/>
            <w:vAlign w:val="bottom"/>
          </w:tcPr>
          <w:p>
            <w:pPr>
              <w:jc w:val="right"/>
              <w:ind w:right="144"/>
              <w:spacing w:after="0"/>
              <w:rPr>
                <w:sz w:val="20"/>
                <w:szCs w:val="20"/>
                <w:color w:val="auto"/>
              </w:rPr>
            </w:pPr>
            <w:r>
              <w:rPr>
                <w:rFonts w:ascii="Arial" w:cs="Arial" w:eastAsia="Arial" w:hAnsi="Arial"/>
                <w:sz w:val="15"/>
                <w:szCs w:val="15"/>
                <w:color w:val="auto"/>
              </w:rPr>
              <w:t>13</w:t>
            </w:r>
          </w:p>
        </w:tc>
        <w:tc>
          <w:tcPr>
            <w:tcW w:w="1300" w:type="dxa"/>
            <w:vAlign w:val="bottom"/>
          </w:tcPr>
          <w:p>
            <w:pPr>
              <w:jc w:val="right"/>
              <w:ind w:right="64"/>
              <w:spacing w:after="0"/>
              <w:rPr>
                <w:sz w:val="20"/>
                <w:szCs w:val="20"/>
                <w:color w:val="auto"/>
              </w:rPr>
            </w:pPr>
            <w:r>
              <w:rPr>
                <w:rFonts w:ascii="Arial" w:cs="Arial" w:eastAsia="Arial" w:hAnsi="Arial"/>
                <w:sz w:val="15"/>
                <w:szCs w:val="15"/>
                <w:color w:val="auto"/>
              </w:rPr>
              <w:t>(2,773)</w:t>
            </w:r>
          </w:p>
        </w:tc>
        <w:tc>
          <w:tcPr>
            <w:tcW w:w="1720" w:type="dxa"/>
            <w:vAlign w:val="bottom"/>
          </w:tcPr>
          <w:p>
            <w:pPr>
              <w:jc w:val="right"/>
              <w:spacing w:after="0"/>
              <w:rPr>
                <w:sz w:val="20"/>
                <w:szCs w:val="20"/>
                <w:color w:val="auto"/>
              </w:rPr>
            </w:pPr>
            <w:r>
              <w:rPr>
                <w:rFonts w:ascii="Arial" w:cs="Arial" w:eastAsia="Arial" w:hAnsi="Arial"/>
                <w:sz w:val="15"/>
                <w:szCs w:val="15"/>
                <w:color w:val="auto"/>
              </w:rPr>
              <w:t>(620)</w:t>
            </w:r>
          </w:p>
        </w:tc>
      </w:tr>
      <w:tr>
        <w:trPr>
          <w:trHeight w:val="202"/>
        </w:trPr>
        <w:tc>
          <w:tcPr>
            <w:tcW w:w="3780" w:type="dxa"/>
            <w:vAlign w:val="bottom"/>
          </w:tcPr>
          <w:p>
            <w:pPr>
              <w:spacing w:after="0"/>
              <w:rPr>
                <w:sz w:val="20"/>
                <w:szCs w:val="20"/>
                <w:color w:val="auto"/>
              </w:rPr>
            </w:pPr>
            <w:r>
              <w:rPr>
                <w:rFonts w:ascii="Arial" w:cs="Arial" w:eastAsia="Arial" w:hAnsi="Arial"/>
                <w:sz w:val="15"/>
                <w:szCs w:val="15"/>
                <w:b w:val="1"/>
                <w:bCs w:val="1"/>
                <w:color w:val="auto"/>
              </w:rPr>
              <w:t>Total EBT Excluding Special Items</w:t>
            </w:r>
          </w:p>
        </w:tc>
        <w:tc>
          <w:tcPr>
            <w:tcW w:w="1360" w:type="dxa"/>
            <w:vAlign w:val="bottom"/>
          </w:tcPr>
          <w:p>
            <w:pPr>
              <w:jc w:val="right"/>
              <w:ind w:right="64"/>
              <w:spacing w:after="0"/>
              <w:rPr>
                <w:sz w:val="20"/>
                <w:szCs w:val="20"/>
                <w:color w:val="auto"/>
              </w:rPr>
            </w:pPr>
            <w:r>
              <w:rPr>
                <w:rFonts w:ascii="Arial" w:cs="Arial" w:eastAsia="Arial" w:hAnsi="Arial"/>
                <w:sz w:val="15"/>
                <w:szCs w:val="15"/>
                <w:b w:val="1"/>
                <w:bCs w:val="1"/>
                <w:color w:val="auto"/>
              </w:rPr>
              <w:t>(17,532)</w:t>
            </w:r>
          </w:p>
        </w:tc>
        <w:tc>
          <w:tcPr>
            <w:tcW w:w="1340" w:type="dxa"/>
            <w:vAlign w:val="bottom"/>
          </w:tcPr>
          <w:p>
            <w:pPr>
              <w:jc w:val="right"/>
              <w:ind w:right="84"/>
              <w:spacing w:after="0"/>
              <w:rPr>
                <w:sz w:val="20"/>
                <w:szCs w:val="20"/>
                <w:color w:val="auto"/>
              </w:rPr>
            </w:pPr>
            <w:r>
              <w:rPr>
                <w:rFonts w:ascii="Arial" w:cs="Arial" w:eastAsia="Arial" w:hAnsi="Arial"/>
                <w:sz w:val="15"/>
                <w:szCs w:val="15"/>
                <w:b w:val="1"/>
                <w:bCs w:val="1"/>
                <w:color w:val="auto"/>
              </w:rPr>
              <w:t>(1,807)</w:t>
            </w:r>
          </w:p>
        </w:tc>
        <w:tc>
          <w:tcPr>
            <w:tcW w:w="1300" w:type="dxa"/>
            <w:vAlign w:val="bottom"/>
          </w:tcPr>
          <w:p>
            <w:pPr>
              <w:jc w:val="right"/>
              <w:ind w:right="64"/>
              <w:spacing w:after="0"/>
              <w:rPr>
                <w:sz w:val="20"/>
                <w:szCs w:val="20"/>
                <w:color w:val="auto"/>
              </w:rPr>
            </w:pPr>
            <w:r>
              <w:rPr>
                <w:rFonts w:ascii="Arial" w:cs="Arial" w:eastAsia="Arial" w:hAnsi="Arial"/>
                <w:sz w:val="15"/>
                <w:szCs w:val="15"/>
                <w:b w:val="1"/>
                <w:bCs w:val="1"/>
                <w:color w:val="auto"/>
              </w:rPr>
              <w:t>(19,339)</w:t>
            </w:r>
          </w:p>
        </w:tc>
        <w:tc>
          <w:tcPr>
            <w:tcW w:w="1720" w:type="dxa"/>
            <w:vAlign w:val="bottom"/>
          </w:tcPr>
          <w:p>
            <w:pPr>
              <w:jc w:val="right"/>
              <w:spacing w:after="0"/>
              <w:rPr>
                <w:sz w:val="20"/>
                <w:szCs w:val="20"/>
                <w:color w:val="auto"/>
              </w:rPr>
            </w:pPr>
            <w:r>
              <w:rPr>
                <w:rFonts w:ascii="Arial" w:cs="Arial" w:eastAsia="Arial" w:hAnsi="Arial"/>
                <w:sz w:val="15"/>
                <w:szCs w:val="15"/>
                <w:b w:val="1"/>
                <w:bCs w:val="1"/>
                <w:color w:val="auto"/>
              </w:rPr>
              <w:t>(4,199)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right="780" w:hanging="139"/>
        <w:spacing w:after="0" w:line="253" w:lineRule="auto"/>
        <w:tabs>
          <w:tab w:leader="none" w:pos="164" w:val="left"/>
        </w:tabs>
        <w:numPr>
          <w:ilvl w:val="0"/>
          <w:numId w:val="31"/>
        </w:numPr>
        <w:rPr>
          <w:rFonts w:ascii="Arial" w:cs="Arial" w:eastAsia="Arial" w:hAnsi="Arial"/>
          <w:sz w:val="19"/>
          <w:szCs w:val="19"/>
          <w:color w:val="auto"/>
        </w:rPr>
      </w:pPr>
      <w:r>
        <w:rPr>
          <w:rFonts w:ascii="Arial" w:cs="Arial" w:eastAsia="Arial" w:hAnsi="Arial"/>
          <w:sz w:val="19"/>
          <w:szCs w:val="19"/>
          <w:color w:val="auto"/>
        </w:rPr>
        <w:t>Adjusted to include Jun – Dec 2009 consolidation of GME, reclassification of equity income and minority interest to EBIT and inclusion of FIO EBT</w:t>
      </w:r>
    </w:p>
    <w:p>
      <w:pPr>
        <w:spacing w:after="0" w:line="127" w:lineRule="exact"/>
        <w:rPr>
          <w:sz w:val="20"/>
          <w:szCs w:val="20"/>
          <w:color w:val="auto"/>
        </w:rPr>
      </w:pPr>
    </w:p>
    <w:p>
      <w:pPr>
        <w:spacing w:after="0"/>
        <w:tabs>
          <w:tab w:leader="none" w:pos="28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GMAC excluded from 5/31/2009 Viability Plan</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S-1</w:t>
      </w:r>
    </w:p>
    <w:p>
      <w:pPr>
        <w:sectPr>
          <w:pgSz w:w="11900" w:h="16838" w:orient="portrait"/>
          <w:cols w:equalWidth="0" w:num="1">
            <w:col w:w="10220"/>
          </w:cols>
          <w:pgMar w:left="480" w:top="435" w:right="1199" w:bottom="1440" w:gutter="0" w:footer="0" w:header="0"/>
        </w:sectPr>
      </w:pPr>
    </w:p>
    <w:bookmarkStart w:id="56" w:name="page57"/>
    <w:bookmarkEnd w:id="56"/>
    <w:p>
      <w:pPr>
        <w:ind w:left="9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11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4405" cy="5114290"/>
                    </a:xfrm>
                    <a:prstGeom prst="rect">
                      <a:avLst/>
                    </a:prstGeom>
                    <a:noFill/>
                  </pic:spPr>
                </pic:pic>
              </a:graphicData>
            </a:graphic>
          </wp:anchor>
        </w:drawing>
        <w:t>Viability Plan Filed in Support of 363 Sale – Managerial OCF</w:t>
      </w:r>
    </w:p>
    <w:p>
      <w:pPr>
        <w:spacing w:after="0" w:line="92" w:lineRule="exact"/>
        <w:rPr>
          <w:sz w:val="20"/>
          <w:szCs w:val="20"/>
          <w:color w:val="auto"/>
        </w:rPr>
      </w:pPr>
    </w:p>
    <w:p>
      <w:pPr>
        <w:ind w:left="1020"/>
        <w:spacing w:after="0"/>
        <w:rPr>
          <w:sz w:val="20"/>
          <w:szCs w:val="20"/>
          <w:color w:val="auto"/>
        </w:rPr>
      </w:pPr>
      <w:r>
        <w:rPr>
          <w:rFonts w:ascii="Arial" w:cs="Arial" w:eastAsia="Arial" w:hAnsi="Arial"/>
          <w:sz w:val="28"/>
          <w:szCs w:val="28"/>
          <w:b w:val="1"/>
          <w:bCs w:val="1"/>
          <w:color w:val="auto"/>
        </w:rPr>
        <w:t>Adjusted to Include Full Year Consolidation of GME &amp; Other Items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460" w:type="dxa"/>
            <w:vAlign w:val="bottom"/>
          </w:tcPr>
          <w:p>
            <w:pPr>
              <w:jc w:val="center"/>
              <w:ind w:left="304"/>
              <w:spacing w:after="0"/>
              <w:rPr>
                <w:sz w:val="20"/>
                <w:szCs w:val="20"/>
                <w:color w:val="auto"/>
              </w:rPr>
            </w:pPr>
            <w:r>
              <w:rPr>
                <w:rFonts w:ascii="Arial" w:cs="Arial" w:eastAsia="Arial" w:hAnsi="Arial"/>
                <w:sz w:val="15"/>
                <w:szCs w:val="15"/>
                <w:color w:val="auto"/>
              </w:rPr>
              <w:t>5/31/2009</w:t>
            </w:r>
          </w:p>
        </w:tc>
        <w:tc>
          <w:tcPr>
            <w:tcW w:w="1060" w:type="dxa"/>
            <w:vAlign w:val="bottom"/>
          </w:tcPr>
          <w:p>
            <w:pPr>
              <w:spacing w:after="0"/>
              <w:rPr>
                <w:sz w:val="16"/>
                <w:szCs w:val="16"/>
                <w:color w:val="auto"/>
              </w:rPr>
            </w:pPr>
          </w:p>
        </w:tc>
        <w:tc>
          <w:tcPr>
            <w:tcW w:w="1160" w:type="dxa"/>
            <w:vAlign w:val="bottom"/>
          </w:tcPr>
          <w:p>
            <w:pPr>
              <w:jc w:val="center"/>
              <w:ind w:right="44"/>
              <w:spacing w:after="0"/>
              <w:rPr>
                <w:sz w:val="20"/>
                <w:szCs w:val="20"/>
                <w:color w:val="auto"/>
              </w:rPr>
            </w:pPr>
            <w:r>
              <w:rPr>
                <w:rFonts w:ascii="Arial" w:cs="Arial" w:eastAsia="Arial" w:hAnsi="Arial"/>
                <w:sz w:val="15"/>
                <w:szCs w:val="15"/>
                <w:color w:val="auto"/>
              </w:rPr>
              <w:t>Adjusted</w:t>
            </w:r>
          </w:p>
        </w:tc>
        <w:tc>
          <w:tcPr>
            <w:tcW w:w="1820" w:type="dxa"/>
            <w:vAlign w:val="bottom"/>
          </w:tcPr>
          <w:p>
            <w:pPr>
              <w:jc w:val="center"/>
              <w:ind w:left="44"/>
              <w:spacing w:after="0"/>
              <w:rPr>
                <w:sz w:val="20"/>
                <w:szCs w:val="20"/>
                <w:color w:val="auto"/>
              </w:rPr>
            </w:pPr>
            <w:r>
              <w:rPr>
                <w:rFonts w:ascii="Arial" w:cs="Arial" w:eastAsia="Arial" w:hAnsi="Arial"/>
                <w:sz w:val="15"/>
                <w:szCs w:val="15"/>
                <w:color w:val="auto"/>
              </w:rPr>
              <w:t>Memo:</w:t>
            </w:r>
          </w:p>
        </w:tc>
      </w:tr>
      <w:tr>
        <w:trPr>
          <w:trHeight w:val="200"/>
        </w:trPr>
        <w:tc>
          <w:tcPr>
            <w:tcW w:w="4480" w:type="dxa"/>
            <w:vAlign w:val="bottom"/>
          </w:tcPr>
          <w:p>
            <w:pPr>
              <w:spacing w:after="0"/>
              <w:rPr>
                <w:sz w:val="17"/>
                <w:szCs w:val="17"/>
                <w:color w:val="auto"/>
              </w:rPr>
            </w:pPr>
          </w:p>
        </w:tc>
        <w:tc>
          <w:tcPr>
            <w:tcW w:w="1460" w:type="dxa"/>
            <w:vAlign w:val="bottom"/>
          </w:tcPr>
          <w:p>
            <w:pPr>
              <w:jc w:val="center"/>
              <w:ind w:left="284"/>
              <w:spacing w:after="0"/>
              <w:rPr>
                <w:sz w:val="20"/>
                <w:szCs w:val="20"/>
                <w:color w:val="auto"/>
              </w:rPr>
            </w:pPr>
            <w:r>
              <w:rPr>
                <w:rFonts w:ascii="Arial" w:cs="Arial" w:eastAsia="Arial" w:hAnsi="Arial"/>
                <w:sz w:val="15"/>
                <w:szCs w:val="15"/>
                <w:color w:val="auto"/>
              </w:rPr>
              <w:t>Viability Plan</w:t>
            </w:r>
          </w:p>
        </w:tc>
        <w:tc>
          <w:tcPr>
            <w:tcW w:w="1060" w:type="dxa"/>
            <w:vAlign w:val="bottom"/>
          </w:tcPr>
          <w:p>
            <w:pPr>
              <w:spacing w:after="0"/>
              <w:rPr>
                <w:sz w:val="17"/>
                <w:szCs w:val="17"/>
                <w:color w:val="auto"/>
              </w:rPr>
            </w:pPr>
          </w:p>
        </w:tc>
        <w:tc>
          <w:tcPr>
            <w:tcW w:w="1160" w:type="dxa"/>
            <w:vAlign w:val="bottom"/>
          </w:tcPr>
          <w:p>
            <w:pPr>
              <w:jc w:val="center"/>
              <w:ind w:right="64"/>
              <w:spacing w:after="0"/>
              <w:rPr>
                <w:sz w:val="20"/>
                <w:szCs w:val="20"/>
                <w:color w:val="auto"/>
              </w:rPr>
            </w:pPr>
            <w:r>
              <w:rPr>
                <w:rFonts w:ascii="Arial" w:cs="Arial" w:eastAsia="Arial" w:hAnsi="Arial"/>
                <w:sz w:val="15"/>
                <w:szCs w:val="15"/>
                <w:color w:val="auto"/>
              </w:rPr>
              <w:t>Viability Plan</w:t>
            </w:r>
          </w:p>
        </w:tc>
        <w:tc>
          <w:tcPr>
            <w:tcW w:w="1820" w:type="dxa"/>
            <w:vAlign w:val="bottom"/>
          </w:tcPr>
          <w:p>
            <w:pPr>
              <w:jc w:val="center"/>
              <w:ind w:left="4"/>
              <w:spacing w:after="0"/>
              <w:rPr>
                <w:sz w:val="20"/>
                <w:szCs w:val="20"/>
                <w:color w:val="auto"/>
              </w:rPr>
            </w:pPr>
            <w:r>
              <w:rPr>
                <w:rFonts w:ascii="Arial" w:cs="Arial" w:eastAsia="Arial" w:hAnsi="Arial"/>
                <w:sz w:val="15"/>
                <w:szCs w:val="15"/>
                <w:color w:val="auto"/>
              </w:rPr>
              <w:t>Adjusted Viability Plan</w:t>
            </w:r>
          </w:p>
        </w:tc>
      </w:tr>
      <w:tr>
        <w:trPr>
          <w:trHeight w:val="200"/>
        </w:trPr>
        <w:tc>
          <w:tcPr>
            <w:tcW w:w="4480" w:type="dxa"/>
            <w:vAlign w:val="bottom"/>
          </w:tcPr>
          <w:p>
            <w:pPr>
              <w:spacing w:after="0"/>
              <w:rPr>
                <w:sz w:val="20"/>
                <w:szCs w:val="20"/>
                <w:color w:val="auto"/>
              </w:rPr>
            </w:pPr>
            <w:r>
              <w:rPr>
                <w:rFonts w:ascii="Arial" w:cs="Arial" w:eastAsia="Arial" w:hAnsi="Arial"/>
                <w:sz w:val="14"/>
                <w:szCs w:val="14"/>
                <w:b w:val="1"/>
                <w:bCs w:val="1"/>
                <w:i w:val="1"/>
                <w:iCs w:val="1"/>
                <w:color w:val="auto"/>
              </w:rPr>
              <w:t>$ Billions</w:t>
            </w:r>
          </w:p>
        </w:tc>
        <w:tc>
          <w:tcPr>
            <w:tcW w:w="1460" w:type="dxa"/>
            <w:vAlign w:val="bottom"/>
          </w:tcPr>
          <w:p>
            <w:pPr>
              <w:jc w:val="center"/>
              <w:ind w:left="304"/>
              <w:spacing w:after="0"/>
              <w:rPr>
                <w:sz w:val="20"/>
                <w:szCs w:val="20"/>
                <w:color w:val="auto"/>
              </w:rPr>
            </w:pPr>
            <w:r>
              <w:rPr>
                <w:rFonts w:ascii="Arial" w:cs="Arial" w:eastAsia="Arial" w:hAnsi="Arial"/>
                <w:sz w:val="15"/>
                <w:szCs w:val="15"/>
                <w:color w:val="auto"/>
              </w:rPr>
              <w:t>CY 2009</w:t>
            </w:r>
          </w:p>
        </w:tc>
        <w:tc>
          <w:tcPr>
            <w:tcW w:w="1060" w:type="dxa"/>
            <w:vAlign w:val="bottom"/>
          </w:tcPr>
          <w:p>
            <w:pPr>
              <w:ind w:left="80"/>
              <w:spacing w:after="0"/>
              <w:rPr>
                <w:sz w:val="20"/>
                <w:szCs w:val="20"/>
                <w:color w:val="auto"/>
              </w:rPr>
            </w:pPr>
            <w:r>
              <w:rPr>
                <w:rFonts w:ascii="Arial" w:cs="Arial" w:eastAsia="Arial" w:hAnsi="Arial"/>
                <w:sz w:val="15"/>
                <w:szCs w:val="15"/>
                <w:color w:val="auto"/>
              </w:rPr>
              <w:t>Adjustments</w:t>
            </w:r>
          </w:p>
        </w:tc>
        <w:tc>
          <w:tcPr>
            <w:tcW w:w="1160" w:type="dxa"/>
            <w:vAlign w:val="bottom"/>
          </w:tcPr>
          <w:p>
            <w:pPr>
              <w:jc w:val="center"/>
              <w:ind w:right="44"/>
              <w:spacing w:after="0"/>
              <w:rPr>
                <w:sz w:val="20"/>
                <w:szCs w:val="20"/>
                <w:color w:val="auto"/>
              </w:rPr>
            </w:pPr>
            <w:r>
              <w:rPr>
                <w:rFonts w:ascii="Arial" w:cs="Arial" w:eastAsia="Arial" w:hAnsi="Arial"/>
                <w:sz w:val="15"/>
                <w:szCs w:val="15"/>
                <w:color w:val="auto"/>
              </w:rPr>
              <w:t>CY 2009</w:t>
            </w:r>
          </w:p>
        </w:tc>
        <w:tc>
          <w:tcPr>
            <w:tcW w:w="1820" w:type="dxa"/>
            <w:vAlign w:val="bottom"/>
          </w:tcPr>
          <w:p>
            <w:pPr>
              <w:jc w:val="center"/>
              <w:ind w:left="44"/>
              <w:spacing w:after="0"/>
              <w:rPr>
                <w:sz w:val="20"/>
                <w:szCs w:val="20"/>
                <w:color w:val="auto"/>
              </w:rPr>
            </w:pPr>
            <w:r>
              <w:rPr>
                <w:rFonts w:ascii="Arial" w:cs="Arial" w:eastAsia="Arial" w:hAnsi="Arial"/>
                <w:sz w:val="15"/>
                <w:szCs w:val="15"/>
                <w:color w:val="auto"/>
              </w:rPr>
              <w:t>3Q 2009</w:t>
            </w:r>
          </w:p>
        </w:tc>
      </w:tr>
      <w:tr>
        <w:trPr>
          <w:trHeight w:val="270"/>
        </w:trPr>
        <w:tc>
          <w:tcPr>
            <w:tcW w:w="4480" w:type="dxa"/>
            <w:vAlign w:val="bottom"/>
          </w:tcPr>
          <w:p>
            <w:pPr>
              <w:spacing w:after="0"/>
              <w:rPr>
                <w:sz w:val="20"/>
                <w:szCs w:val="20"/>
                <w:color w:val="auto"/>
              </w:rPr>
            </w:pPr>
            <w:r>
              <w:rPr>
                <w:rFonts w:ascii="Arial" w:cs="Arial" w:eastAsia="Arial" w:hAnsi="Arial"/>
                <w:sz w:val="14"/>
                <w:szCs w:val="14"/>
                <w:b w:val="1"/>
                <w:bCs w:val="1"/>
                <w:color w:val="auto"/>
              </w:rPr>
              <w:t>Total EBT Excluding Special Items</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(17.5)</w:t>
            </w:r>
          </w:p>
        </w:tc>
        <w:tc>
          <w:tcPr>
            <w:tcW w:w="1060" w:type="dxa"/>
            <w:vAlign w:val="bottom"/>
          </w:tcPr>
          <w:p>
            <w:pPr>
              <w:ind w:left="680"/>
              <w:spacing w:after="0"/>
              <w:rPr>
                <w:sz w:val="20"/>
                <w:szCs w:val="20"/>
                <w:color w:val="auto"/>
              </w:rPr>
            </w:pPr>
            <w:r>
              <w:rPr>
                <w:rFonts w:ascii="Arial" w:cs="Arial" w:eastAsia="Arial" w:hAnsi="Arial"/>
                <w:sz w:val="15"/>
                <w:szCs w:val="15"/>
                <w:b w:val="1"/>
                <w:bCs w:val="1"/>
                <w:color w:val="auto"/>
              </w:rPr>
              <w:t>(1.8)</w:t>
            </w:r>
          </w:p>
        </w:tc>
        <w:tc>
          <w:tcPr>
            <w:tcW w:w="1160" w:type="dxa"/>
            <w:vAlign w:val="bottom"/>
          </w:tcPr>
          <w:p>
            <w:pPr>
              <w:jc w:val="right"/>
              <w:ind w:right="104"/>
              <w:spacing w:after="0"/>
              <w:rPr>
                <w:sz w:val="20"/>
                <w:szCs w:val="20"/>
                <w:color w:val="auto"/>
              </w:rPr>
            </w:pPr>
            <w:r>
              <w:rPr>
                <w:rFonts w:ascii="Arial" w:cs="Arial" w:eastAsia="Arial" w:hAnsi="Arial"/>
                <w:sz w:val="15"/>
                <w:szCs w:val="15"/>
                <w:b w:val="1"/>
                <w:bCs w:val="1"/>
                <w:color w:val="auto"/>
              </w:rPr>
              <w:t>(19.3)</w:t>
            </w:r>
          </w:p>
        </w:tc>
        <w:tc>
          <w:tcPr>
            <w:tcW w:w="1820" w:type="dxa"/>
            <w:vAlign w:val="bottom"/>
          </w:tcPr>
          <w:p>
            <w:pPr>
              <w:jc w:val="right"/>
              <w:spacing w:after="0"/>
              <w:rPr>
                <w:sz w:val="20"/>
                <w:szCs w:val="20"/>
                <w:color w:val="auto"/>
              </w:rPr>
            </w:pPr>
            <w:r>
              <w:rPr>
                <w:rFonts w:ascii="Arial" w:cs="Arial" w:eastAsia="Arial" w:hAnsi="Arial"/>
                <w:sz w:val="15"/>
                <w:szCs w:val="15"/>
                <w:b w:val="1"/>
                <w:bCs w:val="1"/>
                <w:color w:val="auto"/>
              </w:rPr>
              <w:t>(4.2)</w:t>
            </w:r>
          </w:p>
        </w:tc>
      </w:tr>
      <w:tr>
        <w:trPr>
          <w:trHeight w:val="329"/>
        </w:trPr>
        <w:tc>
          <w:tcPr>
            <w:tcW w:w="4480" w:type="dxa"/>
            <w:vAlign w:val="bottom"/>
          </w:tcPr>
          <w:p>
            <w:pPr>
              <w:spacing w:after="0"/>
              <w:rPr>
                <w:sz w:val="20"/>
                <w:szCs w:val="20"/>
                <w:color w:val="auto"/>
              </w:rPr>
            </w:pPr>
            <w:r>
              <w:rPr>
                <w:rFonts w:ascii="Arial" w:cs="Arial" w:eastAsia="Arial" w:hAnsi="Arial"/>
                <w:sz w:val="14"/>
                <w:szCs w:val="14"/>
                <w:color w:val="auto"/>
              </w:rPr>
              <w:t>Depreciation &amp; Amortization</w:t>
            </w: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7.7</w:t>
            </w:r>
          </w:p>
        </w:tc>
        <w:tc>
          <w:tcPr>
            <w:tcW w:w="1060" w:type="dxa"/>
            <w:vAlign w:val="bottom"/>
          </w:tcPr>
          <w:p>
            <w:pPr>
              <w:ind w:left="720"/>
              <w:spacing w:after="0"/>
              <w:rPr>
                <w:sz w:val="20"/>
                <w:szCs w:val="20"/>
                <w:color w:val="auto"/>
              </w:rPr>
            </w:pPr>
            <w:r>
              <w:rPr>
                <w:rFonts w:ascii="Arial" w:cs="Arial" w:eastAsia="Arial" w:hAnsi="Arial"/>
                <w:sz w:val="15"/>
                <w:szCs w:val="15"/>
                <w:color w:val="auto"/>
              </w:rPr>
              <w:t>1.6</w:t>
            </w: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9.3</w:t>
            </w:r>
          </w:p>
        </w:tc>
        <w:tc>
          <w:tcPr>
            <w:tcW w:w="1820" w:type="dxa"/>
            <w:vAlign w:val="bottom"/>
          </w:tcPr>
          <w:p>
            <w:pPr>
              <w:jc w:val="right"/>
              <w:spacing w:after="0"/>
              <w:rPr>
                <w:sz w:val="20"/>
                <w:szCs w:val="20"/>
                <w:color w:val="auto"/>
              </w:rPr>
            </w:pPr>
            <w:r>
              <w:rPr>
                <w:rFonts w:ascii="Arial" w:cs="Arial" w:eastAsia="Arial" w:hAnsi="Arial"/>
                <w:sz w:val="15"/>
                <w:szCs w:val="15"/>
                <w:color w:val="auto"/>
              </w:rPr>
              <w:t>2.3</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Capital Expenditures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(5.0)</w:t>
            </w:r>
          </w:p>
        </w:tc>
        <w:tc>
          <w:tcPr>
            <w:tcW w:w="1060" w:type="dxa"/>
            <w:vAlign w:val="bottom"/>
          </w:tcPr>
          <w:p>
            <w:pPr>
              <w:ind w:left="680"/>
              <w:spacing w:after="0"/>
              <w:rPr>
                <w:sz w:val="20"/>
                <w:szCs w:val="20"/>
                <w:color w:val="auto"/>
              </w:rPr>
            </w:pPr>
            <w:r>
              <w:rPr>
                <w:rFonts w:ascii="Arial" w:cs="Arial" w:eastAsia="Arial" w:hAnsi="Arial"/>
                <w:sz w:val="15"/>
                <w:szCs w:val="15"/>
                <w:color w:val="auto"/>
              </w:rPr>
              <w:t>(1.0)</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(6.0)</w:t>
            </w:r>
          </w:p>
        </w:tc>
        <w:tc>
          <w:tcPr>
            <w:tcW w:w="182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Change in Receivables, Payables &amp; Inventory</w:t>
            </w: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1060" w:type="dxa"/>
            <w:vAlign w:val="bottom"/>
          </w:tcPr>
          <w:p>
            <w:pPr>
              <w:ind w:left="720"/>
              <w:spacing w:after="0"/>
              <w:rPr>
                <w:sz w:val="20"/>
                <w:szCs w:val="20"/>
                <w:color w:val="auto"/>
              </w:rPr>
            </w:pPr>
            <w:r>
              <w:rPr>
                <w:rFonts w:ascii="Arial" w:cs="Arial" w:eastAsia="Arial" w:hAnsi="Arial"/>
                <w:sz w:val="15"/>
                <w:szCs w:val="15"/>
                <w:color w:val="auto"/>
              </w:rPr>
              <w:t>0.9</w:t>
            </w: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1.9</w:t>
            </w:r>
          </w:p>
        </w:tc>
        <w:tc>
          <w:tcPr>
            <w:tcW w:w="182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Pension &amp; OPEB Expense, (Net of Payments)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(5.8)</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(5.8)</w:t>
            </w:r>
          </w:p>
        </w:tc>
        <w:tc>
          <w:tcPr>
            <w:tcW w:w="182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197"/>
        </w:trPr>
        <w:tc>
          <w:tcPr>
            <w:tcW w:w="4480" w:type="dxa"/>
            <w:vAlign w:val="bottom"/>
          </w:tcPr>
          <w:p>
            <w:pPr>
              <w:spacing w:after="0"/>
              <w:rPr>
                <w:sz w:val="20"/>
                <w:szCs w:val="20"/>
                <w:color w:val="auto"/>
              </w:rPr>
            </w:pPr>
            <w:r>
              <w:rPr>
                <w:rFonts w:ascii="Arial" w:cs="Arial" w:eastAsia="Arial" w:hAnsi="Arial"/>
                <w:sz w:val="14"/>
                <w:szCs w:val="14"/>
                <w:color w:val="auto"/>
              </w:rPr>
              <w:t>Accrued Expenses &amp; Other</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(6.2)</w:t>
            </w:r>
          </w:p>
        </w:tc>
        <w:tc>
          <w:tcPr>
            <w:tcW w:w="1060" w:type="dxa"/>
            <w:vAlign w:val="bottom"/>
          </w:tcPr>
          <w:p>
            <w:pPr>
              <w:ind w:left="680"/>
              <w:spacing w:after="0"/>
              <w:rPr>
                <w:sz w:val="20"/>
                <w:szCs w:val="20"/>
                <w:color w:val="auto"/>
              </w:rPr>
            </w:pPr>
            <w:r>
              <w:rPr>
                <w:rFonts w:ascii="Arial" w:cs="Arial" w:eastAsia="Arial" w:hAnsi="Arial"/>
                <w:sz w:val="15"/>
                <w:szCs w:val="15"/>
                <w:color w:val="auto"/>
              </w:rPr>
              <w:t>(0.9)</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(7.1)</w:t>
            </w:r>
          </w:p>
        </w:tc>
        <w:tc>
          <w:tcPr>
            <w:tcW w:w="1820" w:type="dxa"/>
            <w:vAlign w:val="bottom"/>
          </w:tcPr>
          <w:p>
            <w:pPr>
              <w:jc w:val="right"/>
              <w:spacing w:after="0"/>
              <w:rPr>
                <w:sz w:val="20"/>
                <w:szCs w:val="20"/>
                <w:color w:val="auto"/>
              </w:rPr>
            </w:pPr>
            <w:r>
              <w:rPr>
                <w:rFonts w:ascii="Arial" w:cs="Arial" w:eastAsia="Arial" w:hAnsi="Arial"/>
                <w:sz w:val="15"/>
                <w:szCs w:val="15"/>
                <w:color w:val="auto"/>
              </w:rPr>
              <w:t>(0.5)</w:t>
            </w:r>
          </w:p>
        </w:tc>
      </w:tr>
      <w:tr>
        <w:trPr>
          <w:trHeight w:val="202"/>
        </w:trPr>
        <w:tc>
          <w:tcPr>
            <w:tcW w:w="4480" w:type="dxa"/>
            <w:vAlign w:val="bottom"/>
          </w:tcPr>
          <w:p>
            <w:pPr>
              <w:spacing w:after="0"/>
              <w:rPr>
                <w:sz w:val="20"/>
                <w:szCs w:val="20"/>
                <w:color w:val="auto"/>
              </w:rPr>
            </w:pPr>
            <w:r>
              <w:rPr>
                <w:rFonts w:ascii="Arial" w:cs="Arial" w:eastAsia="Arial" w:hAnsi="Arial"/>
                <w:sz w:val="14"/>
                <w:szCs w:val="14"/>
                <w:b w:val="1"/>
                <w:bCs w:val="1"/>
                <w:color w:val="auto"/>
              </w:rPr>
              <w:t>Managerial Operating Cash Flow</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(25.8)</w:t>
            </w:r>
          </w:p>
        </w:tc>
        <w:tc>
          <w:tcPr>
            <w:tcW w:w="1060" w:type="dxa"/>
            <w:vAlign w:val="bottom"/>
          </w:tcPr>
          <w:p>
            <w:pPr>
              <w:ind w:left="680"/>
              <w:spacing w:after="0"/>
              <w:rPr>
                <w:sz w:val="20"/>
                <w:szCs w:val="20"/>
                <w:color w:val="auto"/>
              </w:rPr>
            </w:pPr>
            <w:r>
              <w:rPr>
                <w:rFonts w:ascii="Arial" w:cs="Arial" w:eastAsia="Arial" w:hAnsi="Arial"/>
                <w:sz w:val="15"/>
                <w:szCs w:val="15"/>
                <w:b w:val="1"/>
                <w:bCs w:val="1"/>
                <w:color w:val="auto"/>
              </w:rPr>
              <w:t>(1.2)</w:t>
            </w:r>
          </w:p>
        </w:tc>
        <w:tc>
          <w:tcPr>
            <w:tcW w:w="1160" w:type="dxa"/>
            <w:vAlign w:val="bottom"/>
          </w:tcPr>
          <w:p>
            <w:pPr>
              <w:jc w:val="right"/>
              <w:ind w:right="104"/>
              <w:spacing w:after="0"/>
              <w:rPr>
                <w:sz w:val="20"/>
                <w:szCs w:val="20"/>
                <w:color w:val="auto"/>
              </w:rPr>
            </w:pPr>
            <w:r>
              <w:rPr>
                <w:rFonts w:ascii="Arial" w:cs="Arial" w:eastAsia="Arial" w:hAnsi="Arial"/>
                <w:sz w:val="15"/>
                <w:szCs w:val="15"/>
                <w:b w:val="1"/>
                <w:bCs w:val="1"/>
                <w:color w:val="auto"/>
              </w:rPr>
              <w:t>(27.0)</w:t>
            </w:r>
          </w:p>
        </w:tc>
        <w:tc>
          <w:tcPr>
            <w:tcW w:w="1820" w:type="dxa"/>
            <w:vAlign w:val="bottom"/>
          </w:tcPr>
          <w:p>
            <w:pPr>
              <w:jc w:val="right"/>
              <w:spacing w:after="0"/>
              <w:rPr>
                <w:sz w:val="20"/>
                <w:szCs w:val="20"/>
                <w:color w:val="auto"/>
              </w:rPr>
            </w:pPr>
            <w:r>
              <w:rPr>
                <w:rFonts w:ascii="Arial" w:cs="Arial" w:eastAsia="Arial" w:hAnsi="Arial"/>
                <w:sz w:val="15"/>
                <w:szCs w:val="15"/>
                <w:b w:val="1"/>
                <w:bCs w:val="1"/>
                <w:color w:val="auto"/>
              </w:rPr>
              <w:t>(4.2)</w:t>
            </w:r>
          </w:p>
        </w:tc>
      </w:tr>
      <w:tr>
        <w:trPr>
          <w:trHeight w:val="329"/>
        </w:trPr>
        <w:tc>
          <w:tcPr>
            <w:tcW w:w="4480" w:type="dxa"/>
            <w:vAlign w:val="bottom"/>
          </w:tcPr>
          <w:p>
            <w:pPr>
              <w:spacing w:after="0"/>
              <w:rPr>
                <w:sz w:val="20"/>
                <w:szCs w:val="20"/>
                <w:color w:val="auto"/>
              </w:rPr>
            </w:pPr>
            <w:r>
              <w:rPr>
                <w:rFonts w:ascii="Arial" w:cs="Arial" w:eastAsia="Arial" w:hAnsi="Arial"/>
                <w:sz w:val="14"/>
                <w:szCs w:val="14"/>
                <w:color w:val="auto"/>
              </w:rPr>
              <w:t>Asset Sales</w:t>
            </w: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0.1</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0.1</w:t>
            </w:r>
          </w:p>
        </w:tc>
        <w:tc>
          <w:tcPr>
            <w:tcW w:w="182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Delphi Impact</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(3.7)</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(3.7)</w:t>
            </w:r>
          </w:p>
        </w:tc>
        <w:tc>
          <w:tcPr>
            <w:tcW w:w="1820" w:type="dxa"/>
            <w:vAlign w:val="bottom"/>
          </w:tcPr>
          <w:p>
            <w:pPr>
              <w:jc w:val="right"/>
              <w:spacing w:after="0"/>
              <w:rPr>
                <w:sz w:val="20"/>
                <w:szCs w:val="20"/>
                <w:color w:val="auto"/>
              </w:rPr>
            </w:pPr>
            <w:r>
              <w:rPr>
                <w:rFonts w:ascii="Arial" w:cs="Arial" w:eastAsia="Arial" w:hAnsi="Arial"/>
                <w:sz w:val="15"/>
                <w:szCs w:val="15"/>
                <w:color w:val="auto"/>
              </w:rPr>
              <w:t>(3.0)</w:t>
            </w:r>
          </w:p>
        </w:tc>
      </w:tr>
      <w:tr>
        <w:trPr>
          <w:trHeight w:val="197"/>
        </w:trPr>
        <w:tc>
          <w:tcPr>
            <w:tcW w:w="4480" w:type="dxa"/>
            <w:vAlign w:val="bottom"/>
          </w:tcPr>
          <w:p>
            <w:pPr>
              <w:spacing w:after="0"/>
              <w:rPr>
                <w:sz w:val="20"/>
                <w:szCs w:val="20"/>
                <w:color w:val="auto"/>
              </w:rPr>
            </w:pPr>
            <w:r>
              <w:rPr>
                <w:rFonts w:ascii="Arial" w:cs="Arial" w:eastAsia="Arial" w:hAnsi="Arial"/>
                <w:sz w:val="14"/>
                <w:szCs w:val="14"/>
                <w:color w:val="auto"/>
              </w:rPr>
              <w:t>Cash Restructuring Costs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(4.2)</w:t>
            </w:r>
          </w:p>
        </w:tc>
        <w:tc>
          <w:tcPr>
            <w:tcW w:w="1060" w:type="dxa"/>
            <w:vAlign w:val="bottom"/>
          </w:tcPr>
          <w:p>
            <w:pPr>
              <w:ind w:left="680"/>
              <w:spacing w:after="0"/>
              <w:rPr>
                <w:sz w:val="20"/>
                <w:szCs w:val="20"/>
                <w:color w:val="auto"/>
              </w:rPr>
            </w:pPr>
            <w:r>
              <w:rPr>
                <w:rFonts w:ascii="Arial" w:cs="Arial" w:eastAsia="Arial" w:hAnsi="Arial"/>
                <w:sz w:val="15"/>
                <w:szCs w:val="15"/>
                <w:color w:val="auto"/>
              </w:rPr>
              <w:t>(1.2)</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(5.4)</w:t>
            </w:r>
          </w:p>
        </w:tc>
        <w:tc>
          <w:tcPr>
            <w:tcW w:w="182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202"/>
        </w:trPr>
        <w:tc>
          <w:tcPr>
            <w:tcW w:w="4480" w:type="dxa"/>
            <w:vAlign w:val="bottom"/>
          </w:tcPr>
          <w:p>
            <w:pPr>
              <w:spacing w:after="0"/>
              <w:rPr>
                <w:sz w:val="20"/>
                <w:szCs w:val="20"/>
                <w:color w:val="auto"/>
              </w:rPr>
            </w:pPr>
            <w:r>
              <w:rPr>
                <w:rFonts w:ascii="Arial" w:cs="Arial" w:eastAsia="Arial" w:hAnsi="Arial"/>
                <w:sz w:val="14"/>
                <w:szCs w:val="14"/>
                <w:b w:val="1"/>
                <w:bCs w:val="1"/>
                <w:color w:val="auto"/>
              </w:rPr>
              <w:t>Managerial Operating Cash Flow After Special Items</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(33.5)</w:t>
            </w:r>
          </w:p>
        </w:tc>
        <w:tc>
          <w:tcPr>
            <w:tcW w:w="1060" w:type="dxa"/>
            <w:vAlign w:val="bottom"/>
          </w:tcPr>
          <w:p>
            <w:pPr>
              <w:ind w:left="680"/>
              <w:spacing w:after="0"/>
              <w:rPr>
                <w:sz w:val="20"/>
                <w:szCs w:val="20"/>
                <w:color w:val="auto"/>
              </w:rPr>
            </w:pPr>
            <w:r>
              <w:rPr>
                <w:rFonts w:ascii="Arial" w:cs="Arial" w:eastAsia="Arial" w:hAnsi="Arial"/>
                <w:sz w:val="15"/>
                <w:szCs w:val="15"/>
                <w:b w:val="1"/>
                <w:bCs w:val="1"/>
                <w:color w:val="auto"/>
              </w:rPr>
              <w:t>(2.4)</w:t>
            </w:r>
          </w:p>
        </w:tc>
        <w:tc>
          <w:tcPr>
            <w:tcW w:w="1160" w:type="dxa"/>
            <w:vAlign w:val="bottom"/>
          </w:tcPr>
          <w:p>
            <w:pPr>
              <w:jc w:val="right"/>
              <w:ind w:right="104"/>
              <w:spacing w:after="0"/>
              <w:rPr>
                <w:sz w:val="20"/>
                <w:szCs w:val="20"/>
                <w:color w:val="auto"/>
              </w:rPr>
            </w:pPr>
            <w:r>
              <w:rPr>
                <w:rFonts w:ascii="Arial" w:cs="Arial" w:eastAsia="Arial" w:hAnsi="Arial"/>
                <w:sz w:val="15"/>
                <w:szCs w:val="15"/>
                <w:b w:val="1"/>
                <w:bCs w:val="1"/>
                <w:color w:val="auto"/>
              </w:rPr>
              <w:t>(36.0)</w:t>
            </w:r>
          </w:p>
        </w:tc>
        <w:tc>
          <w:tcPr>
            <w:tcW w:w="1820" w:type="dxa"/>
            <w:vAlign w:val="bottom"/>
          </w:tcPr>
          <w:p>
            <w:pPr>
              <w:jc w:val="right"/>
              <w:spacing w:after="0"/>
              <w:rPr>
                <w:sz w:val="20"/>
                <w:szCs w:val="20"/>
                <w:color w:val="auto"/>
              </w:rPr>
            </w:pPr>
            <w:r>
              <w:rPr>
                <w:rFonts w:ascii="Arial" w:cs="Arial" w:eastAsia="Arial" w:hAnsi="Arial"/>
                <w:sz w:val="15"/>
                <w:szCs w:val="15"/>
                <w:b w:val="1"/>
                <w:bCs w:val="1"/>
                <w:color w:val="auto"/>
              </w:rPr>
              <w:t>(8.7)</w:t>
            </w:r>
          </w:p>
        </w:tc>
      </w:tr>
      <w:tr>
        <w:trPr>
          <w:trHeight w:val="317"/>
        </w:trPr>
        <w:tc>
          <w:tcPr>
            <w:tcW w:w="4480" w:type="dxa"/>
            <w:vAlign w:val="bottom"/>
          </w:tcPr>
          <w:p>
            <w:pPr>
              <w:spacing w:after="0"/>
              <w:rPr>
                <w:sz w:val="20"/>
                <w:szCs w:val="20"/>
                <w:color w:val="auto"/>
              </w:rPr>
            </w:pPr>
            <w:r>
              <w:rPr>
                <w:rFonts w:ascii="Arial" w:cs="Arial" w:eastAsia="Arial" w:hAnsi="Arial"/>
                <w:sz w:val="14"/>
                <w:szCs w:val="14"/>
                <w:color w:val="auto"/>
              </w:rPr>
              <w:t>GMAC Asset Carve-out Cash Flows</w:t>
            </w: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1.0</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1.0</w:t>
            </w:r>
          </w:p>
        </w:tc>
        <w:tc>
          <w:tcPr>
            <w:tcW w:w="182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197"/>
        </w:trPr>
        <w:tc>
          <w:tcPr>
            <w:tcW w:w="4480" w:type="dxa"/>
            <w:vAlign w:val="bottom"/>
          </w:tcPr>
          <w:p>
            <w:pPr>
              <w:spacing w:after="0"/>
              <w:rPr>
                <w:sz w:val="20"/>
                <w:szCs w:val="20"/>
                <w:color w:val="auto"/>
              </w:rPr>
            </w:pPr>
            <w:r>
              <w:rPr>
                <w:rFonts w:ascii="Arial" w:cs="Arial" w:eastAsia="Arial" w:hAnsi="Arial"/>
                <w:sz w:val="14"/>
                <w:szCs w:val="14"/>
                <w:color w:val="auto"/>
              </w:rPr>
              <w:t>GMAC Distributions / GMAC Flows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(2.5)</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(2.5)</w:t>
            </w:r>
          </w:p>
        </w:tc>
        <w:tc>
          <w:tcPr>
            <w:tcW w:w="1820" w:type="dxa"/>
            <w:vAlign w:val="bottom"/>
          </w:tcPr>
          <w:p>
            <w:pPr>
              <w:jc w:val="right"/>
              <w:spacing w:after="0"/>
              <w:rPr>
                <w:sz w:val="20"/>
                <w:szCs w:val="20"/>
                <w:color w:val="auto"/>
              </w:rPr>
            </w:pPr>
            <w:r>
              <w:rPr>
                <w:rFonts w:ascii="Arial" w:cs="Arial" w:eastAsia="Arial" w:hAnsi="Arial"/>
                <w:sz w:val="15"/>
                <w:szCs w:val="15"/>
                <w:color w:val="auto"/>
              </w:rPr>
              <w:t>0.3</w:t>
            </w:r>
          </w:p>
        </w:tc>
      </w:tr>
      <w:tr>
        <w:trPr>
          <w:trHeight w:val="202"/>
        </w:trPr>
        <w:tc>
          <w:tcPr>
            <w:tcW w:w="4480" w:type="dxa"/>
            <w:vAlign w:val="bottom"/>
          </w:tcPr>
          <w:p>
            <w:pPr>
              <w:spacing w:after="0"/>
              <w:rPr>
                <w:sz w:val="20"/>
                <w:szCs w:val="20"/>
                <w:color w:val="auto"/>
              </w:rPr>
            </w:pPr>
            <w:r>
              <w:rPr>
                <w:rFonts w:ascii="Arial" w:cs="Arial" w:eastAsia="Arial" w:hAnsi="Arial"/>
                <w:sz w:val="14"/>
                <w:szCs w:val="14"/>
                <w:b w:val="1"/>
                <w:bCs w:val="1"/>
                <w:color w:val="auto"/>
              </w:rPr>
              <w:t>Managerial Operating Cash Flow After GMAC Related Flows</w:t>
            </w:r>
          </w:p>
        </w:tc>
        <w:tc>
          <w:tcPr>
            <w:tcW w:w="1460" w:type="dxa"/>
            <w:vAlign w:val="bottom"/>
          </w:tcPr>
          <w:p>
            <w:pPr>
              <w:jc w:val="right"/>
              <w:spacing w:after="0"/>
              <w:rPr>
                <w:sz w:val="20"/>
                <w:szCs w:val="20"/>
                <w:color w:val="auto"/>
              </w:rPr>
            </w:pPr>
            <w:r>
              <w:rPr>
                <w:rFonts w:ascii="Arial" w:cs="Arial" w:eastAsia="Arial" w:hAnsi="Arial"/>
                <w:sz w:val="15"/>
                <w:szCs w:val="15"/>
                <w:b w:val="1"/>
                <w:bCs w:val="1"/>
                <w:color w:val="auto"/>
              </w:rPr>
              <w:t>(35.0)</w:t>
            </w:r>
          </w:p>
        </w:tc>
        <w:tc>
          <w:tcPr>
            <w:tcW w:w="1060" w:type="dxa"/>
            <w:vAlign w:val="bottom"/>
          </w:tcPr>
          <w:p>
            <w:pPr>
              <w:ind w:left="680"/>
              <w:spacing w:after="0"/>
              <w:rPr>
                <w:sz w:val="20"/>
                <w:szCs w:val="20"/>
                <w:color w:val="auto"/>
              </w:rPr>
            </w:pPr>
            <w:r>
              <w:rPr>
                <w:rFonts w:ascii="Arial" w:cs="Arial" w:eastAsia="Arial" w:hAnsi="Arial"/>
                <w:sz w:val="15"/>
                <w:szCs w:val="15"/>
                <w:b w:val="1"/>
                <w:bCs w:val="1"/>
                <w:color w:val="auto"/>
              </w:rPr>
              <w:t>(2.4)</w:t>
            </w:r>
          </w:p>
        </w:tc>
        <w:tc>
          <w:tcPr>
            <w:tcW w:w="1160" w:type="dxa"/>
            <w:vAlign w:val="bottom"/>
          </w:tcPr>
          <w:p>
            <w:pPr>
              <w:jc w:val="right"/>
              <w:ind w:right="104"/>
              <w:spacing w:after="0"/>
              <w:rPr>
                <w:sz w:val="20"/>
                <w:szCs w:val="20"/>
                <w:color w:val="auto"/>
              </w:rPr>
            </w:pPr>
            <w:r>
              <w:rPr>
                <w:rFonts w:ascii="Arial" w:cs="Arial" w:eastAsia="Arial" w:hAnsi="Arial"/>
                <w:sz w:val="15"/>
                <w:szCs w:val="15"/>
                <w:b w:val="1"/>
                <w:bCs w:val="1"/>
                <w:color w:val="auto"/>
              </w:rPr>
              <w:t>(37.5)</w:t>
            </w:r>
          </w:p>
        </w:tc>
        <w:tc>
          <w:tcPr>
            <w:tcW w:w="1820" w:type="dxa"/>
            <w:vAlign w:val="bottom"/>
          </w:tcPr>
          <w:p>
            <w:pPr>
              <w:jc w:val="right"/>
              <w:spacing w:after="0"/>
              <w:rPr>
                <w:sz w:val="20"/>
                <w:szCs w:val="20"/>
                <w:color w:val="auto"/>
              </w:rPr>
            </w:pPr>
            <w:r>
              <w:rPr>
                <w:rFonts w:ascii="Arial" w:cs="Arial" w:eastAsia="Arial" w:hAnsi="Arial"/>
                <w:sz w:val="15"/>
                <w:szCs w:val="15"/>
                <w:b w:val="1"/>
                <w:bCs w:val="1"/>
                <w:color w:val="auto"/>
              </w:rPr>
              <w:t>(8.1)</w:t>
            </w:r>
          </w:p>
        </w:tc>
      </w:tr>
      <w:tr>
        <w:trPr>
          <w:trHeight w:val="388"/>
        </w:trPr>
        <w:tc>
          <w:tcPr>
            <w:tcW w:w="4480" w:type="dxa"/>
            <w:vAlign w:val="bottom"/>
          </w:tcPr>
          <w:p>
            <w:pPr>
              <w:spacing w:after="0"/>
              <w:rPr>
                <w:sz w:val="20"/>
                <w:szCs w:val="20"/>
                <w:color w:val="auto"/>
              </w:rPr>
            </w:pPr>
            <w:r>
              <w:rPr>
                <w:rFonts w:ascii="Arial" w:cs="Arial" w:eastAsia="Arial" w:hAnsi="Arial"/>
                <w:sz w:val="14"/>
                <w:szCs w:val="14"/>
                <w:color w:val="auto"/>
              </w:rPr>
              <w:t>VEBA Withdrawals (Salaried and Hourly)</w:t>
            </w: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0.0</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0.0</w:t>
            </w:r>
          </w:p>
        </w:tc>
        <w:tc>
          <w:tcPr>
            <w:tcW w:w="182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UAW/CAW IT VEBA Contribuitons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(1.0)</w:t>
            </w:r>
          </w:p>
        </w:tc>
        <w:tc>
          <w:tcPr>
            <w:tcW w:w="1060" w:type="dxa"/>
            <w:vAlign w:val="bottom"/>
          </w:tcPr>
          <w:p>
            <w:pPr>
              <w:ind w:left="720"/>
              <w:spacing w:after="0"/>
              <w:rPr>
                <w:sz w:val="20"/>
                <w:szCs w:val="20"/>
                <w:color w:val="auto"/>
              </w:rPr>
            </w:pPr>
            <w:r>
              <w:rPr>
                <w:rFonts w:ascii="Arial" w:cs="Arial" w:eastAsia="Arial" w:hAnsi="Arial"/>
                <w:sz w:val="15"/>
                <w:szCs w:val="15"/>
                <w:color w:val="auto"/>
              </w:rPr>
              <w:t>0.1</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(0.9)</w:t>
            </w:r>
          </w:p>
        </w:tc>
        <w:tc>
          <w:tcPr>
            <w:tcW w:w="1820" w:type="dxa"/>
            <w:vAlign w:val="bottom"/>
          </w:tcPr>
          <w:p>
            <w:pPr>
              <w:jc w:val="right"/>
              <w:spacing w:after="0"/>
              <w:rPr>
                <w:sz w:val="20"/>
                <w:szCs w:val="20"/>
                <w:color w:val="auto"/>
              </w:rPr>
            </w:pPr>
            <w:r>
              <w:rPr>
                <w:rFonts w:ascii="Arial" w:cs="Arial" w:eastAsia="Arial" w:hAnsi="Arial"/>
                <w:sz w:val="15"/>
                <w:szCs w:val="15"/>
                <w:color w:val="auto"/>
              </w:rPr>
              <w:t>(0.9)</w:t>
            </w:r>
          </w:p>
        </w:tc>
      </w:tr>
      <w:tr>
        <w:trPr>
          <w:trHeight w:val="200"/>
        </w:trPr>
        <w:tc>
          <w:tcPr>
            <w:tcW w:w="4480" w:type="dxa"/>
            <w:vAlign w:val="bottom"/>
          </w:tcPr>
          <w:p>
            <w:pPr>
              <w:spacing w:after="0"/>
              <w:rPr>
                <w:sz w:val="20"/>
                <w:szCs w:val="20"/>
                <w:color w:val="auto"/>
              </w:rPr>
            </w:pPr>
            <w:r>
              <w:rPr>
                <w:rFonts w:ascii="Arial" w:cs="Arial" w:eastAsia="Arial" w:hAnsi="Arial"/>
                <w:sz w:val="15"/>
                <w:szCs w:val="15"/>
                <w:color w:val="auto"/>
              </w:rPr>
              <w:t>Credit Facillity Draws / (Repayments)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(5.4)</w:t>
            </w:r>
          </w:p>
        </w:tc>
        <w:tc>
          <w:tcPr>
            <w:tcW w:w="18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Debt Maturities</w:t>
            </w:r>
          </w:p>
        </w:tc>
        <w:tc>
          <w:tcPr>
            <w:tcW w:w="1460" w:type="dxa"/>
            <w:vAlign w:val="bottom"/>
          </w:tcPr>
          <w:p>
            <w:pPr>
              <w:jc w:val="right"/>
              <w:ind w:right="4"/>
              <w:spacing w:after="0"/>
              <w:rPr>
                <w:sz w:val="20"/>
                <w:szCs w:val="20"/>
                <w:color w:val="auto"/>
              </w:rPr>
            </w:pPr>
            <w:r>
              <w:rPr>
                <w:rFonts w:ascii="Arial" w:cs="Arial" w:eastAsia="Arial" w:hAnsi="Arial"/>
                <w:sz w:val="15"/>
                <w:szCs w:val="15"/>
                <w:color w:val="auto"/>
              </w:rPr>
              <w:t>(3.3)</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(3.3)</w:t>
            </w:r>
          </w:p>
        </w:tc>
        <w:tc>
          <w:tcPr>
            <w:tcW w:w="182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Debt Financing</w:t>
            </w: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0.3</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0.3</w:t>
            </w:r>
          </w:p>
        </w:tc>
        <w:tc>
          <w:tcPr>
            <w:tcW w:w="182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US Government Funding</w:t>
            </w: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45.5</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44"/>
              <w:spacing w:after="0"/>
              <w:rPr>
                <w:sz w:val="20"/>
                <w:szCs w:val="20"/>
                <w:color w:val="auto"/>
              </w:rPr>
            </w:pPr>
            <w:r>
              <w:rPr>
                <w:rFonts w:ascii="Arial" w:cs="Arial" w:eastAsia="Arial" w:hAnsi="Arial"/>
                <w:sz w:val="15"/>
                <w:szCs w:val="15"/>
                <w:color w:val="auto"/>
              </w:rPr>
              <w:t>45.5</w:t>
            </w:r>
          </w:p>
        </w:tc>
        <w:tc>
          <w:tcPr>
            <w:tcW w:w="1820" w:type="dxa"/>
            <w:vAlign w:val="bottom"/>
          </w:tcPr>
          <w:p>
            <w:pPr>
              <w:jc w:val="right"/>
              <w:spacing w:after="0"/>
              <w:rPr>
                <w:sz w:val="20"/>
                <w:szCs w:val="20"/>
                <w:color w:val="auto"/>
              </w:rPr>
            </w:pPr>
            <w:r>
              <w:rPr>
                <w:rFonts w:ascii="Arial" w:cs="Arial" w:eastAsia="Arial" w:hAnsi="Arial"/>
                <w:sz w:val="15"/>
                <w:szCs w:val="15"/>
                <w:color w:val="auto"/>
              </w:rPr>
              <w:t>19.7</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Canadian Government Funding</w:t>
            </w: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9.5</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9.5</w:t>
            </w:r>
          </w:p>
        </w:tc>
        <w:tc>
          <w:tcPr>
            <w:tcW w:w="18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Non-US/Canadian Government Funding</w:t>
            </w:r>
          </w:p>
        </w:tc>
        <w:tc>
          <w:tcPr>
            <w:tcW w:w="146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1060" w:type="dxa"/>
            <w:vAlign w:val="bottom"/>
          </w:tcPr>
          <w:p>
            <w:pPr>
              <w:ind w:left="720"/>
              <w:spacing w:after="0"/>
              <w:rPr>
                <w:sz w:val="20"/>
                <w:szCs w:val="20"/>
                <w:color w:val="auto"/>
              </w:rPr>
            </w:pPr>
            <w:r>
              <w:rPr>
                <w:rFonts w:ascii="Arial" w:cs="Arial" w:eastAsia="Arial" w:hAnsi="Arial"/>
                <w:sz w:val="15"/>
                <w:szCs w:val="15"/>
                <w:color w:val="auto"/>
              </w:rPr>
              <w:t>3.3</w:t>
            </w: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3.3</w:t>
            </w:r>
          </w:p>
        </w:tc>
        <w:tc>
          <w:tcPr>
            <w:tcW w:w="1820" w:type="dxa"/>
            <w:vAlign w:val="bottom"/>
          </w:tcPr>
          <w:p>
            <w:pPr>
              <w:jc w:val="right"/>
              <w:spacing w:after="0"/>
              <w:rPr>
                <w:sz w:val="20"/>
                <w:szCs w:val="20"/>
                <w:color w:val="auto"/>
              </w:rPr>
            </w:pPr>
            <w:r>
              <w:rPr>
                <w:rFonts w:ascii="Arial" w:cs="Arial" w:eastAsia="Arial" w:hAnsi="Arial"/>
                <w:sz w:val="15"/>
                <w:szCs w:val="15"/>
                <w:color w:val="auto"/>
              </w:rPr>
              <w:t>0.8</w:t>
            </w:r>
          </w:p>
        </w:tc>
      </w:tr>
      <w:tr>
        <w:trPr>
          <w:trHeight w:val="200"/>
        </w:trPr>
        <w:tc>
          <w:tcPr>
            <w:tcW w:w="4480" w:type="dxa"/>
            <w:vAlign w:val="bottom"/>
          </w:tcPr>
          <w:p>
            <w:pPr>
              <w:spacing w:after="0"/>
              <w:rPr>
                <w:sz w:val="20"/>
                <w:szCs w:val="20"/>
                <w:color w:val="auto"/>
              </w:rPr>
            </w:pPr>
            <w:r>
              <w:rPr>
                <w:rFonts w:ascii="Arial" w:cs="Arial" w:eastAsia="Arial" w:hAnsi="Arial"/>
                <w:sz w:val="14"/>
                <w:szCs w:val="14"/>
                <w:color w:val="auto"/>
              </w:rPr>
              <w:t>Gov't Loan for GMAC Rights Offering</w:t>
            </w:r>
          </w:p>
        </w:tc>
        <w:tc>
          <w:tcPr>
            <w:tcW w:w="1460" w:type="dxa"/>
            <w:vAlign w:val="bottom"/>
          </w:tcPr>
          <w:p>
            <w:pPr>
              <w:jc w:val="right"/>
              <w:ind w:right="44"/>
              <w:spacing w:after="0"/>
              <w:rPr>
                <w:sz w:val="20"/>
                <w:szCs w:val="20"/>
                <w:color w:val="auto"/>
              </w:rPr>
            </w:pPr>
            <w:r>
              <w:rPr>
                <w:rFonts w:ascii="Arial" w:cs="Arial" w:eastAsia="Arial" w:hAnsi="Arial"/>
                <w:sz w:val="15"/>
                <w:szCs w:val="15"/>
                <w:color w:val="auto"/>
              </w:rPr>
              <w:t>0.9</w:t>
            </w:r>
          </w:p>
        </w:tc>
        <w:tc>
          <w:tcPr>
            <w:tcW w:w="1060" w:type="dxa"/>
            <w:vAlign w:val="bottom"/>
          </w:tcPr>
          <w:p>
            <w:pPr>
              <w:ind w:left="7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64"/>
              <w:spacing w:after="0"/>
              <w:rPr>
                <w:sz w:val="20"/>
                <w:szCs w:val="20"/>
                <w:color w:val="auto"/>
              </w:rPr>
            </w:pPr>
            <w:r>
              <w:rPr>
                <w:rFonts w:ascii="Arial" w:cs="Arial" w:eastAsia="Arial" w:hAnsi="Arial"/>
                <w:sz w:val="15"/>
                <w:szCs w:val="15"/>
                <w:color w:val="auto"/>
              </w:rPr>
              <w:t>0.9</w:t>
            </w:r>
          </w:p>
        </w:tc>
        <w:tc>
          <w:tcPr>
            <w:tcW w:w="1820" w:type="dxa"/>
            <w:vAlign w:val="bottom"/>
          </w:tcPr>
          <w:p>
            <w:pPr>
              <w:jc w:val="right"/>
              <w:ind w:right="144"/>
              <w:spacing w:after="0"/>
              <w:rPr>
                <w:sz w:val="20"/>
                <w:szCs w:val="20"/>
                <w:color w:val="auto"/>
              </w:rPr>
            </w:pPr>
            <w:r>
              <w:rPr>
                <w:rFonts w:ascii="Arial" w:cs="Arial" w:eastAsia="Arial" w:hAnsi="Arial"/>
                <w:sz w:val="15"/>
                <w:szCs w:val="15"/>
                <w:color w:val="auto"/>
              </w:rPr>
              <w:t>-</w:t>
            </w:r>
          </w:p>
        </w:tc>
      </w:tr>
      <w:tr>
        <w:trPr>
          <w:trHeight w:val="197"/>
        </w:trPr>
        <w:tc>
          <w:tcPr>
            <w:tcW w:w="4480" w:type="dxa"/>
            <w:vAlign w:val="bottom"/>
          </w:tcPr>
          <w:p>
            <w:pPr>
              <w:spacing w:after="0"/>
              <w:rPr>
                <w:sz w:val="20"/>
                <w:szCs w:val="20"/>
                <w:color w:val="auto"/>
              </w:rPr>
            </w:pPr>
            <w:r>
              <w:rPr>
                <w:rFonts w:ascii="Arial" w:cs="Arial" w:eastAsia="Arial" w:hAnsi="Arial"/>
                <w:sz w:val="14"/>
                <w:szCs w:val="14"/>
                <w:color w:val="auto"/>
              </w:rPr>
              <w:t>Other Non-Operating Cash Flows</w:t>
            </w:r>
          </w:p>
        </w:tc>
        <w:tc>
          <w:tcPr>
            <w:tcW w:w="1460" w:type="dxa"/>
            <w:vAlign w:val="bottom"/>
          </w:tcPr>
          <w:p>
            <w:pPr>
              <w:jc w:val="right"/>
              <w:spacing w:after="0"/>
              <w:rPr>
                <w:sz w:val="20"/>
                <w:szCs w:val="20"/>
                <w:color w:val="auto"/>
              </w:rPr>
            </w:pPr>
            <w:r>
              <w:rPr>
                <w:rFonts w:ascii="Arial" w:cs="Arial" w:eastAsia="Arial" w:hAnsi="Arial"/>
                <w:sz w:val="15"/>
                <w:szCs w:val="15"/>
                <w:color w:val="auto"/>
              </w:rPr>
              <w:t>(10.1)</w:t>
            </w:r>
          </w:p>
        </w:tc>
        <w:tc>
          <w:tcPr>
            <w:tcW w:w="1060" w:type="dxa"/>
            <w:vAlign w:val="bottom"/>
          </w:tcPr>
          <w:p>
            <w:pPr>
              <w:ind w:left="720"/>
              <w:spacing w:after="0"/>
              <w:rPr>
                <w:sz w:val="20"/>
                <w:szCs w:val="20"/>
                <w:color w:val="auto"/>
              </w:rPr>
            </w:pPr>
            <w:r>
              <w:rPr>
                <w:rFonts w:ascii="Arial" w:cs="Arial" w:eastAsia="Arial" w:hAnsi="Arial"/>
                <w:sz w:val="15"/>
                <w:szCs w:val="15"/>
                <w:color w:val="auto"/>
              </w:rPr>
              <w:t>1.3</w:t>
            </w:r>
          </w:p>
        </w:tc>
        <w:tc>
          <w:tcPr>
            <w:tcW w:w="1160" w:type="dxa"/>
            <w:vAlign w:val="bottom"/>
          </w:tcPr>
          <w:p>
            <w:pPr>
              <w:jc w:val="right"/>
              <w:ind w:right="104"/>
              <w:spacing w:after="0"/>
              <w:rPr>
                <w:sz w:val="20"/>
                <w:szCs w:val="20"/>
                <w:color w:val="auto"/>
              </w:rPr>
            </w:pPr>
            <w:r>
              <w:rPr>
                <w:rFonts w:ascii="Arial" w:cs="Arial" w:eastAsia="Arial" w:hAnsi="Arial"/>
                <w:sz w:val="15"/>
                <w:szCs w:val="15"/>
                <w:color w:val="auto"/>
              </w:rPr>
              <w:t>(8.8)</w:t>
            </w:r>
          </w:p>
        </w:tc>
        <w:tc>
          <w:tcPr>
            <w:tcW w:w="182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202"/>
        </w:trPr>
        <w:tc>
          <w:tcPr>
            <w:tcW w:w="4480" w:type="dxa"/>
            <w:vAlign w:val="bottom"/>
          </w:tcPr>
          <w:p>
            <w:pPr>
              <w:spacing w:after="0"/>
              <w:rPr>
                <w:sz w:val="20"/>
                <w:szCs w:val="20"/>
                <w:color w:val="auto"/>
              </w:rPr>
            </w:pPr>
            <w:r>
              <w:rPr>
                <w:rFonts w:ascii="Arial" w:cs="Arial" w:eastAsia="Arial" w:hAnsi="Arial"/>
                <w:sz w:val="14"/>
                <w:szCs w:val="14"/>
                <w:b w:val="1"/>
                <w:bCs w:val="1"/>
                <w:color w:val="auto"/>
              </w:rPr>
              <w:t>Net Cash Flow</w:t>
            </w:r>
          </w:p>
        </w:tc>
        <w:tc>
          <w:tcPr>
            <w:tcW w:w="1460" w:type="dxa"/>
            <w:vAlign w:val="bottom"/>
          </w:tcPr>
          <w:p>
            <w:pPr>
              <w:jc w:val="right"/>
              <w:ind w:right="44"/>
              <w:spacing w:after="0"/>
              <w:rPr>
                <w:sz w:val="20"/>
                <w:szCs w:val="20"/>
                <w:color w:val="auto"/>
              </w:rPr>
            </w:pPr>
            <w:r>
              <w:rPr>
                <w:rFonts w:ascii="Arial" w:cs="Arial" w:eastAsia="Arial" w:hAnsi="Arial"/>
                <w:sz w:val="15"/>
                <w:szCs w:val="15"/>
                <w:b w:val="1"/>
                <w:bCs w:val="1"/>
                <w:color w:val="auto"/>
              </w:rPr>
              <w:t>1.3</w:t>
            </w:r>
          </w:p>
        </w:tc>
        <w:tc>
          <w:tcPr>
            <w:tcW w:w="1060" w:type="dxa"/>
            <w:vAlign w:val="bottom"/>
          </w:tcPr>
          <w:p>
            <w:pPr>
              <w:ind w:left="720"/>
              <w:spacing w:after="0"/>
              <w:rPr>
                <w:sz w:val="20"/>
                <w:szCs w:val="20"/>
                <w:color w:val="auto"/>
              </w:rPr>
            </w:pPr>
            <w:r>
              <w:rPr>
                <w:rFonts w:ascii="Arial" w:cs="Arial" w:eastAsia="Arial" w:hAnsi="Arial"/>
                <w:sz w:val="15"/>
                <w:szCs w:val="15"/>
                <w:b w:val="1"/>
                <w:bCs w:val="1"/>
                <w:color w:val="auto"/>
              </w:rPr>
              <w:t>2.3</w:t>
            </w:r>
          </w:p>
        </w:tc>
        <w:tc>
          <w:tcPr>
            <w:tcW w:w="1160" w:type="dxa"/>
            <w:vAlign w:val="bottom"/>
          </w:tcPr>
          <w:p>
            <w:pPr>
              <w:jc w:val="right"/>
              <w:ind w:right="164"/>
              <w:spacing w:after="0"/>
              <w:rPr>
                <w:sz w:val="20"/>
                <w:szCs w:val="20"/>
                <w:color w:val="auto"/>
              </w:rPr>
            </w:pPr>
            <w:r>
              <w:rPr>
                <w:rFonts w:ascii="Arial" w:cs="Arial" w:eastAsia="Arial" w:hAnsi="Arial"/>
                <w:sz w:val="15"/>
                <w:szCs w:val="15"/>
                <w:b w:val="1"/>
                <w:bCs w:val="1"/>
                <w:color w:val="auto"/>
              </w:rPr>
              <w:t>3.6</w:t>
            </w:r>
          </w:p>
        </w:tc>
        <w:tc>
          <w:tcPr>
            <w:tcW w:w="1820" w:type="dxa"/>
            <w:vAlign w:val="bottom"/>
          </w:tcPr>
          <w:p>
            <w:pPr>
              <w:jc w:val="right"/>
              <w:spacing w:after="0"/>
              <w:rPr>
                <w:sz w:val="20"/>
                <w:szCs w:val="20"/>
                <w:color w:val="auto"/>
              </w:rPr>
            </w:pPr>
            <w:r>
              <w:rPr>
                <w:rFonts w:ascii="Arial" w:cs="Arial" w:eastAsia="Arial" w:hAnsi="Arial"/>
                <w:sz w:val="15"/>
                <w:szCs w:val="15"/>
                <w:b w:val="1"/>
                <w:bCs w:val="1"/>
                <w:color w:val="auto"/>
              </w:rPr>
              <w:t>7.8</w:t>
            </w:r>
          </w:p>
        </w:tc>
      </w:tr>
    </w:tbl>
    <w:p>
      <w:pPr>
        <w:spacing w:after="0" w:line="200" w:lineRule="exact"/>
        <w:rPr>
          <w:sz w:val="20"/>
          <w:szCs w:val="20"/>
          <w:color w:val="auto"/>
        </w:rPr>
      </w:pPr>
    </w:p>
    <w:p>
      <w:pPr>
        <w:spacing w:after="0" w:line="206" w:lineRule="exact"/>
        <w:rPr>
          <w:sz w:val="20"/>
          <w:szCs w:val="20"/>
          <w:color w:val="auto"/>
        </w:rPr>
      </w:pPr>
    </w:p>
    <w:p>
      <w:pPr>
        <w:ind w:left="9820"/>
        <w:spacing w:after="0"/>
        <w:rPr>
          <w:sz w:val="20"/>
          <w:szCs w:val="20"/>
          <w:color w:val="auto"/>
        </w:rPr>
      </w:pPr>
      <w:r>
        <w:rPr>
          <w:rFonts w:ascii="Arial" w:cs="Arial" w:eastAsia="Arial" w:hAnsi="Arial"/>
          <w:sz w:val="25"/>
          <w:szCs w:val="25"/>
          <w:b w:val="1"/>
          <w:bCs w:val="1"/>
          <w:color w:val="auto"/>
        </w:rPr>
        <w:t>S-2</w:t>
      </w:r>
    </w:p>
    <w:sectPr>
      <w:pgSz w:w="11900" w:h="16838" w:orient="portrait"/>
      <w:cols w:equalWidth="0" w:num="1">
        <w:col w:w="10260"/>
      </w:cols>
      <w:pgMar w:left="500" w:top="399"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bullet"/>
      <w:start w:val="1"/>
    </w:lvl>
  </w:abstractNum>
  <w:abstractNum w:abstractNumId="3">
    <w:nsid w:val="519B500D"/>
    <w:multiLevelType w:val="hybridMultilevel"/>
    <w:lvl w:ilvl="0">
      <w:lvlJc w:val="left"/>
      <w:lvlText w:val="2"/>
      <w:numFmt w:val="bullet"/>
      <w:start w:val="1"/>
    </w:lvl>
  </w:abstractNum>
  <w:abstractNum w:abstractNumId="4">
    <w:nsid w:val="431BD7B7"/>
    <w:multiLevelType w:val="hybridMultilevel"/>
    <w:lvl w:ilvl="0">
      <w:lvlJc w:val="left"/>
      <w:lvlText w:val="3"/>
      <w:numFmt w:val="bullet"/>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
      <w:numFmt w:val="bullet"/>
      <w:start w:val="1"/>
    </w:lvl>
    <w:lvl w:ilvl="1">
      <w:lvlJc w:val="left"/>
      <w:lvlText w:val="\endash "/>
      <w:numFmt w:val="bullet"/>
      <w:start w:val="1"/>
    </w:lvl>
  </w:abstractNum>
  <w:abstractNum w:abstractNumId="10">
    <w:nsid w:val="628C895D"/>
    <w:multiLevelType w:val="hybridMultilevel"/>
    <w:lvl w:ilvl="0">
      <w:lvlJc w:val="left"/>
      <w:lvlText w:val="•"/>
      <w:numFmt w:val="bullet"/>
      <w:start w:val="1"/>
    </w:lvl>
    <w:lvl w:ilvl="1">
      <w:lvlJc w:val="left"/>
      <w:lvlText w:val="\endash "/>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lvl w:ilvl="1">
      <w:lvlJc w:val="left"/>
      <w:lvlText w:val="\endash "/>
      <w:numFmt w:val="bullet"/>
      <w:start w:val="1"/>
    </w:lvl>
  </w:abstractNum>
  <w:abstractNum w:abstractNumId="13">
    <w:nsid w:val="2443A858"/>
    <w:multiLevelType w:val="hybridMultilevel"/>
    <w:lvl w:ilvl="0">
      <w:lvlJc w:val="left"/>
      <w:lvlText w:val="•"/>
      <w:numFmt w:val="bullet"/>
      <w:start w:val="1"/>
    </w:lvl>
    <w:lvl w:ilvl="1">
      <w:lvlJc w:val="left"/>
      <w:lvlText w:val="\endash "/>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lvl w:ilvl="1">
      <w:lvlJc w:val="left"/>
      <w:lvlText w:val="\endash "/>
      <w:numFmt w:val="bullet"/>
      <w:start w:val="1"/>
    </w:lvl>
  </w:abstractNum>
  <w:abstractNum w:abstractNumId="16">
    <w:nsid w:val="75A2A8D4"/>
    <w:multiLevelType w:val="hybridMultilevel"/>
    <w:lvl w:ilvl="0">
      <w:lvlJc w:val="left"/>
      <w:lvlText w:val="•"/>
      <w:numFmt w:val="bullet"/>
      <w:start w:val="1"/>
    </w:lvl>
    <w:lvl w:ilvl="1">
      <w:lvlJc w:val="left"/>
      <w:lvlText w:val="\endash "/>
      <w:numFmt w:val="bullet"/>
      <w:start w:val="1"/>
    </w:lvl>
  </w:abstractNum>
  <w:abstractNum w:abstractNumId="17">
    <w:nsid w:val="8EDBDAB"/>
    <w:multiLevelType w:val="hybridMultilevel"/>
    <w:lvl w:ilvl="0">
      <w:lvlJc w:val="left"/>
      <w:lvlText w:val="*"/>
      <w:numFmt w:val="bullet"/>
      <w:start w:val="1"/>
    </w:lvl>
    <w:lvl w:ilvl="1">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endash "/>
      <w:numFmt w:val="bullet"/>
      <w:start w:val="1"/>
    </w:lvl>
  </w:abstractNum>
  <w:abstractNum w:abstractNumId="21">
    <w:nsid w:val="189A769B"/>
    <w:multiLevelType w:val="hybridMultilevel"/>
    <w:lvl w:ilvl="0">
      <w:lvlJc w:val="left"/>
      <w:lvlText w:val="%1"/>
      <w:numFmt w:val="decimal"/>
      <w:start w:val="100"/>
    </w:lvl>
  </w:abstractNum>
  <w:abstractNum w:abstractNumId="22">
    <w:nsid w:val="54E49EB4"/>
    <w:multiLevelType w:val="hybridMultilevel"/>
    <w:lvl w:ilvl="0">
      <w:lvlJc w:val="left"/>
      <w:lvlText w:val="%1"/>
      <w:numFmt w:val="decimal"/>
      <w:start w:val="80"/>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lvl w:ilvl="1">
      <w:lvlJc w:val="left"/>
      <w:lvlText w:val="\endash "/>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lvl w:ilvl="1">
      <w:lvlJc w:val="left"/>
      <w:lvlText w:val="\endash "/>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2019-12-11T06:10:17Z</dcterms:created>
  <dcterms:modified xsi:type="dcterms:W3CDTF">2019-12-11T06:10:17Z</dcterms:modified>
</cp:coreProperties>
</file>