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5,584</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42,308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3,004</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39,304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2,580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36,724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7,820</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44,544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4,207</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40,337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3,613</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36,724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5,584</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5,584</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5,583</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7,820</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7,820</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2015 in cash, less a portion withheld for taxes.</w:t>
      </w: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$29.74.</w:t>
      </w:r>
    </w:p>
    <w:p>
      <w:pPr>
        <w:spacing w:after="0" w:line="8" w:lineRule="exact"/>
        <w:rPr>
          <w:rFonts w:ascii="Arial" w:cs="Arial" w:eastAsia="Arial" w:hAnsi="Arial"/>
          <w:sz w:val="12"/>
          <w:szCs w:val="12"/>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 pursuant to the GMSSP. The portion of this award currently payable was settled on September 30, 2015 in cash, less a portion withheld for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10/02/2015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2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1"/>
              </w:rPr>
              <w:t>Attorney-In-Fact for Mr. Reuss</w:t>
            </w: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4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2019-12-08T22:28:24Z</dcterms:created>
  <dcterms:modified xsi:type="dcterms:W3CDTF">2019-12-08T22:28:24Z</dcterms:modified>
</cp:coreProperties>
</file>