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MOTT RANDALL 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Executive Vice President &amp; CIO</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01/12/2021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7"/>
              </w:rPr>
              <w:t>25,000</w:t>
            </w:r>
            <w:r>
              <w:rPr>
                <w:rFonts w:ascii="Arial" w:cs="Arial" w:eastAsia="Arial" w:hAnsi="Arial"/>
                <w:sz w:val="22"/>
                <w:szCs w:val="22"/>
                <w:color w:val="008000"/>
                <w:w w:val="97"/>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48.01</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139,427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50" w:lineRule="exact"/>
        <w:rPr>
          <w:rFonts w:ascii="Arial" w:cs="Arial" w:eastAsia="Arial" w:hAnsi="Arial"/>
          <w:sz w:val="13"/>
          <w:szCs w:val="13"/>
          <w:color w:val="008000"/>
        </w:rPr>
      </w:pPr>
    </w:p>
    <w:p>
      <w:pPr>
        <w:ind w:left="40" w:right="30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$48.00 to $48.02, inclusive. The Reporting Person undertakes to provide to the SEC, GM and any security holder, upon request, full information regarding the number of shares sold at each price point within the ranges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01/13/2021</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Mott</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949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2021-01-13T16:46:32Z</dcterms:created>
  <dcterms:modified xsi:type="dcterms:W3CDTF">2021-01-13T16:46:32Z</dcterms:modified>
</cp:coreProperties>
</file>