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1,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78" w:lineRule="exact"/>
        <w:rPr>
          <w:sz w:val="24"/>
          <w:szCs w:val="24"/>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9" w:lineRule="exact"/>
        <w:rPr>
          <w:rFonts w:ascii="MS PGothic" w:cs="MS PGothic" w:eastAsia="MS PGothic" w:hAnsi="MS PGothic"/>
          <w:sz w:val="16"/>
          <w:szCs w:val="16"/>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(17-CFR 240.14a-12)</w:t>
      </w:r>
    </w:p>
    <w:p>
      <w:pPr>
        <w:spacing w:after="0" w:line="329" w:lineRule="exact"/>
        <w:rPr>
          <w:rFonts w:ascii="MS PGothic" w:cs="MS PGothic" w:eastAsia="MS PGothic" w:hAnsi="MS PGothic"/>
          <w:sz w:val="16"/>
          <w:szCs w:val="16"/>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rFonts w:ascii="MS PGothic" w:cs="MS PGothic" w:eastAsia="MS PGothic" w:hAnsi="MS PGothic"/>
          <w:sz w:val="16"/>
          <w:szCs w:val="16"/>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jc w:val="center"/>
        <w:ind w:right="-37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ind w:left="660" w:hanging="647"/>
        <w:spacing w:after="0" w:line="26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rPr>
          <w:sz w:val="20"/>
          <w:szCs w:val="20"/>
          <w:color w:val="auto"/>
        </w:rPr>
      </w:pPr>
      <w:r>
        <w:rPr>
          <w:rFonts w:ascii="Arial" w:cs="Arial" w:eastAsia="Arial" w:hAnsi="Arial"/>
          <w:sz w:val="18"/>
          <w:szCs w:val="18"/>
          <w:b w:val="1"/>
          <w:bCs w:val="1"/>
          <w:color w:val="auto"/>
        </w:rPr>
        <w:t>Signature</w:t>
      </w:r>
    </w:p>
    <w:p>
      <w:pPr>
        <w:sectPr>
          <w:pgSz w:w="11900" w:h="16838" w:orient="portrait"/>
          <w:cols w:equalWidth="0" w:num="1">
            <w:col w:w="11060"/>
          </w:cols>
          <w:pgMar w:left="240" w:top="580" w:right="599" w:bottom="1440" w:gutter="0" w:footer="0" w:header="0"/>
        </w:sectPr>
      </w:pPr>
    </w:p>
    <w:bookmarkStart w:id="2" w:name="page3"/>
    <w:bookmarkEnd w:id="2"/>
    <w:p>
      <w:pPr>
        <w:ind w:left="660" w:right="480" w:hanging="647"/>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Admiral Michael Mullen (retired, U.S. Navy) was elected to the Board of Directors (the “Board”) of General Motors Company (“GM”) as of February 1, 2013. Admiral Mullen has not been named to any committees of the Board.</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Like the other non-employee members of the Board, Admiral Mullen will receive an annual retainer of $200,000 for his service on the Board (prorated to reflect the date his service on the Board begins in 2013), as well as the use of a company vehicle and related personal accident insurance.</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General Motors Company Deferred Compensation Plan for Non-Employee Directors, Admiral Mullen is required to defer 50% of his annual Board retainer into share units of GM Common Stock and may elect to defer all or 50% of the remainder in additional share units of GM Common Stock. Amounts deferred and credited as share units under this plan will not be available until after Admiral Mullen retires or otherwise leaves the Board, at which time he will receive a cash payment or payments based on the number of share units in his account, valued at the average daily market price for the quarter immediately preceding payment.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information regarding compensation arrangements for the non-employee directors of GM may be found in GM's Proxy Statement for Annual Meeting of Stockholders held June 12, 2012, under “Corporate Governance-Non-Employee Director Compensation.”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GM anticipates that Philip A. Laskawy will retire from the GM Board immediately prior to GM's 2013 Annual Meeting of Stockholders.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Laskawy has served on the GM Board since July 2009.</w:t>
      </w:r>
    </w:p>
    <w:p>
      <w:pPr>
        <w:sectPr>
          <w:pgSz w:w="11900" w:h="16838" w:orient="portrait"/>
          <w:cols w:equalWidth="0" w:num="1">
            <w:col w:w="11420"/>
          </w:cols>
          <w:pgMar w:left="240" w:top="796"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rPr>
                <w:sz w:val="20"/>
                <w:szCs w:val="20"/>
                <w:color w:val="auto"/>
              </w:rPr>
            </w:pPr>
            <w:r>
              <w:rPr>
                <w:rFonts w:ascii="Arial" w:cs="Arial" w:eastAsia="Arial" w:hAnsi="Arial"/>
                <w:sz w:val="18"/>
                <w:szCs w:val="18"/>
                <w:color w:val="auto"/>
              </w:rPr>
              <w:t>Date: February 1, 2013</w:t>
            </w:r>
          </w:p>
        </w:tc>
        <w:tc>
          <w:tcPr>
            <w:tcW w:w="2160" w:type="dxa"/>
            <w:vAlign w:val="bottom"/>
            <w:vMerge w:val="restart"/>
          </w:tcPr>
          <w:p>
            <w:pPr>
              <w:ind w:left="156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40" w:type="dxa"/>
            <w:vAlign w:val="bottom"/>
            <w:vMerge w:val="continue"/>
          </w:tcPr>
          <w:p>
            <w:pPr>
              <w:spacing w:after="0"/>
              <w:rPr>
                <w:sz w:val="19"/>
                <w:szCs w:val="19"/>
                <w:color w:val="auto"/>
              </w:rPr>
            </w:pPr>
          </w:p>
        </w:tc>
        <w:tc>
          <w:tcPr>
            <w:tcW w:w="21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80"/>
      </w:cols>
      <w:pgMar w:left="240" w:top="79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2019-12-07T20:44:07Z</dcterms:created>
  <dcterms:modified xsi:type="dcterms:W3CDTF">2019-12-07T20:44:07Z</dcterms:modified>
</cp:coreProperties>
</file>