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4, 2015</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4, 2015 a news release was issued on the subject of 2014 fourth quarter and full year consolidated earnings for General Motors Company (GM). The news release did not include certain financial statements, related footnotes and certain other financial information that will be filed with the Securities and Exchange Commission as part of GM's Annual Report on Form 10-K. The news release and financial statements are incorporated as Exhibit 99.1.</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Charts furnished to securities analysts in connection with GM's 2014 fourth quarter and full year consolidated earnings release are available on GM's website at www.gm.com/company/investors/earning-releases.html.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w w:val="94"/>
              </w:rPr>
              <w:t>News Release Dated February 4, 2015 and Financial</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Statements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6"/>
        </w:trPr>
        <w:tc>
          <w:tcPr>
            <w:tcW w:w="3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580" w:type="dxa"/>
            <w:vAlign w:val="bottom"/>
            <w:vMerge w:val="restart"/>
          </w:tcPr>
          <w:p>
            <w:pPr>
              <w:spacing w:after="0"/>
              <w:rPr>
                <w:sz w:val="20"/>
                <w:szCs w:val="20"/>
                <w:color w:val="auto"/>
              </w:rPr>
            </w:pPr>
            <w:r>
              <w:rPr>
                <w:rFonts w:ascii="Arial" w:cs="Arial" w:eastAsia="Arial" w:hAnsi="Arial"/>
                <w:sz w:val="18"/>
                <w:szCs w:val="18"/>
                <w:color w:val="auto"/>
              </w:rPr>
              <w:t>Date: February 4, 2015</w:t>
            </w:r>
          </w:p>
        </w:tc>
        <w:tc>
          <w:tcPr>
            <w:tcW w:w="2560" w:type="dxa"/>
            <w:vAlign w:val="bottom"/>
            <w:vMerge w:val="restart"/>
          </w:tcPr>
          <w:p>
            <w:pPr>
              <w:ind w:left="19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80" w:type="dxa"/>
            <w:vAlign w:val="bottom"/>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840740"/>
                    </a:xfrm>
                    <a:prstGeom prst="rect">
                      <a:avLst/>
                    </a:prstGeom>
                    <a:noFill/>
                  </pic:spPr>
                </pic:pic>
              </a:graphicData>
            </a:graphic>
          </wp:anchor>
        </w:drawing>
        <w:t>Exhibit 99.1</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For Release: Wednesday, Feb. 4, 2015, 7:30 a.m. EST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Reports Q4 2014 Net Income of $1.1 Billion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Q4 EBIT-adjusted of $2.4 billion, up from $1.9 billion in 2013</w:t>
      </w:r>
    </w:p>
    <w:p>
      <w:pPr>
        <w:spacing w:after="0" w:line="19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Q4 EPS of $0.66 including net loss from special items of $(0.53) per share</w:t>
      </w:r>
    </w:p>
    <w:p>
      <w:pPr>
        <w:spacing w:after="0" w:line="2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Full-year net income of $2.8 billion closes fifth consecutive profitable 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Full-year EBIT-adjusted of $6.5 billion included $2.8 billion in recall-related costs and restructuring costs of $1.0 billion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GM expects to increase its second quarter common stock dividend 20 percent to 36 cents per share</w:t>
      </w:r>
    </w:p>
    <w:p>
      <w:pPr>
        <w:spacing w:after="0" w:line="202"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announced fourth quarter net income attributable to common stockholders of $1.1</w:t>
      </w:r>
      <w:r>
        <w:rPr>
          <w:rFonts w:ascii="Arial" w:cs="Arial" w:eastAsia="Arial" w:hAnsi="Arial"/>
          <w:sz w:val="20"/>
          <w:szCs w:val="20"/>
          <w:b w:val="1"/>
          <w:bCs w:val="1"/>
          <w:color w:val="auto"/>
        </w:rPr>
        <w:t xml:space="preserve"> </w:t>
      </w:r>
      <w:r>
        <w:rPr>
          <w:rFonts w:ascii="Arial" w:cs="Arial" w:eastAsia="Arial" w:hAnsi="Arial"/>
          <w:sz w:val="20"/>
          <w:szCs w:val="20"/>
          <w:color w:val="auto"/>
        </w:rPr>
        <w:t>billion, or $0.66 per diluted share, which included a net loss from special items of $0.9 billion or $(0.53) per diluted share. Included in special items during the quarter was an $(0.8) billion reduction to net income attributable to common stockholders related to the redemption of all outstanding Series A preferred shares.</w:t>
      </w:r>
    </w:p>
    <w:p>
      <w:pPr>
        <w:spacing w:after="0" w:line="190"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 the fourth quarter of 2013, GM’s net income attributable to common stockholders was $0.9 billion, or $0.57 per diluted share, including a net loss from special items of $0.2 billion or $(0.10) per diluted share. Revenue in the fourth quarter of 2014 was $39.6 billion, compared with $40.5 billion in the fourth quarter of 2013.</w:t>
      </w:r>
    </w:p>
    <w:p>
      <w:pPr>
        <w:spacing w:after="0" w:line="18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Earnings before interest and tax (EBIT) adjusted was $2.4 billion in the fourth quarter of 2014, compared with $1.9 billion in the fourth quarter of 2013.</w:t>
      </w:r>
    </w:p>
    <w:p>
      <w:pPr>
        <w:spacing w:after="0" w:line="177"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“A strong fourth quarter helped us deliver very good core operating results in 2014 despite significant challenges we and the industry faced,” said GM CEO Mary Barra. “By keeping our customers at the center of all our decisions, we addressed those challenges head-on and outlined a customer-focused strategic plan that will guide our company well into the future.”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Full-Year Results</w:t>
      </w:r>
    </w:p>
    <w:p>
      <w:pPr>
        <w:spacing w:after="0" w:line="222"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GM reported 2014 full-year net income attributable to common stockholders of $2.8 billion, or $1.65 per diluted share, down from $3.8 billion, or $2.38 per diluted share in 2013. Core automotive operating performance improved in 2014, but results were more than offset by incremental recall and restructuring costs, and a net loss from special items.</w:t>
      </w:r>
    </w:p>
    <w:p>
      <w:pPr>
        <w:spacing w:after="0" w:line="186"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Special items during the calendar year impacted full-year net income to common stockholders unfavorably by $(2.4) billion, or $(1.40) per diluted share, compared to an unfavorable $(1.3) billion impact in 2013, or $(0.80) per diluted share.</w:t>
      </w:r>
    </w:p>
    <w:p>
      <w:pPr>
        <w:spacing w:after="0" w:line="177"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In 2014, full-year net income was also impacted unfavorably by recall-related pre-tax costs of $2.8 billion, or $(1.07) per diluted share. Income tax expense in 2014 was favorably impacted by recall-related costs and special items.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Revenue increased to $155.9 billion, compared with $155.4 billion in 2013.</w:t>
      </w:r>
    </w:p>
    <w:p>
      <w:pPr>
        <w:sectPr>
          <w:pgSz w:w="11900" w:h="16838" w:orient="portrait"/>
          <w:cols w:equalWidth="0" w:num="1">
            <w:col w:w="11420"/>
          </w:cols>
          <w:pgMar w:left="240" w:top="1433" w:right="239" w:bottom="1440" w:gutter="0" w:footer="0" w:header="0"/>
        </w:sectPr>
      </w:pPr>
    </w:p>
    <w:bookmarkStart w:id="4" w:name="page5"/>
    <w:bookmarkEnd w:id="4"/>
    <w:p>
      <w:pPr>
        <w:ind w:right="300"/>
        <w:spacing w:after="0" w:line="262" w:lineRule="auto"/>
        <w:rPr>
          <w:sz w:val="20"/>
          <w:szCs w:val="20"/>
          <w:color w:val="auto"/>
        </w:rPr>
      </w:pPr>
      <w:r>
        <w:rPr>
          <w:rFonts w:ascii="Arial" w:cs="Arial" w:eastAsia="Arial" w:hAnsi="Arial"/>
          <w:sz w:val="20"/>
          <w:szCs w:val="20"/>
          <w:color w:val="auto"/>
        </w:rPr>
        <w:t>Full-year EBIT-adjusted was $6.5 billion, compared with $8.6 billion in 2013. Full-year EBIT-adjusted for 2014 includes the impact of $2.8 billion for recall-related costs and restructuring charges of $1.0 billion.</w:t>
      </w:r>
    </w:p>
    <w:p>
      <w:pPr>
        <w:spacing w:after="0" w:line="174"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Based on GM’s continued strong results, and consistent with its stated strategy of a strong and growing dividend, the company intends to increase the second quarter dividend on its common stock by 20 percent to 36 cents per share. The decision on the expected dividend increase will be made by the GM Board of Directors as part of the regularly scheduled second quarter dividend declaration procedure.</w:t>
      </w:r>
    </w:p>
    <w:p>
      <w:pPr>
        <w:spacing w:after="0" w:line="152"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“Our intention to increase the dividend is consistent with our balanced capital allocation strategy and reflects the confidence we have in the growing strength of our business,” said Barra. “Our goal is to maximize long-term shareholder value through both stock price appreciation and return of capital.”</w:t>
      </w:r>
    </w:p>
    <w:p>
      <w:pPr>
        <w:sectPr>
          <w:pgSz w:w="11900" w:h="16838" w:orient="portrait"/>
          <w:cols w:equalWidth="0" w:num="1">
            <w:col w:w="11380"/>
          </w:cols>
          <w:pgMar w:left="240" w:top="122" w:right="27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(in billions except for per share amounts)</w:t>
      </w:r>
    </w:p>
    <w:p>
      <w:pPr>
        <w:spacing w:after="0" w:line="200" w:lineRule="exact"/>
        <w:rPr>
          <w:sz w:val="20"/>
          <w:szCs w:val="20"/>
          <w:color w:val="auto"/>
        </w:rPr>
      </w:pPr>
    </w:p>
    <w:p>
      <w:pPr>
        <w:spacing w:after="0" w:line="26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Revenue</w:t>
      </w:r>
    </w:p>
    <w:p>
      <w:pPr>
        <w:spacing w:after="0" w:line="54" w:lineRule="exact"/>
        <w:rPr>
          <w:sz w:val="20"/>
          <w:szCs w:val="20"/>
          <w:color w:val="auto"/>
        </w:rPr>
      </w:pPr>
    </w:p>
    <w:p>
      <w:pPr>
        <w:ind w:left="600" w:right="520"/>
        <w:spacing w:after="0" w:line="267" w:lineRule="auto"/>
        <w:rPr>
          <w:sz w:val="20"/>
          <w:szCs w:val="20"/>
          <w:color w:val="auto"/>
        </w:rPr>
      </w:pPr>
      <w:r>
        <w:rPr>
          <w:rFonts w:ascii="Arial" w:cs="Arial" w:eastAsia="Arial" w:hAnsi="Arial"/>
          <w:sz w:val="20"/>
          <w:szCs w:val="20"/>
          <w:b w:val="1"/>
          <w:bCs w:val="1"/>
          <w:color w:val="auto"/>
        </w:rPr>
        <w:t>Net income attributable to common stockholders</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Earnings per share</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(EPS) diluted</w:t>
      </w:r>
    </w:p>
    <w:p>
      <w:pPr>
        <w:spacing w:after="0" w:line="32" w:lineRule="exact"/>
        <w:rPr>
          <w:sz w:val="20"/>
          <w:szCs w:val="20"/>
          <w:color w:val="auto"/>
        </w:rPr>
      </w:pPr>
    </w:p>
    <w:p>
      <w:pPr>
        <w:ind w:left="600" w:right="920"/>
        <w:spacing w:after="0" w:line="267" w:lineRule="auto"/>
        <w:rPr>
          <w:sz w:val="20"/>
          <w:szCs w:val="20"/>
          <w:color w:val="auto"/>
        </w:rPr>
      </w:pPr>
      <w:r>
        <w:rPr>
          <w:rFonts w:ascii="Arial" w:cs="Arial" w:eastAsia="Arial" w:hAnsi="Arial"/>
          <w:sz w:val="20"/>
          <w:szCs w:val="20"/>
          <w:b w:val="1"/>
          <w:bCs w:val="1"/>
          <w:color w:val="auto"/>
        </w:rPr>
        <w:t>Impact of special items on EPS diluted</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EBIT-adjusted</w:t>
      </w:r>
    </w:p>
    <w:p>
      <w:pPr>
        <w:spacing w:after="0" w:line="54" w:lineRule="exact"/>
        <w:rPr>
          <w:sz w:val="20"/>
          <w:szCs w:val="20"/>
          <w:color w:val="auto"/>
        </w:rPr>
      </w:pPr>
    </w:p>
    <w:p>
      <w:pPr>
        <w:ind w:left="600" w:right="920"/>
        <w:spacing w:after="0" w:line="267" w:lineRule="auto"/>
        <w:rPr>
          <w:sz w:val="20"/>
          <w:szCs w:val="20"/>
          <w:color w:val="auto"/>
        </w:rPr>
      </w:pPr>
      <w:r>
        <w:rPr>
          <w:rFonts w:ascii="Arial" w:cs="Arial" w:eastAsia="Arial" w:hAnsi="Arial"/>
          <w:sz w:val="20"/>
          <w:szCs w:val="20"/>
          <w:b w:val="1"/>
          <w:bCs w:val="1"/>
          <w:color w:val="auto"/>
        </w:rPr>
        <w:t>Automotive net cash flow from operating activities</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Adjusted automotive</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free cash flow</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1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1"/>
              </w:rPr>
              <w:t>Q4 2013</w:t>
            </w:r>
          </w:p>
        </w:tc>
        <w:tc>
          <w:tcPr>
            <w:tcW w:w="1760" w:type="dxa"/>
            <w:vAlign w:val="bottom"/>
          </w:tcPr>
          <w:p>
            <w:pPr>
              <w:jc w:val="center"/>
              <w:ind w:right="121"/>
              <w:spacing w:after="0"/>
              <w:rPr>
                <w:sz w:val="20"/>
                <w:szCs w:val="20"/>
                <w:color w:val="auto"/>
              </w:rPr>
            </w:pPr>
            <w:r>
              <w:rPr>
                <w:rFonts w:ascii="Arial" w:cs="Arial" w:eastAsia="Arial" w:hAnsi="Arial"/>
                <w:sz w:val="20"/>
                <w:szCs w:val="20"/>
                <w:b w:val="1"/>
                <w:bCs w:val="1"/>
                <w:color w:val="auto"/>
                <w:w w:val="91"/>
              </w:rPr>
              <w:t>Q4 2014</w:t>
            </w:r>
          </w:p>
        </w:tc>
        <w:tc>
          <w:tcPr>
            <w:tcW w:w="2020" w:type="dxa"/>
            <w:vAlign w:val="bottom"/>
          </w:tcPr>
          <w:p>
            <w:pPr>
              <w:ind w:left="640"/>
              <w:spacing w:after="0"/>
              <w:rPr>
                <w:sz w:val="20"/>
                <w:szCs w:val="20"/>
                <w:color w:val="auto"/>
              </w:rPr>
            </w:pPr>
            <w:r>
              <w:rPr>
                <w:rFonts w:ascii="Arial" w:cs="Arial" w:eastAsia="Arial" w:hAnsi="Arial"/>
                <w:sz w:val="20"/>
                <w:szCs w:val="20"/>
                <w:b w:val="1"/>
                <w:bCs w:val="1"/>
                <w:color w:val="auto"/>
              </w:rPr>
              <w:t>Full-year 2013</w:t>
            </w:r>
          </w:p>
        </w:tc>
        <w:tc>
          <w:tcPr>
            <w:tcW w:w="1380" w:type="dxa"/>
            <w:vAlign w:val="bottom"/>
          </w:tcPr>
          <w:p>
            <w:pPr>
              <w:ind w:left="160"/>
              <w:spacing w:after="0"/>
              <w:rPr>
                <w:sz w:val="20"/>
                <w:szCs w:val="20"/>
                <w:color w:val="auto"/>
              </w:rPr>
            </w:pPr>
            <w:r>
              <w:rPr>
                <w:rFonts w:ascii="Arial" w:cs="Arial" w:eastAsia="Arial" w:hAnsi="Arial"/>
                <w:sz w:val="20"/>
                <w:szCs w:val="20"/>
                <w:b w:val="1"/>
                <w:bCs w:val="1"/>
                <w:color w:val="auto"/>
                <w:w w:val="89"/>
              </w:rPr>
              <w:t>Full-year 2014</w:t>
            </w:r>
          </w:p>
        </w:tc>
      </w:tr>
      <w:tr>
        <w:trPr>
          <w:trHeight w:val="284"/>
        </w:trPr>
        <w:tc>
          <w:tcPr>
            <w:tcW w:w="1120" w:type="dxa"/>
            <w:vAlign w:val="bottom"/>
          </w:tcPr>
          <w:p>
            <w:pPr>
              <w:jc w:val="center"/>
              <w:ind w:right="341"/>
              <w:spacing w:after="0"/>
              <w:rPr>
                <w:sz w:val="20"/>
                <w:szCs w:val="20"/>
                <w:color w:val="auto"/>
              </w:rPr>
            </w:pPr>
            <w:r>
              <w:rPr>
                <w:rFonts w:ascii="Arial" w:cs="Arial" w:eastAsia="Arial" w:hAnsi="Arial"/>
                <w:sz w:val="20"/>
                <w:szCs w:val="20"/>
                <w:color w:val="auto"/>
                <w:w w:val="87"/>
              </w:rPr>
              <w:t>$40.5</w:t>
            </w:r>
          </w:p>
        </w:tc>
        <w:tc>
          <w:tcPr>
            <w:tcW w:w="1760" w:type="dxa"/>
            <w:vAlign w:val="bottom"/>
          </w:tcPr>
          <w:p>
            <w:pPr>
              <w:jc w:val="center"/>
              <w:ind w:right="141"/>
              <w:spacing w:after="0"/>
              <w:rPr>
                <w:sz w:val="20"/>
                <w:szCs w:val="20"/>
                <w:color w:val="auto"/>
              </w:rPr>
            </w:pPr>
            <w:r>
              <w:rPr>
                <w:rFonts w:ascii="Arial" w:cs="Arial" w:eastAsia="Arial" w:hAnsi="Arial"/>
                <w:sz w:val="20"/>
                <w:szCs w:val="20"/>
                <w:color w:val="auto"/>
                <w:w w:val="87"/>
              </w:rPr>
              <w:t>$39.6</w:t>
            </w:r>
          </w:p>
        </w:tc>
        <w:tc>
          <w:tcPr>
            <w:tcW w:w="2020" w:type="dxa"/>
            <w:vAlign w:val="bottom"/>
          </w:tcPr>
          <w:p>
            <w:pPr>
              <w:jc w:val="center"/>
              <w:ind w:left="381"/>
              <w:spacing w:after="0"/>
              <w:rPr>
                <w:sz w:val="20"/>
                <w:szCs w:val="20"/>
                <w:color w:val="auto"/>
              </w:rPr>
            </w:pPr>
            <w:r>
              <w:rPr>
                <w:rFonts w:ascii="Arial" w:cs="Arial" w:eastAsia="Arial" w:hAnsi="Arial"/>
                <w:sz w:val="20"/>
                <w:szCs w:val="20"/>
                <w:color w:val="auto"/>
                <w:w w:val="88"/>
              </w:rPr>
              <w:t>$155.4</w:t>
            </w:r>
          </w:p>
        </w:tc>
        <w:tc>
          <w:tcPr>
            <w:tcW w:w="1380" w:type="dxa"/>
            <w:vAlign w:val="bottom"/>
          </w:tcPr>
          <w:p>
            <w:pPr>
              <w:jc w:val="center"/>
              <w:ind w:left="61"/>
              <w:spacing w:after="0"/>
              <w:rPr>
                <w:sz w:val="20"/>
                <w:szCs w:val="20"/>
                <w:color w:val="auto"/>
              </w:rPr>
            </w:pPr>
            <w:r>
              <w:rPr>
                <w:rFonts w:ascii="Arial" w:cs="Arial" w:eastAsia="Arial" w:hAnsi="Arial"/>
                <w:sz w:val="20"/>
                <w:szCs w:val="20"/>
                <w:color w:val="auto"/>
                <w:w w:val="88"/>
              </w:rPr>
              <w:t>$155.9</w:t>
            </w:r>
          </w:p>
        </w:tc>
      </w:tr>
      <w:tr>
        <w:trPr>
          <w:trHeight w:val="392"/>
        </w:trPr>
        <w:tc>
          <w:tcPr>
            <w:tcW w:w="1120" w:type="dxa"/>
            <w:vAlign w:val="bottom"/>
          </w:tcPr>
          <w:p>
            <w:pPr>
              <w:jc w:val="center"/>
              <w:ind w:right="341"/>
              <w:spacing w:after="0"/>
              <w:rPr>
                <w:sz w:val="20"/>
                <w:szCs w:val="20"/>
                <w:color w:val="auto"/>
              </w:rPr>
            </w:pPr>
            <w:r>
              <w:rPr>
                <w:rFonts w:ascii="Arial" w:cs="Arial" w:eastAsia="Arial" w:hAnsi="Arial"/>
                <w:sz w:val="20"/>
                <w:szCs w:val="20"/>
                <w:color w:val="auto"/>
                <w:w w:val="92"/>
              </w:rPr>
              <w:t>$0.9</w:t>
            </w:r>
          </w:p>
        </w:tc>
        <w:tc>
          <w:tcPr>
            <w:tcW w:w="1760" w:type="dxa"/>
            <w:vAlign w:val="bottom"/>
          </w:tcPr>
          <w:p>
            <w:pPr>
              <w:jc w:val="center"/>
              <w:ind w:right="141"/>
              <w:spacing w:after="0"/>
              <w:rPr>
                <w:sz w:val="20"/>
                <w:szCs w:val="20"/>
                <w:color w:val="auto"/>
              </w:rPr>
            </w:pPr>
            <w:r>
              <w:rPr>
                <w:rFonts w:ascii="Arial" w:cs="Arial" w:eastAsia="Arial" w:hAnsi="Arial"/>
                <w:sz w:val="20"/>
                <w:szCs w:val="20"/>
                <w:color w:val="auto"/>
                <w:w w:val="92"/>
              </w:rPr>
              <w:t>$1.1</w:t>
            </w:r>
          </w:p>
        </w:tc>
        <w:tc>
          <w:tcPr>
            <w:tcW w:w="2020" w:type="dxa"/>
            <w:vAlign w:val="bottom"/>
          </w:tcPr>
          <w:p>
            <w:pPr>
              <w:jc w:val="center"/>
              <w:ind w:left="381"/>
              <w:spacing w:after="0"/>
              <w:rPr>
                <w:sz w:val="20"/>
                <w:szCs w:val="20"/>
                <w:color w:val="auto"/>
              </w:rPr>
            </w:pPr>
            <w:r>
              <w:rPr>
                <w:rFonts w:ascii="Arial" w:cs="Arial" w:eastAsia="Arial" w:hAnsi="Arial"/>
                <w:sz w:val="20"/>
                <w:szCs w:val="20"/>
                <w:color w:val="auto"/>
                <w:w w:val="87"/>
              </w:rPr>
              <w:t>$3.8</w:t>
            </w:r>
          </w:p>
        </w:tc>
        <w:tc>
          <w:tcPr>
            <w:tcW w:w="1380" w:type="dxa"/>
            <w:vAlign w:val="bottom"/>
          </w:tcPr>
          <w:p>
            <w:pPr>
              <w:jc w:val="center"/>
              <w:ind w:left="61"/>
              <w:spacing w:after="0"/>
              <w:rPr>
                <w:sz w:val="20"/>
                <w:szCs w:val="20"/>
                <w:color w:val="auto"/>
              </w:rPr>
            </w:pPr>
            <w:r>
              <w:rPr>
                <w:rFonts w:ascii="Arial" w:cs="Arial" w:eastAsia="Arial" w:hAnsi="Arial"/>
                <w:sz w:val="20"/>
                <w:szCs w:val="20"/>
                <w:color w:val="auto"/>
                <w:w w:val="87"/>
              </w:rPr>
              <w:t>$2.8</w:t>
            </w:r>
          </w:p>
        </w:tc>
      </w:tr>
      <w:tr>
        <w:trPr>
          <w:trHeight w:val="621"/>
        </w:trPr>
        <w:tc>
          <w:tcPr>
            <w:tcW w:w="1120" w:type="dxa"/>
            <w:vAlign w:val="bottom"/>
          </w:tcPr>
          <w:p>
            <w:pPr>
              <w:jc w:val="center"/>
              <w:ind w:right="341"/>
              <w:spacing w:after="0"/>
              <w:rPr>
                <w:sz w:val="20"/>
                <w:szCs w:val="20"/>
                <w:color w:val="auto"/>
              </w:rPr>
            </w:pPr>
            <w:r>
              <w:rPr>
                <w:rFonts w:ascii="Arial" w:cs="Arial" w:eastAsia="Arial" w:hAnsi="Arial"/>
                <w:sz w:val="20"/>
                <w:szCs w:val="20"/>
                <w:color w:val="auto"/>
                <w:w w:val="87"/>
              </w:rPr>
              <w:t>$0.57</w:t>
            </w:r>
          </w:p>
        </w:tc>
        <w:tc>
          <w:tcPr>
            <w:tcW w:w="1760" w:type="dxa"/>
            <w:vAlign w:val="bottom"/>
          </w:tcPr>
          <w:p>
            <w:pPr>
              <w:jc w:val="center"/>
              <w:ind w:right="141"/>
              <w:spacing w:after="0"/>
              <w:rPr>
                <w:sz w:val="20"/>
                <w:szCs w:val="20"/>
                <w:color w:val="auto"/>
              </w:rPr>
            </w:pPr>
            <w:r>
              <w:rPr>
                <w:rFonts w:ascii="Arial" w:cs="Arial" w:eastAsia="Arial" w:hAnsi="Arial"/>
                <w:sz w:val="20"/>
                <w:szCs w:val="20"/>
                <w:color w:val="auto"/>
                <w:w w:val="87"/>
              </w:rPr>
              <w:t>$0.66</w:t>
            </w:r>
          </w:p>
        </w:tc>
        <w:tc>
          <w:tcPr>
            <w:tcW w:w="2020" w:type="dxa"/>
            <w:vAlign w:val="bottom"/>
          </w:tcPr>
          <w:p>
            <w:pPr>
              <w:jc w:val="center"/>
              <w:ind w:left="401"/>
              <w:spacing w:after="0"/>
              <w:rPr>
                <w:sz w:val="20"/>
                <w:szCs w:val="20"/>
                <w:color w:val="auto"/>
              </w:rPr>
            </w:pPr>
            <w:r>
              <w:rPr>
                <w:rFonts w:ascii="Arial" w:cs="Arial" w:eastAsia="Arial" w:hAnsi="Arial"/>
                <w:sz w:val="20"/>
                <w:szCs w:val="20"/>
                <w:color w:val="auto"/>
                <w:w w:val="87"/>
              </w:rPr>
              <w:t>$2.38</w:t>
            </w:r>
          </w:p>
        </w:tc>
        <w:tc>
          <w:tcPr>
            <w:tcW w:w="1380" w:type="dxa"/>
            <w:vAlign w:val="bottom"/>
          </w:tcPr>
          <w:p>
            <w:pPr>
              <w:jc w:val="center"/>
              <w:ind w:left="81"/>
              <w:spacing w:after="0"/>
              <w:rPr>
                <w:sz w:val="20"/>
                <w:szCs w:val="20"/>
                <w:color w:val="auto"/>
              </w:rPr>
            </w:pPr>
            <w:r>
              <w:rPr>
                <w:rFonts w:ascii="Arial" w:cs="Arial" w:eastAsia="Arial" w:hAnsi="Arial"/>
                <w:sz w:val="20"/>
                <w:szCs w:val="20"/>
                <w:color w:val="auto"/>
                <w:w w:val="87"/>
              </w:rPr>
              <w:t>$1.65</w:t>
            </w:r>
          </w:p>
        </w:tc>
      </w:tr>
      <w:tr>
        <w:trPr>
          <w:trHeight w:val="513"/>
        </w:trPr>
        <w:tc>
          <w:tcPr>
            <w:tcW w:w="1120" w:type="dxa"/>
            <w:vAlign w:val="bottom"/>
          </w:tcPr>
          <w:p>
            <w:pPr>
              <w:jc w:val="center"/>
              <w:ind w:right="321"/>
              <w:spacing w:after="0"/>
              <w:rPr>
                <w:sz w:val="20"/>
                <w:szCs w:val="20"/>
                <w:color w:val="auto"/>
              </w:rPr>
            </w:pPr>
            <w:r>
              <w:rPr>
                <w:rFonts w:ascii="Arial" w:cs="Arial" w:eastAsia="Arial" w:hAnsi="Arial"/>
                <w:sz w:val="20"/>
                <w:szCs w:val="20"/>
                <w:color w:val="auto"/>
                <w:w w:val="91"/>
              </w:rPr>
              <w:t>$(0.10)</w:t>
            </w:r>
          </w:p>
        </w:tc>
        <w:tc>
          <w:tcPr>
            <w:tcW w:w="1760" w:type="dxa"/>
            <w:vAlign w:val="bottom"/>
          </w:tcPr>
          <w:p>
            <w:pPr>
              <w:jc w:val="center"/>
              <w:ind w:right="141"/>
              <w:spacing w:after="0"/>
              <w:rPr>
                <w:sz w:val="20"/>
                <w:szCs w:val="20"/>
                <w:color w:val="auto"/>
              </w:rPr>
            </w:pPr>
            <w:r>
              <w:rPr>
                <w:rFonts w:ascii="Arial" w:cs="Arial" w:eastAsia="Arial" w:hAnsi="Arial"/>
                <w:sz w:val="20"/>
                <w:szCs w:val="20"/>
                <w:color w:val="auto"/>
                <w:w w:val="88"/>
              </w:rPr>
              <w:t>$(0.53)</w:t>
            </w:r>
          </w:p>
        </w:tc>
        <w:tc>
          <w:tcPr>
            <w:tcW w:w="2020" w:type="dxa"/>
            <w:vAlign w:val="bottom"/>
          </w:tcPr>
          <w:p>
            <w:pPr>
              <w:jc w:val="center"/>
              <w:ind w:left="381"/>
              <w:spacing w:after="0"/>
              <w:rPr>
                <w:sz w:val="20"/>
                <w:szCs w:val="20"/>
                <w:color w:val="auto"/>
              </w:rPr>
            </w:pPr>
            <w:r>
              <w:rPr>
                <w:rFonts w:ascii="Arial" w:cs="Arial" w:eastAsia="Arial" w:hAnsi="Arial"/>
                <w:sz w:val="20"/>
                <w:szCs w:val="20"/>
                <w:color w:val="auto"/>
                <w:w w:val="91"/>
              </w:rPr>
              <w:t>$(0.80)</w:t>
            </w:r>
          </w:p>
        </w:tc>
        <w:tc>
          <w:tcPr>
            <w:tcW w:w="1380" w:type="dxa"/>
            <w:vAlign w:val="bottom"/>
          </w:tcPr>
          <w:p>
            <w:pPr>
              <w:jc w:val="center"/>
              <w:ind w:left="61"/>
              <w:spacing w:after="0"/>
              <w:rPr>
                <w:sz w:val="20"/>
                <w:szCs w:val="20"/>
                <w:color w:val="auto"/>
              </w:rPr>
            </w:pPr>
            <w:r>
              <w:rPr>
                <w:rFonts w:ascii="Arial" w:cs="Arial" w:eastAsia="Arial" w:hAnsi="Arial"/>
                <w:sz w:val="20"/>
                <w:szCs w:val="20"/>
                <w:color w:val="auto"/>
                <w:w w:val="91"/>
              </w:rPr>
              <w:t>$(1.40)</w:t>
            </w:r>
          </w:p>
        </w:tc>
      </w:tr>
      <w:tr>
        <w:trPr>
          <w:trHeight w:val="527"/>
        </w:trPr>
        <w:tc>
          <w:tcPr>
            <w:tcW w:w="1120" w:type="dxa"/>
            <w:vAlign w:val="bottom"/>
          </w:tcPr>
          <w:p>
            <w:pPr>
              <w:jc w:val="center"/>
              <w:ind w:right="341"/>
              <w:spacing w:after="0"/>
              <w:rPr>
                <w:sz w:val="20"/>
                <w:szCs w:val="20"/>
                <w:color w:val="auto"/>
              </w:rPr>
            </w:pPr>
            <w:r>
              <w:rPr>
                <w:rFonts w:ascii="Arial" w:cs="Arial" w:eastAsia="Arial" w:hAnsi="Arial"/>
                <w:sz w:val="20"/>
                <w:szCs w:val="20"/>
                <w:color w:val="auto"/>
                <w:w w:val="92"/>
              </w:rPr>
              <w:t>$1.9</w:t>
            </w:r>
          </w:p>
        </w:tc>
        <w:tc>
          <w:tcPr>
            <w:tcW w:w="1760" w:type="dxa"/>
            <w:vAlign w:val="bottom"/>
          </w:tcPr>
          <w:p>
            <w:pPr>
              <w:jc w:val="center"/>
              <w:ind w:right="141"/>
              <w:spacing w:after="0"/>
              <w:rPr>
                <w:sz w:val="20"/>
                <w:szCs w:val="20"/>
                <w:color w:val="auto"/>
              </w:rPr>
            </w:pPr>
            <w:r>
              <w:rPr>
                <w:rFonts w:ascii="Arial" w:cs="Arial" w:eastAsia="Arial" w:hAnsi="Arial"/>
                <w:sz w:val="20"/>
                <w:szCs w:val="20"/>
                <w:color w:val="auto"/>
                <w:w w:val="92"/>
              </w:rPr>
              <w:t>$2.4</w:t>
            </w:r>
          </w:p>
        </w:tc>
        <w:tc>
          <w:tcPr>
            <w:tcW w:w="2020" w:type="dxa"/>
            <w:vAlign w:val="bottom"/>
          </w:tcPr>
          <w:p>
            <w:pPr>
              <w:jc w:val="center"/>
              <w:ind w:left="381"/>
              <w:spacing w:after="0"/>
              <w:rPr>
                <w:sz w:val="20"/>
                <w:szCs w:val="20"/>
                <w:color w:val="auto"/>
              </w:rPr>
            </w:pPr>
            <w:r>
              <w:rPr>
                <w:rFonts w:ascii="Arial" w:cs="Arial" w:eastAsia="Arial" w:hAnsi="Arial"/>
                <w:sz w:val="20"/>
                <w:szCs w:val="20"/>
                <w:color w:val="auto"/>
                <w:w w:val="87"/>
              </w:rPr>
              <w:t>$8.6</w:t>
            </w:r>
          </w:p>
        </w:tc>
        <w:tc>
          <w:tcPr>
            <w:tcW w:w="1380" w:type="dxa"/>
            <w:vAlign w:val="bottom"/>
          </w:tcPr>
          <w:p>
            <w:pPr>
              <w:jc w:val="center"/>
              <w:ind w:left="61"/>
              <w:spacing w:after="0"/>
              <w:rPr>
                <w:sz w:val="20"/>
                <w:szCs w:val="20"/>
                <w:color w:val="auto"/>
              </w:rPr>
            </w:pPr>
            <w:r>
              <w:rPr>
                <w:rFonts w:ascii="Arial" w:cs="Arial" w:eastAsia="Arial" w:hAnsi="Arial"/>
                <w:sz w:val="20"/>
                <w:szCs w:val="20"/>
                <w:color w:val="auto"/>
                <w:w w:val="87"/>
              </w:rPr>
              <w:t>$6.5</w:t>
            </w:r>
          </w:p>
        </w:tc>
      </w:tr>
      <w:tr>
        <w:trPr>
          <w:trHeight w:val="392"/>
        </w:trPr>
        <w:tc>
          <w:tcPr>
            <w:tcW w:w="1120" w:type="dxa"/>
            <w:vAlign w:val="bottom"/>
          </w:tcPr>
          <w:p>
            <w:pPr>
              <w:jc w:val="center"/>
              <w:ind w:right="341"/>
              <w:spacing w:after="0"/>
              <w:rPr>
                <w:sz w:val="20"/>
                <w:szCs w:val="20"/>
                <w:color w:val="auto"/>
              </w:rPr>
            </w:pPr>
            <w:r>
              <w:rPr>
                <w:rFonts w:ascii="Arial" w:cs="Arial" w:eastAsia="Arial" w:hAnsi="Arial"/>
                <w:sz w:val="20"/>
                <w:szCs w:val="20"/>
                <w:color w:val="auto"/>
                <w:w w:val="92"/>
              </w:rPr>
              <w:t>$2.8</w:t>
            </w:r>
          </w:p>
        </w:tc>
        <w:tc>
          <w:tcPr>
            <w:tcW w:w="1760" w:type="dxa"/>
            <w:vAlign w:val="bottom"/>
          </w:tcPr>
          <w:p>
            <w:pPr>
              <w:jc w:val="center"/>
              <w:ind w:right="141"/>
              <w:spacing w:after="0"/>
              <w:rPr>
                <w:sz w:val="20"/>
                <w:szCs w:val="20"/>
                <w:color w:val="auto"/>
              </w:rPr>
            </w:pPr>
            <w:r>
              <w:rPr>
                <w:rFonts w:ascii="Arial" w:cs="Arial" w:eastAsia="Arial" w:hAnsi="Arial"/>
                <w:sz w:val="20"/>
                <w:szCs w:val="20"/>
                <w:color w:val="auto"/>
                <w:w w:val="92"/>
              </w:rPr>
              <w:t>$3.8</w:t>
            </w:r>
          </w:p>
        </w:tc>
        <w:tc>
          <w:tcPr>
            <w:tcW w:w="2020" w:type="dxa"/>
            <w:vAlign w:val="bottom"/>
          </w:tcPr>
          <w:p>
            <w:pPr>
              <w:jc w:val="center"/>
              <w:ind w:left="401"/>
              <w:spacing w:after="0"/>
              <w:rPr>
                <w:sz w:val="20"/>
                <w:szCs w:val="20"/>
                <w:color w:val="auto"/>
              </w:rPr>
            </w:pPr>
            <w:r>
              <w:rPr>
                <w:rFonts w:ascii="Arial" w:cs="Arial" w:eastAsia="Arial" w:hAnsi="Arial"/>
                <w:sz w:val="20"/>
                <w:szCs w:val="20"/>
                <w:color w:val="auto"/>
                <w:w w:val="87"/>
              </w:rPr>
              <w:t>$11.0</w:t>
            </w:r>
          </w:p>
        </w:tc>
        <w:tc>
          <w:tcPr>
            <w:tcW w:w="1380" w:type="dxa"/>
            <w:vAlign w:val="bottom"/>
          </w:tcPr>
          <w:p>
            <w:pPr>
              <w:jc w:val="center"/>
              <w:ind w:left="81"/>
              <w:spacing w:after="0"/>
              <w:rPr>
                <w:sz w:val="20"/>
                <w:szCs w:val="20"/>
                <w:color w:val="auto"/>
              </w:rPr>
            </w:pPr>
            <w:r>
              <w:rPr>
                <w:rFonts w:ascii="Arial" w:cs="Arial" w:eastAsia="Arial" w:hAnsi="Arial"/>
                <w:sz w:val="20"/>
                <w:szCs w:val="20"/>
                <w:color w:val="auto"/>
                <w:w w:val="87"/>
              </w:rPr>
              <w:t>$10.1</w:t>
            </w:r>
          </w:p>
        </w:tc>
      </w:tr>
      <w:tr>
        <w:trPr>
          <w:trHeight w:val="621"/>
        </w:trPr>
        <w:tc>
          <w:tcPr>
            <w:tcW w:w="1120" w:type="dxa"/>
            <w:vAlign w:val="bottom"/>
          </w:tcPr>
          <w:p>
            <w:pPr>
              <w:jc w:val="center"/>
              <w:ind w:right="341"/>
              <w:spacing w:after="0"/>
              <w:rPr>
                <w:sz w:val="20"/>
                <w:szCs w:val="20"/>
                <w:color w:val="auto"/>
              </w:rPr>
            </w:pPr>
            <w:r>
              <w:rPr>
                <w:rFonts w:ascii="Arial" w:cs="Arial" w:eastAsia="Arial" w:hAnsi="Arial"/>
                <w:sz w:val="20"/>
                <w:szCs w:val="20"/>
                <w:color w:val="auto"/>
                <w:w w:val="92"/>
              </w:rPr>
              <w:t>$1.1</w:t>
            </w:r>
          </w:p>
        </w:tc>
        <w:tc>
          <w:tcPr>
            <w:tcW w:w="1760" w:type="dxa"/>
            <w:vAlign w:val="bottom"/>
          </w:tcPr>
          <w:p>
            <w:pPr>
              <w:jc w:val="center"/>
              <w:ind w:right="141"/>
              <w:spacing w:after="0"/>
              <w:rPr>
                <w:sz w:val="20"/>
                <w:szCs w:val="20"/>
                <w:color w:val="auto"/>
              </w:rPr>
            </w:pPr>
            <w:r>
              <w:rPr>
                <w:rFonts w:ascii="Arial" w:cs="Arial" w:eastAsia="Arial" w:hAnsi="Arial"/>
                <w:sz w:val="20"/>
                <w:szCs w:val="20"/>
                <w:color w:val="auto"/>
                <w:w w:val="92"/>
              </w:rPr>
              <w:t>$1.8</w:t>
            </w:r>
          </w:p>
        </w:tc>
        <w:tc>
          <w:tcPr>
            <w:tcW w:w="2020" w:type="dxa"/>
            <w:vAlign w:val="bottom"/>
          </w:tcPr>
          <w:p>
            <w:pPr>
              <w:jc w:val="center"/>
              <w:ind w:left="381"/>
              <w:spacing w:after="0"/>
              <w:rPr>
                <w:sz w:val="20"/>
                <w:szCs w:val="20"/>
                <w:color w:val="auto"/>
              </w:rPr>
            </w:pPr>
            <w:r>
              <w:rPr>
                <w:rFonts w:ascii="Arial" w:cs="Arial" w:eastAsia="Arial" w:hAnsi="Arial"/>
                <w:sz w:val="20"/>
                <w:szCs w:val="20"/>
                <w:color w:val="auto"/>
                <w:w w:val="87"/>
              </w:rPr>
              <w:t>$3.7</w:t>
            </w:r>
          </w:p>
        </w:tc>
        <w:tc>
          <w:tcPr>
            <w:tcW w:w="1380" w:type="dxa"/>
            <w:vAlign w:val="bottom"/>
          </w:tcPr>
          <w:p>
            <w:pPr>
              <w:jc w:val="center"/>
              <w:ind w:left="61"/>
              <w:spacing w:after="0"/>
              <w:rPr>
                <w:sz w:val="20"/>
                <w:szCs w:val="20"/>
                <w:color w:val="auto"/>
              </w:rPr>
            </w:pPr>
            <w:r>
              <w:rPr>
                <w:rFonts w:ascii="Arial" w:cs="Arial" w:eastAsia="Arial" w:hAnsi="Arial"/>
                <w:sz w:val="20"/>
                <w:szCs w:val="20"/>
                <w:color w:val="auto"/>
                <w:w w:val="87"/>
              </w:rPr>
              <w:t>$3.1</w:t>
            </w:r>
          </w:p>
        </w:tc>
      </w:tr>
    </w:tbl>
    <w:p>
      <w:pPr>
        <w:spacing w:after="0" w:line="875" w:lineRule="exact"/>
        <w:rPr>
          <w:sz w:val="20"/>
          <w:szCs w:val="20"/>
          <w:color w:val="auto"/>
        </w:rPr>
      </w:pPr>
    </w:p>
    <w:p>
      <w:pPr>
        <w:sectPr>
          <w:pgSz w:w="11900" w:h="16838" w:orient="portrait"/>
          <w:cols w:equalWidth="0" w:num="2">
            <w:col w:w="4140" w:space="260"/>
            <w:col w:w="6980"/>
          </w:cols>
          <w:pgMar w:left="240" w:top="122" w:right="279" w:bottom="1440" w:gutter="0" w:footer="0" w:header="0"/>
          <w:type w:val="continuous"/>
        </w:sectPr>
      </w:pPr>
    </w:p>
    <w:p>
      <w:pPr>
        <w:spacing w:after="0" w:line="22" w:lineRule="exact"/>
        <w:rPr>
          <w:sz w:val="20"/>
          <w:szCs w:val="20"/>
          <w:color w:val="auto"/>
        </w:rPr>
      </w:pPr>
    </w:p>
    <w:p>
      <w:pPr>
        <w:ind w:left="660" w:right="60" w:hanging="328"/>
        <w:spacing w:after="0" w:line="24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North America (GMNA) reported EBIT-adjusted of $2.2 billion in the fourth quarter of 2014, compared with $1.9 billion in 2013. Full-year EBIT-adjusted was $6.6 billion, which included the impact of $2.4 billion in recall-related costs in 2014. This compares to EBIT-adjusted of $7.5 billion in 2013. Based on GMNA’s 2014 financial performance, the company will award variable pay of up to $9,000 to approximately 48,400 eligible GM U.S. hourly employees.</w:t>
      </w:r>
    </w:p>
    <w:p>
      <w:pPr>
        <w:spacing w:after="0" w:line="2" w:lineRule="exact"/>
        <w:rPr>
          <w:rFonts w:ascii="Arial" w:cs="Arial" w:eastAsia="Arial" w:hAnsi="Arial"/>
          <w:sz w:val="18"/>
          <w:szCs w:val="18"/>
          <w:color w:val="auto"/>
        </w:rPr>
      </w:pPr>
    </w:p>
    <w:p>
      <w:pPr>
        <w:ind w:left="660" w:right="6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Europe (GME) reported EBIT-adjusted of $(0.4) billion in the fourth quarter of 2014, which includes $0.1 billion for restructuring costs. This compares with $(0.4) billion in 2013, which also included $0.1 billion in restructuring costs. Full-year EBIT-adjusted was $(1.4) billion in 2014, which includes $0.7 billion in restructuring costs. This compares with EBIT-adjusted of $(0.9) billion in 2013, which included $0.2 billion in restructuring costs.</w:t>
      </w:r>
    </w:p>
    <w:p>
      <w:pPr>
        <w:spacing w:after="0" w:line="2" w:lineRule="exact"/>
        <w:rPr>
          <w:rFonts w:ascii="Arial" w:cs="Arial" w:eastAsia="Arial" w:hAnsi="Arial"/>
          <w:sz w:val="18"/>
          <w:szCs w:val="18"/>
          <w:color w:val="auto"/>
        </w:rPr>
      </w:pPr>
    </w:p>
    <w:p>
      <w:pPr>
        <w:jc w:val="both"/>
        <w:ind w:left="660" w:right="4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International Operations (GMIO) reported EBIT-adjusted of $0.4 billion in the fourth quarter of 2014, compared with $0.2 billion in 2013. Full-year EBIT-adjusted was $1.2 billion in 2014, compared with $1.3 billion in 2013. Included in the consolidated results for GMIO, GM China equity income during the fourth quarter of 2014 was $0.5 billion, compared to $0.4 billion in 2013. Full-year equity income for GM China was $2.1 billion, compared to $1.8 billion in 2013.</w:t>
      </w:r>
    </w:p>
    <w:p>
      <w:pPr>
        <w:spacing w:after="0" w:line="2" w:lineRule="exact"/>
        <w:rPr>
          <w:rFonts w:ascii="Arial" w:cs="Arial" w:eastAsia="Arial" w:hAnsi="Arial"/>
          <w:sz w:val="18"/>
          <w:szCs w:val="18"/>
          <w:color w:val="auto"/>
        </w:rPr>
      </w:pPr>
    </w:p>
    <w:p>
      <w:pPr>
        <w:ind w:left="660" w:right="180" w:hanging="328"/>
        <w:spacing w:after="0" w:line="252"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GM South America (GMSA) reported EBIT-adjusted of $0.1 billion in the fourth quarter of 2014, compared with breakeven in 2013. Full-year EBIT-adjusted was $(0.2) billion in 2014, compared with EBIT-adjusted of $0.3 billion in 2013.</w:t>
      </w:r>
    </w:p>
    <w:p>
      <w:pPr>
        <w:ind w:left="660" w:hanging="328"/>
        <w:spacing w:after="0" w:line="24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Financial reported earnings before taxes (EBT) adjusted of $0.1 billion in the fourth quarter of 2014, compared with $0.2 billion in 2013. Full-year EBT adjusted was $0.8 billion, compared to $0.9 billion in 2013.</w:t>
      </w:r>
    </w:p>
    <w:p>
      <w:pPr>
        <w:sectPr>
          <w:pgSz w:w="11900" w:h="16838" w:orient="portrait"/>
          <w:cols w:equalWidth="0" w:num="1">
            <w:col w:w="11380"/>
          </w:cols>
          <w:pgMar w:left="240" w:top="122" w:right="279" w:bottom="1440" w:gutter="0" w:footer="0" w:header="0"/>
          <w:type w:val="continuous"/>
        </w:sectPr>
      </w:pPr>
    </w:p>
    <w:bookmarkStart w:id="5" w:name="page6"/>
    <w:bookmarkEnd w:id="5"/>
    <w:p>
      <w:pPr>
        <w:ind w:right="260"/>
        <w:spacing w:after="0" w:line="250" w:lineRule="auto"/>
        <w:rPr>
          <w:sz w:val="20"/>
          <w:szCs w:val="20"/>
          <w:color w:val="auto"/>
        </w:rPr>
      </w:pPr>
      <w:r>
        <w:rPr>
          <w:rFonts w:ascii="Arial" w:cs="Arial" w:eastAsia="Arial" w:hAnsi="Arial"/>
          <w:sz w:val="20"/>
          <w:szCs w:val="20"/>
          <w:color w:val="auto"/>
        </w:rPr>
        <w:t>“Our underlying business operations showed significant improvement this year,” said Chuck Stevens, GM executive vice president and chief financial officer. “In 2015, we’ll continue to focus on driving further improvements to keep us on a glide path to achieve our near-term and long-term objectives.”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and Liquidity</w:t>
      </w:r>
    </w:p>
    <w:p>
      <w:pPr>
        <w:spacing w:after="0" w:line="222"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For the fourth quarter of 2014, automotive cash flow from operating activities was $3.8 billion, compared to $2.8 billion in 2013. In the fourth quarter of 2014, adjusted automotive free cash flow was $2.4 billion excluding the effect of $0.6 billion in recall-related cash payments. Adjusted automotive free cash flow was $1.1 billion in the fourth quarter of 2013.</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For the full year, adjusted automotive free cash flow was $4.8 billion excluding the effect of $1.6 billion in recall-related cash payments.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Adjusted automotive free cash flow was $3.7 billion in 2013.</w:t>
      </w:r>
    </w:p>
    <w:p>
      <w:pPr>
        <w:spacing w:after="0" w:line="200"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GM ended 2014 with strong total automotive liquidity of $37.2 billion, compared with $38.3 billion at year-end in 2013. Automotive cash and marketable securities was $25.2 billion at the end of 2014, compared with $27.9 billion a year earlier.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 Update</w:t>
      </w:r>
    </w:p>
    <w:p>
      <w:pPr>
        <w:spacing w:after="0" w:line="222" w:lineRule="exact"/>
        <w:rPr>
          <w:sz w:val="20"/>
          <w:szCs w:val="20"/>
          <w:color w:val="auto"/>
        </w:rPr>
      </w:pPr>
    </w:p>
    <w:p>
      <w:pPr>
        <w:ind w:right="980"/>
        <w:spacing w:after="0" w:line="260" w:lineRule="auto"/>
        <w:rPr>
          <w:sz w:val="20"/>
          <w:szCs w:val="20"/>
          <w:color w:val="auto"/>
        </w:rPr>
      </w:pPr>
      <w:r>
        <w:rPr>
          <w:rFonts w:ascii="Arial" w:cs="Arial" w:eastAsia="Arial" w:hAnsi="Arial"/>
          <w:sz w:val="20"/>
          <w:szCs w:val="20"/>
          <w:color w:val="auto"/>
        </w:rPr>
        <w:t>GM’s year-end global pension obligations of $104.6 billion were approximately 77 percent funded at the end of 2014. The year-end underfunded position was $24.1 billion, up from $19.9 billion at the end of 2013.</w:t>
      </w:r>
    </w:p>
    <w:p>
      <w:pPr>
        <w:spacing w:after="0" w:line="17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GM’s U.S. defined benefit pension plan obligations of $76.7 billion ended the year approximately 86 percent funded. The year-end underfunded position was $10.9 billion, up from $7.3 billion the year prior. For 2014, the return on U.S. defined benefit pension plan assets was approximately 12 percent.</w:t>
      </w:r>
    </w:p>
    <w:p>
      <w:pPr>
        <w:spacing w:after="0" w:line="186" w:lineRule="exact"/>
        <w:rPr>
          <w:sz w:val="20"/>
          <w:szCs w:val="20"/>
          <w:color w:val="auto"/>
        </w:rPr>
      </w:pPr>
    </w:p>
    <w:p>
      <w:pPr>
        <w:ind w:right="40"/>
        <w:spacing w:after="0" w:line="316" w:lineRule="auto"/>
        <w:rPr>
          <w:sz w:val="20"/>
          <w:szCs w:val="20"/>
          <w:color w:val="auto"/>
        </w:rPr>
      </w:pPr>
      <w:r>
        <w:rPr>
          <w:rFonts w:ascii="Arial" w:cs="Arial" w:eastAsia="Arial" w:hAnsi="Arial"/>
          <w:sz w:val="18"/>
          <w:szCs w:val="18"/>
          <w:color w:val="auto"/>
        </w:rPr>
        <w:t>Under current economic conditions, GM expects no significant, mandatory contributions to U.S. defined benefit pension plans for at least five years. While the company will continue to evaluate opportunities to make voluntary cash contributions, it has no current plans to do so in 2015.</w:t>
      </w:r>
    </w:p>
    <w:p>
      <w:pPr>
        <w:spacing w:after="0" w:line="12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largest and fastest-growing automotive markets. GM’s brands include Chevrolet and Cadillac, as well as Baojun, Buick, GMC, Holden, Daewoo, Jiefang, Opel, Vauxhall and Wuling. More information on the company and its subsidiaries, including OnStar, a global leader in vehicle safety, security and information services, can be found at http://www.gm.com.</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CONTACTS:</w:t>
            </w:r>
          </w:p>
        </w:tc>
        <w:tc>
          <w:tcPr>
            <w:tcW w:w="3440" w:type="dxa"/>
            <w:vAlign w:val="bottom"/>
            <w:gridSpan w:val="2"/>
          </w:tcPr>
          <w:p>
            <w:pPr>
              <w:jc w:val="right"/>
              <w:ind w:right="160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02"/>
        </w:trPr>
        <w:tc>
          <w:tcPr>
            <w:tcW w:w="4060" w:type="dxa"/>
            <w:vAlign w:val="bottom"/>
            <w:gridSpan w:val="3"/>
            <w:vMerge w:val="continue"/>
          </w:tcPr>
          <w:p>
            <w:pPr>
              <w:spacing w:after="0"/>
              <w:rPr>
                <w:sz w:val="17"/>
                <w:szCs w:val="17"/>
                <w:color w:val="auto"/>
              </w:rPr>
            </w:pPr>
          </w:p>
        </w:tc>
        <w:tc>
          <w:tcPr>
            <w:tcW w:w="1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4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Tom Henderson</w:t>
            </w:r>
          </w:p>
        </w:tc>
        <w:tc>
          <w:tcPr>
            <w:tcW w:w="3440" w:type="dxa"/>
            <w:vAlign w:val="bottom"/>
            <w:gridSpan w:val="2"/>
          </w:tcPr>
          <w:p>
            <w:pPr>
              <w:ind w:left="1680"/>
              <w:spacing w:after="0"/>
              <w:rPr>
                <w:sz w:val="20"/>
                <w:szCs w:val="20"/>
                <w:color w:val="auto"/>
              </w:rPr>
            </w:pPr>
            <w:r>
              <w:rPr>
                <w:rFonts w:ascii="Arial" w:cs="Arial" w:eastAsia="Arial" w:hAnsi="Arial"/>
                <w:sz w:val="18"/>
                <w:szCs w:val="18"/>
                <w:color w:val="auto"/>
              </w:rPr>
              <w:t>Randy Arickx</w:t>
            </w:r>
          </w:p>
        </w:tc>
        <w:tc>
          <w:tcPr>
            <w:tcW w:w="0" w:type="dxa"/>
            <w:vAlign w:val="bottom"/>
          </w:tcPr>
          <w:p>
            <w:pPr>
              <w:spacing w:after="0"/>
              <w:rPr>
                <w:sz w:val="1"/>
                <w:szCs w:val="1"/>
                <w:color w:val="auto"/>
              </w:rPr>
            </w:pPr>
          </w:p>
        </w:tc>
      </w:tr>
      <w:tr>
        <w:trPr>
          <w:trHeight w:val="216"/>
        </w:trPr>
        <w:tc>
          <w:tcPr>
            <w:tcW w:w="2360" w:type="dxa"/>
            <w:vAlign w:val="bottom"/>
            <w:gridSpan w:val="2"/>
          </w:tcPr>
          <w:p>
            <w:pPr>
              <w:ind w:left="420"/>
              <w:spacing w:after="0"/>
              <w:rPr>
                <w:sz w:val="20"/>
                <w:szCs w:val="20"/>
                <w:color w:val="auto"/>
              </w:rPr>
            </w:pPr>
            <w:r>
              <w:rPr>
                <w:rFonts w:ascii="Arial" w:cs="Arial" w:eastAsia="Arial" w:hAnsi="Arial"/>
                <w:sz w:val="18"/>
                <w:szCs w:val="18"/>
                <w:color w:val="auto"/>
              </w:rPr>
              <w:t>313-410-2704</w:t>
            </w:r>
          </w:p>
        </w:tc>
        <w:tc>
          <w:tcPr>
            <w:tcW w:w="1700" w:type="dxa"/>
            <w:vAlign w:val="bottom"/>
          </w:tcPr>
          <w:p>
            <w:pPr>
              <w:spacing w:after="0"/>
              <w:rPr>
                <w:sz w:val="18"/>
                <w:szCs w:val="18"/>
                <w:color w:val="auto"/>
              </w:rPr>
            </w:pPr>
          </w:p>
        </w:tc>
        <w:tc>
          <w:tcPr>
            <w:tcW w:w="3440" w:type="dxa"/>
            <w:vAlign w:val="bottom"/>
            <w:gridSpan w:val="2"/>
          </w:tcPr>
          <w:p>
            <w:pPr>
              <w:ind w:left="1680"/>
              <w:spacing w:after="0"/>
              <w:rPr>
                <w:sz w:val="20"/>
                <w:szCs w:val="20"/>
                <w:color w:val="auto"/>
              </w:rPr>
            </w:pPr>
            <w:r>
              <w:rPr>
                <w:rFonts w:ascii="Arial" w:cs="Arial" w:eastAsia="Arial" w:hAnsi="Arial"/>
                <w:sz w:val="18"/>
                <w:szCs w:val="18"/>
                <w:color w:val="auto"/>
              </w:rPr>
              <w:t>313-268-7070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GM Finance Communications</w:t>
            </w:r>
          </w:p>
        </w:tc>
        <w:tc>
          <w:tcPr>
            <w:tcW w:w="3440" w:type="dxa"/>
            <w:vAlign w:val="bottom"/>
            <w:gridSpan w:val="2"/>
          </w:tcPr>
          <w:p>
            <w:pPr>
              <w:ind w:left="1680"/>
              <w:spacing w:after="0"/>
              <w:rPr>
                <w:sz w:val="20"/>
                <w:szCs w:val="20"/>
                <w:color w:val="auto"/>
              </w:rPr>
            </w:pPr>
            <w:r>
              <w:rPr>
                <w:rFonts w:ascii="Arial" w:cs="Arial" w:eastAsia="Arial" w:hAnsi="Arial"/>
                <w:sz w:val="18"/>
                <w:szCs w:val="18"/>
                <w:color w:val="auto"/>
                <w:w w:val="97"/>
              </w:rPr>
              <w:t>GM Investor Relations</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640" w:type="dxa"/>
            <w:vAlign w:val="bottom"/>
            <w:gridSpan w:val="2"/>
          </w:tcPr>
          <w:p>
            <w:pPr>
              <w:spacing w:after="0" w:line="190" w:lineRule="exact"/>
              <w:rPr>
                <w:sz w:val="20"/>
                <w:szCs w:val="20"/>
                <w:color w:val="auto"/>
              </w:rPr>
            </w:pPr>
            <w:r>
              <w:rPr>
                <w:rFonts w:ascii="Arial" w:cs="Arial" w:eastAsia="Arial" w:hAnsi="Arial"/>
                <w:sz w:val="18"/>
                <w:szCs w:val="18"/>
                <w:color w:val="0000FF"/>
              </w:rPr>
              <w:t>tom.e.henderson@gm.com</w:t>
            </w:r>
          </w:p>
        </w:tc>
        <w:tc>
          <w:tcPr>
            <w:tcW w:w="3440" w:type="dxa"/>
            <w:vAlign w:val="bottom"/>
            <w:gridSpan w:val="2"/>
          </w:tcPr>
          <w:p>
            <w:pPr>
              <w:ind w:left="1680"/>
              <w:spacing w:after="0" w:line="190" w:lineRule="exact"/>
              <w:rPr>
                <w:sz w:val="20"/>
                <w:szCs w:val="20"/>
                <w:color w:val="auto"/>
              </w:rPr>
            </w:pPr>
            <w:r>
              <w:rPr>
                <w:rFonts w:ascii="Arial" w:cs="Arial" w:eastAsia="Arial" w:hAnsi="Arial"/>
                <w:sz w:val="18"/>
                <w:szCs w:val="18"/>
                <w:color w:val="0000FF"/>
                <w:w w:val="89"/>
              </w:rPr>
              <w:t>randy.c.arickx@gm.com</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In this press release and in related comments by our management, our use of the words ”plans,” “expect,” “anticipate,” “possible,” “potential,” “target,” “believe,” “commit,” “intend,” “continue,” “may,” “would,” “could,” “should,” “project,” “appears,” “potential,” “projected,” “upside,”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w:t>
      </w:r>
    </w:p>
    <w:p>
      <w:pPr>
        <w:spacing w:after="0" w:line="248" w:lineRule="auto"/>
        <w:rPr>
          <w:sz w:val="20"/>
          <w:szCs w:val="20"/>
          <w:color w:val="auto"/>
        </w:rPr>
      </w:pPr>
      <w:r>
        <w:rPr>
          <w:rFonts w:ascii="Arial" w:cs="Arial" w:eastAsia="Arial" w:hAnsi="Arial"/>
          <w:sz w:val="16"/>
          <w:szCs w:val="16"/>
          <w:color w:val="auto"/>
        </w:rPr>
        <w:t>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and government investigations including those related to our recent recalls; and our ability to continue to attract new customers, particularly for our new products. GM's most recent annual report on Form 10-K provides information about these and other factors, which we may revise or supplement in future reports to the SEC.</w:t>
      </w:r>
    </w:p>
    <w:p>
      <w:pPr>
        <w:sectPr>
          <w:pgSz w:w="11900" w:h="16838" w:orient="portrait"/>
          <w:cols w:equalWidth="0" w:num="1">
            <w:col w:w="11420"/>
          </w:cols>
          <w:pgMar w:left="240" w:top="121" w:right="239" w:bottom="1440" w:gutter="0" w:footer="0" w:header="0"/>
        </w:sectPr>
      </w:pPr>
    </w:p>
    <w:bookmarkStart w:id="6" w:name="page7"/>
    <w:bookmarkEnd w:id="6"/>
    <w:p>
      <w:pPr>
        <w:jc w:val="center"/>
        <w:ind w:left="980"/>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15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accompanying tables and charts include earnings before interest and taxes adjusted for special items, presented net of noncontrolling interests (EBIT-adjusted) and Automotive adjusted free cash flow. These metrics are not prepared in accordance with Accounting Principles Generally Accepted in the United States of America (U.S. GAAP) and have not been audited or reviewed by GM's independent auditors. EBIT-adjusted and Adjusted automotive free cash flow are considered non-GAAP financial measures.</w:t>
      </w:r>
    </w:p>
    <w:p>
      <w:pPr>
        <w:spacing w:after="0" w:line="18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between periods and among geographic regions. Accordingly, GM believes these non-GAAP financial measures are useful in allowing for additional transparency of GM's core operations and they are therefore used by management in its financial and operational decision-making.</w:t>
      </w:r>
    </w:p>
    <w:p>
      <w:pPr>
        <w:spacing w:after="0" w:line="15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their method of calculation. As a result the use of these non-GAAP financial measures has limitations and should not be considered in isolation from, or as a substitute for, related U.S. GAAP measures.</w:t>
      </w:r>
    </w:p>
    <w:p>
      <w:pPr>
        <w:spacing w:after="0" w:line="17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reconciliation of EBIT-adjusted to its most comparable U.S. GAAP measure, Income before income taxes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8"/>
              </w:rPr>
              <w:t>Three Months Ended</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Years Ended</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960" w:type="dxa"/>
            <w:vAlign w:val="bottom"/>
          </w:tcPr>
          <w:p>
            <w:pPr>
              <w:spacing w:after="0"/>
              <w:rPr>
                <w:sz w:val="22"/>
                <w:szCs w:val="22"/>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2014</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2013</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2014</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Operating segments</w:t>
            </w: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North America (GMNA)</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1,884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GM Europe (GME)(a)</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International Operations (GMIO)(a)</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GM South America (GMSA)</w:t>
            </w: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Motors Financial Company, Inc. (GM Financial)(b)</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7"/>
        </w:trPr>
        <w:tc>
          <w:tcPr>
            <w:tcW w:w="5960" w:type="dxa"/>
            <w:vAlign w:val="bottom"/>
          </w:tcPr>
          <w:p>
            <w:pPr>
              <w:ind w:left="200"/>
              <w:spacing w:after="0"/>
              <w:rPr>
                <w:sz w:val="20"/>
                <w:szCs w:val="20"/>
                <w:color w:val="auto"/>
              </w:rPr>
            </w:pPr>
            <w:r>
              <w:rPr>
                <w:rFonts w:ascii="Arial" w:cs="Arial" w:eastAsia="Arial" w:hAnsi="Arial"/>
                <w:sz w:val="18"/>
                <w:szCs w:val="18"/>
                <w:color w:val="auto"/>
              </w:rPr>
              <w:t>Total operating segments(c)</w:t>
            </w: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1,999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7,079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9,072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EBIT-adjusted(c)</w:t>
            </w: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2,414</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1,899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6,494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8,578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items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Automotive interest income</w:t>
            </w: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Gain (loss) on extinguishment of debt</w:t>
            </w: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2,288</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1,187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4,246</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7,458</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260" w:right="20" w:hanging="252"/>
        <w:spacing w:after="0" w:line="246"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three months ended March 31, 2014 GM changed its managerial and financial reporting structure to reclassify the results of its Russian subsidiaries previously reported in its GMIO segment to its GME segment. Prior year segment results have been reclassified so all information is shown on a comparable basis. Consolidated results are unaffected by this change.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 Financial amounts represent income before income taxes-adjusted.</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GM's automotive operations' interest income and interest expense are recorded centrally in Corporate.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 w:name="page8"/>
    <w:bookmarkEnd w:id="7"/>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impact of special items to EBIT-adjusted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Year Ended December 31, 2014</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13"/>
                <w:szCs w:val="13"/>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GME</w:t>
            </w:r>
          </w:p>
        </w:tc>
        <w:tc>
          <w:tcPr>
            <w:tcW w:w="18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GMSA</w:t>
            </w:r>
          </w:p>
        </w:tc>
        <w:tc>
          <w:tcPr>
            <w:tcW w:w="14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GM</w:t>
            </w:r>
          </w:p>
        </w:tc>
        <w:tc>
          <w:tcPr>
            <w:tcW w:w="200" w:type="dxa"/>
            <w:vAlign w:val="bottom"/>
          </w:tcPr>
          <w:p>
            <w:pPr>
              <w:spacing w:after="0"/>
              <w:rPr>
                <w:sz w:val="13"/>
                <w:szCs w:val="13"/>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Catch-up adjustment related to change in estimate for</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recall campaigns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Venezuela currency devaluation charges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Ignition Switch Compensation Program</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rPr>
              <w:t>Charges related to flood damage, net of insurance</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0"/>
              <w:spacing w:after="0"/>
              <w:rPr>
                <w:sz w:val="20"/>
                <w:szCs w:val="20"/>
                <w:color w:val="auto"/>
              </w:rPr>
            </w:pPr>
            <w:r>
              <w:rPr>
                <w:rFonts w:ascii="Arial" w:cs="Arial" w:eastAsia="Arial" w:hAnsi="Arial"/>
                <w:sz w:val="18"/>
                <w:szCs w:val="18"/>
                <w:color w:val="auto"/>
              </w:rPr>
              <w:t>recoveries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Costs related to the withdrawal of the Chevrolet brand in</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Total impact of special items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Year Ended December 31, 2013</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GME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GMIO</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GMSA</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GM</w:t>
            </w:r>
          </w:p>
        </w:tc>
        <w:tc>
          <w:tcPr>
            <w:tcW w:w="200" w:type="dxa"/>
            <w:vAlign w:val="bottom"/>
          </w:tcPr>
          <w:p>
            <w:pPr>
              <w:spacing w:after="0"/>
              <w:rPr>
                <w:sz w:val="13"/>
                <w:szCs w:val="13"/>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5"/>
              </w:rPr>
              <w:t>Costs related to the withdrawal of the Chevrolet brand in</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Reversal of GM Korea wage litigation accrual</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Gain on sale of equity investment in Ally Financial</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Venezuela currency devaluation charges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equity investment in PSA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6"/>
              </w:rPr>
              <w:t>Noncontrolling interests related to redemption of the GM</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0"/>
              <w:spacing w:after="0"/>
              <w:rPr>
                <w:sz w:val="20"/>
                <w:szCs w:val="20"/>
                <w:color w:val="auto"/>
              </w:rPr>
            </w:pPr>
            <w:r>
              <w:rPr>
                <w:rFonts w:ascii="Arial" w:cs="Arial" w:eastAsia="Arial" w:hAnsi="Arial"/>
                <w:sz w:val="18"/>
                <w:szCs w:val="18"/>
                <w:color w:val="auto"/>
              </w:rPr>
              <w:t>Korea mandatorily redeemable preferred shares</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settlement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w w:val="94"/>
              </w:rPr>
              <w:t>Charges related to PSA product development agreement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related to insurance recoveries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Total impact of special items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8" w:name="page9"/>
    <w:bookmarkEnd w:id="8"/>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The following table summarizes the reconciliation of Automotive adjusted free cash flow to Automotive net cash provided by operating activities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2014</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2013</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2014</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adjusted free cash flow</w:t>
            </w: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Adjustments</w:t>
            </w: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1,987</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1,779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7,039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7,549</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Automotive net cash provided by operating activities</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3,786</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2,752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10,132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11,021</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Adjustments included: (1) pension contributions of $53 million and $71 million related to the previously announced annuitization of the U.S. salaried pension plan in August 2014 and March 2013; and (2) accrued interest on the prepayment of the Canadian Health Care Trust notes of $154 million in October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9" w:right="239" w:bottom="1440" w:gutter="0" w:footer="0" w:header="0"/>
        </w:sectPr>
      </w:pPr>
    </w:p>
    <w:bookmarkStart w:id="9" w:name="page10"/>
    <w:bookmarkEnd w:id="9"/>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30"/>
        </w:trPr>
        <w:tc>
          <w:tcPr>
            <w:tcW w:w="2300" w:type="dxa"/>
            <w:vAlign w:val="bottom"/>
          </w:tcPr>
          <w:p>
            <w:pPr>
              <w:ind w:left="40"/>
              <w:spacing w:after="0" w:line="131"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r>
      <w:tr>
        <w:trPr>
          <w:trHeight w:val="172"/>
        </w:trPr>
        <w:tc>
          <w:tcPr>
            <w:tcW w:w="2300" w:type="dxa"/>
            <w:vAlign w:val="bottom"/>
          </w:tcPr>
          <w:p>
            <w:pPr>
              <w:ind w:left="40"/>
              <w:spacing w:after="0"/>
              <w:rPr>
                <w:sz w:val="20"/>
                <w:szCs w:val="20"/>
                <w:color w:val="auto"/>
              </w:rPr>
            </w:pPr>
            <w:r>
              <w:rPr>
                <w:rFonts w:ascii="Arial" w:cs="Arial" w:eastAsia="Arial" w:hAnsi="Arial"/>
                <w:sz w:val="13"/>
                <w:szCs w:val="13"/>
                <w:b w:val="1"/>
                <w:bCs w:val="1"/>
                <w:color w:val="auto"/>
              </w:rPr>
              <w:t>December 31, 2014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25,308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5,415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38,316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39,617</w:t>
            </w:r>
          </w:p>
        </w:tc>
      </w:tr>
      <w:tr>
        <w:trPr>
          <w:trHeight w:val="376"/>
        </w:trPr>
        <w:tc>
          <w:tcPr>
            <w:tcW w:w="23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1,418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2,002</w:t>
            </w:r>
          </w:p>
        </w:tc>
      </w:tr>
      <w:tr>
        <w:trPr>
          <w:trHeight w:val="13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8"/>
        </w:trPr>
        <w:tc>
          <w:tcPr>
            <w:tcW w:w="23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1"/>
              </w:rPr>
              <w:t>Depreciation, amortization and impairment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35"/>
        </w:trPr>
        <w:tc>
          <w:tcPr>
            <w:tcW w:w="23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of long-lived assets and finite-lived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6"/>
        </w:trPr>
        <w:tc>
          <w:tcPr>
            <w:tcW w:w="2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1,822</w:t>
            </w:r>
          </w:p>
        </w:tc>
      </w:tr>
      <w:tr>
        <w:trPr>
          <w:trHeight w:val="376"/>
        </w:trPr>
        <w:tc>
          <w:tcPr>
            <w:tcW w:w="2300" w:type="dxa"/>
            <w:vAlign w:val="bottom"/>
          </w:tcPr>
          <w:p>
            <w:pPr>
              <w:ind w:left="40"/>
              <w:spacing w:after="0"/>
              <w:rPr>
                <w:sz w:val="20"/>
                <w:szCs w:val="20"/>
                <w:color w:val="auto"/>
              </w:rPr>
            </w:pPr>
            <w:r>
              <w:rPr>
                <w:rFonts w:ascii="Arial" w:cs="Arial" w:eastAsia="Arial" w:hAnsi="Arial"/>
                <w:sz w:val="13"/>
                <w:szCs w:val="13"/>
                <w:color w:val="auto"/>
              </w:rPr>
              <w:t>Equity income (loss)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516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469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469</w:t>
            </w:r>
          </w:p>
        </w:tc>
      </w:tr>
      <w:tr>
        <w:trPr>
          <w:trHeight w:val="281"/>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30"/>
        </w:trPr>
        <w:tc>
          <w:tcPr>
            <w:tcW w:w="2300" w:type="dxa"/>
            <w:vAlign w:val="bottom"/>
          </w:tcPr>
          <w:p>
            <w:pPr>
              <w:ind w:left="40"/>
              <w:spacing w:after="0" w:line="131"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r>
      <w:tr>
        <w:trPr>
          <w:trHeight w:val="172"/>
        </w:trPr>
        <w:tc>
          <w:tcPr>
            <w:tcW w:w="2300" w:type="dxa"/>
            <w:vAlign w:val="bottom"/>
          </w:tcPr>
          <w:p>
            <w:pPr>
              <w:ind w:left="40"/>
              <w:spacing w:after="0"/>
              <w:rPr>
                <w:sz w:val="20"/>
                <w:szCs w:val="20"/>
                <w:color w:val="auto"/>
              </w:rPr>
            </w:pPr>
            <w:r>
              <w:rPr>
                <w:rFonts w:ascii="Arial" w:cs="Arial" w:eastAsia="Arial" w:hAnsi="Arial"/>
                <w:sz w:val="13"/>
                <w:szCs w:val="13"/>
                <w:b w:val="1"/>
                <w:bCs w:val="1"/>
                <w:color w:val="auto"/>
              </w:rPr>
              <w:t>December 31, 2013</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25,117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4,429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4,098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39,388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40,485</w:t>
            </w:r>
          </w:p>
        </w:tc>
      </w:tr>
      <w:tr>
        <w:trPr>
          <w:trHeight w:val="376"/>
        </w:trPr>
        <w:tc>
          <w:tcPr>
            <w:tcW w:w="23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1,269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256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147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1,779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1,785</w:t>
            </w:r>
          </w:p>
        </w:tc>
      </w:tr>
      <w:tr>
        <w:trPr>
          <w:trHeight w:val="13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8"/>
        </w:trPr>
        <w:tc>
          <w:tcPr>
            <w:tcW w:w="23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1"/>
              </w:rPr>
              <w:t>Depreciation, amortization and impairment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35"/>
        </w:trPr>
        <w:tc>
          <w:tcPr>
            <w:tcW w:w="23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of long-lived assets and finite-lived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6"/>
        </w:trPr>
        <w:tc>
          <w:tcPr>
            <w:tcW w:w="2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2,922</w:t>
            </w:r>
          </w:p>
        </w:tc>
      </w:tr>
      <w:tr>
        <w:trPr>
          <w:trHeight w:val="376"/>
        </w:trPr>
        <w:tc>
          <w:tcPr>
            <w:tcW w:w="230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378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390</w:t>
            </w:r>
          </w:p>
        </w:tc>
      </w:tr>
      <w:tr>
        <w:trPr>
          <w:trHeight w:val="281"/>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30"/>
        </w:trPr>
        <w:tc>
          <w:tcPr>
            <w:tcW w:w="2300" w:type="dxa"/>
            <w:vAlign w:val="bottom"/>
          </w:tcPr>
          <w:p>
            <w:pPr>
              <w:ind w:left="40"/>
              <w:spacing w:after="0" w:line="131" w:lineRule="exact"/>
              <w:rPr>
                <w:sz w:val="20"/>
                <w:szCs w:val="20"/>
                <w:color w:val="auto"/>
              </w:rPr>
            </w:pPr>
            <w:r>
              <w:rPr>
                <w:rFonts w:ascii="Arial" w:cs="Arial" w:eastAsia="Arial" w:hAnsi="Arial"/>
                <w:sz w:val="13"/>
                <w:szCs w:val="13"/>
                <w:b w:val="1"/>
                <w:bCs w:val="1"/>
                <w:color w:val="auto"/>
              </w:rPr>
              <w:t>Year Ended</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r>
      <w:tr>
        <w:trPr>
          <w:trHeight w:val="172"/>
        </w:trPr>
        <w:tc>
          <w:tcPr>
            <w:tcW w:w="2300" w:type="dxa"/>
            <w:vAlign w:val="bottom"/>
          </w:tcPr>
          <w:p>
            <w:pPr>
              <w:ind w:left="40"/>
              <w:spacing w:after="0"/>
              <w:rPr>
                <w:sz w:val="20"/>
                <w:szCs w:val="20"/>
                <w:color w:val="auto"/>
              </w:rPr>
            </w:pPr>
            <w:r>
              <w:rPr>
                <w:rFonts w:ascii="Arial" w:cs="Arial" w:eastAsia="Arial" w:hAnsi="Arial"/>
                <w:sz w:val="13"/>
                <w:szCs w:val="13"/>
                <w:b w:val="1"/>
                <w:bCs w:val="1"/>
                <w:color w:val="auto"/>
              </w:rPr>
              <w:t>December 31, 2014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101,199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22,235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151,092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155,929</w:t>
            </w:r>
          </w:p>
        </w:tc>
      </w:tr>
      <w:tr>
        <w:trPr>
          <w:trHeight w:val="376"/>
        </w:trPr>
        <w:tc>
          <w:tcPr>
            <w:tcW w:w="23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4,985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887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681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359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7,039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7,091</w:t>
            </w:r>
          </w:p>
        </w:tc>
      </w:tr>
      <w:tr>
        <w:trPr>
          <w:trHeight w:val="13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8"/>
        </w:trPr>
        <w:tc>
          <w:tcPr>
            <w:tcW w:w="23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1"/>
              </w:rPr>
              <w:t>Depreciation, amortization and impairment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35"/>
        </w:trPr>
        <w:tc>
          <w:tcPr>
            <w:tcW w:w="23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of long-lived assets and finite-lived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6"/>
        </w:trPr>
        <w:tc>
          <w:tcPr>
            <w:tcW w:w="2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4,376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627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7,118</w:t>
            </w:r>
          </w:p>
        </w:tc>
      </w:tr>
      <w:tr>
        <w:trPr>
          <w:trHeight w:val="376"/>
        </w:trPr>
        <w:tc>
          <w:tcPr>
            <w:tcW w:w="2300" w:type="dxa"/>
            <w:vAlign w:val="bottom"/>
          </w:tcPr>
          <w:p>
            <w:pPr>
              <w:ind w:left="40"/>
              <w:spacing w:after="0"/>
              <w:rPr>
                <w:sz w:val="20"/>
                <w:szCs w:val="20"/>
                <w:color w:val="auto"/>
              </w:rPr>
            </w:pPr>
            <w:r>
              <w:rPr>
                <w:rFonts w:ascii="Arial" w:cs="Arial" w:eastAsia="Arial" w:hAnsi="Arial"/>
                <w:sz w:val="13"/>
                <w:szCs w:val="13"/>
                <w:color w:val="auto"/>
              </w:rPr>
              <w:t>Equity income (loss)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2,120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2,094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2,094</w:t>
            </w:r>
          </w:p>
        </w:tc>
      </w:tr>
      <w:tr>
        <w:trPr>
          <w:trHeight w:val="281"/>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30"/>
        </w:trPr>
        <w:tc>
          <w:tcPr>
            <w:tcW w:w="2300" w:type="dxa"/>
            <w:vAlign w:val="bottom"/>
          </w:tcPr>
          <w:p>
            <w:pPr>
              <w:ind w:left="40"/>
              <w:spacing w:after="0" w:line="131" w:lineRule="exact"/>
              <w:rPr>
                <w:sz w:val="20"/>
                <w:szCs w:val="20"/>
                <w:color w:val="auto"/>
              </w:rPr>
            </w:pPr>
            <w:r>
              <w:rPr>
                <w:rFonts w:ascii="Arial" w:cs="Arial" w:eastAsia="Arial" w:hAnsi="Arial"/>
                <w:sz w:val="13"/>
                <w:szCs w:val="13"/>
                <w:b w:val="1"/>
                <w:bCs w:val="1"/>
                <w:color w:val="auto"/>
              </w:rPr>
              <w:t>Year Ended</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r>
      <w:tr>
        <w:trPr>
          <w:trHeight w:val="172"/>
        </w:trPr>
        <w:tc>
          <w:tcPr>
            <w:tcW w:w="2300" w:type="dxa"/>
            <w:vAlign w:val="bottom"/>
          </w:tcPr>
          <w:p>
            <w:pPr>
              <w:ind w:left="40"/>
              <w:spacing w:after="0"/>
              <w:rPr>
                <w:sz w:val="20"/>
                <w:szCs w:val="20"/>
                <w:color w:val="auto"/>
              </w:rPr>
            </w:pPr>
            <w:r>
              <w:rPr>
                <w:rFonts w:ascii="Arial" w:cs="Arial" w:eastAsia="Arial" w:hAnsi="Arial"/>
                <w:sz w:val="13"/>
                <w:szCs w:val="13"/>
                <w:b w:val="1"/>
                <w:bCs w:val="1"/>
                <w:color w:val="auto"/>
              </w:rPr>
              <w:t>December 31, 2013</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95,099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21,962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18,411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152,100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155,427</w:t>
            </w:r>
          </w:p>
        </w:tc>
      </w:tr>
      <w:tr>
        <w:trPr>
          <w:trHeight w:val="376"/>
        </w:trPr>
        <w:tc>
          <w:tcPr>
            <w:tcW w:w="23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5,466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818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724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444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7,549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7,565</w:t>
            </w:r>
          </w:p>
        </w:tc>
      </w:tr>
      <w:tr>
        <w:trPr>
          <w:trHeight w:val="13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8"/>
        </w:trPr>
        <w:tc>
          <w:tcPr>
            <w:tcW w:w="23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1"/>
              </w:rPr>
              <w:t>Depreciation, amortization and impairment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35"/>
        </w:trPr>
        <w:tc>
          <w:tcPr>
            <w:tcW w:w="23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of long-lived assets and finite-lived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6"/>
        </w:trPr>
        <w:tc>
          <w:tcPr>
            <w:tcW w:w="2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4,216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1,786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7,500</w:t>
            </w:r>
          </w:p>
        </w:tc>
      </w:tr>
      <w:tr>
        <w:trPr>
          <w:trHeight w:val="376"/>
        </w:trPr>
        <w:tc>
          <w:tcPr>
            <w:tcW w:w="230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1,760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1,810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1,810</w:t>
            </w:r>
          </w:p>
        </w:tc>
      </w:tr>
      <w:tr>
        <w:trPr>
          <w:trHeight w:val="232"/>
        </w:trPr>
        <w:tc>
          <w:tcPr>
            <w:tcW w:w="2300" w:type="dxa"/>
            <w:vAlign w:val="bottom"/>
          </w:tcPr>
          <w:p>
            <w:pPr>
              <w:spacing w:after="0"/>
              <w:rPr>
                <w:sz w:val="20"/>
                <w:szCs w:val="20"/>
                <w:color w:val="auto"/>
              </w:rPr>
            </w:pPr>
            <w:r>
              <w:rPr>
                <w:rFonts w:ascii="Arial" w:cs="Arial" w:eastAsia="Arial" w:hAnsi="Arial"/>
                <w:sz w:val="18"/>
                <w:szCs w:val="18"/>
                <w:color w:val="auto"/>
              </w:rPr>
              <w:t>_________</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jc w:val="both"/>
        <w:ind w:left="340" w:right="20" w:hanging="332"/>
        <w:spacing w:after="0" w:line="254"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three months ended March 31, 2014 GM changed its managerial and financial reporting structure to reclassify the results of its Russian subsidiaries previously reported in its GMIO segment to its GME segment. Prior year segment results have been reclassified so all information is shown on a comparable basis. Consolidated results are unaffected by this change.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10" w:name="page11"/>
    <w:bookmarkEnd w:id="10"/>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Years Ended</w:t>
            </w:r>
          </w:p>
        </w:tc>
        <w:tc>
          <w:tcPr>
            <w:tcW w:w="1580" w:type="dxa"/>
            <w:vAlign w:val="bottom"/>
            <w:tcBorders>
              <w:bottom w:val="single" w:sz="8" w:color="auto"/>
            </w:tcBorders>
          </w:tcPr>
          <w:p>
            <w:pPr>
              <w:spacing w:after="0"/>
              <w:rPr>
                <w:sz w:val="16"/>
                <w:szCs w:val="16"/>
                <w:color w:val="auto"/>
              </w:rPr>
            </w:pPr>
          </w:p>
        </w:tc>
      </w:tr>
      <w:tr>
        <w:trPr>
          <w:trHeight w:val="263"/>
        </w:trPr>
        <w:tc>
          <w:tcPr>
            <w:tcW w:w="2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2014</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c>
          <w:tcPr>
            <w:tcW w:w="158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 2012</w:t>
            </w: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Worldwide Employment (in thousands)</w:t>
            </w:r>
          </w:p>
        </w:tc>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GMNA(a)</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GME</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GMIO</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GMSA</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Financial(b)</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97"/>
        </w:trPr>
        <w:tc>
          <w:tcPr>
            <w:tcW w:w="20" w:type="dxa"/>
            <w:vAlign w:val="bottom"/>
          </w:tcPr>
          <w:p>
            <w:pPr>
              <w:spacing w:after="0"/>
              <w:rPr>
                <w:sz w:val="24"/>
                <w:szCs w:val="24"/>
                <w:color w:val="auto"/>
              </w:rPr>
            </w:pPr>
          </w:p>
        </w:tc>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Worldwide</w:t>
            </w: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216</w:t>
            </w:r>
          </w:p>
        </w:tc>
        <w:tc>
          <w:tcPr>
            <w:tcW w:w="12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219</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213</w:t>
            </w:r>
          </w:p>
        </w:tc>
      </w:tr>
      <w:tr>
        <w:trPr>
          <w:trHeight w:val="257"/>
        </w:trPr>
        <w:tc>
          <w:tcPr>
            <w:tcW w:w="20" w:type="dxa"/>
            <w:vAlign w:val="bottom"/>
          </w:tcPr>
          <w:p>
            <w:pPr>
              <w:spacing w:after="0"/>
              <w:rPr>
                <w:sz w:val="22"/>
                <w:szCs w:val="22"/>
                <w:color w:val="auto"/>
              </w:rPr>
            </w:pPr>
          </w:p>
        </w:tc>
        <w:tc>
          <w:tcPr>
            <w:tcW w:w="638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U.S. - Salaried</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 Hourly</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2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_________</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jc w:val="both"/>
        <w:ind w:left="34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 in GMNA employees in the year ended December 31, 2013 includes an increase of approximately 4,000 employees due to insourcing of certain information technology support functions that were previously provided by outside parties and an increase of approximately 3,000 employees due to increase in launches and ramp up in manufacturing volume.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 in GM Financial employees in the year ended December 31, 2013 is due to the acquisition of certain Ally Financial international operations.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Vehicle Sales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presents both wholesale and retail vehicle sales data to assist in the analysis of its revenue and market share. GM does not currently export vehicles to Cuba, Iran, North Korea, Sudan or Syria. Accordingly, these countries are excluded from industry sales data in the tables below and corresponding calculations of its market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Sales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Wholesale vehicle sales data, which represents sales directly to dealers and others, is the measure that correlates vehicle sales to revenue from the sale of vehicles, which is the largest component of automotive Net sales and revenue. Wholesale vehicle sales exclude vehicles produced by unconsolidated joint ventures. In the year ended December 31, 2014, 52.9% of GMs wholesale vehicle sales volume was generated outside the U.S. The following table summarizes total wholesale vehicle sales of new vehicles by automotive segment (vehicles 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2014</w:t>
            </w: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2013</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2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GME(a)</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GMIO(a)</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GMSA</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Worldwide</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1,578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1,651</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6,033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6,413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right="20" w:hanging="332"/>
        <w:spacing w:after="0" w:line="254"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three months ended March 31, 2014 GM changed its managerial and financial reporting structure to reclassify the results of its Russian subsidiaries previously reported in its GMIO segment to its GME segment. Prior year segment results have been reclassified so all information is shown on a comparable basis. Consolidated results are unaffected by this change.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11" w:name="page12"/>
    <w:bookmarkEnd w:id="11"/>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Sales and Market Share</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Retail vehicle sales data, which represents estimated sales to the end customer, including fleets, does not correlate directly to the revenue GM recognizes during the period. However, retail vehicle sales data is indicative of the underlying demand for GM vehicles, is the basis for its market share, and is based upon the good faith estimates of management. 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Market share information is based primarily on retail vehicle sales volume, but estimates may be used where retail vehicle sales volume is not available.</w:t>
      </w:r>
    </w:p>
    <w:p>
      <w:pPr>
        <w:spacing w:after="0" w:line="193"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countries where end customer data is not readily available other data sources, such as wholesale or forecast volumes, are used to estimate retail vehicle sales. Certain fleet sales that are accounted for as operating leases are included in retail vehicle sales at the time of delivery to the daily rental car companies. Market share information is based on retail vehicles sales volume. The following table summarizes total industry retail sales volume, or estimated sales volume where retail sales volume is not available, of new vehicles and the related competitive position by geographic region (vehicles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Years Ended</w:t>
            </w:r>
          </w:p>
        </w:tc>
      </w:tr>
      <w:tr>
        <w:trPr>
          <w:trHeight w:val="263"/>
        </w:trPr>
        <w:tc>
          <w:tcPr>
            <w:tcW w:w="606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2014</w:t>
            </w: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2013</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3"/>
              </w:rPr>
              <w:t>December 31, 2013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Retail Vehicle Sales</w:t>
            </w: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Chevrolet - Cars</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Chevrolet - Trucks</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714</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Chevrolet - Crossovers</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Cadillac</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183</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Buick</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GMC</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450</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United States</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2,786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Canada, Mexico and Other</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448</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North America</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854</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784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3,413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3,234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Europe</w:t>
            </w: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Opel/Vauxhall</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Chevrolet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b w:val="1"/>
                <w:bCs w:val="1"/>
                <w:color w:val="auto"/>
              </w:rPr>
              <w:t>Total Europe</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298</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336</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1,256</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1,393</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 Middle East and Africa</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Chevrolet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1,321</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Wuling</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Buick</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810</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Holden</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GMC</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Cadillac</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230</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Asia/Pacific, Middle East and Africa</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1,165</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1,085</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4,378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4,058</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South America</w:t>
            </w: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Chevrolet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South America</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878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1,037</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Total Worldwide</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2,553</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2,472</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9,925</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9,722</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12" w:name="page13"/>
    <w:bookmarkEnd w:id="12"/>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vehicle sales at our China joint ventures (China JVs) presented in the following table are included in our retail vehicle sales (vehicles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4"/>
                <w:szCs w:val="14"/>
                <w:b w:val="1"/>
                <w:bCs w:val="1"/>
                <w:color w:val="auto"/>
              </w:rPr>
              <w:t>Years Ended</w:t>
            </w:r>
          </w:p>
        </w:tc>
      </w:tr>
      <w:tr>
        <w:trPr>
          <w:trHeight w:val="263"/>
        </w:trPr>
        <w:tc>
          <w:tcPr>
            <w:tcW w:w="606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2014</w:t>
            </w: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2013</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3"/>
              </w:rPr>
              <w:t>December 31, 2013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Joint venture sales in China</w:t>
            </w: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SAIC General Motors Sales Co., Ltd.</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1,515</w:t>
            </w:r>
          </w:p>
        </w:tc>
      </w:tr>
      <w:tr>
        <w:trPr>
          <w:trHeight w:val="229"/>
        </w:trPr>
        <w:tc>
          <w:tcPr>
            <w:tcW w:w="6060" w:type="dxa"/>
            <w:vAlign w:val="bottom"/>
          </w:tcPr>
          <w:p>
            <w:pPr>
              <w:ind w:left="200"/>
              <w:spacing w:after="0"/>
              <w:rPr>
                <w:sz w:val="20"/>
                <w:szCs w:val="20"/>
                <w:color w:val="auto"/>
              </w:rPr>
            </w:pPr>
            <w:r>
              <w:rPr>
                <w:rFonts w:ascii="Arial" w:cs="Arial" w:eastAsia="Arial" w:hAnsi="Arial"/>
                <w:sz w:val="18"/>
                <w:szCs w:val="18"/>
                <w:color w:val="auto"/>
                <w:w w:val="96"/>
              </w:rPr>
              <w:t>SAIC-GM-Wuling Automobile Co., Ltd. and FAW-GM Light Duty Commercial</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Vehicle Co., Ltd.</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1,644</w:t>
            </w:r>
          </w:p>
        </w:tc>
      </w:tr>
      <w:tr>
        <w:trPr>
          <w:trHeight w:val="642"/>
        </w:trPr>
        <w:tc>
          <w:tcPr>
            <w:tcW w:w="6060" w:type="dxa"/>
            <w:vAlign w:val="bottom"/>
          </w:tcPr>
          <w:p>
            <w:pPr>
              <w:spacing w:after="0"/>
              <w:rPr>
                <w:sz w:val="24"/>
                <w:szCs w:val="24"/>
                <w:color w:val="auto"/>
              </w:rPr>
            </w:pPr>
          </w:p>
        </w:tc>
        <w:tc>
          <w:tcPr>
            <w:tcW w:w="264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gridSpan w:val="2"/>
          </w:tcPr>
          <w:p>
            <w:pPr>
              <w:spacing w:after="0"/>
              <w:rPr>
                <w:sz w:val="24"/>
                <w:szCs w:val="24"/>
                <w:color w:val="auto"/>
              </w:rPr>
            </w:pPr>
          </w:p>
        </w:tc>
        <w:tc>
          <w:tcPr>
            <w:tcW w:w="260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Years Ended</w:t>
            </w:r>
          </w:p>
        </w:tc>
      </w:tr>
      <w:tr>
        <w:trPr>
          <w:trHeight w:val="263"/>
        </w:trPr>
        <w:tc>
          <w:tcPr>
            <w:tcW w:w="606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2013</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3"/>
              </w:rPr>
              <w:t>December 31, 2013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Market Share</w:t>
            </w: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 - Cars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14.1%</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United States - Trucks</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24.9%</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23.4%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23.5%</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 - Crossovers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17.6%</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Total United States</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17.4%</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17.4%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17.5%</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North America</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16.9%</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Total Europe</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6.3%</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6.7%</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7.6%</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Asia/Pacific, Middle East and Africa</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9.8%</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Total South America</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16.8%</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16.6%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17.5%</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Worldwide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11.4%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11.5%</w:t>
            </w:r>
          </w:p>
        </w:tc>
      </w:tr>
      <w:tr>
        <w:trPr>
          <w:trHeight w:val="270"/>
        </w:trPr>
        <w:tc>
          <w:tcPr>
            <w:tcW w:w="60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Retail/Fleet Mix</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 Fleet Sales - Cars</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29.2%</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29.5%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26.4%</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Fleet Sales - Trucks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24.2%</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 Fleet Sales - Crossovers</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13.0%</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19.1%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18.6%</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Vehicles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23.6%</w:t>
            </w:r>
          </w:p>
        </w:tc>
      </w:tr>
      <w:tr>
        <w:trPr>
          <w:trHeight w:val="270"/>
        </w:trPr>
        <w:tc>
          <w:tcPr>
            <w:tcW w:w="60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North America Capacity Utilization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98.9%</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103.9%</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99.8%</w:t>
            </w:r>
          </w:p>
        </w:tc>
      </w:tr>
      <w:tr>
        <w:trPr>
          <w:trHeight w:val="27"/>
        </w:trPr>
        <w:tc>
          <w:tcPr>
            <w:tcW w:w="60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3" w:name="page14"/>
    <w:bookmarkEnd w:id="13"/>
    <w:p>
      <w:pPr>
        <w:jc w:val="center"/>
        <w:ind w:left="5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Consolidating Income Statements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8"/>
          </w:tcPr>
          <w:p>
            <w:pPr>
              <w:jc w:val="center"/>
              <w:ind w:right="5"/>
              <w:spacing w:after="0"/>
              <w:rPr>
                <w:sz w:val="20"/>
                <w:szCs w:val="20"/>
                <w:color w:val="auto"/>
              </w:rPr>
            </w:pPr>
            <w:r>
              <w:rPr>
                <w:rFonts w:ascii="Arial" w:cs="Arial" w:eastAsia="Arial" w:hAnsi="Arial"/>
                <w:sz w:val="13"/>
                <w:szCs w:val="13"/>
                <w:b w:val="1"/>
                <w:bCs w:val="1"/>
                <w:color w:val="auto"/>
                <w:w w:val="87"/>
              </w:rPr>
              <w:t>Year Ended December 31, 2014</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w w:val="90"/>
              </w:rPr>
              <w:t>Year Ended December 31, 2013</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w w:val="90"/>
              </w:rPr>
              <w:t>Year Ended December 31, 2012</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GM</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GM</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GM</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6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Automotive</w:t>
            </w:r>
          </w:p>
        </w:tc>
        <w:tc>
          <w:tcPr>
            <w:tcW w:w="12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Financial</w:t>
            </w: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Eliminations</w:t>
            </w:r>
          </w:p>
        </w:tc>
        <w:tc>
          <w:tcPr>
            <w:tcW w:w="900" w:type="dxa"/>
            <w:vAlign w:val="bottom"/>
            <w:gridSpan w:val="3"/>
          </w:tcPr>
          <w:p>
            <w:pPr>
              <w:ind w:left="40"/>
              <w:spacing w:after="0"/>
              <w:rPr>
                <w:sz w:val="20"/>
                <w:szCs w:val="20"/>
                <w:color w:val="auto"/>
              </w:rPr>
            </w:pPr>
            <w:r>
              <w:rPr>
                <w:rFonts w:ascii="Arial" w:cs="Arial" w:eastAsia="Arial" w:hAnsi="Arial"/>
                <w:sz w:val="13"/>
                <w:szCs w:val="13"/>
                <w:b w:val="1"/>
                <w:bCs w:val="1"/>
                <w:color w:val="auto"/>
              </w:rPr>
              <w:t>Consolidated</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2"/>
              </w:rPr>
              <w:t>Automotive</w:t>
            </w:r>
          </w:p>
        </w:tc>
        <w:tc>
          <w:tcPr>
            <w:tcW w:w="100" w:type="dxa"/>
            <w:vAlign w:val="bottom"/>
          </w:tcPr>
          <w:p>
            <w:pPr>
              <w:spacing w:after="0"/>
              <w:rPr>
                <w:sz w:val="15"/>
                <w:szCs w:val="15"/>
                <w:color w:val="auto"/>
              </w:rPr>
            </w:pPr>
          </w:p>
        </w:tc>
        <w:tc>
          <w:tcPr>
            <w:tcW w:w="680" w:type="dxa"/>
            <w:vAlign w:val="bottom"/>
            <w:gridSpan w:val="3"/>
          </w:tcPr>
          <w:p>
            <w:pPr>
              <w:ind w:left="40"/>
              <w:spacing w:after="0"/>
              <w:rPr>
                <w:sz w:val="20"/>
                <w:szCs w:val="20"/>
                <w:color w:val="auto"/>
              </w:rPr>
            </w:pPr>
            <w:r>
              <w:rPr>
                <w:rFonts w:ascii="Arial" w:cs="Arial" w:eastAsia="Arial" w:hAnsi="Arial"/>
                <w:sz w:val="13"/>
                <w:szCs w:val="13"/>
                <w:b w:val="1"/>
                <w:bCs w:val="1"/>
                <w:color w:val="auto"/>
              </w:rPr>
              <w:t>Financial</w:t>
            </w: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Eliminations</w:t>
            </w:r>
          </w:p>
        </w:tc>
        <w:tc>
          <w:tcPr>
            <w:tcW w:w="900" w:type="dxa"/>
            <w:vAlign w:val="bottom"/>
            <w:gridSpan w:val="3"/>
          </w:tcPr>
          <w:p>
            <w:pPr>
              <w:ind w:left="40"/>
              <w:spacing w:after="0"/>
              <w:rPr>
                <w:sz w:val="20"/>
                <w:szCs w:val="20"/>
                <w:color w:val="auto"/>
              </w:rPr>
            </w:pPr>
            <w:r>
              <w:rPr>
                <w:rFonts w:ascii="Arial" w:cs="Arial" w:eastAsia="Arial" w:hAnsi="Arial"/>
                <w:sz w:val="13"/>
                <w:szCs w:val="13"/>
                <w:b w:val="1"/>
                <w:bCs w:val="1"/>
                <w:color w:val="auto"/>
              </w:rPr>
              <w:t>Consolidated</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2"/>
              </w:rPr>
              <w:t>Automotive</w:t>
            </w:r>
          </w:p>
        </w:tc>
        <w:tc>
          <w:tcPr>
            <w:tcW w:w="1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b w:val="1"/>
                <w:bCs w:val="1"/>
                <w:color w:val="auto"/>
              </w:rPr>
              <w:t>Financial</w:t>
            </w:r>
          </w:p>
        </w:tc>
        <w:tc>
          <w:tcPr>
            <w:tcW w:w="900" w:type="dxa"/>
            <w:vAlign w:val="bottom"/>
            <w:gridSpan w:val="3"/>
          </w:tcPr>
          <w:p>
            <w:pPr>
              <w:ind w:left="60"/>
              <w:spacing w:after="0"/>
              <w:rPr>
                <w:sz w:val="20"/>
                <w:szCs w:val="20"/>
                <w:color w:val="auto"/>
              </w:rPr>
            </w:pPr>
            <w:r>
              <w:rPr>
                <w:rFonts w:ascii="Arial" w:cs="Arial" w:eastAsia="Arial" w:hAnsi="Arial"/>
                <w:sz w:val="13"/>
                <w:szCs w:val="13"/>
                <w:b w:val="1"/>
                <w:bCs w:val="1"/>
                <w:color w:val="auto"/>
              </w:rPr>
              <w:t>Eliminations</w:t>
            </w: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w w:val="87"/>
              </w:rPr>
              <w:t>Consolidated</w:t>
            </w:r>
          </w:p>
        </w:tc>
        <w:tc>
          <w:tcPr>
            <w:tcW w:w="0" w:type="dxa"/>
            <w:vAlign w:val="bottom"/>
          </w:tcPr>
          <w:p>
            <w:pPr>
              <w:spacing w:after="0"/>
              <w:rPr>
                <w:sz w:val="1"/>
                <w:szCs w:val="1"/>
                <w:color w:val="auto"/>
              </w:rPr>
            </w:pPr>
          </w:p>
        </w:tc>
      </w:tr>
      <w:tr>
        <w:trPr>
          <w:trHeight w:val="210"/>
        </w:trPr>
        <w:tc>
          <w:tcPr>
            <w:tcW w:w="1620" w:type="dxa"/>
            <w:vAlign w:val="bottom"/>
          </w:tcPr>
          <w:p>
            <w:pPr>
              <w:ind w:left="40"/>
              <w:spacing w:after="0"/>
              <w:rPr>
                <w:sz w:val="20"/>
                <w:szCs w:val="20"/>
                <w:color w:val="auto"/>
              </w:rPr>
            </w:pPr>
            <w:r>
              <w:rPr>
                <w:rFonts w:ascii="Arial" w:cs="Arial" w:eastAsia="Arial" w:hAnsi="Arial"/>
                <w:sz w:val="16"/>
                <w:szCs w:val="16"/>
                <w:b w:val="1"/>
                <w:bCs w:val="1"/>
                <w:color w:val="auto"/>
                <w:w w:val="92"/>
              </w:rPr>
              <w:t>Net sales and revenue</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151,092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center"/>
              <w:ind w:right="85"/>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151,092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$152,100</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152,092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$150,293</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150,295</w:t>
            </w:r>
          </w:p>
        </w:tc>
        <w:tc>
          <w:tcPr>
            <w:tcW w:w="0" w:type="dxa"/>
            <w:vAlign w:val="bottom"/>
          </w:tcPr>
          <w:p>
            <w:pPr>
              <w:spacing w:after="0"/>
              <w:rPr>
                <w:sz w:val="1"/>
                <w:szCs w:val="1"/>
                <w:color w:val="auto"/>
              </w:rPr>
            </w:pPr>
          </w:p>
        </w:tc>
      </w:tr>
      <w:tr>
        <w:trPr>
          <w:trHeight w:val="237"/>
        </w:trPr>
        <w:tc>
          <w:tcPr>
            <w:tcW w:w="1620" w:type="dxa"/>
            <w:vAlign w:val="bottom"/>
          </w:tcPr>
          <w:p>
            <w:pPr>
              <w:ind w:left="180"/>
              <w:spacing w:after="0"/>
              <w:rPr>
                <w:sz w:val="20"/>
                <w:szCs w:val="20"/>
                <w:color w:val="auto"/>
              </w:rPr>
            </w:pPr>
            <w:r>
              <w:rPr>
                <w:rFonts w:ascii="Arial" w:cs="Arial" w:eastAsia="Arial" w:hAnsi="Arial"/>
                <w:sz w:val="16"/>
                <w:szCs w:val="16"/>
                <w:color w:val="auto"/>
              </w:rPr>
              <w:t>GM Financial</w:t>
            </w:r>
          </w:p>
        </w:tc>
        <w:tc>
          <w:tcPr>
            <w:tcW w:w="1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4,854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4,837</w:t>
            </w:r>
          </w:p>
        </w:tc>
        <w:tc>
          <w:tcPr>
            <w:tcW w:w="1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3,344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3,335</w:t>
            </w:r>
          </w:p>
        </w:tc>
        <w:tc>
          <w:tcPr>
            <w:tcW w:w="12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1,961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151,092</w:t>
            </w: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4,854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155,929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152,100</w:t>
            </w: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3,344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155,427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150,293</w:t>
            </w: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1,961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152,256</w:t>
            </w:r>
          </w:p>
        </w:tc>
        <w:tc>
          <w:tcPr>
            <w:tcW w:w="0" w:type="dxa"/>
            <w:vAlign w:val="bottom"/>
          </w:tcPr>
          <w:p>
            <w:pPr>
              <w:spacing w:after="0"/>
              <w:rPr>
                <w:sz w:val="1"/>
                <w:szCs w:val="1"/>
                <w:color w:val="auto"/>
              </w:rPr>
            </w:pPr>
          </w:p>
        </w:tc>
      </w:tr>
      <w:tr>
        <w:trPr>
          <w:trHeight w:val="204"/>
        </w:trPr>
        <w:tc>
          <w:tcPr>
            <w:tcW w:w="1620" w:type="dxa"/>
            <w:vAlign w:val="bottom"/>
          </w:tcPr>
          <w:p>
            <w:pPr>
              <w:ind w:left="40"/>
              <w:spacing w:after="0"/>
              <w:rPr>
                <w:sz w:val="20"/>
                <w:szCs w:val="20"/>
                <w:color w:val="auto"/>
              </w:rPr>
            </w:pPr>
            <w:r>
              <w:rPr>
                <w:rFonts w:ascii="Arial" w:cs="Arial" w:eastAsia="Arial" w:hAnsi="Arial"/>
                <w:sz w:val="16"/>
                <w:szCs w:val="16"/>
                <w:b w:val="1"/>
                <w:bCs w:val="1"/>
                <w:color w:val="auto"/>
              </w:rPr>
              <w:t>Costs and expenses</w:t>
            </w: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Automotive cost of</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138,094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138,082</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134,929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134,925</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140,223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140,236</w:t>
            </w:r>
          </w:p>
        </w:tc>
        <w:tc>
          <w:tcPr>
            <w:tcW w:w="0" w:type="dxa"/>
            <w:vAlign w:val="bottom"/>
          </w:tcPr>
          <w:p>
            <w:pPr>
              <w:spacing w:after="0"/>
              <w:rPr>
                <w:sz w:val="1"/>
                <w:szCs w:val="1"/>
                <w:color w:val="auto"/>
              </w:rPr>
            </w:pPr>
          </w:p>
        </w:tc>
      </w:tr>
      <w:tr>
        <w:trPr>
          <w:trHeight w:val="220"/>
        </w:trPr>
        <w:tc>
          <w:tcPr>
            <w:tcW w:w="1620" w:type="dxa"/>
            <w:vAlign w:val="bottom"/>
          </w:tcPr>
          <w:p>
            <w:pPr>
              <w:ind w:left="180"/>
              <w:spacing w:after="0"/>
              <w:rPr>
                <w:sz w:val="20"/>
                <w:szCs w:val="20"/>
                <w:color w:val="auto"/>
              </w:rPr>
            </w:pPr>
            <w:r>
              <w:rPr>
                <w:rFonts w:ascii="Arial" w:cs="Arial" w:eastAsia="Arial" w:hAnsi="Arial"/>
                <w:sz w:val="16"/>
                <w:szCs w:val="16"/>
                <w:color w:val="auto"/>
              </w:rPr>
              <w:t>GM Financial</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340"/>
              <w:spacing w:after="0"/>
              <w:rPr>
                <w:sz w:val="20"/>
                <w:szCs w:val="20"/>
                <w:color w:val="auto"/>
              </w:rPr>
            </w:pPr>
            <w:r>
              <w:rPr>
                <w:rFonts w:ascii="Arial" w:cs="Arial" w:eastAsia="Arial" w:hAnsi="Arial"/>
                <w:sz w:val="16"/>
                <w:szCs w:val="16"/>
                <w:color w:val="auto"/>
              </w:rPr>
              <w:t>operating and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340"/>
              <w:spacing w:after="0"/>
              <w:rPr>
                <w:sz w:val="20"/>
                <w:szCs w:val="20"/>
                <w:color w:val="auto"/>
              </w:rPr>
            </w:pPr>
            <w:r>
              <w:rPr>
                <w:rFonts w:ascii="Arial" w:cs="Arial" w:eastAsia="Arial" w:hAnsi="Arial"/>
                <w:sz w:val="16"/>
                <w:szCs w:val="16"/>
                <w:color w:val="auto"/>
              </w:rPr>
              <w:t>other expenses</w:t>
            </w:r>
          </w:p>
        </w:tc>
        <w:tc>
          <w:tcPr>
            <w:tcW w:w="1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4,039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4,039</w:t>
            </w:r>
          </w:p>
        </w:tc>
        <w:tc>
          <w:tcPr>
            <w:tcW w:w="12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2,461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2,448</w:t>
            </w:r>
          </w:p>
        </w:tc>
        <w:tc>
          <w:tcPr>
            <w:tcW w:w="12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1,217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Automotive selling,</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administrative</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expense</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12,158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12,158</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12,382</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14,031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14,031</w:t>
            </w:r>
          </w:p>
        </w:tc>
        <w:tc>
          <w:tcPr>
            <w:tcW w:w="0" w:type="dxa"/>
            <w:vAlign w:val="bottom"/>
          </w:tcPr>
          <w:p>
            <w:pPr>
              <w:spacing w:after="0"/>
              <w:rPr>
                <w:sz w:val="1"/>
                <w:szCs w:val="1"/>
                <w:color w:val="auto"/>
              </w:rPr>
            </w:pPr>
          </w:p>
        </w:tc>
      </w:tr>
      <w:tr>
        <w:trPr>
          <w:trHeight w:val="220"/>
        </w:trPr>
        <w:tc>
          <w:tcPr>
            <w:tcW w:w="1620" w:type="dxa"/>
            <w:vAlign w:val="bottom"/>
          </w:tcPr>
          <w:p>
            <w:pPr>
              <w:ind w:left="180"/>
              <w:spacing w:after="0"/>
              <w:rPr>
                <w:sz w:val="20"/>
                <w:szCs w:val="20"/>
                <w:color w:val="auto"/>
              </w:rPr>
            </w:pPr>
            <w:r>
              <w:rPr>
                <w:rFonts w:ascii="Arial" w:cs="Arial" w:eastAsia="Arial" w:hAnsi="Arial"/>
                <w:sz w:val="16"/>
                <w:szCs w:val="16"/>
                <w:color w:val="auto"/>
                <w:w w:val="97"/>
              </w:rPr>
              <w:t>Goodwill impairment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180"/>
              <w:spacing w:after="0"/>
              <w:rPr>
                <w:sz w:val="20"/>
                <w:szCs w:val="20"/>
                <w:color w:val="auto"/>
              </w:rPr>
            </w:pPr>
            <w:r>
              <w:rPr>
                <w:rFonts w:ascii="Arial" w:cs="Arial" w:eastAsia="Arial" w:hAnsi="Arial"/>
                <w:sz w:val="16"/>
                <w:szCs w:val="16"/>
                <w:color w:val="auto"/>
              </w:rPr>
              <w:t>charges</w:t>
            </w:r>
          </w:p>
        </w:tc>
        <w:tc>
          <w:tcPr>
            <w:tcW w:w="1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27,145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27,145</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costs and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expenses</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150,372</w:t>
            </w: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4,039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154,399</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147,852</w:t>
            </w: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2,461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150,296</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181,399</w:t>
            </w: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182,619</w:t>
            </w:r>
          </w:p>
        </w:tc>
        <w:tc>
          <w:tcPr>
            <w:tcW w:w="0" w:type="dxa"/>
            <w:vAlign w:val="bottom"/>
          </w:tcPr>
          <w:p>
            <w:pPr>
              <w:spacing w:after="0"/>
              <w:rPr>
                <w:sz w:val="1"/>
                <w:szCs w:val="1"/>
                <w:color w:val="auto"/>
              </w:rPr>
            </w:pPr>
          </w:p>
        </w:tc>
      </w:tr>
      <w:tr>
        <w:trPr>
          <w:trHeight w:val="200"/>
        </w:trPr>
        <w:tc>
          <w:tcPr>
            <w:tcW w:w="1620" w:type="dxa"/>
            <w:vAlign w:val="bottom"/>
          </w:tcPr>
          <w:p>
            <w:pPr>
              <w:ind w:left="380"/>
              <w:spacing w:after="0"/>
              <w:rPr>
                <w:sz w:val="20"/>
                <w:szCs w:val="20"/>
                <w:color w:val="auto"/>
              </w:rPr>
            </w:pPr>
            <w:r>
              <w:rPr>
                <w:rFonts w:ascii="Arial" w:cs="Arial" w:eastAsia="Arial" w:hAnsi="Arial"/>
                <w:sz w:val="16"/>
                <w:szCs w:val="16"/>
                <w:color w:val="auto"/>
                <w:w w:val="96"/>
              </w:rPr>
              <w:t>Operating income</w:t>
            </w: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380"/>
              <w:spacing w:after="0"/>
              <w:rPr>
                <w:sz w:val="20"/>
                <w:szCs w:val="20"/>
                <w:color w:val="auto"/>
              </w:rPr>
            </w:pPr>
            <w:r>
              <w:rPr>
                <w:rFonts w:ascii="Arial" w:cs="Arial" w:eastAsia="Arial" w:hAnsi="Arial"/>
                <w:sz w:val="16"/>
                <w:szCs w:val="16"/>
                <w:color w:val="auto"/>
              </w:rPr>
              <w:t>(loss)</w:t>
            </w:r>
          </w:p>
        </w:tc>
        <w:tc>
          <w:tcPr>
            <w:tcW w:w="1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4,248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883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5,131</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(31,106)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(30,363)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Automotive interest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20"/>
        </w:trPr>
        <w:tc>
          <w:tcPr>
            <w:tcW w:w="1620" w:type="dxa"/>
            <w:vAlign w:val="bottom"/>
          </w:tcPr>
          <w:p>
            <w:pPr>
              <w:ind w:left="40"/>
              <w:spacing w:after="0"/>
              <w:rPr>
                <w:sz w:val="20"/>
                <w:szCs w:val="20"/>
                <w:color w:val="auto"/>
              </w:rPr>
            </w:pPr>
            <w:r>
              <w:rPr>
                <w:rFonts w:ascii="Arial" w:cs="Arial" w:eastAsia="Arial" w:hAnsi="Arial"/>
                <w:sz w:val="16"/>
                <w:szCs w:val="16"/>
                <w:color w:val="auto"/>
              </w:rPr>
              <w:t>Interest income and</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200"/>
              <w:spacing w:after="0"/>
              <w:rPr>
                <w:sz w:val="20"/>
                <w:szCs w:val="20"/>
                <w:color w:val="auto"/>
              </w:rPr>
            </w:pPr>
            <w:r>
              <w:rPr>
                <w:rFonts w:ascii="Arial" w:cs="Arial" w:eastAsia="Arial" w:hAnsi="Arial"/>
                <w:sz w:val="16"/>
                <w:szCs w:val="16"/>
                <w:color w:val="auto"/>
              </w:rPr>
              <w:t>other non-operating</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200"/>
              <w:spacing w:after="0"/>
              <w:rPr>
                <w:sz w:val="20"/>
                <w:szCs w:val="20"/>
                <w:color w:val="auto"/>
              </w:rPr>
            </w:pPr>
            <w:r>
              <w:rPr>
                <w:rFonts w:ascii="Arial" w:cs="Arial" w:eastAsia="Arial" w:hAnsi="Arial"/>
                <w:sz w:val="16"/>
                <w:szCs w:val="16"/>
                <w:color w:val="auto"/>
              </w:rPr>
              <w:t>income, net</w:t>
            </w:r>
          </w:p>
        </w:tc>
        <w:tc>
          <w:tcPr>
            <w:tcW w:w="1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(loss) on</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extinguishment of</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debt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37"/>
        </w:trPr>
        <w:tc>
          <w:tcPr>
            <w:tcW w:w="1620" w:type="dxa"/>
            <w:vAlign w:val="bottom"/>
          </w:tcPr>
          <w:p>
            <w:pPr>
              <w:ind w:left="40"/>
              <w:spacing w:after="0"/>
              <w:rPr>
                <w:sz w:val="20"/>
                <w:szCs w:val="20"/>
                <w:color w:val="auto"/>
              </w:rPr>
            </w:pPr>
            <w:r>
              <w:rPr>
                <w:rFonts w:ascii="Arial" w:cs="Arial" w:eastAsia="Arial" w:hAnsi="Arial"/>
                <w:sz w:val="16"/>
                <w:szCs w:val="16"/>
                <w:color w:val="auto"/>
              </w:rPr>
              <w:t>Equity income</w:t>
            </w:r>
          </w:p>
        </w:tc>
        <w:tc>
          <w:tcPr>
            <w:tcW w:w="1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2,094</w:t>
            </w:r>
          </w:p>
        </w:tc>
        <w:tc>
          <w:tcPr>
            <w:tcW w:w="1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1,810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1,810</w:t>
            </w:r>
          </w:p>
        </w:tc>
        <w:tc>
          <w:tcPr>
            <w:tcW w:w="12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1,562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before</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taxes</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4,246</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6,574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7,458</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(28,695)</w:t>
            </w:r>
          </w:p>
        </w:tc>
        <w:tc>
          <w:tcPr>
            <w:tcW w:w="0" w:type="dxa"/>
            <w:vAlign w:val="bottom"/>
          </w:tcPr>
          <w:p>
            <w:pPr>
              <w:spacing w:after="0"/>
              <w:rPr>
                <w:sz w:val="1"/>
                <w:szCs w:val="1"/>
                <w:color w:val="auto"/>
              </w:rPr>
            </w:pPr>
          </w:p>
        </w:tc>
      </w:tr>
      <w:tr>
        <w:trPr>
          <w:trHeight w:val="220"/>
        </w:trPr>
        <w:tc>
          <w:tcPr>
            <w:tcW w:w="16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200"/>
              <w:spacing w:after="0"/>
              <w:rPr>
                <w:sz w:val="20"/>
                <w:szCs w:val="20"/>
                <w:color w:val="auto"/>
              </w:rPr>
            </w:pPr>
            <w:r>
              <w:rPr>
                <w:rFonts w:ascii="Arial" w:cs="Arial" w:eastAsia="Arial" w:hAnsi="Arial"/>
                <w:sz w:val="16"/>
                <w:szCs w:val="16"/>
                <w:color w:val="auto"/>
              </w:rPr>
              <w:t>(benefit)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1,826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2,127</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(35,007)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(34,831)</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4,018</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5,331</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6,136</w:t>
            </w:r>
          </w:p>
        </w:tc>
        <w:tc>
          <w:tcPr>
            <w:tcW w:w="0" w:type="dxa"/>
            <w:vAlign w:val="bottom"/>
          </w:tcPr>
          <w:p>
            <w:pPr>
              <w:spacing w:after="0"/>
              <w:rPr>
                <w:sz w:val="1"/>
                <w:szCs w:val="1"/>
                <w:color w:val="auto"/>
              </w:rPr>
            </w:pPr>
          </w:p>
        </w:tc>
      </w:tr>
      <w:tr>
        <w:trPr>
          <w:trHeight w:val="220"/>
        </w:trPr>
        <w:tc>
          <w:tcPr>
            <w:tcW w:w="16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200"/>
              <w:spacing w:after="0"/>
              <w:rPr>
                <w:sz w:val="20"/>
                <w:szCs w:val="20"/>
                <w:color w:val="auto"/>
              </w:rPr>
            </w:pPr>
            <w:r>
              <w:rPr>
                <w:rFonts w:ascii="Arial" w:cs="Arial" w:eastAsia="Arial" w:hAnsi="Arial"/>
                <w:sz w:val="16"/>
                <w:szCs w:val="16"/>
                <w:color w:val="auto"/>
              </w:rPr>
              <w:t>attributable to</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200"/>
              <w:spacing w:after="0"/>
              <w:rPr>
                <w:sz w:val="20"/>
                <w:szCs w:val="20"/>
                <w:color w:val="auto"/>
              </w:rPr>
            </w:pPr>
            <w:r>
              <w:rPr>
                <w:rFonts w:ascii="Arial" w:cs="Arial" w:eastAsia="Arial" w:hAnsi="Arial"/>
                <w:sz w:val="16"/>
                <w:szCs w:val="16"/>
                <w:color w:val="auto"/>
              </w:rPr>
              <w:t>noncontrolling</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20" w:type="dxa"/>
            <w:vAlign w:val="bottom"/>
          </w:tcPr>
          <w:p>
            <w:pPr>
              <w:ind w:left="200"/>
              <w:spacing w:after="0"/>
              <w:rPr>
                <w:sz w:val="20"/>
                <w:szCs w:val="20"/>
                <w:color w:val="auto"/>
              </w:rPr>
            </w:pPr>
            <w:r>
              <w:rPr>
                <w:rFonts w:ascii="Arial" w:cs="Arial" w:eastAsia="Arial" w:hAnsi="Arial"/>
                <w:sz w:val="16"/>
                <w:szCs w:val="16"/>
                <w:color w:val="auto"/>
              </w:rPr>
              <w:t>interests</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3,454</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center"/>
              <w:ind w:right="85"/>
              <w:spacing w:after="0"/>
              <w:rPr>
                <w:sz w:val="20"/>
                <w:szCs w:val="20"/>
                <w:color w:val="auto"/>
              </w:rPr>
            </w:pPr>
            <w:r>
              <w:rPr>
                <w:rFonts w:ascii="Arial" w:cs="Arial" w:eastAsia="Arial" w:hAnsi="Arial"/>
                <w:sz w:val="16"/>
                <w:szCs w:val="16"/>
                <w:color w:val="auto"/>
                <w:w w:val="89"/>
              </w:rPr>
              <w:t>$</w:t>
            </w: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3,949</w:t>
            </w:r>
          </w:p>
        </w:tc>
        <w:tc>
          <w:tcPr>
            <w:tcW w:w="1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  4,763</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4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583</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105"/>
              <w:spacing w:after="0"/>
              <w:rPr>
                <w:sz w:val="20"/>
                <w:szCs w:val="20"/>
                <w:color w:val="auto"/>
              </w:rPr>
            </w:pPr>
            <w:r>
              <w:rPr>
                <w:rFonts w:ascii="Arial" w:cs="Arial" w:eastAsia="Arial" w:hAnsi="Arial"/>
                <w:sz w:val="16"/>
                <w:szCs w:val="16"/>
                <w:color w:val="auto"/>
                <w:w w:val="89"/>
              </w:rPr>
              <w:t>$</w:t>
            </w: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5,346</w:t>
            </w:r>
          </w:p>
        </w:tc>
        <w:tc>
          <w:tcPr>
            <w:tcW w:w="1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  5,621</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6,188</w:t>
            </w:r>
          </w:p>
        </w:tc>
        <w:tc>
          <w:tcPr>
            <w:tcW w:w="0" w:type="dxa"/>
            <w:vAlign w:val="bottom"/>
          </w:tcPr>
          <w:p>
            <w:pPr>
              <w:spacing w:after="0"/>
              <w:rPr>
                <w:sz w:val="1"/>
                <w:szCs w:val="1"/>
                <w:color w:val="auto"/>
              </w:rPr>
            </w:pPr>
          </w:p>
        </w:tc>
      </w:tr>
      <w:tr>
        <w:trPr>
          <w:trHeight w:val="223"/>
        </w:trPr>
        <w:tc>
          <w:tcPr>
            <w:tcW w:w="162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stockholders</w:t>
            </w:r>
          </w:p>
        </w:tc>
        <w:tc>
          <w:tcPr>
            <w:tcW w:w="12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Basic and Diluted Earnings per Share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basic and diluted earnings per share (in millions,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00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w w:val="95"/>
              </w:rPr>
              <w:t>Less: cumulative dividends on preferred stock and charge related to redemption and</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460" w:type="dxa"/>
            <w:vAlign w:val="bottom"/>
          </w:tcPr>
          <w:p>
            <w:pPr>
              <w:ind w:left="180"/>
              <w:spacing w:after="0"/>
              <w:rPr>
                <w:sz w:val="20"/>
                <w:szCs w:val="20"/>
                <w:color w:val="auto"/>
              </w:rPr>
            </w:pPr>
            <w:r>
              <w:rPr>
                <w:rFonts w:ascii="Arial" w:cs="Arial" w:eastAsia="Arial" w:hAnsi="Arial"/>
                <w:sz w:val="18"/>
                <w:szCs w:val="18"/>
                <w:color w:val="auto"/>
              </w:rPr>
              <w:t>purchase of preferred stock(a)</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Weighted-average common shares outstanding - basic</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64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Add: preferred dividends to holders of Series B Preferred Stock</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Less: cumulative dividends on preferred stock and charge related to redemption and</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preferred stock(a)</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Less: earnings adjustment for dilutive stock compensation</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Weighted-average common shares outstanding - diluted</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64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Dilutive effect of warrants and restricted stock units</w:t>
            </w: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conversion of Series B Preferred Stock</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__________</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earned but undeclared dividends of $15 million on GM's Series A Preferred Stock in the year ended December 31, 2013.</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2"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9</w:t>
      </w:r>
    </w:p>
    <w:p>
      <w:pPr>
        <w:sectPr>
          <w:pgSz w:w="11900" w:h="16838" w:orient="portrait"/>
          <w:cols w:equalWidth="0" w:num="1">
            <w:col w:w="11380"/>
          </w:cols>
          <w:pgMar w:left="240" w:top="580" w:right="27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64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Assets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Marketable securities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Restricted cash and marketable securities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Accounts and notes receivable,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GM Financial receivables,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Inventories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Deferred income taxes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Non-current Assets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Restricted cash and marketable securities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GM Financial receivables,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Equity in net assets of nonconsolidated affiliates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Property,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Goodwill</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Intangible assets,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GM Financial equipment on operating leases, net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Deferred income taxes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assets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non-current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Assets</w:t>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LIABILITIES AND EQUITY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Liabilities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Accounts payable (principally trade)</w:t>
      </w:r>
    </w:p>
    <w:p>
      <w:pPr>
        <w:spacing w:after="0" w:line="121" w:lineRule="exact"/>
        <w:rPr>
          <w:sz w:val="20"/>
          <w:szCs w:val="20"/>
          <w:color w:val="auto"/>
        </w:rPr>
      </w:pPr>
    </w:p>
    <w:p>
      <w:pPr>
        <w:ind w:left="300" w:hanging="161"/>
        <w:spacing w:after="0" w:line="433" w:lineRule="auto"/>
        <w:rPr>
          <w:sz w:val="20"/>
          <w:szCs w:val="20"/>
          <w:color w:val="auto"/>
        </w:rPr>
      </w:pPr>
      <w:r>
        <w:rPr>
          <w:rFonts w:ascii="Arial" w:cs="Arial" w:eastAsia="Arial" w:hAnsi="Arial"/>
          <w:sz w:val="13"/>
          <w:szCs w:val="13"/>
          <w:color w:val="auto"/>
        </w:rPr>
        <w:t>Short-term debt and current portion of long-term debt Automotive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Accrued liabilities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Non-current Liabilities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Long-term debt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Automotive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Postretirement benefits other than pensions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Pensions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liabilities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non-current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Liabilities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3"/>
          <w:szCs w:val="13"/>
          <w:color w:val="auto"/>
        </w:rPr>
        <w:t>Series A preferred stock, $0.01 par value</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Common stock, $0.01 par value</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Additional paid-in capital</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Retained earnings</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2"/>
          <w:szCs w:val="12"/>
          <w:color w:val="auto"/>
        </w:rPr>
        <w:t>Accumulated other comprehensive income (loss)</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Noncontrolling interests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Equity</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Liabilities and Equity</w:t>
      </w:r>
    </w:p>
    <w:p>
      <w:pPr>
        <w:spacing w:after="0" w:line="20" w:lineRule="exact"/>
        <w:rPr>
          <w:sz w:val="20"/>
          <w:szCs w:val="20"/>
          <w:color w:val="auto"/>
        </w:rPr>
      </w:pPr>
      <w:r>
        <w:rPr>
          <w:sz w:val="20"/>
          <w:szCs w:val="20"/>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Consolidating Balance Sheets</w:t>
      </w:r>
    </w:p>
    <w:p>
      <w:pPr>
        <w:spacing w:after="0" w:line="9" w:lineRule="exact"/>
        <w:rPr>
          <w:sz w:val="20"/>
          <w:szCs w:val="20"/>
          <w:color w:val="auto"/>
        </w:rPr>
      </w:pPr>
    </w:p>
    <w:p>
      <w:pPr>
        <w:jc w:val="center"/>
        <w:ind w:right="2400"/>
        <w:spacing w:after="0"/>
        <w:rPr>
          <w:sz w:val="20"/>
          <w:szCs w:val="20"/>
          <w:color w:val="auto"/>
        </w:rPr>
      </w:pPr>
      <w:r>
        <w:rPr>
          <w:rFonts w:ascii="Arial" w:cs="Arial" w:eastAsia="Arial" w:hAnsi="Arial"/>
          <w:sz w:val="18"/>
          <w:szCs w:val="18"/>
          <w:i w:val="1"/>
          <w:iCs w:val="1"/>
          <w:color w:val="auto"/>
        </w:rPr>
        <w:t>(In millions, except per share amounts)</w:t>
      </w:r>
    </w:p>
    <w:p>
      <w:pPr>
        <w:spacing w:after="0" w:line="9" w:lineRule="exact"/>
        <w:rPr>
          <w:sz w:val="20"/>
          <w:szCs w:val="20"/>
          <w:color w:val="auto"/>
        </w:rPr>
      </w:pPr>
    </w:p>
    <w:p>
      <w:pPr>
        <w:jc w:val="center"/>
        <w:ind w:right="2400"/>
        <w:spacing w:after="0"/>
        <w:rPr>
          <w:sz w:val="20"/>
          <w:szCs w:val="20"/>
          <w:color w:val="auto"/>
        </w:rPr>
      </w:pPr>
      <w:r>
        <w:rPr>
          <w:rFonts w:ascii="Arial" w:cs="Arial" w:eastAsia="Arial" w:hAnsi="Arial"/>
          <w:sz w:val="18"/>
          <w:szCs w:val="18"/>
          <w:i w:val="1"/>
          <w:i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ind w:left="520"/>
              <w:spacing w:after="0"/>
              <w:rPr>
                <w:sz w:val="20"/>
                <w:szCs w:val="20"/>
                <w:color w:val="auto"/>
              </w:rPr>
            </w:pPr>
            <w:r>
              <w:rPr>
                <w:rFonts w:ascii="Arial" w:cs="Arial" w:eastAsia="Arial" w:hAnsi="Arial"/>
                <w:sz w:val="11"/>
                <w:szCs w:val="11"/>
                <w:b w:val="1"/>
                <w:bCs w:val="1"/>
                <w:color w:val="auto"/>
              </w:rPr>
              <w:t>December 31, 2014</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ind w:left="460"/>
              <w:spacing w:after="0"/>
              <w:rPr>
                <w:sz w:val="20"/>
                <w:szCs w:val="20"/>
                <w:color w:val="auto"/>
              </w:rPr>
            </w:pPr>
            <w:r>
              <w:rPr>
                <w:rFonts w:ascii="Arial" w:cs="Arial" w:eastAsia="Arial" w:hAnsi="Arial"/>
                <w:sz w:val="11"/>
                <w:szCs w:val="11"/>
                <w:b w:val="1"/>
                <w:bCs w:val="1"/>
                <w:color w:val="auto"/>
              </w:rPr>
              <w:t>December 31, 2013</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120" w:type="dxa"/>
            <w:vAlign w:val="bottom"/>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21"/>
                <w:szCs w:val="2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0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7"/>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88"/>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15,980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2,974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18,954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18,947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1,074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20,021</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9,222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9,222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8,972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8,972</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1,247</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9,396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(1,106)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9,078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8,806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8,535</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16,705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16,528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14,340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14,278</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13,642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13,642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14,039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14,039</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3,564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3,564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2,398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2,398</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9,440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9,760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10,195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10,349</w:t>
            </w:r>
          </w:p>
        </w:tc>
      </w:tr>
      <w:tr>
        <w:trPr>
          <w:trHeight w:val="28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1,410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174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1,584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1,531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1,662</w:t>
            </w:r>
          </w:p>
        </w:tc>
      </w:tr>
      <w:tr>
        <w:trPr>
          <w:trHeight w:val="241"/>
        </w:trPr>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62,790</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22,163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(1,283)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83,670</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64,919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17,760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(1,178)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81,501</w:t>
            </w:r>
          </w:p>
        </w:tc>
      </w:tr>
      <w:tr>
        <w:trPr>
          <w:trHeight w:val="54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868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935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829</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16,006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16,006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14,354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14,354</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8,350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8,350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8,094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8,094</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27,570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27,743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25,736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25,867</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1,427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1,560</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4,945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4,983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5,603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5,668</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7,060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7,060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3,383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3,383</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25,439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25,414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22,620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22,736</w:t>
            </w:r>
          </w:p>
        </w:tc>
      </w:tr>
      <w:tr>
        <w:trPr>
          <w:trHeight w:val="280"/>
        </w:trPr>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2,573</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(635)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2,089</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2,853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2,352</w:t>
            </w:r>
          </w:p>
        </w:tc>
      </w:tr>
      <w:tr>
        <w:trPr>
          <w:trHeight w:val="250"/>
        </w:trPr>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68,944</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25,698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(635)</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94,007</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65,131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20,324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84,843</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131,734</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47,861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(1,918)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177,677</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130,050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38,084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166,344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81"/>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22,463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716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(650)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22,529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23,550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589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(518)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23,621</w:t>
            </w:r>
          </w:p>
        </w:tc>
      </w:tr>
      <w:tr>
        <w:trPr>
          <w:trHeight w:val="54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1,131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564</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14,488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14,488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13,594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13,594</w:t>
            </w:r>
          </w:p>
        </w:tc>
      </w:tr>
      <w:tr>
        <w:trPr>
          <w:trHeight w:val="28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27,444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28,184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23,980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24,633</w:t>
            </w:r>
          </w:p>
        </w:tc>
      </w:tr>
      <w:tr>
        <w:trPr>
          <w:trHeight w:val="241"/>
        </w:trPr>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51,038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15,945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(1,282)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65,701</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48,753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14,836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(1,177)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62,412</w:t>
            </w:r>
          </w:p>
        </w:tc>
      </w:tr>
      <w:tr>
        <w:trPr>
          <w:trHeight w:val="81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8,910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8,910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6,574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6,573</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22,943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22,943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15,452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15,452</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6,229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6,229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5,897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5,897</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23,676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23,788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19,378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19,483</w:t>
            </w:r>
          </w:p>
        </w:tc>
      </w:tr>
      <w:tr>
        <w:trPr>
          <w:trHeight w:val="280"/>
        </w:trPr>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13,396</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1,322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(636)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14,082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12,748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1,217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13,353</w:t>
            </w:r>
          </w:p>
        </w:tc>
      </w:tr>
      <w:tr>
        <w:trPr>
          <w:trHeight w:val="250"/>
        </w:trPr>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52,211</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24,377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(636)</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75,952</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44,597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16,774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60,758</w:t>
            </w:r>
          </w:p>
        </w:tc>
      </w:tr>
      <w:tr>
        <w:trPr>
          <w:trHeight w:val="241"/>
        </w:trPr>
        <w:tc>
          <w:tcPr>
            <w:tcW w:w="120" w:type="dxa"/>
            <w:vAlign w:val="bottom"/>
          </w:tcPr>
          <w:p>
            <w:pPr>
              <w:spacing w:after="0"/>
              <w:rPr>
                <w:sz w:val="20"/>
                <w:szCs w:val="20"/>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103,249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40,322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(1,918)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141,653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93,350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31,610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123,170</w:t>
            </w:r>
          </w:p>
        </w:tc>
      </w:tr>
      <w:tr>
        <w:trPr>
          <w:trHeight w:val="810"/>
        </w:trPr>
        <w:tc>
          <w:tcPr>
            <w:tcW w:w="12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3,109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3,109</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28,937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28,937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28,780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28,780</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6,604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7,973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14,577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7,353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6,463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13,816</w:t>
            </w:r>
          </w:p>
        </w:tc>
      </w:tr>
      <w:tr>
        <w:trPr>
          <w:trHeight w:val="280"/>
        </w:trPr>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(7,639)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(434)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(8,073)</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(3,113)</w:t>
            </w:r>
          </w:p>
        </w:tc>
      </w:tr>
      <w:tr>
        <w:trPr>
          <w:trHeight w:val="241"/>
        </w:trPr>
        <w:tc>
          <w:tcPr>
            <w:tcW w:w="120" w:type="dxa"/>
            <w:vAlign w:val="bottom"/>
          </w:tcPr>
          <w:p>
            <w:pPr>
              <w:spacing w:after="0"/>
              <w:rPr>
                <w:sz w:val="20"/>
                <w:szCs w:val="20"/>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27,918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7,539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35,457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36,133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6,474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42,607</w:t>
            </w:r>
          </w:p>
        </w:tc>
      </w:tr>
      <w:tr>
        <w:trPr>
          <w:trHeight w:val="280"/>
        </w:trPr>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567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567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567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567</w:t>
            </w:r>
          </w:p>
        </w:tc>
      </w:tr>
      <w:tr>
        <w:trPr>
          <w:trHeight w:val="250"/>
        </w:trPr>
        <w:tc>
          <w:tcPr>
            <w:tcW w:w="120" w:type="dxa"/>
            <w:vAlign w:val="bottom"/>
          </w:tcPr>
          <w:p>
            <w:pPr>
              <w:spacing w:after="0"/>
              <w:rPr>
                <w:sz w:val="21"/>
                <w:szCs w:val="21"/>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28,485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7,539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36,024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36,700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6,474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43,174</w:t>
            </w:r>
          </w:p>
        </w:tc>
      </w:tr>
      <w:tr>
        <w:trPr>
          <w:trHeight w:val="237"/>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131,734</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47,861</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(1,918)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177,677</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130,050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38,084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166,344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-8609330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-8266430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-7923530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-7580630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-7237095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-6894195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-6551295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-6208395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-5865495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-5521960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-5179060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-4836160</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-4476115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-4133215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-3789680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-3446780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-3103880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-2760980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-2417445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-2074545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-1731645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-1388745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-1045845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-702310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2">
            <w:col w:w="2840" w:space="660"/>
            <w:col w:w="7880"/>
          </w:cols>
          <w:pgMar w:left="280" w:top="580" w:right="239" w:bottom="9"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530" w:right="1440" w:bottom="1440" w:gutter="0" w:footer="0" w:header="0"/>
        </w:sectPr>
      </w:pPr>
    </w:p>
    <w:bookmarkStart w:id="17" w:name="page18"/>
    <w:bookmarkEnd w:id="17"/>
    <w:p>
      <w:pPr>
        <w:jc w:val="center"/>
        <w:ind w:left="11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9" w:lineRule="exact"/>
        <w:rPr>
          <w:sz w:val="20"/>
          <w:szCs w:val="20"/>
          <w:color w:val="auto"/>
        </w:rPr>
      </w:pPr>
    </w:p>
    <w:p>
      <w:pPr>
        <w:jc w:val="center"/>
        <w:ind w:left="114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jc w:val="center"/>
        <w:ind w:left="114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 Ended December 31, 2014</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3"/>
        </w:trPr>
        <w:tc>
          <w:tcPr>
            <w:tcW w:w="5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Automotive</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GM Financial</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Reclassification (a)</w:t>
            </w:r>
          </w:p>
        </w:tc>
        <w:tc>
          <w:tcPr>
            <w:tcW w:w="1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4"/>
                <w:szCs w:val="14"/>
                <w:b w:val="1"/>
                <w:bCs w:val="1"/>
                <w:color w:val="auto"/>
                <w:w w:val="87"/>
              </w:rPr>
              <w:t>Consolidated</w:t>
            </w: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60"/>
        </w:trPr>
        <w:tc>
          <w:tcPr>
            <w:tcW w:w="5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4,018</w:t>
            </w:r>
          </w:p>
        </w:tc>
      </w:tr>
      <w:tr>
        <w:trPr>
          <w:trHeight w:val="237"/>
        </w:trPr>
        <w:tc>
          <w:tcPr>
            <w:tcW w:w="5780" w:type="dxa"/>
            <w:vAlign w:val="bottom"/>
          </w:tcPr>
          <w:p>
            <w:pPr>
              <w:ind w:left="160"/>
              <w:spacing w:after="0"/>
              <w:rPr>
                <w:sz w:val="20"/>
                <w:szCs w:val="20"/>
                <w:color w:val="auto"/>
              </w:rPr>
            </w:pPr>
            <w:r>
              <w:rPr>
                <w:rFonts w:ascii="Arial" w:cs="Arial" w:eastAsia="Arial" w:hAnsi="Arial"/>
                <w:sz w:val="16"/>
                <w:szCs w:val="16"/>
                <w:color w:val="auto"/>
              </w:rPr>
              <w:t>Depreciation, amortization and impairment charges</w:t>
            </w:r>
          </w:p>
        </w:tc>
        <w:tc>
          <w:tcPr>
            <w:tcW w:w="1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7,238</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Foreign currency remeasurement and transaction losses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w:t>
            </w:r>
          </w:p>
        </w:tc>
      </w:tr>
      <w:tr>
        <w:trPr>
          <w:trHeight w:val="237"/>
        </w:trPr>
        <w:tc>
          <w:tcPr>
            <w:tcW w:w="5780" w:type="dxa"/>
            <w:vAlign w:val="bottom"/>
          </w:tcPr>
          <w:p>
            <w:pPr>
              <w:ind w:left="160"/>
              <w:spacing w:after="0"/>
              <w:rPr>
                <w:sz w:val="20"/>
                <w:szCs w:val="20"/>
                <w:color w:val="auto"/>
              </w:rPr>
            </w:pPr>
            <w:r>
              <w:rPr>
                <w:rFonts w:ascii="Arial" w:cs="Arial" w:eastAsia="Arial" w:hAnsi="Arial"/>
                <w:sz w:val="16"/>
                <w:szCs w:val="16"/>
                <w:color w:val="auto"/>
              </w:rPr>
              <w:t>Amortization of discount and issuance costs on debt issues</w:t>
            </w:r>
          </w:p>
        </w:tc>
        <w:tc>
          <w:tcPr>
            <w:tcW w:w="1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Undistributed earnings of nonconsolidated affiliates and gains on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37"/>
        </w:trPr>
        <w:tc>
          <w:tcPr>
            <w:tcW w:w="5780" w:type="dxa"/>
            <w:vAlign w:val="bottom"/>
          </w:tcPr>
          <w:p>
            <w:pPr>
              <w:ind w:left="160"/>
              <w:spacing w:after="0"/>
              <w:rPr>
                <w:sz w:val="20"/>
                <w:szCs w:val="20"/>
                <w:color w:val="auto"/>
              </w:rPr>
            </w:pPr>
            <w:r>
              <w:rPr>
                <w:rFonts w:ascii="Arial" w:cs="Arial" w:eastAsia="Arial" w:hAnsi="Arial"/>
                <w:sz w:val="16"/>
                <w:szCs w:val="16"/>
                <w:color w:val="auto"/>
              </w:rPr>
              <w:t>Pension contributions and OPEB payments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(1,315)</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Pension and OPEB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37"/>
        </w:trPr>
        <w:tc>
          <w:tcPr>
            <w:tcW w:w="5780" w:type="dxa"/>
            <w:vAlign w:val="bottom"/>
          </w:tcPr>
          <w:p>
            <w:pPr>
              <w:ind w:left="160"/>
              <w:spacing w:after="0"/>
              <w:rPr>
                <w:sz w:val="20"/>
                <w:szCs w:val="20"/>
                <w:color w:val="auto"/>
              </w:rPr>
            </w:pPr>
            <w:r>
              <w:rPr>
                <w:rFonts w:ascii="Arial" w:cs="Arial" w:eastAsia="Arial" w:hAnsi="Arial"/>
                <w:sz w:val="16"/>
                <w:szCs w:val="16"/>
                <w:color w:val="auto"/>
              </w:rPr>
              <w:t>Gains on extinguishment of debt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Benefit for deferred taxes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37"/>
        </w:trPr>
        <w:tc>
          <w:tcPr>
            <w:tcW w:w="5780" w:type="dxa"/>
            <w:vAlign w:val="bottom"/>
          </w:tcPr>
          <w:p>
            <w:pPr>
              <w:ind w:left="160"/>
              <w:spacing w:after="0"/>
              <w:rPr>
                <w:sz w:val="20"/>
                <w:szCs w:val="20"/>
                <w:color w:val="auto"/>
              </w:rPr>
            </w:pPr>
            <w:r>
              <w:rPr>
                <w:rFonts w:ascii="Arial" w:cs="Arial" w:eastAsia="Arial" w:hAnsi="Arial"/>
                <w:sz w:val="16"/>
                <w:szCs w:val="16"/>
                <w:color w:val="auto"/>
              </w:rPr>
              <w:t>Change in other operating assets and liabilities</w:t>
            </w:r>
          </w:p>
        </w:tc>
        <w:tc>
          <w:tcPr>
            <w:tcW w:w="1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operating activities</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31"/>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10,132</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10,058</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160"/>
              <w:spacing w:after="0"/>
              <w:rPr>
                <w:sz w:val="20"/>
                <w:szCs w:val="20"/>
                <w:color w:val="auto"/>
              </w:rPr>
            </w:pPr>
            <w:r>
              <w:rPr>
                <w:rFonts w:ascii="Arial" w:cs="Arial" w:eastAsia="Arial" w:hAnsi="Arial"/>
                <w:sz w:val="16"/>
                <w:szCs w:val="16"/>
                <w:color w:val="auto"/>
              </w:rPr>
              <w:t>Expenditures for property</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(7,091)</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Available-for-sale marketable securities, acquisitions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(7,636)</w:t>
            </w:r>
          </w:p>
        </w:tc>
      </w:tr>
      <w:tr>
        <w:trPr>
          <w:trHeight w:val="237"/>
        </w:trPr>
        <w:tc>
          <w:tcPr>
            <w:tcW w:w="5780" w:type="dxa"/>
            <w:vAlign w:val="bottom"/>
          </w:tcPr>
          <w:p>
            <w:pPr>
              <w:ind w:left="160"/>
              <w:spacing w:after="0"/>
              <w:rPr>
                <w:sz w:val="20"/>
                <w:szCs w:val="20"/>
                <w:color w:val="auto"/>
              </w:rPr>
            </w:pPr>
            <w:r>
              <w:rPr>
                <w:rFonts w:ascii="Arial" w:cs="Arial" w:eastAsia="Arial" w:hAnsi="Arial"/>
                <w:sz w:val="16"/>
                <w:szCs w:val="16"/>
                <w:color w:val="auto"/>
              </w:rPr>
              <w:t>Trading marketable securities, acquisitions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(1,518)</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Available-for-sale marketable securities, liquidations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6,874</w:t>
            </w:r>
          </w:p>
        </w:tc>
      </w:tr>
      <w:tr>
        <w:trPr>
          <w:trHeight w:val="237"/>
        </w:trPr>
        <w:tc>
          <w:tcPr>
            <w:tcW w:w="5780" w:type="dxa"/>
            <w:vAlign w:val="bottom"/>
          </w:tcPr>
          <w:p>
            <w:pPr>
              <w:ind w:left="160"/>
              <w:spacing w:after="0"/>
              <w:rPr>
                <w:sz w:val="20"/>
                <w:szCs w:val="20"/>
                <w:color w:val="auto"/>
              </w:rPr>
            </w:pPr>
            <w:r>
              <w:rPr>
                <w:rFonts w:ascii="Arial" w:cs="Arial" w:eastAsia="Arial" w:hAnsi="Arial"/>
                <w:sz w:val="16"/>
                <w:szCs w:val="16"/>
                <w:color w:val="auto"/>
              </w:rPr>
              <w:t>Trading marketable securities, liquidations</w:t>
            </w:r>
          </w:p>
        </w:tc>
        <w:tc>
          <w:tcPr>
            <w:tcW w:w="1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1,881</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Acquisition of companies, net of cash acquired</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37"/>
        </w:trPr>
        <w:tc>
          <w:tcPr>
            <w:tcW w:w="5780" w:type="dxa"/>
            <w:vAlign w:val="bottom"/>
          </w:tcPr>
          <w:p>
            <w:pPr>
              <w:ind w:left="160"/>
              <w:spacing w:after="0"/>
              <w:rPr>
                <w:sz w:val="20"/>
                <w:szCs w:val="20"/>
                <w:color w:val="auto"/>
              </w:rPr>
            </w:pPr>
            <w:r>
              <w:rPr>
                <w:rFonts w:ascii="Arial" w:cs="Arial" w:eastAsia="Arial" w:hAnsi="Arial"/>
                <w:sz w:val="16"/>
                <w:szCs w:val="16"/>
                <w:color w:val="auto"/>
              </w:rPr>
              <w:t>Increase in restricted cash and marketable securities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(839)</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Decrease in restricted cash and 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37"/>
        </w:trPr>
        <w:tc>
          <w:tcPr>
            <w:tcW w:w="5780" w:type="dxa"/>
            <w:vAlign w:val="bottom"/>
          </w:tcPr>
          <w:p>
            <w:pPr>
              <w:ind w:left="160"/>
              <w:spacing w:after="0"/>
              <w:rPr>
                <w:sz w:val="20"/>
                <w:szCs w:val="20"/>
                <w:color w:val="auto"/>
              </w:rPr>
            </w:pPr>
            <w:r>
              <w:rPr>
                <w:rFonts w:ascii="Arial" w:cs="Arial" w:eastAsia="Arial" w:hAnsi="Arial"/>
                <w:sz w:val="16"/>
                <w:szCs w:val="16"/>
                <w:color w:val="auto"/>
              </w:rPr>
              <w:t>Purchase of finance receivables</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(16,744)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(14,744)</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Principal collections and recoveries on finance receivables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10,860</w:t>
            </w:r>
          </w:p>
        </w:tc>
      </w:tr>
      <w:tr>
        <w:trPr>
          <w:trHeight w:val="237"/>
        </w:trPr>
        <w:tc>
          <w:tcPr>
            <w:tcW w:w="5780" w:type="dxa"/>
            <w:vAlign w:val="bottom"/>
          </w:tcPr>
          <w:p>
            <w:pPr>
              <w:ind w:left="160"/>
              <w:spacing w:after="0"/>
              <w:rPr>
                <w:sz w:val="20"/>
                <w:szCs w:val="20"/>
                <w:color w:val="auto"/>
              </w:rPr>
            </w:pPr>
            <w:r>
              <w:rPr>
                <w:rFonts w:ascii="Arial" w:cs="Arial" w:eastAsia="Arial" w:hAnsi="Arial"/>
                <w:sz w:val="16"/>
                <w:szCs w:val="16"/>
                <w:color w:val="auto"/>
              </w:rPr>
              <w:t>Purchases of leased vehicles, net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(4,776)</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termination of leased vehicles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37"/>
        </w:trPr>
        <w:tc>
          <w:tcPr>
            <w:tcW w:w="5780" w:type="dxa"/>
            <w:vAlign w:val="bottom"/>
          </w:tcPr>
          <w:p>
            <w:pPr>
              <w:ind w:left="160"/>
              <w:spacing w:after="0"/>
              <w:rPr>
                <w:sz w:val="20"/>
                <w:szCs w:val="20"/>
                <w:color w:val="auto"/>
              </w:rPr>
            </w:pPr>
            <w:r>
              <w:rPr>
                <w:rFonts w:ascii="Arial" w:cs="Arial" w:eastAsia="Arial" w:hAnsi="Arial"/>
                <w:sz w:val="16"/>
                <w:szCs w:val="16"/>
                <w:color w:val="auto"/>
              </w:rPr>
              <w:t>Other investing activities</w:t>
            </w:r>
          </w:p>
        </w:tc>
        <w:tc>
          <w:tcPr>
            <w:tcW w:w="1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33"/>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(15,698)</w:t>
            </w:r>
          </w:p>
        </w:tc>
      </w:tr>
      <w:tr>
        <w:trPr>
          <w:trHeight w:val="224"/>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5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increase (decrease) in short-term debt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37"/>
        </w:trPr>
        <w:tc>
          <w:tcPr>
            <w:tcW w:w="5780" w:type="dxa"/>
            <w:vAlign w:val="bottom"/>
          </w:tcPr>
          <w:p>
            <w:pPr>
              <w:ind w:left="16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1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28,254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31,373</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Payments on debt (original maturities greater than three months)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(19,524)</w:t>
            </w:r>
          </w:p>
        </w:tc>
      </w:tr>
      <w:tr>
        <w:trPr>
          <w:trHeight w:val="237"/>
        </w:trPr>
        <w:tc>
          <w:tcPr>
            <w:tcW w:w="5780" w:type="dxa"/>
            <w:vAlign w:val="bottom"/>
          </w:tcPr>
          <w:p>
            <w:pPr>
              <w:ind w:left="160"/>
              <w:spacing w:after="0"/>
              <w:rPr>
                <w:sz w:val="20"/>
                <w:szCs w:val="20"/>
                <w:color w:val="auto"/>
              </w:rPr>
            </w:pPr>
            <w:r>
              <w:rPr>
                <w:rFonts w:ascii="Arial" w:cs="Arial" w:eastAsia="Arial" w:hAnsi="Arial"/>
                <w:sz w:val="16"/>
                <w:szCs w:val="16"/>
                <w:color w:val="auto"/>
              </w:rPr>
              <w:t>Payments to purchase stock</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(3,277)</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4"/>
              </w:rPr>
              <w:t>Dividends paid (including charge related to redemption of Series A 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(3,165)</w:t>
            </w:r>
          </w:p>
        </w:tc>
      </w:tr>
      <w:tr>
        <w:trPr>
          <w:trHeight w:val="237"/>
        </w:trPr>
        <w:tc>
          <w:tcPr>
            <w:tcW w:w="5780" w:type="dxa"/>
            <w:vAlign w:val="bottom"/>
          </w:tcPr>
          <w:p>
            <w:pPr>
              <w:ind w:left="160"/>
              <w:spacing w:after="0"/>
              <w:rPr>
                <w:sz w:val="20"/>
                <w:szCs w:val="20"/>
                <w:color w:val="auto"/>
              </w:rPr>
            </w:pPr>
            <w:r>
              <w:rPr>
                <w:rFonts w:ascii="Arial" w:cs="Arial" w:eastAsia="Arial" w:hAnsi="Arial"/>
                <w:sz w:val="16"/>
                <w:szCs w:val="16"/>
                <w:color w:val="auto"/>
              </w:rPr>
              <w:t>Other financing activities</w:t>
            </w:r>
          </w:p>
        </w:tc>
        <w:tc>
          <w:tcPr>
            <w:tcW w:w="1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33"/>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5,675</w:t>
            </w:r>
          </w:p>
        </w:tc>
      </w:tr>
      <w:tr>
        <w:trPr>
          <w:trHeight w:val="237"/>
        </w:trPr>
        <w:tc>
          <w:tcPr>
            <w:tcW w:w="57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(1,102)</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transactions with Automotive/GM Financial</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78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(1,067)</w:t>
            </w:r>
          </w:p>
        </w:tc>
      </w:tr>
      <w:tr>
        <w:trPr>
          <w:trHeight w:val="33"/>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20,021</w:t>
            </w:r>
          </w:p>
        </w:tc>
      </w:tr>
      <w:tr>
        <w:trPr>
          <w:trHeight w:val="217"/>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15,980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2,974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20955</wp:posOffset>
            </wp:positionV>
            <wp:extent cx="31216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-130175</wp:posOffset>
            </wp:positionV>
            <wp:extent cx="31216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ind w:left="340" w:hanging="332"/>
        <w:spacing w:after="0" w:line="255"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Reclassification of purchases/collections of wholesale finance receivables resulting from vehicles sold by GM to dealers that have arranged their inventory floor plan financing through GM Financial.</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580" w:right="259" w:bottom="1440" w:gutter="0" w:footer="0" w:header="0"/>
          <w:type w:val="continuous"/>
        </w:sectPr>
      </w:pPr>
    </w:p>
    <w:bookmarkStart w:id="18" w:name="page19"/>
    <w:bookmarkEnd w:id="18"/>
    <w:p>
      <w:pPr>
        <w:jc w:val="center"/>
        <w:ind w:left="11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Consolidating Statements of Cash Flows — (Continued)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2"/>
              </w:rPr>
              <w:t>Year Ended December 31, 2013</w:t>
            </w:r>
          </w:p>
        </w:tc>
      </w:tr>
      <w:tr>
        <w:trPr>
          <w:trHeight w:val="263"/>
        </w:trPr>
        <w:tc>
          <w:tcPr>
            <w:tcW w:w="6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Automotive</w:t>
            </w:r>
          </w:p>
        </w:tc>
        <w:tc>
          <w:tcPr>
            <w:tcW w:w="12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GM Financial</w:t>
            </w:r>
          </w:p>
        </w:tc>
        <w:tc>
          <w:tcPr>
            <w:tcW w:w="14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4"/>
              </w:rPr>
              <w:t>Consolidated</w:t>
            </w:r>
          </w:p>
        </w:tc>
      </w:tr>
      <w:tr>
        <w:trPr>
          <w:trHeight w:val="210"/>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60"/>
        </w:trPr>
        <w:tc>
          <w:tcPr>
            <w:tcW w:w="6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5,331</w:t>
            </w:r>
          </w:p>
        </w:tc>
      </w:tr>
      <w:tr>
        <w:trPr>
          <w:trHeight w:val="237"/>
        </w:trPr>
        <w:tc>
          <w:tcPr>
            <w:tcW w:w="6940" w:type="dxa"/>
            <w:vAlign w:val="bottom"/>
          </w:tcPr>
          <w:p>
            <w:pPr>
              <w:ind w:left="160"/>
              <w:spacing w:after="0"/>
              <w:rPr>
                <w:sz w:val="20"/>
                <w:szCs w:val="20"/>
                <w:color w:val="auto"/>
              </w:rPr>
            </w:pPr>
            <w:r>
              <w:rPr>
                <w:rFonts w:ascii="Arial" w:cs="Arial" w:eastAsia="Arial" w:hAnsi="Arial"/>
                <w:sz w:val="16"/>
                <w:szCs w:val="16"/>
                <w:color w:val="auto"/>
              </w:rPr>
              <w:t>Depreciation, amortization and impairment charges</w:t>
            </w:r>
          </w:p>
        </w:tc>
        <w:tc>
          <w:tcPr>
            <w:tcW w:w="1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7,553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8,041</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Foreign currency remeasurement and transaction (gains) losses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37"/>
        </w:trPr>
        <w:tc>
          <w:tcPr>
            <w:tcW w:w="6940" w:type="dxa"/>
            <w:vAlign w:val="bottom"/>
          </w:tcPr>
          <w:p>
            <w:pPr>
              <w:ind w:left="160"/>
              <w:spacing w:after="0"/>
              <w:rPr>
                <w:sz w:val="20"/>
                <w:szCs w:val="20"/>
                <w:color w:val="auto"/>
              </w:rPr>
            </w:pPr>
            <w:r>
              <w:rPr>
                <w:rFonts w:ascii="Arial" w:cs="Arial" w:eastAsia="Arial" w:hAnsi="Arial"/>
                <w:sz w:val="16"/>
                <w:szCs w:val="16"/>
                <w:color w:val="auto"/>
              </w:rPr>
              <w:t>Amortization of discount and issuance costs on debt issues</w:t>
            </w:r>
          </w:p>
        </w:tc>
        <w:tc>
          <w:tcPr>
            <w:tcW w:w="1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Undistributed earnings of nonconsolidated affiliates and gain on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37"/>
        </w:trPr>
        <w:tc>
          <w:tcPr>
            <w:tcW w:w="6940" w:type="dxa"/>
            <w:vAlign w:val="bottom"/>
          </w:tcPr>
          <w:p>
            <w:pPr>
              <w:ind w:left="160"/>
              <w:spacing w:after="0"/>
              <w:rPr>
                <w:sz w:val="20"/>
                <w:szCs w:val="20"/>
                <w:color w:val="auto"/>
              </w:rPr>
            </w:pPr>
            <w:r>
              <w:rPr>
                <w:rFonts w:ascii="Arial" w:cs="Arial" w:eastAsia="Arial" w:hAnsi="Arial"/>
                <w:sz w:val="16"/>
                <w:szCs w:val="16"/>
                <w:color w:val="auto"/>
              </w:rPr>
              <w:t>Pension contributions and OPEB payments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(1,458)</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Pension and OPEB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w:t>
            </w:r>
          </w:p>
        </w:tc>
      </w:tr>
      <w:tr>
        <w:trPr>
          <w:trHeight w:val="237"/>
        </w:trPr>
        <w:tc>
          <w:tcPr>
            <w:tcW w:w="6940" w:type="dxa"/>
            <w:vAlign w:val="bottom"/>
          </w:tcPr>
          <w:p>
            <w:pPr>
              <w:ind w:left="160"/>
              <w:spacing w:after="0"/>
              <w:rPr>
                <w:sz w:val="20"/>
                <w:szCs w:val="20"/>
                <w:color w:val="auto"/>
              </w:rPr>
            </w:pPr>
            <w:r>
              <w:rPr>
                <w:rFonts w:ascii="Arial" w:cs="Arial" w:eastAsia="Arial" w:hAnsi="Arial"/>
                <w:sz w:val="16"/>
                <w:szCs w:val="16"/>
                <w:color w:val="auto"/>
              </w:rPr>
              <w:t>Losses on extinguishment of debt</w:t>
            </w:r>
          </w:p>
        </w:tc>
        <w:tc>
          <w:tcPr>
            <w:tcW w:w="1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Provision for deferred taxes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1,561</w:t>
            </w:r>
          </w:p>
        </w:tc>
      </w:tr>
      <w:tr>
        <w:trPr>
          <w:trHeight w:val="237"/>
        </w:trPr>
        <w:tc>
          <w:tcPr>
            <w:tcW w:w="6940" w:type="dxa"/>
            <w:vAlign w:val="bottom"/>
          </w:tcPr>
          <w:p>
            <w:pPr>
              <w:ind w:left="160"/>
              <w:spacing w:after="0"/>
              <w:rPr>
                <w:sz w:val="20"/>
                <w:szCs w:val="20"/>
                <w:color w:val="auto"/>
              </w:rPr>
            </w:pPr>
            <w:r>
              <w:rPr>
                <w:rFonts w:ascii="Arial" w:cs="Arial" w:eastAsia="Arial" w:hAnsi="Arial"/>
                <w:sz w:val="16"/>
                <w:szCs w:val="16"/>
                <w:color w:val="auto"/>
              </w:rPr>
              <w:t>Change in other operating assets and liabilities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(1,326)</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operating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w:t>
            </w:r>
          </w:p>
        </w:tc>
      </w:tr>
      <w:tr>
        <w:trPr>
          <w:trHeight w:val="231"/>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11,021</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12,630</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940" w:type="dxa"/>
            <w:vAlign w:val="bottom"/>
          </w:tcPr>
          <w:p>
            <w:pPr>
              <w:ind w:left="160"/>
              <w:spacing w:after="0"/>
              <w:rPr>
                <w:sz w:val="20"/>
                <w:szCs w:val="20"/>
                <w:color w:val="auto"/>
              </w:rPr>
            </w:pPr>
            <w:r>
              <w:rPr>
                <w:rFonts w:ascii="Arial" w:cs="Arial" w:eastAsia="Arial" w:hAnsi="Arial"/>
                <w:sz w:val="16"/>
                <w:szCs w:val="16"/>
                <w:color w:val="auto"/>
              </w:rPr>
              <w:t>Expenditures for property</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(7,565)</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Available-for-sale marketable securities, 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(6,754)</w:t>
            </w:r>
          </w:p>
        </w:tc>
      </w:tr>
      <w:tr>
        <w:trPr>
          <w:trHeight w:val="237"/>
        </w:trPr>
        <w:tc>
          <w:tcPr>
            <w:tcW w:w="6940" w:type="dxa"/>
            <w:vAlign w:val="bottom"/>
          </w:tcPr>
          <w:p>
            <w:pPr>
              <w:ind w:left="160"/>
              <w:spacing w:after="0"/>
              <w:rPr>
                <w:sz w:val="20"/>
                <w:szCs w:val="20"/>
                <w:color w:val="auto"/>
              </w:rPr>
            </w:pPr>
            <w:r>
              <w:rPr>
                <w:rFonts w:ascii="Arial" w:cs="Arial" w:eastAsia="Arial" w:hAnsi="Arial"/>
                <w:sz w:val="16"/>
                <w:szCs w:val="16"/>
                <w:color w:val="auto"/>
              </w:rPr>
              <w:t>Trading marketable securities, acquisitions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(3,214)</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Available-for-sale marketable securities, liquidations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3,566</w:t>
            </w:r>
          </w:p>
        </w:tc>
      </w:tr>
      <w:tr>
        <w:trPr>
          <w:trHeight w:val="237"/>
        </w:trPr>
        <w:tc>
          <w:tcPr>
            <w:tcW w:w="6940" w:type="dxa"/>
            <w:vAlign w:val="bottom"/>
          </w:tcPr>
          <w:p>
            <w:pPr>
              <w:ind w:left="160"/>
              <w:spacing w:after="0"/>
              <w:rPr>
                <w:sz w:val="20"/>
                <w:szCs w:val="20"/>
                <w:color w:val="auto"/>
              </w:rPr>
            </w:pPr>
            <w:r>
              <w:rPr>
                <w:rFonts w:ascii="Arial" w:cs="Arial" w:eastAsia="Arial" w:hAnsi="Arial"/>
                <w:sz w:val="16"/>
                <w:szCs w:val="16"/>
                <w:color w:val="auto"/>
              </w:rPr>
              <w:t>Trading marketable securities, liquidations</w:t>
            </w:r>
          </w:p>
        </w:tc>
        <w:tc>
          <w:tcPr>
            <w:tcW w:w="1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6,538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6,538</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Acquisition of companies,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(2,623)</w:t>
            </w:r>
          </w:p>
        </w:tc>
      </w:tr>
      <w:tr>
        <w:trPr>
          <w:trHeight w:val="237"/>
        </w:trPr>
        <w:tc>
          <w:tcPr>
            <w:tcW w:w="6940" w:type="dxa"/>
            <w:vAlign w:val="bottom"/>
          </w:tcPr>
          <w:p>
            <w:pPr>
              <w:ind w:left="160"/>
              <w:spacing w:after="0"/>
              <w:rPr>
                <w:sz w:val="20"/>
                <w:szCs w:val="20"/>
                <w:color w:val="auto"/>
              </w:rPr>
            </w:pPr>
            <w:r>
              <w:rPr>
                <w:rFonts w:ascii="Arial" w:cs="Arial" w:eastAsia="Arial" w:hAnsi="Arial"/>
                <w:sz w:val="16"/>
                <w:szCs w:val="16"/>
                <w:color w:val="auto"/>
              </w:rPr>
              <w:t>Proceeds from sale of business units/investments, net of cash disposed</w:t>
            </w:r>
          </w:p>
        </w:tc>
        <w:tc>
          <w:tcPr>
            <w:tcW w:w="1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896</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Increase in restricted cash and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r>
      <w:tr>
        <w:trPr>
          <w:trHeight w:val="237"/>
        </w:trPr>
        <w:tc>
          <w:tcPr>
            <w:tcW w:w="6940" w:type="dxa"/>
            <w:vAlign w:val="bottom"/>
          </w:tcPr>
          <w:p>
            <w:pPr>
              <w:ind w:left="160"/>
              <w:spacing w:after="0"/>
              <w:rPr>
                <w:sz w:val="20"/>
                <w:szCs w:val="20"/>
                <w:color w:val="auto"/>
              </w:rPr>
            </w:pPr>
            <w:r>
              <w:rPr>
                <w:rFonts w:ascii="Arial" w:cs="Arial" w:eastAsia="Arial" w:hAnsi="Arial"/>
                <w:sz w:val="16"/>
                <w:szCs w:val="16"/>
                <w:color w:val="auto"/>
              </w:rPr>
              <w:t>Decrease in restricted cash and marketable securities</w:t>
            </w:r>
          </w:p>
        </w:tc>
        <w:tc>
          <w:tcPr>
            <w:tcW w:w="1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1,107</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Purchases of finance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(10,838)</w:t>
            </w:r>
          </w:p>
        </w:tc>
      </w:tr>
      <w:tr>
        <w:trPr>
          <w:trHeight w:val="237"/>
        </w:trPr>
        <w:tc>
          <w:tcPr>
            <w:tcW w:w="6940" w:type="dxa"/>
            <w:vAlign w:val="bottom"/>
          </w:tcPr>
          <w:p>
            <w:pPr>
              <w:ind w:left="160"/>
              <w:spacing w:after="0"/>
              <w:rPr>
                <w:sz w:val="20"/>
                <w:szCs w:val="20"/>
                <w:color w:val="auto"/>
              </w:rPr>
            </w:pPr>
            <w:r>
              <w:rPr>
                <w:rFonts w:ascii="Arial" w:cs="Arial" w:eastAsia="Arial" w:hAnsi="Arial"/>
                <w:sz w:val="16"/>
                <w:szCs w:val="16"/>
                <w:color w:val="auto"/>
              </w:rPr>
              <w:t>Principal collections and recoveries on finance receivables</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7,555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7,555</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Purchases of leased vehicles,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(2,254)</w:t>
            </w:r>
          </w:p>
        </w:tc>
      </w:tr>
      <w:tr>
        <w:trPr>
          <w:trHeight w:val="237"/>
        </w:trPr>
        <w:tc>
          <w:tcPr>
            <w:tcW w:w="6940" w:type="dxa"/>
            <w:vAlign w:val="bottom"/>
          </w:tcPr>
          <w:p>
            <w:pPr>
              <w:ind w:left="160"/>
              <w:spacing w:after="0"/>
              <w:rPr>
                <w:sz w:val="20"/>
                <w:szCs w:val="20"/>
                <w:color w:val="auto"/>
              </w:rPr>
            </w:pPr>
            <w:r>
              <w:rPr>
                <w:rFonts w:ascii="Arial" w:cs="Arial" w:eastAsia="Arial" w:hAnsi="Arial"/>
                <w:sz w:val="16"/>
                <w:szCs w:val="16"/>
                <w:color w:val="auto"/>
              </w:rPr>
              <w:t>Proceeds from termination of leased vehicles</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(8,215)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(14,362)</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940" w:type="dxa"/>
            <w:vAlign w:val="bottom"/>
          </w:tcPr>
          <w:p>
            <w:pPr>
              <w:ind w:left="160"/>
              <w:spacing w:after="0"/>
              <w:rPr>
                <w:sz w:val="20"/>
                <w:szCs w:val="20"/>
                <w:color w:val="auto"/>
              </w:rPr>
            </w:pPr>
            <w:r>
              <w:rPr>
                <w:rFonts w:ascii="Arial" w:cs="Arial" w:eastAsia="Arial" w:hAnsi="Arial"/>
                <w:sz w:val="16"/>
                <w:szCs w:val="16"/>
                <w:color w:val="auto"/>
              </w:rPr>
              <w:t>Net increase in short-term debt</w:t>
            </w:r>
          </w:p>
        </w:tc>
        <w:tc>
          <w:tcPr>
            <w:tcW w:w="1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28,041</w:t>
            </w:r>
          </w:p>
        </w:tc>
      </w:tr>
      <w:tr>
        <w:trPr>
          <w:trHeight w:val="237"/>
        </w:trPr>
        <w:tc>
          <w:tcPr>
            <w:tcW w:w="6940" w:type="dxa"/>
            <w:vAlign w:val="bottom"/>
          </w:tcPr>
          <w:p>
            <w:pPr>
              <w:ind w:left="160"/>
              <w:spacing w:after="0"/>
              <w:rPr>
                <w:sz w:val="20"/>
                <w:szCs w:val="20"/>
                <w:color w:val="auto"/>
              </w:rPr>
            </w:pPr>
            <w:r>
              <w:rPr>
                <w:rFonts w:ascii="Arial" w:cs="Arial" w:eastAsia="Arial" w:hAnsi="Arial"/>
                <w:sz w:val="16"/>
                <w:szCs w:val="16"/>
                <w:color w:val="auto"/>
              </w:rPr>
              <w:t>Payments on debt (original maturities greater than three months)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(20,191)</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Payments to purchase stock</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(2,438)</w:t>
            </w:r>
          </w:p>
        </w:tc>
      </w:tr>
      <w:tr>
        <w:trPr>
          <w:trHeight w:val="237"/>
        </w:trPr>
        <w:tc>
          <w:tcPr>
            <w:tcW w:w="6940" w:type="dxa"/>
            <w:vAlign w:val="bottom"/>
          </w:tcPr>
          <w:p>
            <w:pPr>
              <w:ind w:left="160"/>
              <w:spacing w:after="0"/>
              <w:rPr>
                <w:sz w:val="20"/>
                <w:szCs w:val="20"/>
                <w:color w:val="auto"/>
              </w:rPr>
            </w:pPr>
            <w:r>
              <w:rPr>
                <w:rFonts w:ascii="Arial" w:cs="Arial" w:eastAsia="Arial" w:hAnsi="Arial"/>
                <w:sz w:val="16"/>
                <w:szCs w:val="16"/>
                <w:color w:val="auto"/>
              </w:rPr>
              <w:t>Dividends paid (including charge related to purchase of Series A Preferred Stock)</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(1,687)</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7"/>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5,143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3,731</w:t>
            </w: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37"/>
        </w:trPr>
        <w:tc>
          <w:tcPr>
            <w:tcW w:w="6940" w:type="dxa"/>
            <w:vAlign w:val="bottom"/>
          </w:tcPr>
          <w:p>
            <w:pPr>
              <w:ind w:left="20"/>
              <w:spacing w:after="0"/>
              <w:rPr>
                <w:sz w:val="20"/>
                <w:szCs w:val="20"/>
                <w:color w:val="auto"/>
              </w:rPr>
            </w:pPr>
            <w:r>
              <w:rPr>
                <w:rFonts w:ascii="Arial" w:cs="Arial" w:eastAsia="Arial" w:hAnsi="Arial"/>
                <w:sz w:val="16"/>
                <w:szCs w:val="16"/>
                <w:color w:val="auto"/>
              </w:rPr>
              <w:t>Net transactions with Automotive/GM Financial</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1,599</w:t>
            </w:r>
          </w:p>
        </w:tc>
      </w:tr>
      <w:tr>
        <w:trPr>
          <w:trHeight w:val="237"/>
        </w:trPr>
        <w:tc>
          <w:tcPr>
            <w:tcW w:w="694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17,133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18,422</w:t>
            </w:r>
          </w:p>
        </w:tc>
      </w:tr>
      <w:tr>
        <w:trPr>
          <w:trHeight w:val="33"/>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20,021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80"/>
          </w:cols>
          <w:pgMar w:left="580" w:top="58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680"/>
          </w:cols>
          <w:pgMar w:left="580" w:top="580" w:right="639" w:bottom="1440" w:gutter="0" w:footer="0" w:header="0"/>
          <w:type w:val="continuous"/>
        </w:sectPr>
      </w:pPr>
    </w:p>
    <w:bookmarkStart w:id="19" w:name="page20"/>
    <w:bookmarkEnd w:id="19"/>
    <w:p>
      <w:pPr>
        <w:jc w:val="center"/>
        <w:ind w:left="11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Consolidating Statements of Cash Flows — (Continued)</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2"/>
              </w:rPr>
              <w:t>Year Ended December 31, 2012</w:t>
            </w:r>
          </w:p>
        </w:tc>
      </w:tr>
      <w:tr>
        <w:trPr>
          <w:trHeight w:val="263"/>
        </w:trPr>
        <w:tc>
          <w:tcPr>
            <w:tcW w:w="7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Automotive</w:t>
            </w:r>
          </w:p>
        </w:tc>
        <w:tc>
          <w:tcPr>
            <w:tcW w:w="16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GM Financial</w:t>
            </w:r>
          </w:p>
        </w:tc>
        <w:tc>
          <w:tcPr>
            <w:tcW w:w="160" w:type="dxa"/>
            <w:vAlign w:val="bottom"/>
          </w:tcPr>
          <w:p>
            <w:pPr>
              <w:spacing w:after="0"/>
              <w:rPr>
                <w:sz w:val="22"/>
                <w:szCs w:val="22"/>
                <w:color w:val="auto"/>
              </w:rPr>
            </w:pPr>
          </w:p>
        </w:tc>
        <w:tc>
          <w:tcPr>
            <w:tcW w:w="108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r>
      <w:tr>
        <w:trPr>
          <w:trHeight w:val="21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60"/>
        </w:trPr>
        <w:tc>
          <w:tcPr>
            <w:tcW w:w="7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Depreciation, amortization and impairment charges</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38,546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38,762</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remeasurement and transaction losses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Amortization of discount (premium) and issuance costs on debt issues</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188</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Undistributed earnings of nonconsolidated affiliates gain on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Pension contributions and OPEB payments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(3,759)</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and OPEB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3,232</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Losses on extinguishment of debt</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 for deferred taxes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(35,561)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Change in other operating assets and liabilities</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630</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operating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9,631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10,605</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Expenditures for property</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(8,068)</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Available-for-sale marketable securities,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(4,650)</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Trading marketable securities, acquisitions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(6,234)</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Available-for-sale marketable securities, liquidations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10,519</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Trading marketable securities, liquidations</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7,267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7,267</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companies,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Proceeds from sale of business units/investments, net of cash disposed</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in restricted cash and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Decrease in restricted cash and marketable securities</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1,526</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finance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(6,122)</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Principal collections and recoveries on finance receivables</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4,007</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leased vehicles,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Proceeds from termination of leased vehicles</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investing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(3,505)</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Net decrease in short-term debt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Payments on debt (original maturities greater than three months)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(7,377)</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to purchase stock</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(5,098)</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(939)</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financing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(7,059)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(4,741)</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transactions with Automotive/GM Financial</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2,351</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15,499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16,071</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18,422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7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sectPr>
      <w:pgSz w:w="11900" w:h="16838" w:orient="portrait"/>
      <w:cols w:equalWidth="0" w:num="1">
        <w:col w:w="11420"/>
      </w:cols>
      <w:pgMar w:left="240" w:top="580" w:right="239" w:bottom="79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2019-12-08T21:53:25Z</dcterms:created>
  <dcterms:modified xsi:type="dcterms:W3CDTF">2019-12-08T21:53:25Z</dcterms:modified>
</cp:coreProperties>
</file>