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341630</wp:posOffset>
            </wp:positionH>
            <wp:positionV relativeFrom="page">
              <wp:posOffset>164465</wp:posOffset>
            </wp:positionV>
            <wp:extent cx="6873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3875" cy="8255"/>
                    </a:xfrm>
                    <a:prstGeom prst="rect">
                      <a:avLst/>
                    </a:prstGeom>
                    <a:noFill/>
                  </pic:spPr>
                </pic:pic>
              </a:graphicData>
            </a:graphic>
          </wp:anchor>
        </w:drawing>
        <w:drawing>
          <wp:anchor simplePos="0" relativeHeight="251657728" behindDoc="1" locked="0" layoutInCell="0" allowOverlap="1">
            <wp:simplePos x="0" y="0"/>
            <wp:positionH relativeFrom="page">
              <wp:posOffset>341630</wp:posOffset>
            </wp:positionH>
            <wp:positionV relativeFrom="page">
              <wp:posOffset>207010</wp:posOffset>
            </wp:positionV>
            <wp:extent cx="6873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3875" cy="8255"/>
                    </a:xfrm>
                    <a:prstGeom prst="rect">
                      <a:avLst/>
                    </a:prstGeom>
                    <a:noFill/>
                  </pic:spPr>
                </pic:pic>
              </a:graphicData>
            </a:graphic>
          </wp:anchor>
        </w:drawing>
        <w:t>UNITED STATES</w:t>
      </w:r>
    </w:p>
    <w:p>
      <w:pPr>
        <w:spacing w:after="0" w:line="3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219710</wp:posOffset>
            </wp:positionV>
            <wp:extent cx="1440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242570</wp:posOffset>
            </wp:positionV>
            <wp:extent cx="1440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8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245745</wp:posOffset>
            </wp:positionV>
            <wp:extent cx="1440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42"/>
          <w:szCs w:val="42"/>
          <w:b w:val="1"/>
          <w:bCs w:val="1"/>
          <w:color w:val="auto"/>
        </w:rPr>
        <w:t>GENERAL MOTORS COMPANY</w:t>
      </w:r>
    </w:p>
    <w:p>
      <w:pPr>
        <w:spacing w:after="0" w:line="5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221615</wp:posOffset>
            </wp:positionV>
            <wp:extent cx="1440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ectPr>
          <w:pgSz w:w="11900" w:h="16838" w:orient="portrait"/>
          <w:cols w:equalWidth="0" w:num="1">
            <w:col w:w="10828"/>
          </w:cols>
          <w:pgMar w:left="532" w:top="371" w:right="5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1488"/>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15" w:lineRule="exact"/>
        <w:rPr>
          <w:sz w:val="24"/>
          <w:szCs w:val="24"/>
          <w:color w:val="auto"/>
        </w:rPr>
      </w:pPr>
    </w:p>
    <w:p>
      <w:pPr>
        <w:sectPr>
          <w:pgSz w:w="11900" w:h="16838" w:orient="portrait"/>
          <w:cols w:equalWidth="0" w:num="3">
            <w:col w:w="4428" w:space="720"/>
            <w:col w:w="2800" w:space="720"/>
            <w:col w:w="2160"/>
          </w:cols>
          <w:pgMar w:left="532" w:top="371" w:right="539" w:bottom="1440" w:gutter="0" w:footer="0" w:header="0"/>
          <w:type w:val="continuous"/>
        </w:sectPr>
      </w:pPr>
    </w:p>
    <w:p>
      <w:pPr>
        <w:jc w:val="center"/>
        <w:ind w:right="73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2"/>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7" w:lineRule="exact"/>
        <w:rPr>
          <w:sz w:val="24"/>
          <w:szCs w:val="24"/>
          <w:color w:val="auto"/>
        </w:rPr>
      </w:pPr>
    </w:p>
    <w:p>
      <w:pPr>
        <w:sectPr>
          <w:pgSz w:w="11900" w:h="16838" w:orient="portrait"/>
          <w:cols w:equalWidth="0" w:num="3">
            <w:col w:w="4408" w:space="720"/>
            <w:col w:w="2700" w:space="720"/>
            <w:col w:w="2280"/>
          </w:cols>
          <w:pgMar w:left="532" w:top="371" w:right="53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300 Renaissance Center</w:t>
      </w:r>
    </w:p>
    <w:p>
      <w:pPr>
        <w:spacing w:after="0" w:line="2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Detroit, Michigan 48265-3000</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213360</wp:posOffset>
            </wp:positionV>
            <wp:extent cx="1440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ectPr>
          <w:pgSz w:w="11900" w:h="16838" w:orient="portrait"/>
          <w:cols w:equalWidth="0" w:num="1">
            <w:col w:w="10828"/>
          </w:cols>
          <w:pgMar w:left="532" w:top="371" w:right="539" w:bottom="1440" w:gutter="0" w:footer="0" w:header="0"/>
          <w:type w:val="continuous"/>
        </w:sectPr>
      </w:pPr>
    </w:p>
    <w:p>
      <w:pPr>
        <w:spacing w:after="0" w:line="200" w:lineRule="exact"/>
        <w:rPr>
          <w:sz w:val="24"/>
          <w:szCs w:val="24"/>
          <w:color w:val="auto"/>
        </w:rPr>
      </w:pPr>
    </w:p>
    <w:p>
      <w:pPr>
        <w:spacing w:after="0" w:line="344" w:lineRule="exact"/>
        <w:rPr>
          <w:sz w:val="24"/>
          <w:szCs w:val="24"/>
          <w:color w:val="auto"/>
        </w:rPr>
      </w:pPr>
    </w:p>
    <w:p>
      <w:pPr>
        <w:ind w:left="8" w:right="46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428" w:hanging="428"/>
        <w:spacing w:after="0"/>
        <w:tabs>
          <w:tab w:leader="none" w:pos="4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24" w:lineRule="exact"/>
        <w:rPr>
          <w:rFonts w:ascii="MS PGothic" w:cs="MS PGothic" w:eastAsia="MS PGothic" w:hAnsi="MS PGothic"/>
          <w:sz w:val="18"/>
          <w:szCs w:val="18"/>
          <w:color w:val="auto"/>
        </w:rPr>
      </w:pPr>
    </w:p>
    <w:p>
      <w:pPr>
        <w:ind w:left="428" w:hanging="428"/>
        <w:spacing w:after="0"/>
        <w:tabs>
          <w:tab w:leader="none" w:pos="4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4" w:lineRule="exact"/>
        <w:rPr>
          <w:rFonts w:ascii="MS PGothic" w:cs="MS PGothic" w:eastAsia="MS PGothic" w:hAnsi="MS PGothic"/>
          <w:sz w:val="18"/>
          <w:szCs w:val="18"/>
          <w:color w:val="auto"/>
        </w:rPr>
      </w:pPr>
    </w:p>
    <w:p>
      <w:pPr>
        <w:ind w:left="428" w:hanging="428"/>
        <w:spacing w:after="0"/>
        <w:tabs>
          <w:tab w:leader="none" w:pos="4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4" w:lineRule="exact"/>
        <w:rPr>
          <w:rFonts w:ascii="MS PGothic" w:cs="MS PGothic" w:eastAsia="MS PGothic" w:hAnsi="MS PGothic"/>
          <w:sz w:val="18"/>
          <w:szCs w:val="18"/>
          <w:color w:val="auto"/>
        </w:rPr>
      </w:pPr>
    </w:p>
    <w:p>
      <w:pPr>
        <w:ind w:left="428" w:hanging="428"/>
        <w:spacing w:after="0"/>
        <w:tabs>
          <w:tab w:leader="none" w:pos="4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8" w:type="dxa"/>
        <w:tblCellMar>
          <w:top w:w="0" w:type="dxa"/>
          <w:left w:w="0" w:type="dxa"/>
          <w:bottom w:w="0" w:type="dxa"/>
          <w:right w:w="0" w:type="dxa"/>
        </w:tblCellMar>
      </w:tblPr>
      <w:tr>
        <w:trPr>
          <w:trHeight w:val="161"/>
        </w:trPr>
        <w:tc>
          <w:tcPr>
            <w:tcW w:w="3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4"/>
        </w:trPr>
        <w:tc>
          <w:tcPr>
            <w:tcW w:w="3800" w:type="dxa"/>
            <w:vAlign w:val="bottom"/>
            <w:gridSpan w:val="2"/>
            <w:vMerge w:val="continue"/>
          </w:tcPr>
          <w:p>
            <w:pPr>
              <w:spacing w:after="0"/>
              <w:rPr>
                <w:sz w:val="15"/>
                <w:szCs w:val="15"/>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5"/>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$0.01 par value</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8" w:right="30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ind w:left="8648"/>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8" w:lineRule="exact"/>
        <w:rPr>
          <w:sz w:val="24"/>
          <w:szCs w:val="24"/>
          <w:color w:val="auto"/>
        </w:rPr>
      </w:pPr>
    </w:p>
    <w:p>
      <w:pPr>
        <w:ind w:left="8" w:right="30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6873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38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173990</wp:posOffset>
            </wp:positionV>
            <wp:extent cx="6873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3875" cy="8255"/>
                    </a:xfrm>
                    <a:prstGeom prst="rect">
                      <a:avLst/>
                    </a:prstGeom>
                    <a:noFill/>
                  </pic:spPr>
                </pic:pic>
              </a:graphicData>
            </a:graphic>
          </wp:anchor>
        </w:drawing>
      </w:r>
    </w:p>
    <w:p>
      <w:pPr>
        <w:sectPr>
          <w:pgSz w:w="11900" w:h="16838" w:orient="portrait"/>
          <w:cols w:equalWidth="0" w:num="1">
            <w:col w:w="10828"/>
          </w:cols>
          <w:pgMar w:left="532" w:top="371" w:right="539" w:bottom="1440" w:gutter="0" w:footer="0" w:header="0"/>
          <w:type w:val="continuous"/>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2.03 below.</w:t>
      </w:r>
    </w:p>
    <w:p>
      <w:pPr>
        <w:spacing w:after="0" w:line="36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1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March 31, 2023, General Motors Company (“GM”) entered into a Fourth Amended and Restated 5-Year Revolving Credit Agreement, a Fifth Amended and Restated 3-Year Revolving Credit Agreement and a Fifth Amended and Restated 364-Day Revolving Credit Agreement, each with JPMorgan Chase Bank, N.A., as administrative agent, Citibank, N.A., as syndication agent, the other lenders named therein, and General Motors Financial Company, Inc. (collectively, the “Facilities”). The Facilities are unsecured and consist of a five-year $10 billion facility (the “5-year Facility”), a three-year, $4.1 billion facility (the “3-Year Facility”) and a 364-day, $2.0 billion facility (the “364-Day Facility”). The 5-Year Facility matures on March 31, 2028, the 3-Year Facility matures on March 31, 2026, and the 364-Day Facility matures on March 30, 2024.</w:t>
      </w:r>
    </w:p>
    <w:p>
      <w:pPr>
        <w:spacing w:after="0" w:line="1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Facilities are available to GM as well as certain of its wholly owned subsidiaries. However, GM has allocated the 364-Day Facility for exclusive use by General Motors Financial Company, Inc. The 5-Year Facility and 3-Year Facility allow for borrowing in U.S. Dollars and other currencies. The 364-Day Facility allows for borrowing in U.S. Dollars only.</w:t>
      </w:r>
    </w:p>
    <w:p>
      <w:pPr>
        <w:spacing w:after="0" w:line="17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GM has guaranteed the obligations of subsidiary borrowers under the Facilities. Unlike GM’s prior revolving credit facilities, GM’s subsidiaries are no longer required to guarantee the obligations under the Facilities if GM fails to maintain an investment grade corporate rating from two credit rating agencies.</w:t>
      </w:r>
    </w:p>
    <w:p>
      <w:pPr>
        <w:spacing w:after="0" w:line="176"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color w:val="auto"/>
        </w:rPr>
        <w:t>Interest rates on obligations under the Facilities are based on prevailing annual interest rates for Term SOFR loans, Daily Simple SOFR loans or an alternative base rate, each subject to an applicable margin. This applicable margin will be based upon the credit rating assigned to the Facilities or to senior, unsecured long-term indebtedness of GM.</w:t>
      </w:r>
    </w:p>
    <w:p>
      <w:pPr>
        <w:spacing w:after="0" w:line="176"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The Facilities contain representations, warranties and covenants that are typical for these types of facilities. These covenants include restrictions on mergers or sales of assets, limitations on the incurrence of indebtedness and requirements for subsidiaries to guarantee the obligations, in each case subject to conditions, exceptions and limitations. The Facilities also require that GM maintain at least $4.0 billion in global liquidity and at least $2.0 billion in U.S. liquidity.</w:t>
      </w:r>
    </w:p>
    <w:p>
      <w:pPr>
        <w:spacing w:after="0" w:line="182"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7"/>
          <w:szCs w:val="17"/>
          <w:color w:val="auto"/>
        </w:rPr>
        <w:t>Some of the lenders under the Facilities,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42"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The foregoing description does not constitute a complete summary of the Facilities and is qualified by reference in its entirety to the full text of the Facilities filed herewith.</w:t>
      </w:r>
    </w:p>
    <w:p>
      <w:pPr>
        <w:sectPr>
          <w:pgSz w:w="11900" w:h="16838" w:orient="portrait"/>
          <w:cols w:equalWidth="0" w:num="1">
            <w:col w:w="10820"/>
          </w:cols>
          <w:pgMar w:left="540" w:top="292" w:right="539" w:bottom="1440" w:gutter="0" w:footer="0" w:header="0"/>
        </w:sectPr>
      </w:pPr>
    </w:p>
    <w:bookmarkStart w:id="2" w:name="page3"/>
    <w:bookmarkEnd w:id="2"/>
    <w:p>
      <w:pPr>
        <w:ind w:left="8"/>
        <w:spacing w:after="0"/>
        <w:tabs>
          <w:tab w:leader="none" w:pos="1168"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2" w:lineRule="exact"/>
        <w:rPr>
          <w:sz w:val="20"/>
          <w:szCs w:val="20"/>
          <w:color w:val="auto"/>
        </w:rPr>
      </w:pPr>
    </w:p>
    <w:p>
      <w:pPr>
        <w:ind w:left="8"/>
        <w:spacing w:after="0"/>
        <w:tabs>
          <w:tab w:leader="none" w:pos="5448"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09" w:lineRule="exact"/>
        <w:rPr>
          <w:sz w:val="20"/>
          <w:szCs w:val="20"/>
          <w:color w:val="auto"/>
        </w:rPr>
      </w:pPr>
    </w:p>
    <w:p>
      <w:pPr>
        <w:ind w:left="768" w:right="20" w:hanging="768"/>
        <w:spacing w:after="0" w:line="260" w:lineRule="auto"/>
        <w:tabs>
          <w:tab w:leader="none" w:pos="748"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Fourth Amended and Restated 5-Year Revolving Credit Agreement, dated as of March 31, 2023, among General Motors Company, General Motors Financial Company, Inc., the subsidiary borrowers from time to time parties thereto, the several lenders from time to time parties thereto, JPMorgan Chase Bank, N.A., as administrative agent, and Citibank, N.A., as syndication agent</w:t>
      </w:r>
    </w:p>
    <w:p>
      <w:pPr>
        <w:spacing w:after="0" w:line="70" w:lineRule="exact"/>
        <w:rPr>
          <w:sz w:val="20"/>
          <w:szCs w:val="20"/>
          <w:color w:val="auto"/>
        </w:rPr>
      </w:pPr>
    </w:p>
    <w:p>
      <w:pPr>
        <w:jc w:val="both"/>
        <w:ind w:left="768" w:right="140" w:hanging="768"/>
        <w:spacing w:after="0" w:line="260" w:lineRule="auto"/>
        <w:tabs>
          <w:tab w:leader="none" w:pos="748"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Fifth Amended and Restated 3-Year Revolving Credit Agreement, dated as of March 31, 2023, among General Motors Company, General Motors Financial Company, Inc., the subsidiary borrowers from time to time parties thereto, the several lenders from time to time parties thereto, JPMorgan Chase Bank, N.A., as administrative agent, and Citibank, N.A., as syndication agent</w:t>
      </w:r>
    </w:p>
    <w:p>
      <w:pPr>
        <w:spacing w:after="0" w:line="70" w:lineRule="exact"/>
        <w:rPr>
          <w:sz w:val="20"/>
          <w:szCs w:val="20"/>
          <w:color w:val="auto"/>
        </w:rPr>
      </w:pPr>
    </w:p>
    <w:p>
      <w:pPr>
        <w:ind w:left="768" w:hanging="768"/>
        <w:spacing w:after="0" w:line="260" w:lineRule="auto"/>
        <w:tabs>
          <w:tab w:leader="none" w:pos="748"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Fifth Amended and Restated 364-Day Revolving Credit Agreement, dated as of March 31, 2023, among General Motors Company, General Motors Financial Company, Inc., the subsidiary borrowers from time to time parties thereto, the several lenders from time to time parties thereto, JPMorgan Chase Bank, N.A., as administrative agent, and Citibank, N.A., as syndication agent</w:t>
      </w:r>
    </w:p>
    <w:p>
      <w:pPr>
        <w:spacing w:after="0" w:line="70" w:lineRule="exact"/>
        <w:rPr>
          <w:sz w:val="20"/>
          <w:szCs w:val="20"/>
          <w:color w:val="auto"/>
        </w:rPr>
      </w:pPr>
    </w:p>
    <w:p>
      <w:pPr>
        <w:ind w:left="8"/>
        <w:spacing w:after="0"/>
        <w:tabs>
          <w:tab w:leader="none" w:pos="748"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125" w:lineRule="exact"/>
        <w:rPr>
          <w:sz w:val="20"/>
          <w:szCs w:val="20"/>
          <w:color w:val="auto"/>
        </w:rPr>
      </w:pPr>
    </w:p>
    <w:p>
      <w:pPr>
        <w:ind w:left="428" w:right="260" w:hanging="428"/>
        <w:spacing w:after="0" w:line="274" w:lineRule="auto"/>
        <w:tabs>
          <w:tab w:leader="none" w:pos="4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0668"/>
          </w:cols>
          <w:pgMar w:left="532" w:top="292" w:right="6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SIGNATURE</w:t>
      </w:r>
    </w:p>
    <w:p>
      <w:pPr>
        <w:spacing w:after="0" w:line="220" w:lineRule="exact"/>
        <w:rPr>
          <w:sz w:val="20"/>
          <w:szCs w:val="20"/>
          <w:color w:val="auto"/>
        </w:rPr>
      </w:pPr>
    </w:p>
    <w:p>
      <w:pPr>
        <w:ind w:right="68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24"/>
        </w:trPr>
        <w:tc>
          <w:tcPr>
            <w:tcW w:w="348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 Kim</w:t>
            </w:r>
          </w:p>
        </w:tc>
      </w:tr>
      <w:tr>
        <w:trPr>
          <w:trHeight w:val="200"/>
        </w:trPr>
        <w:tc>
          <w:tcPr>
            <w:tcW w:w="3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Date: March 31, 2023</w:t>
            </w:r>
          </w:p>
        </w:tc>
        <w:tc>
          <w:tcPr>
            <w:tcW w:w="2580" w:type="dxa"/>
            <w:vAlign w:val="bottom"/>
          </w:tcPr>
          <w:p>
            <w:pPr>
              <w:ind w:left="1940"/>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John S. Kim</w:t>
            </w:r>
          </w:p>
        </w:tc>
      </w:tr>
      <w:tr>
        <w:trPr>
          <w:trHeight w:val="232"/>
        </w:trPr>
        <w:tc>
          <w:tcPr>
            <w:tcW w:w="34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0820"/>
          </w:cols>
          <w:pgMar w:left="540" w:top="292" w:right="539" w:bottom="1440" w:gutter="0" w:footer="0" w:header="0"/>
        </w:sectPr>
      </w:pPr>
    </w:p>
    <w:bookmarkStart w:id="4" w:name="page5"/>
    <w:bookmarkEnd w:id="4"/>
    <w:p>
      <w:pPr>
        <w:ind w:left="97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2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FOURTH AMENDED AND RESTATED 5-YEAR REVOLVING CREDIT AGREEMENT</w:t>
      </w:r>
    </w:p>
    <w:p>
      <w:pPr>
        <w:spacing w:after="0" w:line="1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Among</w:t>
      </w:r>
    </w:p>
    <w:p>
      <w:pPr>
        <w:spacing w:after="0" w:line="1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198" w:lineRule="exact"/>
        <w:rPr>
          <w:sz w:val="20"/>
          <w:szCs w:val="20"/>
          <w:color w:val="auto"/>
        </w:rPr>
      </w:pPr>
    </w:p>
    <w:tbl>
      <w:tblPr>
        <w:tblLayout w:type="fixed"/>
        <w:tblInd w:w="680" w:type="dxa"/>
        <w:tblCellMar>
          <w:top w:w="0" w:type="dxa"/>
          <w:left w:w="0" w:type="dxa"/>
          <w:bottom w:w="0" w:type="dxa"/>
          <w:right w:w="0" w:type="dxa"/>
        </w:tblCellMar>
      </w:tblPr>
      <w:tr>
        <w:trPr>
          <w:trHeight w:val="232"/>
        </w:trPr>
        <w:tc>
          <w:tcPr>
            <w:tcW w:w="1800" w:type="dxa"/>
            <w:vAlign w:val="bottom"/>
          </w:tcPr>
          <w:p>
            <w:pPr>
              <w:spacing w:after="0"/>
              <w:rPr>
                <w:sz w:val="20"/>
                <w:szCs w:val="20"/>
                <w:color w:val="auto"/>
              </w:rPr>
            </w:pPr>
          </w:p>
        </w:tc>
        <w:tc>
          <w:tcPr>
            <w:tcW w:w="41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Dated as of March 31, 2023</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0"/>
        </w:trPr>
        <w:tc>
          <w:tcPr>
            <w:tcW w:w="430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color w:val="auto"/>
                <w:w w:val="98"/>
              </w:rPr>
              <w:t>JPMORGAN CHASE BANK, N.A.,</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8"/>
              </w:rPr>
              <w:t>CITIBANK, N.A.,</w:t>
            </w:r>
          </w:p>
        </w:tc>
        <w:tc>
          <w:tcPr>
            <w:tcW w:w="1780" w:type="dxa"/>
            <w:vAlign w:val="bottom"/>
          </w:tcPr>
          <w:p>
            <w:pPr>
              <w:spacing w:after="0"/>
              <w:rPr>
                <w:sz w:val="24"/>
                <w:szCs w:val="24"/>
                <w:color w:val="auto"/>
              </w:rPr>
            </w:pPr>
          </w:p>
        </w:tc>
      </w:tr>
      <w:tr>
        <w:trPr>
          <w:trHeight w:val="212"/>
        </w:trPr>
        <w:tc>
          <w:tcPr>
            <w:tcW w:w="430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i w:val="1"/>
                <w:iCs w:val="1"/>
                <w:color w:val="auto"/>
                <w:w w:val="97"/>
              </w:rPr>
              <w:t>as Administrative Agent</w:t>
            </w: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8"/>
                <w:szCs w:val="18"/>
                <w:i w:val="1"/>
                <w:iCs w:val="1"/>
                <w:color w:val="auto"/>
                <w:w w:val="97"/>
              </w:rPr>
              <w:t xml:space="preserve"> Global Coordinator,</w:t>
            </w:r>
          </w:p>
        </w:tc>
        <w:tc>
          <w:tcPr>
            <w:tcW w:w="5780" w:type="dxa"/>
            <w:vAlign w:val="bottom"/>
            <w:gridSpan w:val="4"/>
          </w:tcPr>
          <w:p>
            <w:pPr>
              <w:jc w:val="center"/>
              <w:ind w:left="633"/>
              <w:spacing w:after="0"/>
              <w:rPr>
                <w:sz w:val="20"/>
                <w:szCs w:val="20"/>
                <w:color w:val="auto"/>
              </w:rPr>
            </w:pPr>
            <w:r>
              <w:rPr>
                <w:rFonts w:ascii="Times New Roman" w:cs="Times New Roman" w:eastAsia="Times New Roman" w:hAnsi="Times New Roman"/>
                <w:sz w:val="18"/>
                <w:szCs w:val="18"/>
                <w:i w:val="1"/>
                <w:iCs w:val="1"/>
                <w:color w:val="auto"/>
                <w:w w:val="97"/>
              </w:rPr>
              <w:t>as Syndication Agent, Global Coordinator, Joint</w:t>
            </w:r>
          </w:p>
        </w:tc>
      </w:tr>
      <w:tr>
        <w:trPr>
          <w:trHeight w:val="234"/>
        </w:trPr>
        <w:tc>
          <w:tcPr>
            <w:tcW w:w="4300" w:type="dxa"/>
            <w:vAlign w:val="bottom"/>
            <w:gridSpan w:val="2"/>
          </w:tcPr>
          <w:p>
            <w:pPr>
              <w:jc w:val="center"/>
              <w:ind w:right="54"/>
              <w:spacing w:after="0"/>
              <w:rPr>
                <w:sz w:val="20"/>
                <w:szCs w:val="20"/>
                <w:color w:val="auto"/>
              </w:rPr>
            </w:pPr>
            <w:r>
              <w:rPr>
                <w:rFonts w:ascii="Times New Roman" w:cs="Times New Roman" w:eastAsia="Times New Roman" w:hAnsi="Times New Roman"/>
                <w:sz w:val="18"/>
                <w:szCs w:val="18"/>
                <w:i w:val="1"/>
                <w:iCs w:val="1"/>
                <w:color w:val="auto"/>
                <w:w w:val="97"/>
              </w:rPr>
              <w:t>Joint Lead Arranger and Joint Bookrunner</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2"/>
          </w:tcPr>
          <w:p>
            <w:pPr>
              <w:jc w:val="center"/>
              <w:ind w:right="953"/>
              <w:spacing w:after="0"/>
              <w:rPr>
                <w:sz w:val="20"/>
                <w:szCs w:val="20"/>
                <w:color w:val="auto"/>
              </w:rPr>
            </w:pPr>
            <w:r>
              <w:rPr>
                <w:rFonts w:ascii="Times New Roman" w:cs="Times New Roman" w:eastAsia="Times New Roman" w:hAnsi="Times New Roman"/>
                <w:sz w:val="18"/>
                <w:szCs w:val="18"/>
                <w:i w:val="1"/>
                <w:iCs w:val="1"/>
                <w:color w:val="auto"/>
                <w:w w:val="97"/>
              </w:rPr>
              <w:t>Lead Arranger and Joint Bookrunner</w:t>
            </w:r>
          </w:p>
        </w:tc>
      </w:tr>
      <w:tr>
        <w:trPr>
          <w:trHeight w:val="445"/>
        </w:trPr>
        <w:tc>
          <w:tcPr>
            <w:tcW w:w="18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INDUSTRIAL AND</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LLOYDS BANK</w:t>
            </w:r>
          </w:p>
        </w:tc>
        <w:tc>
          <w:tcPr>
            <w:tcW w:w="120" w:type="dxa"/>
            <w:vAlign w:val="bottom"/>
          </w:tcPr>
          <w:p>
            <w:pPr>
              <w:spacing w:after="0"/>
              <w:rPr>
                <w:sz w:val="24"/>
                <w:szCs w:val="24"/>
                <w:color w:val="auto"/>
              </w:rPr>
            </w:pPr>
          </w:p>
        </w:tc>
        <w:tc>
          <w:tcPr>
            <w:tcW w:w="226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w w:val="97"/>
              </w:rPr>
              <w:t>THE TORONTO</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BANCO BRADESCO</w:t>
            </w:r>
          </w:p>
        </w:tc>
      </w:tr>
      <w:tr>
        <w:trPr>
          <w:trHeight w:val="212"/>
        </w:trPr>
        <w:tc>
          <w:tcPr>
            <w:tcW w:w="18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COMMERCIAL</w:t>
            </w:r>
          </w:p>
        </w:tc>
        <w:tc>
          <w:tcPr>
            <w:tcW w:w="2500" w:type="dxa"/>
            <w:vAlign w:val="bottom"/>
          </w:tcPr>
          <w:p>
            <w:pPr>
              <w:jc w:val="center"/>
              <w:ind w:left="1494"/>
              <w:spacing w:after="0" w:line="212" w:lineRule="exact"/>
              <w:rPr>
                <w:sz w:val="20"/>
                <w:szCs w:val="20"/>
                <w:color w:val="auto"/>
              </w:rPr>
            </w:pPr>
            <w:r>
              <w:rPr>
                <w:rFonts w:ascii="Times New Roman" w:cs="Times New Roman" w:eastAsia="Times New Roman" w:hAnsi="Times New Roman"/>
                <w:sz w:val="24"/>
                <w:szCs w:val="24"/>
                <w:color w:val="auto"/>
                <w:vertAlign w:val="subscript"/>
              </w:rPr>
              <w:t>PLC</w:t>
            </w:r>
            <w:r>
              <w:rPr>
                <w:rFonts w:ascii="Times New Roman" w:cs="Times New Roman" w:eastAsia="Times New Roman" w:hAnsi="Times New Roman"/>
                <w:sz w:val="11"/>
                <w:szCs w:val="11"/>
                <w:color w:val="auto"/>
              </w:rPr>
              <w:t>1,2</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w w:val="98"/>
              </w:rPr>
              <w:t>DOMINION BANK,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w:t>
            </w:r>
          </w:p>
        </w:tc>
      </w:tr>
      <w:tr>
        <w:trPr>
          <w:trHeight w:val="212"/>
        </w:trPr>
        <w:tc>
          <w:tcPr>
            <w:tcW w:w="180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BANK OF CHINA</w:t>
            </w:r>
          </w:p>
        </w:tc>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right="672"/>
              <w:spacing w:after="0"/>
              <w:rPr>
                <w:sz w:val="20"/>
                <w:szCs w:val="20"/>
                <w:color w:val="auto"/>
              </w:rPr>
            </w:pPr>
            <w:r>
              <w:rPr>
                <w:rFonts w:ascii="Times New Roman" w:cs="Times New Roman" w:eastAsia="Times New Roman" w:hAnsi="Times New Roman"/>
                <w:sz w:val="18"/>
                <w:szCs w:val="18"/>
                <w:color w:val="auto"/>
                <w:w w:val="97"/>
              </w:rPr>
              <w:t>NEW YORK</w:t>
            </w:r>
          </w:p>
        </w:tc>
        <w:tc>
          <w:tcPr>
            <w:tcW w:w="1780" w:type="dxa"/>
            <w:vAlign w:val="bottom"/>
          </w:tcPr>
          <w:p>
            <w:pPr>
              <w:spacing w:after="0"/>
              <w:rPr>
                <w:sz w:val="18"/>
                <w:szCs w:val="18"/>
                <w:color w:val="auto"/>
              </w:rPr>
            </w:pPr>
          </w:p>
        </w:tc>
      </w:tr>
      <w:tr>
        <w:trPr>
          <w:trHeight w:val="212"/>
        </w:trPr>
        <w:tc>
          <w:tcPr>
            <w:tcW w:w="180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LIMITED, NEW</w:t>
            </w:r>
          </w:p>
        </w:tc>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right="672"/>
              <w:spacing w:after="0" w:line="212" w:lineRule="exact"/>
              <w:rPr>
                <w:sz w:val="20"/>
                <w:szCs w:val="20"/>
                <w:color w:val="auto"/>
              </w:rPr>
            </w:pPr>
            <w:r>
              <w:rPr>
                <w:rFonts w:ascii="Times New Roman" w:cs="Times New Roman" w:eastAsia="Times New Roman" w:hAnsi="Times New Roman"/>
                <w:sz w:val="17"/>
                <w:szCs w:val="17"/>
                <w:color w:val="auto"/>
                <w:w w:val="99"/>
              </w:rPr>
              <w:t>BRANCH</w:t>
            </w:r>
            <w:r>
              <w:rPr>
                <w:rFonts w:ascii="Times New Roman" w:cs="Times New Roman" w:eastAsia="Times New Roman" w:hAnsi="Times New Roman"/>
                <w:sz w:val="24"/>
                <w:szCs w:val="24"/>
                <w:color w:val="auto"/>
                <w:w w:val="99"/>
                <w:vertAlign w:val="superscript"/>
              </w:rPr>
              <w:t>1,2</w:t>
            </w:r>
          </w:p>
        </w:tc>
        <w:tc>
          <w:tcPr>
            <w:tcW w:w="1780" w:type="dxa"/>
            <w:vAlign w:val="bottom"/>
          </w:tcPr>
          <w:p>
            <w:pPr>
              <w:spacing w:after="0"/>
              <w:rPr>
                <w:sz w:val="18"/>
                <w:szCs w:val="18"/>
                <w:color w:val="auto"/>
              </w:rPr>
            </w:pPr>
          </w:p>
        </w:tc>
      </w:tr>
      <w:tr>
        <w:trPr>
          <w:trHeight w:val="330"/>
        </w:trPr>
        <w:tc>
          <w:tcPr>
            <w:tcW w:w="18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4"/>
              </w:rPr>
              <w:t>YORK BRANCH</w:t>
            </w:r>
            <w:r>
              <w:rPr>
                <w:rFonts w:ascii="Times New Roman" w:cs="Times New Roman" w:eastAsia="Times New Roman" w:hAnsi="Times New Roman"/>
                <w:sz w:val="26"/>
                <w:szCs w:val="26"/>
                <w:color w:val="auto"/>
                <w:w w:val="94"/>
                <w:vertAlign w:val="superscript"/>
              </w:rPr>
              <w:t>1,2</w:t>
            </w:r>
          </w:p>
        </w:tc>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2"/>
        </w:trPr>
        <w:tc>
          <w:tcPr>
            <w:tcW w:w="1800" w:type="dxa"/>
            <w:vAlign w:val="bottom"/>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w w:val="99"/>
              </w:rPr>
              <w:t>as Asian Pacific</w:t>
            </w:r>
          </w:p>
        </w:tc>
        <w:tc>
          <w:tcPr>
            <w:tcW w:w="2500" w:type="dxa"/>
            <w:vAlign w:val="bottom"/>
          </w:tcPr>
          <w:p>
            <w:pPr>
              <w:jc w:val="center"/>
              <w:ind w:left="1474"/>
              <w:spacing w:after="0"/>
              <w:rPr>
                <w:sz w:val="20"/>
                <w:szCs w:val="20"/>
                <w:color w:val="auto"/>
              </w:rPr>
            </w:pPr>
            <w:r>
              <w:rPr>
                <w:rFonts w:ascii="Times New Roman" w:cs="Times New Roman" w:eastAsia="Times New Roman" w:hAnsi="Times New Roman"/>
                <w:sz w:val="18"/>
                <w:szCs w:val="18"/>
                <w:i w:val="1"/>
                <w:iCs w:val="1"/>
                <w:color w:val="auto"/>
                <w:w w:val="98"/>
              </w:rPr>
              <w:t>as European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right="672"/>
              <w:spacing w:after="0"/>
              <w:rPr>
                <w:sz w:val="20"/>
                <w:szCs w:val="20"/>
                <w:color w:val="auto"/>
              </w:rPr>
            </w:pPr>
            <w:r>
              <w:rPr>
                <w:rFonts w:ascii="Times New Roman" w:cs="Times New Roman" w:eastAsia="Times New Roman" w:hAnsi="Times New Roman"/>
                <w:sz w:val="18"/>
                <w:szCs w:val="18"/>
                <w:i w:val="1"/>
                <w:iCs w:val="1"/>
                <w:color w:val="auto"/>
                <w:w w:val="97"/>
              </w:rPr>
              <w:t>as North American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Latin American</w:t>
            </w:r>
          </w:p>
        </w:tc>
      </w:tr>
      <w:tr>
        <w:trPr>
          <w:trHeight w:val="247"/>
        </w:trPr>
        <w:tc>
          <w:tcPr>
            <w:tcW w:w="1800" w:type="dxa"/>
            <w:vAlign w:val="bottom"/>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w w:val="97"/>
              </w:rPr>
              <w:t>Regional Coordinator</w:t>
            </w: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Regional Coordinator</w:t>
            </w:r>
          </w:p>
        </w:tc>
        <w:tc>
          <w:tcPr>
            <w:tcW w:w="2380" w:type="dxa"/>
            <w:vAlign w:val="bottom"/>
            <w:gridSpan w:val="2"/>
          </w:tcPr>
          <w:p>
            <w:pPr>
              <w:jc w:val="center"/>
              <w:ind w:right="572"/>
              <w:spacing w:after="0"/>
              <w:rPr>
                <w:sz w:val="20"/>
                <w:szCs w:val="20"/>
                <w:color w:val="auto"/>
              </w:rPr>
            </w:pPr>
            <w:r>
              <w:rPr>
                <w:rFonts w:ascii="Times New Roman" w:cs="Times New Roman" w:eastAsia="Times New Roman" w:hAnsi="Times New Roman"/>
                <w:sz w:val="18"/>
                <w:szCs w:val="18"/>
                <w:i w:val="1"/>
                <w:iCs w:val="1"/>
                <w:color w:val="auto"/>
                <w:w w:val="97"/>
              </w:rPr>
              <w:t>Regional Coordinator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Regional Coordinators</w:t>
            </w:r>
          </w:p>
        </w:tc>
      </w:tr>
      <w:tr>
        <w:trPr>
          <w:trHeight w:val="432"/>
        </w:trPr>
        <w:tc>
          <w:tcPr>
            <w:tcW w:w="180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5"/>
              </w:rPr>
              <w:t>BARCLAYS</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BANCO BILBAO</w:t>
            </w:r>
          </w:p>
        </w:tc>
        <w:tc>
          <w:tcPr>
            <w:tcW w:w="1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3"/>
              </w:rPr>
              <w:t>BNP PARIBAS</w:t>
            </w:r>
            <w:r>
              <w:rPr>
                <w:rFonts w:ascii="Times New Roman" w:cs="Times New Roman" w:eastAsia="Times New Roman" w:hAnsi="Times New Roman"/>
                <w:sz w:val="26"/>
                <w:szCs w:val="26"/>
                <w:color w:val="auto"/>
                <w:w w:val="93"/>
                <w:vertAlign w:val="superscript"/>
              </w:rPr>
              <w:t>1,2</w:t>
            </w:r>
          </w:p>
        </w:tc>
        <w:tc>
          <w:tcPr>
            <w:tcW w:w="120" w:type="dxa"/>
            <w:vAlign w:val="bottom"/>
          </w:tcPr>
          <w:p>
            <w:pPr>
              <w:spacing w:after="0"/>
              <w:rPr>
                <w:sz w:val="24"/>
                <w:szCs w:val="24"/>
                <w:color w:val="auto"/>
              </w:rPr>
            </w:pPr>
          </w:p>
        </w:tc>
        <w:tc>
          <w:tcPr>
            <w:tcW w:w="226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7"/>
              </w:rPr>
              <w:t>CREDIT AGRICOLE</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7"/>
              </w:rPr>
              <w:t>DEUTSCHE BANK</w:t>
            </w:r>
          </w:p>
        </w:tc>
      </w:tr>
      <w:tr>
        <w:trPr>
          <w:trHeight w:val="212"/>
        </w:trPr>
        <w:tc>
          <w:tcPr>
            <w:tcW w:w="1800" w:type="dxa"/>
            <w:vAlign w:val="bottom"/>
          </w:tcPr>
          <w:p>
            <w:pPr>
              <w:jc w:val="center"/>
              <w:ind w:right="512"/>
              <w:spacing w:after="0" w:line="212" w:lineRule="exact"/>
              <w:rPr>
                <w:sz w:val="20"/>
                <w:szCs w:val="20"/>
                <w:color w:val="auto"/>
              </w:rPr>
            </w:pPr>
            <w:r>
              <w:rPr>
                <w:rFonts w:ascii="Times New Roman" w:cs="Times New Roman" w:eastAsia="Times New Roman" w:hAnsi="Times New Roman"/>
                <w:sz w:val="17"/>
                <w:szCs w:val="17"/>
                <w:color w:val="auto"/>
              </w:rPr>
              <w:t>BANK PLC</w:t>
            </w:r>
            <w:r>
              <w:rPr>
                <w:rFonts w:ascii="Times New Roman" w:cs="Times New Roman" w:eastAsia="Times New Roman" w:hAnsi="Times New Roman"/>
                <w:sz w:val="24"/>
                <w:szCs w:val="24"/>
                <w:color w:val="auto"/>
                <w:vertAlign w:val="superscript"/>
              </w:rPr>
              <w:t>1,2</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VIZCAYA ARGENTARIA,</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6"/>
              </w:rPr>
              <w:t>CORPORATE AND</w:t>
            </w:r>
          </w:p>
        </w:tc>
        <w:tc>
          <w:tcPr>
            <w:tcW w:w="1780" w:type="dxa"/>
            <w:vAlign w:val="bottom"/>
          </w:tcPr>
          <w:p>
            <w:pPr>
              <w:jc w:val="center"/>
              <w:ind w:left="93"/>
              <w:spacing w:after="0" w:line="212" w:lineRule="exact"/>
              <w:rPr>
                <w:sz w:val="20"/>
                <w:szCs w:val="20"/>
                <w:color w:val="auto"/>
              </w:rPr>
            </w:pPr>
            <w:r>
              <w:rPr>
                <w:rFonts w:ascii="Times New Roman" w:cs="Times New Roman" w:eastAsia="Times New Roman" w:hAnsi="Times New Roman"/>
                <w:sz w:val="17"/>
                <w:szCs w:val="17"/>
                <w:color w:val="auto"/>
              </w:rPr>
              <w:t>SECURITIES INC.</w:t>
            </w:r>
            <w:r>
              <w:rPr>
                <w:rFonts w:ascii="Times New Roman" w:cs="Times New Roman" w:eastAsia="Times New Roman" w:hAnsi="Times New Roman"/>
                <w:sz w:val="24"/>
                <w:szCs w:val="24"/>
                <w:color w:val="auto"/>
                <w:vertAlign w:val="superscript"/>
              </w:rPr>
              <w:t>1,2</w:t>
            </w:r>
          </w:p>
        </w:tc>
      </w:tr>
      <w:tr>
        <w:trPr>
          <w:trHeight w:val="212"/>
        </w:trPr>
        <w:tc>
          <w:tcPr>
            <w:tcW w:w="18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 NEW YORK</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7"/>
              </w:rPr>
              <w:t>INVESTMENT</w:t>
            </w:r>
          </w:p>
        </w:tc>
        <w:tc>
          <w:tcPr>
            <w:tcW w:w="1780" w:type="dxa"/>
            <w:vAlign w:val="bottom"/>
          </w:tcPr>
          <w:p>
            <w:pPr>
              <w:spacing w:after="0"/>
              <w:rPr>
                <w:sz w:val="18"/>
                <w:szCs w:val="18"/>
                <w:color w:val="auto"/>
              </w:rPr>
            </w:pPr>
          </w:p>
        </w:tc>
      </w:tr>
      <w:tr>
        <w:trPr>
          <w:trHeight w:val="355"/>
        </w:trPr>
        <w:tc>
          <w:tcPr>
            <w:tcW w:w="18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BRANCH</w:t>
            </w:r>
            <w:r>
              <w:rPr>
                <w:rFonts w:ascii="Times New Roman" w:cs="Times New Roman" w:eastAsia="Times New Roman" w:hAnsi="Times New Roman"/>
                <w:sz w:val="26"/>
                <w:szCs w:val="26"/>
                <w:color w:val="auto"/>
                <w:w w:val="93"/>
                <w:vertAlign w:val="superscript"/>
              </w:rPr>
              <w:t>1,2</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3"/>
              </w:rPr>
              <w:t xml:space="preserve">BANK </w:t>
            </w:r>
            <w:r>
              <w:rPr>
                <w:rFonts w:ascii="Times New Roman" w:cs="Times New Roman" w:eastAsia="Times New Roman" w:hAnsi="Times New Roman"/>
                <w:sz w:val="26"/>
                <w:szCs w:val="26"/>
                <w:color w:val="auto"/>
                <w:w w:val="93"/>
                <w:vertAlign w:val="superscript"/>
              </w:rPr>
              <w:t>1,2</w:t>
            </w:r>
          </w:p>
        </w:tc>
        <w:tc>
          <w:tcPr>
            <w:tcW w:w="1780" w:type="dxa"/>
            <w:vAlign w:val="bottom"/>
          </w:tcPr>
          <w:p>
            <w:pPr>
              <w:spacing w:after="0"/>
              <w:rPr>
                <w:sz w:val="24"/>
                <w:szCs w:val="24"/>
                <w:color w:val="auto"/>
              </w:rPr>
            </w:pPr>
          </w:p>
        </w:tc>
      </w:tr>
      <w:tr>
        <w:trPr>
          <w:trHeight w:val="295"/>
        </w:trPr>
        <w:tc>
          <w:tcPr>
            <w:tcW w:w="180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7"/>
              </w:rPr>
              <w:t>GOLDMAN</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INTESA</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BANK OF AMERICA,</w:t>
            </w:r>
          </w:p>
        </w:tc>
        <w:tc>
          <w:tcPr>
            <w:tcW w:w="22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8"/>
              </w:rPr>
              <w:t>MIZUHO BANK,</w:t>
            </w:r>
          </w:p>
        </w:tc>
        <w:tc>
          <w:tcPr>
            <w:tcW w:w="17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7"/>
              </w:rPr>
              <w:t>MORGAN STANLEY</w:t>
            </w:r>
          </w:p>
        </w:tc>
      </w:tr>
      <w:tr>
        <w:trPr>
          <w:trHeight w:val="210"/>
        </w:trPr>
        <w:tc>
          <w:tcPr>
            <w:tcW w:w="180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SACHS BANK</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SANPAOLO S.P.A.</w:t>
            </w:r>
          </w:p>
        </w:tc>
        <w:tc>
          <w:tcPr>
            <w:tcW w:w="1620" w:type="dxa"/>
            <w:vAlign w:val="bottom"/>
          </w:tcPr>
          <w:p>
            <w:pPr>
              <w:jc w:val="center"/>
              <w:ind w:left="93"/>
              <w:spacing w:after="0" w:line="210" w:lineRule="exact"/>
              <w:rPr>
                <w:sz w:val="20"/>
                <w:szCs w:val="20"/>
                <w:color w:val="auto"/>
              </w:rPr>
            </w:pPr>
            <w:r>
              <w:rPr>
                <w:rFonts w:ascii="Times New Roman" w:cs="Times New Roman" w:eastAsia="Times New Roman" w:hAnsi="Times New Roman"/>
                <w:sz w:val="17"/>
                <w:szCs w:val="17"/>
                <w:color w:val="auto"/>
                <w:w w:val="97"/>
              </w:rPr>
              <w:t>N.A.</w:t>
            </w:r>
            <w:r>
              <w:rPr>
                <w:rFonts w:ascii="Times New Roman" w:cs="Times New Roman" w:eastAsia="Times New Roman" w:hAnsi="Times New Roman"/>
                <w:sz w:val="24"/>
                <w:szCs w:val="24"/>
                <w:color w:val="auto"/>
                <w:w w:val="97"/>
                <w:vertAlign w:val="superscript"/>
              </w:rPr>
              <w:t>1</w:t>
            </w:r>
          </w:p>
        </w:tc>
        <w:tc>
          <w:tcPr>
            <w:tcW w:w="120" w:type="dxa"/>
            <w:vAlign w:val="bottom"/>
          </w:tcPr>
          <w:p>
            <w:pPr>
              <w:spacing w:after="0"/>
              <w:rPr>
                <w:sz w:val="18"/>
                <w:szCs w:val="18"/>
                <w:color w:val="auto"/>
              </w:rPr>
            </w:pPr>
          </w:p>
        </w:tc>
        <w:tc>
          <w:tcPr>
            <w:tcW w:w="2260" w:type="dxa"/>
            <w:vAlign w:val="bottom"/>
          </w:tcPr>
          <w:p>
            <w:pPr>
              <w:jc w:val="center"/>
              <w:ind w:left="472"/>
              <w:spacing w:after="0" w:line="210" w:lineRule="exact"/>
              <w:rPr>
                <w:sz w:val="20"/>
                <w:szCs w:val="20"/>
                <w:color w:val="auto"/>
              </w:rPr>
            </w:pPr>
            <w:r>
              <w:rPr>
                <w:rFonts w:ascii="Times New Roman" w:cs="Times New Roman" w:eastAsia="Times New Roman" w:hAnsi="Times New Roman"/>
                <w:sz w:val="17"/>
                <w:szCs w:val="17"/>
                <w:color w:val="auto"/>
                <w:w w:val="94"/>
              </w:rPr>
              <w:t>LTD.</w:t>
            </w:r>
            <w:r>
              <w:rPr>
                <w:rFonts w:ascii="Times New Roman" w:cs="Times New Roman" w:eastAsia="Times New Roman" w:hAnsi="Times New Roman"/>
                <w:sz w:val="24"/>
                <w:szCs w:val="24"/>
                <w:color w:val="auto"/>
                <w:w w:val="94"/>
                <w:vertAlign w:val="superscript"/>
              </w:rPr>
              <w:t>1,2</w:t>
            </w:r>
          </w:p>
        </w:tc>
        <w:tc>
          <w:tcPr>
            <w:tcW w:w="178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8"/>
              </w:rPr>
              <w:t>SENIOR FUNDING,</w:t>
            </w:r>
          </w:p>
        </w:tc>
      </w:tr>
      <w:tr>
        <w:trPr>
          <w:trHeight w:val="214"/>
        </w:trPr>
        <w:tc>
          <w:tcPr>
            <w:tcW w:w="1800" w:type="dxa"/>
            <w:vAlign w:val="bottom"/>
          </w:tcPr>
          <w:p>
            <w:pPr>
              <w:jc w:val="center"/>
              <w:ind w:right="512"/>
              <w:spacing w:after="0" w:line="214" w:lineRule="exact"/>
              <w:rPr>
                <w:sz w:val="20"/>
                <w:szCs w:val="20"/>
                <w:color w:val="auto"/>
              </w:rPr>
            </w:pPr>
            <w:r>
              <w:rPr>
                <w:rFonts w:ascii="Times New Roman" w:cs="Times New Roman" w:eastAsia="Times New Roman" w:hAnsi="Times New Roman"/>
                <w:sz w:val="17"/>
                <w:szCs w:val="17"/>
                <w:color w:val="auto"/>
                <w:w w:val="96"/>
              </w:rPr>
              <w:t>USA</w:t>
            </w:r>
            <w:r>
              <w:rPr>
                <w:rFonts w:ascii="Times New Roman" w:cs="Times New Roman" w:eastAsia="Times New Roman" w:hAnsi="Times New Roman"/>
                <w:sz w:val="24"/>
                <w:szCs w:val="24"/>
                <w:color w:val="auto"/>
                <w:w w:val="96"/>
                <w:vertAlign w:val="superscript"/>
              </w:rPr>
              <w:t>1,2</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000" w:type="dxa"/>
            <w:vAlign w:val="bottom"/>
            <w:gridSpan w:val="3"/>
          </w:tcPr>
          <w:p>
            <w:pPr>
              <w:jc w:val="center"/>
              <w:ind w:right="2112"/>
              <w:spacing w:after="0"/>
              <w:rPr>
                <w:sz w:val="20"/>
                <w:szCs w:val="20"/>
                <w:color w:val="auto"/>
              </w:rPr>
            </w:pPr>
            <w:r>
              <w:rPr>
                <w:rFonts w:ascii="Times New Roman" w:cs="Times New Roman" w:eastAsia="Times New Roman" w:hAnsi="Times New Roman"/>
                <w:sz w:val="18"/>
                <w:szCs w:val="18"/>
                <w:i w:val="1"/>
                <w:iCs w:val="1"/>
                <w:color w:val="auto"/>
                <w:w w:val="98"/>
              </w:rPr>
              <w:t>as Co-Syndication Agent</w:t>
            </w:r>
          </w:p>
        </w:tc>
        <w:tc>
          <w:tcPr>
            <w:tcW w:w="1780" w:type="dxa"/>
            <w:vAlign w:val="bottom"/>
          </w:tcPr>
          <w:p>
            <w:pPr>
              <w:jc w:val="center"/>
              <w:ind w:left="93"/>
              <w:spacing w:after="0" w:line="214" w:lineRule="exact"/>
              <w:rPr>
                <w:sz w:val="20"/>
                <w:szCs w:val="20"/>
                <w:color w:val="auto"/>
              </w:rPr>
            </w:pPr>
            <w:r>
              <w:rPr>
                <w:rFonts w:ascii="Times New Roman" w:cs="Times New Roman" w:eastAsia="Times New Roman" w:hAnsi="Times New Roman"/>
                <w:sz w:val="17"/>
                <w:szCs w:val="17"/>
                <w:color w:val="auto"/>
                <w:w w:val="97"/>
              </w:rPr>
              <w:t>INC.</w:t>
            </w:r>
            <w:r>
              <w:rPr>
                <w:rFonts w:ascii="Times New Roman" w:cs="Times New Roman" w:eastAsia="Times New Roman" w:hAnsi="Times New Roman"/>
                <w:sz w:val="24"/>
                <w:szCs w:val="24"/>
                <w:color w:val="auto"/>
                <w:w w:val="97"/>
                <w:vertAlign w:val="superscript"/>
              </w:rPr>
              <w:t>1,2</w:t>
            </w:r>
          </w:p>
        </w:tc>
      </w:tr>
      <w:tr>
        <w:trPr>
          <w:trHeight w:val="355"/>
        </w:trPr>
        <w:tc>
          <w:tcPr>
            <w:tcW w:w="18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BRANCH</w:t>
            </w:r>
            <w:r>
              <w:rPr>
                <w:rFonts w:ascii="Times New Roman" w:cs="Times New Roman" w:eastAsia="Times New Roman" w:hAnsi="Times New Roman"/>
                <w:sz w:val="26"/>
                <w:szCs w:val="26"/>
                <w:color w:val="auto"/>
                <w:w w:val="93"/>
                <w:vertAlign w:val="superscript"/>
              </w:rPr>
              <w:t>1,2</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820"/>
          </w:cols>
          <w:pgMar w:left="540" w:top="119" w:right="5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tbl>
      <w:tblPr>
        <w:tblLayout w:type="fixed"/>
        <w:tblInd w:w="1040" w:type="dxa"/>
        <w:tblCellMar>
          <w:top w:w="0" w:type="dxa"/>
          <w:left w:w="0" w:type="dxa"/>
          <w:bottom w:w="0" w:type="dxa"/>
          <w:right w:w="0" w:type="dxa"/>
        </w:tblCellMar>
      </w:tblPr>
      <w:tr>
        <w:trPr>
          <w:trHeight w:val="212"/>
        </w:trPr>
        <w:tc>
          <w:tcPr>
            <w:tcW w:w="1840" w:type="dxa"/>
            <w:vAlign w:val="bottom"/>
          </w:tcPr>
          <w:p>
            <w:pPr>
              <w:jc w:val="center"/>
              <w:ind w:right="833"/>
              <w:spacing w:after="0"/>
              <w:rPr>
                <w:sz w:val="20"/>
                <w:szCs w:val="20"/>
                <w:color w:val="auto"/>
              </w:rPr>
            </w:pPr>
            <w:r>
              <w:rPr>
                <w:rFonts w:ascii="Times New Roman" w:cs="Times New Roman" w:eastAsia="Times New Roman" w:hAnsi="Times New Roman"/>
                <w:sz w:val="18"/>
                <w:szCs w:val="18"/>
                <w:color w:val="auto"/>
                <w:w w:val="99"/>
              </w:rPr>
              <w:t>RBC</w:t>
            </w:r>
          </w:p>
        </w:tc>
        <w:tc>
          <w:tcPr>
            <w:tcW w:w="27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SANTANDER</w:t>
            </w:r>
          </w:p>
        </w:tc>
        <w:tc>
          <w:tcPr>
            <w:tcW w:w="254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7"/>
              </w:rPr>
              <w:t>SUMITOMO</w:t>
            </w:r>
          </w:p>
        </w:tc>
        <w:tc>
          <w:tcPr>
            <w:tcW w:w="168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9"/>
              </w:rPr>
              <w:t>SOCIÉTÉ</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BANK</w:t>
            </w:r>
          </w:p>
        </w:tc>
      </w:tr>
      <w:tr>
        <w:trPr>
          <w:trHeight w:val="212"/>
        </w:trPr>
        <w:tc>
          <w:tcPr>
            <w:tcW w:w="1840" w:type="dxa"/>
            <w:vAlign w:val="bottom"/>
          </w:tcPr>
          <w:p>
            <w:pPr>
              <w:jc w:val="center"/>
              <w:ind w:right="813"/>
              <w:spacing w:after="0"/>
              <w:rPr>
                <w:sz w:val="20"/>
                <w:szCs w:val="20"/>
                <w:color w:val="auto"/>
              </w:rPr>
            </w:pPr>
            <w:r>
              <w:rPr>
                <w:rFonts w:ascii="Times New Roman" w:cs="Times New Roman" w:eastAsia="Times New Roman" w:hAnsi="Times New Roman"/>
                <w:sz w:val="18"/>
                <w:szCs w:val="18"/>
                <w:color w:val="auto"/>
                <w:w w:val="97"/>
              </w:rPr>
              <w:t>CAPITAL</w:t>
            </w:r>
          </w:p>
        </w:tc>
        <w:tc>
          <w:tcPr>
            <w:tcW w:w="2700" w:type="dxa"/>
            <w:vAlign w:val="bottom"/>
          </w:tcPr>
          <w:p>
            <w:pPr>
              <w:ind w:left="940"/>
              <w:spacing w:after="0" w:line="212" w:lineRule="exact"/>
              <w:rPr>
                <w:sz w:val="20"/>
                <w:szCs w:val="20"/>
                <w:color w:val="auto"/>
              </w:rPr>
            </w:pPr>
            <w:r>
              <w:rPr>
                <w:rFonts w:ascii="Times New Roman" w:cs="Times New Roman" w:eastAsia="Times New Roman" w:hAnsi="Times New Roman"/>
                <w:sz w:val="17"/>
                <w:szCs w:val="17"/>
                <w:color w:val="auto"/>
              </w:rPr>
              <w:t>BANK, N.A.</w:t>
            </w:r>
            <w:r>
              <w:rPr>
                <w:rFonts w:ascii="Times New Roman" w:cs="Times New Roman" w:eastAsia="Times New Roman" w:hAnsi="Times New Roman"/>
                <w:sz w:val="24"/>
                <w:szCs w:val="24"/>
                <w:color w:val="auto"/>
                <w:vertAlign w:val="superscript"/>
              </w:rPr>
              <w:t>1,2</w:t>
            </w:r>
          </w:p>
        </w:tc>
        <w:tc>
          <w:tcPr>
            <w:tcW w:w="25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MITSUI</w:t>
            </w:r>
          </w:p>
        </w:tc>
        <w:tc>
          <w:tcPr>
            <w:tcW w:w="1680" w:type="dxa"/>
            <w:vAlign w:val="bottom"/>
          </w:tcPr>
          <w:p>
            <w:pPr>
              <w:jc w:val="center"/>
              <w:ind w:left="295"/>
              <w:spacing w:after="0" w:line="212" w:lineRule="exact"/>
              <w:rPr>
                <w:sz w:val="20"/>
                <w:szCs w:val="20"/>
                <w:color w:val="auto"/>
              </w:rPr>
            </w:pPr>
            <w:r>
              <w:rPr>
                <w:rFonts w:ascii="Times New Roman" w:cs="Times New Roman" w:eastAsia="Times New Roman" w:hAnsi="Times New Roman"/>
                <w:sz w:val="17"/>
                <w:szCs w:val="17"/>
                <w:color w:val="auto"/>
              </w:rPr>
              <w:t>GÉNÉRALE</w:t>
            </w:r>
            <w:r>
              <w:rPr>
                <w:rFonts w:ascii="Times New Roman" w:cs="Times New Roman" w:eastAsia="Times New Roman" w:hAnsi="Times New Roman"/>
                <w:sz w:val="24"/>
                <w:szCs w:val="24"/>
                <w:color w:val="auto"/>
                <w:vertAlign w:val="superscript"/>
              </w:rPr>
              <w:t>1,2</w:t>
            </w:r>
          </w:p>
        </w:tc>
        <w:tc>
          <w:tcPr>
            <w:tcW w:w="9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5"/>
              </w:rPr>
              <w:t>OF NOVA</w:t>
            </w:r>
          </w:p>
        </w:tc>
      </w:tr>
      <w:tr>
        <w:trPr>
          <w:trHeight w:val="212"/>
        </w:trPr>
        <w:tc>
          <w:tcPr>
            <w:tcW w:w="1840" w:type="dxa"/>
            <w:vAlign w:val="bottom"/>
          </w:tcPr>
          <w:p>
            <w:pPr>
              <w:jc w:val="center"/>
              <w:ind w:right="833"/>
              <w:spacing w:after="0" w:line="212"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4"/>
                <w:szCs w:val="24"/>
                <w:color w:val="auto"/>
                <w:vertAlign w:val="superscript"/>
              </w:rPr>
              <w:t>1</w:t>
            </w:r>
          </w:p>
        </w:tc>
        <w:tc>
          <w:tcPr>
            <w:tcW w:w="2700" w:type="dxa"/>
            <w:vAlign w:val="bottom"/>
          </w:tcPr>
          <w:p>
            <w:pPr>
              <w:spacing w:after="0"/>
              <w:rPr>
                <w:sz w:val="18"/>
                <w:szCs w:val="18"/>
                <w:color w:val="auto"/>
              </w:rPr>
            </w:pPr>
          </w:p>
        </w:tc>
        <w:tc>
          <w:tcPr>
            <w:tcW w:w="25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8"/>
              </w:rPr>
              <w:t>BANKING</w:t>
            </w:r>
          </w:p>
        </w:tc>
        <w:tc>
          <w:tcPr>
            <w:tcW w:w="1680" w:type="dxa"/>
            <w:vAlign w:val="bottom"/>
          </w:tcPr>
          <w:p>
            <w:pPr>
              <w:spacing w:after="0"/>
              <w:rPr>
                <w:sz w:val="18"/>
                <w:szCs w:val="18"/>
                <w:color w:val="auto"/>
              </w:rPr>
            </w:pPr>
          </w:p>
        </w:tc>
        <w:tc>
          <w:tcPr>
            <w:tcW w:w="980" w:type="dxa"/>
            <w:vAlign w:val="bottom"/>
          </w:tcPr>
          <w:p>
            <w:pPr>
              <w:jc w:val="center"/>
              <w:ind w:left="14"/>
              <w:spacing w:after="0" w:line="212" w:lineRule="exact"/>
              <w:rPr>
                <w:sz w:val="20"/>
                <w:szCs w:val="20"/>
                <w:color w:val="auto"/>
              </w:rPr>
            </w:pPr>
            <w:r>
              <w:rPr>
                <w:rFonts w:ascii="Times New Roman" w:cs="Times New Roman" w:eastAsia="Times New Roman" w:hAnsi="Times New Roman"/>
                <w:sz w:val="17"/>
                <w:szCs w:val="17"/>
                <w:color w:val="auto"/>
                <w:w w:val="98"/>
              </w:rPr>
              <w:t>SCOTIA</w:t>
            </w:r>
            <w:r>
              <w:rPr>
                <w:rFonts w:ascii="Times New Roman" w:cs="Times New Roman" w:eastAsia="Times New Roman" w:hAnsi="Times New Roman"/>
                <w:sz w:val="24"/>
                <w:szCs w:val="24"/>
                <w:color w:val="auto"/>
                <w:w w:val="98"/>
                <w:vertAlign w:val="superscript"/>
              </w:rPr>
              <w:t>1,2</w:t>
            </w:r>
          </w:p>
        </w:tc>
      </w:tr>
      <w:tr>
        <w:trPr>
          <w:trHeight w:val="212"/>
        </w:trPr>
        <w:tc>
          <w:tcPr>
            <w:tcW w:w="1840" w:type="dxa"/>
            <w:vAlign w:val="bottom"/>
          </w:tcPr>
          <w:p>
            <w:pPr>
              <w:jc w:val="center"/>
              <w:ind w:right="833"/>
              <w:spacing w:after="0"/>
              <w:rPr>
                <w:sz w:val="20"/>
                <w:szCs w:val="20"/>
                <w:color w:val="auto"/>
              </w:rPr>
            </w:pPr>
            <w:r>
              <w:rPr>
                <w:rFonts w:ascii="Times New Roman" w:cs="Times New Roman" w:eastAsia="Times New Roman" w:hAnsi="Times New Roman"/>
                <w:sz w:val="18"/>
                <w:szCs w:val="18"/>
                <w:color w:val="auto"/>
                <w:w w:val="96"/>
              </w:rPr>
              <w:t>ROYAL</w:t>
            </w:r>
          </w:p>
        </w:tc>
        <w:tc>
          <w:tcPr>
            <w:tcW w:w="2700" w:type="dxa"/>
            <w:vAlign w:val="bottom"/>
          </w:tcPr>
          <w:p>
            <w:pPr>
              <w:spacing w:after="0"/>
              <w:rPr>
                <w:sz w:val="18"/>
                <w:szCs w:val="18"/>
                <w:color w:val="auto"/>
              </w:rPr>
            </w:pPr>
          </w:p>
        </w:tc>
        <w:tc>
          <w:tcPr>
            <w:tcW w:w="2540" w:type="dxa"/>
            <w:vAlign w:val="bottom"/>
          </w:tcPr>
          <w:p>
            <w:pPr>
              <w:jc w:val="center"/>
              <w:ind w:left="113"/>
              <w:spacing w:after="0" w:line="212" w:lineRule="exact"/>
              <w:rPr>
                <w:sz w:val="20"/>
                <w:szCs w:val="20"/>
                <w:color w:val="auto"/>
              </w:rPr>
            </w:pPr>
            <w:r>
              <w:rPr>
                <w:rFonts w:ascii="Times New Roman" w:cs="Times New Roman" w:eastAsia="Times New Roman" w:hAnsi="Times New Roman"/>
                <w:sz w:val="17"/>
                <w:szCs w:val="17"/>
                <w:color w:val="auto"/>
              </w:rPr>
              <w:t>CORPORATION</w:t>
            </w:r>
            <w:r>
              <w:rPr>
                <w:rFonts w:ascii="Times New Roman" w:cs="Times New Roman" w:eastAsia="Times New Roman" w:hAnsi="Times New Roman"/>
                <w:sz w:val="24"/>
                <w:szCs w:val="24"/>
                <w:color w:val="auto"/>
                <w:vertAlign w:val="superscript"/>
              </w:rPr>
              <w:t>1,2</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1840" w:type="dxa"/>
            <w:vAlign w:val="bottom"/>
          </w:tcPr>
          <w:p>
            <w:pPr>
              <w:jc w:val="center"/>
              <w:ind w:right="833"/>
              <w:spacing w:after="0"/>
              <w:rPr>
                <w:sz w:val="20"/>
                <w:szCs w:val="20"/>
                <w:color w:val="auto"/>
              </w:rPr>
            </w:pPr>
            <w:r>
              <w:rPr>
                <w:rFonts w:ascii="Times New Roman" w:cs="Times New Roman" w:eastAsia="Times New Roman" w:hAnsi="Times New Roman"/>
                <w:sz w:val="18"/>
                <w:szCs w:val="18"/>
                <w:color w:val="auto"/>
                <w:w w:val="96"/>
              </w:rPr>
              <w:t>BANK OF</w:t>
            </w:r>
          </w:p>
        </w:tc>
        <w:tc>
          <w:tcPr>
            <w:tcW w:w="2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55"/>
        </w:trPr>
        <w:tc>
          <w:tcPr>
            <w:tcW w:w="1840" w:type="dxa"/>
            <w:vAlign w:val="bottom"/>
          </w:tcPr>
          <w:p>
            <w:pPr>
              <w:jc w:val="center"/>
              <w:ind w:right="813"/>
              <w:spacing w:after="0"/>
              <w:rPr>
                <w:sz w:val="20"/>
                <w:szCs w:val="20"/>
                <w:color w:val="auto"/>
              </w:rPr>
            </w:pPr>
            <w:r>
              <w:rPr>
                <w:rFonts w:ascii="Times New Roman" w:cs="Times New Roman" w:eastAsia="Times New Roman" w:hAnsi="Times New Roman"/>
                <w:sz w:val="18"/>
                <w:szCs w:val="18"/>
                <w:color w:val="auto"/>
                <w:w w:val="95"/>
              </w:rPr>
              <w:t>CANADA</w:t>
            </w:r>
            <w:r>
              <w:rPr>
                <w:rFonts w:ascii="Times New Roman" w:cs="Times New Roman" w:eastAsia="Times New Roman" w:hAnsi="Times New Roman"/>
                <w:sz w:val="26"/>
                <w:szCs w:val="26"/>
                <w:color w:val="auto"/>
                <w:w w:val="95"/>
                <w:vertAlign w:val="superscript"/>
              </w:rPr>
              <w:t>2</w:t>
            </w:r>
          </w:p>
        </w:tc>
        <w:tc>
          <w:tcPr>
            <w:tcW w:w="2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Joint Bookrunners and Joint Lead Arrangers when noted ( </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 and as Documentation Agents when noted ( </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xml:space="preserve"> )</w:t>
      </w:r>
    </w:p>
    <w:p>
      <w:pPr>
        <w:sectPr>
          <w:pgSz w:w="11900" w:h="16838" w:orient="portrait"/>
          <w:cols w:equalWidth="0" w:num="1">
            <w:col w:w="10780"/>
          </w:cols>
          <w:pgMar w:left="540" w:top="267" w:right="5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2"/>
        </w:trPr>
        <w:tc>
          <w:tcPr>
            <w:tcW w:w="660" w:type="dxa"/>
            <w:vAlign w:val="bottom"/>
          </w:tcPr>
          <w:p>
            <w:pPr>
              <w:spacing w:after="0"/>
              <w:rPr>
                <w:sz w:val="20"/>
                <w:szCs w:val="20"/>
                <w:color w:val="auto"/>
              </w:rPr>
            </w:pPr>
          </w:p>
        </w:tc>
        <w:tc>
          <w:tcPr>
            <w:tcW w:w="76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Table of Contents</w:t>
            </w:r>
          </w:p>
        </w:tc>
        <w:tc>
          <w:tcPr>
            <w:tcW w:w="2540" w:type="dxa"/>
            <w:vAlign w:val="bottom"/>
          </w:tcPr>
          <w:p>
            <w:pPr>
              <w:spacing w:after="0"/>
              <w:rPr>
                <w:sz w:val="20"/>
                <w:szCs w:val="20"/>
                <w:color w:val="auto"/>
              </w:rPr>
            </w:pPr>
          </w:p>
        </w:tc>
      </w:tr>
      <w:tr>
        <w:trPr>
          <w:trHeight w:val="373"/>
        </w:trPr>
        <w:tc>
          <w:tcPr>
            <w:tcW w:w="6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3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18"/>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Domestic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Domestic Loan Borrowing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2.3</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Multicurrency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2.4</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Multicurrency Loan Borrowing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2.7</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2.8</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Facility Fees,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2.9</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Reduction and Reallocation of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2.10</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Prepayments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2.11</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Mandatory Prepayments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2.12</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2.13</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on Term Benchmark and Daily Simple SOFR Borrowings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2.14</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2.15</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2.16</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Inability to Determine Interest Rate; Illegality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2.17</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2.18</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Requirements of Law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2.19</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2.20</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2.21</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2.22</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2.23</w:t>
            </w:r>
          </w:p>
        </w:tc>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jc w:val="right"/>
        <w:spacing w:after="0"/>
        <w:rPr>
          <w:sz w:val="20"/>
          <w:szCs w:val="20"/>
          <w:color w:val="auto"/>
        </w:rPr>
        <w:sectPr>
          <w:pgSz w:w="11900" w:h="16838" w:orient="portrait"/>
          <w:cols w:equalWidth="0" w:num="1">
            <w:col w:w="10820"/>
          </w:cols>
          <w:pgMar w:left="540" w:top="267" w:right="53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2.24</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2.25</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Local Facilities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2.26</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Incremental Commitments/Facilities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2.27</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Date Extension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18"/>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LETTERS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99"/>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L/C Commitment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Issuance of Letters of Credit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and Other Charges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L/C Participations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Reimbursement Obligation of the Company and the Applicable Account Party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Absolute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Letter of Credit 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Collateralization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3.10</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Issuing Lenders; L/C Commitments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3.11</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Conflicts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8"/>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9"/>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Condition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Change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Existence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Legal Bar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Default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of Property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Regulations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4.11</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4.12</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4.13</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of the Subsidiary Borrowers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4.14</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2"/>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4.15</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jc w:val="right"/>
        <w:spacing w:after="0"/>
        <w:rPr>
          <w:sz w:val="20"/>
          <w:szCs w:val="20"/>
          <w:color w:val="auto"/>
        </w:rPr>
        <w:sectPr>
          <w:pgSz w:w="11900" w:h="16838" w:orient="portrait"/>
          <w:cols w:equalWidth="0" w:num="1">
            <w:col w:w="10760"/>
          </w:cols>
          <w:pgMar w:left="540" w:top="267" w:right="59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2"/>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99"/>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8"/>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99"/>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Certificates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6.3</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6.4</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6.5</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6.6</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Guarantors,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6.7</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and Records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6.8</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Ratings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18"/>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99"/>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Minimum Liquidity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Indebtedness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7.3</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Sale Restrictions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7.4</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Fundamental Changes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7.5</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18"/>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18"/>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THE AGENTS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99"/>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of Duties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9.3</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Exculpatory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9.4</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9.5</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9.6</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Non-Reliance on Agent and Other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9.7</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9.8</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9.9</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9.10</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9.11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Bookrunners, Lead Arrangers, Global and Regional Coordinators, Documentation Agents, Syndication Agent and Co-Syndication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9.12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ERISA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2"/>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9.13</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Acknowledgements of Lenders and Issuing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jc w:val="right"/>
        <w:spacing w:after="0"/>
        <w:rPr>
          <w:sz w:val="20"/>
          <w:szCs w:val="20"/>
          <w:color w:val="auto"/>
        </w:rPr>
        <w:sectPr>
          <w:pgSz w:w="11900" w:h="16838" w:orient="portrait"/>
          <w:cols w:equalWidth="0" w:num="1">
            <w:col w:w="10800"/>
          </w:cols>
          <w:pgMar w:left="540" w:top="267" w:right="55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99"/>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10.3</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10.4</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10.5</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10.6</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10.7</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10.8</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10.9</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10.10</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Integration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10.11</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10.12</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10.13</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Judgment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10.14</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10.15</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Releases of Guarantees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10.16</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10.17</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 OF JURY TRIAL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10.18</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USA Patriot Act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10.19</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Novation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10.20</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10.21</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10.22</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Removal of GMB and Brazilian Administrative Agent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10.23</w:t>
            </w:r>
          </w:p>
        </w:tc>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Limitations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jc w:val="right"/>
        <w:spacing w:after="0"/>
        <w:rPr>
          <w:sz w:val="20"/>
          <w:szCs w:val="20"/>
          <w:color w:val="auto"/>
        </w:rPr>
        <w:sectPr>
          <w:pgSz w:w="11900" w:h="16838" w:orient="portrait"/>
          <w:cols w:equalWidth="0" w:num="1">
            <w:col w:w="10760"/>
          </w:cols>
          <w:pgMar w:left="540" w:top="267" w:right="59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10" w:name="page11"/>
    <w:bookmarkEnd w:id="10"/>
    <w:p>
      <w:pPr>
        <w:ind w:left="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SCHEDULES:</w:t>
      </w:r>
    </w:p>
    <w:p>
      <w:pPr>
        <w:spacing w:after="0" w:line="12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8"/>
          <w:szCs w:val="18"/>
          <w:color w:val="auto"/>
        </w:rPr>
        <w:t>1.1A</w:t>
      </w:r>
      <w:r>
        <w:rPr>
          <w:sz w:val="20"/>
          <w:szCs w:val="20"/>
          <w:color w:val="auto"/>
        </w:rPr>
        <w:tab/>
      </w:r>
      <w:r>
        <w:rPr>
          <w:rFonts w:ascii="Times New Roman" w:cs="Times New Roman" w:eastAsia="Times New Roman" w:hAnsi="Times New Roman"/>
          <w:sz w:val="17"/>
          <w:szCs w:val="17"/>
          <w:color w:val="auto"/>
        </w:rPr>
        <w:t>Commitments; Scheme Reference Number and Jurisdiction of Tax Residence</w:t>
      </w:r>
    </w:p>
    <w:p>
      <w:pPr>
        <w:spacing w:after="0" w:line="2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8"/>
          <w:szCs w:val="18"/>
          <w:color w:val="auto"/>
        </w:rPr>
        <w:t>1.1B</w:t>
      </w:r>
      <w:r>
        <w:rPr>
          <w:sz w:val="20"/>
          <w:szCs w:val="20"/>
          <w:color w:val="auto"/>
        </w:rPr>
        <w:tab/>
      </w:r>
      <w:r>
        <w:rPr>
          <w:rFonts w:ascii="Times New Roman" w:cs="Times New Roman" w:eastAsia="Times New Roman" w:hAnsi="Times New Roman"/>
          <w:sz w:val="17"/>
          <w:szCs w:val="17"/>
          <w:color w:val="auto"/>
        </w:rPr>
        <w:t>Initial Excluded Subsidiaries</w:t>
      </w:r>
    </w:p>
    <w:p>
      <w:pPr>
        <w:spacing w:after="0" w:line="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8"/>
          <w:szCs w:val="18"/>
          <w:color w:val="auto"/>
        </w:rPr>
        <w:t>1.1C</w:t>
      </w:r>
      <w:r>
        <w:rPr>
          <w:sz w:val="20"/>
          <w:szCs w:val="20"/>
          <w:color w:val="auto"/>
        </w:rPr>
        <w:tab/>
      </w:r>
      <w:r>
        <w:rPr>
          <w:rFonts w:ascii="Times New Roman" w:cs="Times New Roman" w:eastAsia="Times New Roman" w:hAnsi="Times New Roman"/>
          <w:sz w:val="17"/>
          <w:szCs w:val="17"/>
          <w:color w:val="auto"/>
        </w:rPr>
        <w:t>Applicable Pricing Grid</w:t>
      </w:r>
    </w:p>
    <w:p>
      <w:pPr>
        <w:spacing w:after="0" w:line="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8"/>
          <w:szCs w:val="18"/>
          <w:color w:val="auto"/>
        </w:rPr>
        <w:t>1.1D</w:t>
      </w:r>
      <w:r>
        <w:rPr>
          <w:sz w:val="20"/>
          <w:szCs w:val="20"/>
          <w:color w:val="auto"/>
        </w:rPr>
        <w:tab/>
      </w:r>
      <w:r>
        <w:rPr>
          <w:rFonts w:ascii="Times New Roman" w:cs="Times New Roman" w:eastAsia="Times New Roman" w:hAnsi="Times New Roman"/>
          <w:sz w:val="17"/>
          <w:szCs w:val="17"/>
          <w:color w:val="auto"/>
        </w:rPr>
        <w:t>Existing Liens</w:t>
      </w:r>
    </w:p>
    <w:p>
      <w:pPr>
        <w:spacing w:after="0" w:line="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8"/>
          <w:szCs w:val="18"/>
          <w:color w:val="auto"/>
        </w:rPr>
        <w:t>1.1E</w:t>
      </w:r>
      <w:r>
        <w:rPr>
          <w:sz w:val="20"/>
          <w:szCs w:val="20"/>
          <w:color w:val="auto"/>
        </w:rPr>
        <w:tab/>
      </w:r>
      <w:r>
        <w:rPr>
          <w:rFonts w:ascii="Times New Roman" w:cs="Times New Roman" w:eastAsia="Times New Roman" w:hAnsi="Times New Roman"/>
          <w:sz w:val="17"/>
          <w:szCs w:val="17"/>
          <w:color w:val="auto"/>
        </w:rPr>
        <w:t>Excluded Subsidiary Businesses</w:t>
      </w:r>
    </w:p>
    <w:p>
      <w:pPr>
        <w:spacing w:after="0" w:line="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Litigation</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EXHIBITS:</w:t>
      </w:r>
    </w:p>
    <w:p>
      <w:pPr>
        <w:spacing w:after="0" w:line="125" w:lineRule="exact"/>
        <w:rPr>
          <w:sz w:val="20"/>
          <w:szCs w:val="20"/>
          <w:color w:val="auto"/>
        </w:rPr>
      </w:pPr>
    </w:p>
    <w:p>
      <w:pPr>
        <w:ind w:left="548" w:hanging="548"/>
        <w:spacing w:after="0"/>
        <w:tabs>
          <w:tab w:leader="none" w:pos="5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w:t>
      </w:r>
    </w:p>
    <w:p>
      <w:pPr>
        <w:spacing w:after="0" w:line="25" w:lineRule="exact"/>
        <w:rPr>
          <w:sz w:val="20"/>
          <w:szCs w:val="20"/>
          <w:color w:val="auto"/>
        </w:rPr>
      </w:pPr>
    </w:p>
    <w:p>
      <w:pPr>
        <w:ind w:left="548" w:hanging="548"/>
        <w:spacing w:after="0"/>
        <w:tabs>
          <w:tab w:leader="none" w:pos="5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ind w:left="548" w:hanging="548"/>
        <w:spacing w:after="0"/>
        <w:tabs>
          <w:tab w:leader="none" w:pos="5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ind w:left="548" w:hanging="548"/>
        <w:spacing w:after="0"/>
        <w:tabs>
          <w:tab w:leader="none" w:pos="5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ind w:left="548" w:hanging="548"/>
        <w:spacing w:after="0"/>
        <w:tabs>
          <w:tab w:leader="none" w:pos="5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Incremental Loan Activation Notice</w:t>
      </w:r>
    </w:p>
    <w:p>
      <w:pPr>
        <w:spacing w:after="0" w:line="5"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7"/>
          <w:szCs w:val="17"/>
          <w:color w:val="auto"/>
        </w:rPr>
        <w:t>Form of Closing Certificate</w:t>
      </w:r>
    </w:p>
    <w:p>
      <w:pPr>
        <w:spacing w:after="0" w:line="5"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7"/>
          <w:szCs w:val="17"/>
          <w:color w:val="auto"/>
        </w:rPr>
        <w:t>Form of Assignment and Assumption</w:t>
      </w:r>
    </w:p>
    <w:p>
      <w:pPr>
        <w:spacing w:after="0" w:line="5"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7"/>
          <w:szCs w:val="17"/>
          <w:color w:val="auto"/>
        </w:rPr>
        <w:t>Form of Borrower Joinder Agreement</w:t>
      </w:r>
    </w:p>
    <w:p>
      <w:pPr>
        <w:spacing w:after="0" w:line="5" w:lineRule="exact"/>
        <w:rPr>
          <w:rFonts w:ascii="Times New Roman" w:cs="Times New Roman" w:eastAsia="Times New Roman" w:hAnsi="Times New Roman"/>
          <w:sz w:val="18"/>
          <w:szCs w:val="18"/>
          <w:color w:val="auto"/>
        </w:rPr>
      </w:pPr>
    </w:p>
    <w:p>
      <w:pPr>
        <w:ind w:left="8" w:right="43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I-1 Form of Exemption Certificate for Non-Partnership Non-U.S. Lenders I-2 Form of Exemption Certificate for Partnership Non-U.S. Lenders</w:t>
      </w:r>
    </w:p>
    <w:p>
      <w:pPr>
        <w:ind w:left="8" w:right="413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I-3 Form of Exemption Certificate for Non-Partnership Non-U.S. Participants I-4 Form of Exemption Certificate for Partnership Non-U.S. Participants</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7"/>
          <w:szCs w:val="17"/>
          <w:color w:val="auto"/>
        </w:rPr>
        <w:t>Form of Compliance Certificate</w:t>
      </w:r>
    </w:p>
    <w:p>
      <w:pPr>
        <w:spacing w:after="0" w:line="5"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7"/>
          <w:szCs w:val="17"/>
          <w:color w:val="auto"/>
        </w:rPr>
        <w:t>Form of Note</w:t>
      </w:r>
    </w:p>
    <w:p>
      <w:pPr>
        <w:spacing w:after="0" w:line="5"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7"/>
          <w:szCs w:val="17"/>
          <w:color w:val="auto"/>
        </w:rPr>
        <w:t>Form of Borrowing Request</w:t>
      </w:r>
    </w:p>
    <w:p>
      <w:pPr>
        <w:sectPr>
          <w:pgSz w:w="11900" w:h="16838" w:orient="portrait"/>
          <w:cols w:equalWidth="0" w:num="1">
            <w:col w:w="9927"/>
          </w:cols>
          <w:pgMar w:left="532" w:top="267" w:right="1440" w:bottom="1440" w:gutter="0" w:footer="0" w:header="0"/>
        </w:sectPr>
      </w:pPr>
    </w:p>
    <w:bookmarkStart w:id="11" w:name="page12"/>
    <w:bookmarkEnd w:id="11"/>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FOURTH AMENDED AND RESTATED FIVE YEAR REVOLVING CREDIT AGREEMENT, dated as of March 31, 2023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(as defined herein) from time to time parties hereto, the several banks and other financial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institutions or entities from time to time parties hereto,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(and any of 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branches and affiliates acting on its behalf in such capacity),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 as syndication agent (in such capacity, the “</w:t>
      </w:r>
      <w:r>
        <w:rPr>
          <w:rFonts w:ascii="Times New Roman" w:cs="Times New Roman" w:eastAsia="Times New Roman" w:hAnsi="Times New Roman"/>
          <w:sz w:val="17"/>
          <w:szCs w:val="17"/>
          <w:u w:val="single" w:color="auto"/>
          <w:color w:val="auto"/>
        </w:rPr>
        <w:t>Syndication Agent</w:t>
      </w:r>
      <w:r>
        <w:rPr>
          <w:rFonts w:ascii="Times New Roman" w:cs="Times New Roman" w:eastAsia="Times New Roman" w:hAnsi="Times New Roman"/>
          <w:sz w:val="17"/>
          <w:szCs w:val="17"/>
          <w:color w:val="auto"/>
        </w:rPr>
        <w:t>”) and BANK OF AMERICA, N.A., as co-syndication agent (in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WHEREAS, the Company entered into that certain Third Amended and Restated Five Year Revolving Credit Agreement, dated as of April 18, 2018, as amended by that certain Amendment No. 1 thereto, dated as of April 7, 2021 (the “</w:t>
      </w:r>
      <w:r>
        <w:rPr>
          <w:rFonts w:ascii="Times New Roman" w:cs="Times New Roman" w:eastAsia="Times New Roman" w:hAnsi="Times New Roman"/>
          <w:sz w:val="18"/>
          <w:szCs w:val="18"/>
          <w:u w:val="single" w:color="auto"/>
          <w:color w:val="auto"/>
        </w:rPr>
        <w:t>Existing Five Year Credit Agreement</w:t>
      </w:r>
      <w:r>
        <w:rPr>
          <w:rFonts w:ascii="Times New Roman" w:cs="Times New Roman" w:eastAsia="Times New Roman" w:hAnsi="Times New Roman"/>
          <w:sz w:val="18"/>
          <w:szCs w:val="18"/>
          <w:color w:val="auto"/>
        </w:rPr>
        <w:t>”), with GMF, GMB,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82" w:lineRule="exact"/>
        <w:rPr>
          <w:sz w:val="20"/>
          <w:szCs w:val="20"/>
          <w:color w:val="auto"/>
        </w:rPr>
      </w:pPr>
    </w:p>
    <w:p>
      <w:pPr>
        <w:ind w:right="160" w:firstLine="974"/>
        <w:spacing w:after="0" w:line="274" w:lineRule="auto"/>
        <w:rPr>
          <w:sz w:val="20"/>
          <w:szCs w:val="20"/>
          <w:color w:val="auto"/>
        </w:rPr>
      </w:pPr>
      <w:r>
        <w:rPr>
          <w:rFonts w:ascii="Times New Roman" w:cs="Times New Roman" w:eastAsia="Times New Roman" w:hAnsi="Times New Roman"/>
          <w:sz w:val="18"/>
          <w:szCs w:val="18"/>
          <w:color w:val="auto"/>
        </w:rPr>
        <w:t>WHEREAS, the parties have agreed to amend and restate the Existing Five Year Credit Agreement as provided in this Agreement, which Agreement shall become effective upon the satisfaction (or waiver pursuant to Section 10.1) of the conditions set forth in Section 5.1;</w:t>
      </w:r>
    </w:p>
    <w:p>
      <w:pPr>
        <w:spacing w:after="0" w:line="164"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that on the Closing Date (as defined below), the Existing Five Year Credit Agreement shall be amended and restated in its entirety as follows: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2022 10-K</w:t>
      </w:r>
      <w:r>
        <w:rPr>
          <w:rFonts w:ascii="Times New Roman" w:cs="Times New Roman" w:eastAsia="Times New Roman" w:hAnsi="Times New Roman"/>
          <w:sz w:val="18"/>
          <w:szCs w:val="18"/>
          <w:color w:val="auto"/>
        </w:rPr>
        <w:t>” has the meaning assigned to such term in Section 4.1.</w:t>
      </w:r>
    </w:p>
    <w:p>
      <w:pPr>
        <w:spacing w:after="0" w:line="218" w:lineRule="exact"/>
        <w:rPr>
          <w:sz w:val="20"/>
          <w:szCs w:val="20"/>
          <w:color w:val="auto"/>
        </w:rPr>
      </w:pPr>
    </w:p>
    <w:p>
      <w:pPr>
        <w:ind w:right="100" w:firstLine="97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3-Year Revolving Credit Agreement</w:t>
      </w:r>
      <w:r>
        <w:rPr>
          <w:rFonts w:ascii="Times New Roman" w:cs="Times New Roman" w:eastAsia="Times New Roman" w:hAnsi="Times New Roman"/>
          <w:sz w:val="17"/>
          <w:szCs w:val="17"/>
          <w:color w:val="auto"/>
        </w:rPr>
        <w:t>” means (i) that certain Fifth Amended and Restated Three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Fifth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76" w:lineRule="exact"/>
        <w:rPr>
          <w:sz w:val="20"/>
          <w:szCs w:val="20"/>
          <w:color w:val="auto"/>
        </w:rPr>
      </w:pPr>
    </w:p>
    <w:p>
      <w:pPr>
        <w:ind w:right="38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Available Commitments</w:t>
      </w:r>
      <w:r>
        <w:rPr>
          <w:rFonts w:ascii="Times New Roman" w:cs="Times New Roman" w:eastAsia="Times New Roman" w:hAnsi="Times New Roman"/>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20"/>
          </w:cols>
          <w:pgMar w:left="540" w:top="267" w:right="539" w:bottom="1440" w:gutter="0" w:footer="0" w:header="0"/>
        </w:sectPr>
      </w:pPr>
    </w:p>
    <w:bookmarkStart w:id="12" w:name="page13"/>
    <w:bookmarkEnd w:id="12"/>
    <w:p>
      <w:pPr>
        <w:jc w:val="both"/>
        <w:ind w:right="40" w:firstLine="974"/>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3-Year Total Commitments</w:t>
      </w:r>
      <w:r>
        <w:rPr>
          <w:rFonts w:ascii="Times New Roman" w:cs="Times New Roman" w:eastAsia="Times New Roman" w:hAnsi="Times New Roman"/>
          <w:sz w:val="17"/>
          <w:szCs w:val="17"/>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60" w:lineRule="exact"/>
        <w:rPr>
          <w:sz w:val="20"/>
          <w:szCs w:val="20"/>
          <w:color w:val="auto"/>
        </w:rPr>
      </w:pPr>
    </w:p>
    <w:p>
      <w:pPr>
        <w:ind w:right="10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Extensions of Credit</w:t>
      </w:r>
      <w:r>
        <w:rPr>
          <w:rFonts w:ascii="Times New Roman" w:cs="Times New Roman" w:eastAsia="Times New Roman" w:hAnsi="Times New Roman"/>
          <w:sz w:val="18"/>
          <w:szCs w:val="18"/>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82"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364-Day Revolving Credit Agreement</w:t>
      </w:r>
      <w:r>
        <w:rPr>
          <w:rFonts w:ascii="Times New Roman" w:cs="Times New Roman" w:eastAsia="Times New Roman" w:hAnsi="Times New Roman"/>
          <w:sz w:val="18"/>
          <w:szCs w:val="18"/>
          <w:color w:val="auto"/>
        </w:rPr>
        <w:t>” means that certain Fifth Amended and Restated 364-Day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w:t>
      </w:r>
    </w:p>
    <w:p>
      <w:pPr>
        <w:spacing w:after="0" w:line="182" w:lineRule="exact"/>
        <w:rPr>
          <w:sz w:val="20"/>
          <w:szCs w:val="20"/>
          <w:color w:val="auto"/>
        </w:rPr>
      </w:pPr>
    </w:p>
    <w:p>
      <w:pPr>
        <w:ind w:right="20" w:firstLine="974"/>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ABR</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2.16 hereof (for the avoidance of doubt, only until the Benchmark Replacement has been determined pursuant to Section 2.16(b)),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18" w:lineRule="exact"/>
        <w:rPr>
          <w:sz w:val="20"/>
          <w:szCs w:val="20"/>
          <w:color w:val="auto"/>
        </w:rPr>
      </w:pPr>
    </w:p>
    <w:p>
      <w:pPr>
        <w:jc w:val="both"/>
        <w:ind w:right="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76" w:lineRule="exact"/>
        <w:rPr>
          <w:sz w:val="20"/>
          <w:szCs w:val="20"/>
          <w:color w:val="auto"/>
        </w:rPr>
      </w:pPr>
    </w:p>
    <w:p>
      <w:pPr>
        <w:ind w:right="3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540" w:top="267" w:right="579" w:bottom="1440" w:gutter="0" w:footer="0" w:header="0"/>
        </w:sectPr>
      </w:pPr>
    </w:p>
    <w:bookmarkStart w:id="13" w:name="page14"/>
    <w:bookmarkEnd w:id="13"/>
    <w:p>
      <w:pPr>
        <w:ind w:right="6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right="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TIBOR Rate</w:t>
      </w:r>
      <w:r>
        <w:rPr>
          <w:rFonts w:ascii="Times New Roman" w:cs="Times New Roman" w:eastAsia="Times New Roman" w:hAnsi="Times New Roman"/>
          <w:sz w:val="18"/>
          <w:szCs w:val="18"/>
          <w:color w:val="auto"/>
        </w:rPr>
        <w:t>” means, with respect to any Term Benchmark Borrowing denominated in Japanese Yen for any Interest Period, an interest rate per annum equal to (a) the TIBOR Rate for such Interest Period multiplied by (b) the Statutory Reserve Rate; provided that if the Adjusted TIBOR Rate as so determined would be less than the Floor, such rate shall be deemed to be equal to the Floor.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18" w:lineRule="exact"/>
        <w:rPr>
          <w:sz w:val="20"/>
          <w:szCs w:val="20"/>
          <w:color w:val="auto"/>
        </w:rPr>
      </w:pPr>
    </w:p>
    <w:p>
      <w:pPr>
        <w:ind w:right="5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9.7.</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Administrative Agent.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has the meaning assigned to such term in Section 3.1(a).</w:t>
      </w:r>
    </w:p>
    <w:p>
      <w:pPr>
        <w:spacing w:after="0" w:line="218"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denominated in the applicable Currency, Daily Simple SOFR Loans, ABR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2.21, be changed by such Lender upon 10 days’ prior written notice to the Administrative Agent and the Company.</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Facility Rating</w:t>
      </w:r>
      <w:r>
        <w:rPr>
          <w:rFonts w:ascii="Times New Roman" w:cs="Times New Roman" w:eastAsia="Times New Roman" w:hAnsi="Times New Roman"/>
          <w:sz w:val="18"/>
          <w:szCs w:val="18"/>
          <w:color w:val="auto"/>
        </w:rPr>
        <w:t>” has the meaning set forth in the Applicable Pricing Grid.</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18" w:lineRule="exact"/>
        <w:rPr>
          <w:sz w:val="20"/>
          <w:szCs w:val="20"/>
          <w:color w:val="auto"/>
        </w:rPr>
      </w:pPr>
    </w:p>
    <w:p>
      <w:pPr>
        <w:jc w:val="both"/>
        <w:ind w:right="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Daily Simple SOFR Loan or Term Benchmark Loan, as the case may be, the applicable rate per annum set forth under the relevant column heading in the Applicable Pricing Grid, based upon the Applicable Rating in effect on such day.</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540" w:top="267" w:right="599" w:bottom="1440" w:gutter="0" w:footer="0" w:header="0"/>
        </w:sectPr>
      </w:pPr>
    </w:p>
    <w:bookmarkStart w:id="14" w:name="page15"/>
    <w:bookmarkEnd w:id="1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means, in the case of any Loan or Facility Fee, the table set forth on Schedule 1.1C.</w:t>
      </w:r>
    </w:p>
    <w:p>
      <w:pPr>
        <w:spacing w:after="0" w:line="218" w:lineRule="exact"/>
        <w:rPr>
          <w:sz w:val="20"/>
          <w:szCs w:val="20"/>
          <w:color w:val="auto"/>
        </w:rPr>
      </w:pPr>
    </w:p>
    <w:p>
      <w:pPr>
        <w:ind w:firstLine="97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Rating</w:t>
      </w:r>
      <w:r>
        <w:rPr>
          <w:rFonts w:ascii="Times New Roman" w:cs="Times New Roman" w:eastAsia="Times New Roman" w:hAnsi="Times New Roman"/>
          <w:sz w:val="17"/>
          <w:szCs w:val="17"/>
          <w:color w:val="auto"/>
        </w:rPr>
        <w:t xml:space="preserve">” means the Index Debt Rating;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the Company has obtained or maintained an Applicable Facility Rating from at least two of Moody’s, S&amp;P or Fitch, the “Applicable Rating” shall be the Applicable Facility Rating in effect at any time of determination;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Applicable Rating that applied under the Existing Five Year Credit Agreement immediately prior to the Closing Date shall be deemed to continue to apply until (but not including) the earlier of (i) June 15, 2023 and (ii) the first date upon which at least two of S&amp;P, Moody’s and Fitch have issued an Index Debt Rating that is lower than the Index Debt Rating issued by such rating agency as of the Closing Date.</w:t>
      </w:r>
    </w:p>
    <w:p>
      <w:pPr>
        <w:spacing w:after="0" w:line="170"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18"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assigned to such term in Section 9.11.</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18" w:lineRule="exact"/>
        <w:rPr>
          <w:sz w:val="20"/>
          <w:szCs w:val="20"/>
          <w:color w:val="auto"/>
        </w:rPr>
      </w:pPr>
    </w:p>
    <w:p>
      <w:pPr>
        <w:ind w:firstLine="97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Available Tenor</w:t>
      </w:r>
      <w:r>
        <w:rPr>
          <w:rFonts w:ascii="Times New Roman" w:cs="Times New Roman" w:eastAsia="Times New Roman" w:hAnsi="Times New Roman"/>
          <w:sz w:val="17"/>
          <w:szCs w:val="17"/>
          <w:color w:val="auto"/>
        </w:rPr>
        <w:t>” means, as of any date of determination and with respect to the then-current Benchmark for any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2.16.</w:t>
      </w:r>
    </w:p>
    <w:p>
      <w:pPr>
        <w:spacing w:after="0" w:line="170"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4"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40"/>
          </w:cols>
          <w:pgMar w:left="540" w:top="267" w:right="619" w:bottom="1440" w:gutter="0" w:footer="0" w:header="0"/>
        </w:sectPr>
      </w:pPr>
    </w:p>
    <w:bookmarkStart w:id="15" w:name="page16"/>
    <w:bookmarkEnd w:id="15"/>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ind w:right="20" w:firstLine="9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means, initially, with respect to any (i) Daily Simple SOFR Loan, the Adjusted Daily Simple SOFR or (ii) Term Benchmark Loan, the Relevant Rate for such Currency; provided that if a Benchmark Transition Event, and the related Benchmark Replacement Date have occurred with respect to the applicable Relevant Rate or the then-current Benchmark for such Currency, then “Benchmark” means the applicable Benchmark Replacement to the extent that such Benchmark Replacement has replaced such prior benchmark rate pursuant to clause (b) of Section 2.16.</w:t>
      </w:r>
    </w:p>
    <w:p>
      <w:pPr>
        <w:spacing w:after="0" w:line="165" w:lineRule="exact"/>
        <w:rPr>
          <w:sz w:val="20"/>
          <w:szCs w:val="20"/>
          <w:color w:val="auto"/>
        </w:rPr>
      </w:pPr>
    </w:p>
    <w:p>
      <w:pPr>
        <w:ind w:right="22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in the United States and (b) the related Benchmark Replacement Adjustment;</w:t>
      </w:r>
    </w:p>
    <w:p>
      <w:pPr>
        <w:spacing w:after="0" w:line="187"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164" w:lineRule="exact"/>
        <w:rPr>
          <w:sz w:val="20"/>
          <w:szCs w:val="20"/>
          <w:color w:val="auto"/>
        </w:rPr>
      </w:pPr>
    </w:p>
    <w:p>
      <w:pPr>
        <w:ind w:right="4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90" w:lineRule="exact"/>
        <w:rPr>
          <w:sz w:val="20"/>
          <w:szCs w:val="20"/>
          <w:color w:val="auto"/>
        </w:rPr>
      </w:pPr>
    </w:p>
    <w:p>
      <w:pPr>
        <w:ind w:firstLine="97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Conforming Changes</w:t>
      </w:r>
      <w:r>
        <w:rPr>
          <w:rFonts w:ascii="Times New Roman" w:cs="Times New Roman" w:eastAsia="Times New Roman" w:hAnsi="Times New Roman"/>
          <w:sz w:val="17"/>
          <w:szCs w:val="17"/>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540" w:top="267" w:right="55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2"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4" w:lineRule="exact"/>
        <w:rPr>
          <w:sz w:val="20"/>
          <w:szCs w:val="20"/>
          <w:color w:val="auto"/>
        </w:rPr>
      </w:pPr>
    </w:p>
    <w:p>
      <w:pPr>
        <w:ind w:right="220" w:firstLine="966"/>
        <w:spacing w:after="0" w:line="260" w:lineRule="auto"/>
        <w:tabs>
          <w:tab w:leader="none" w:pos="12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18"/>
          <w:szCs w:val="18"/>
          <w:color w:val="auto"/>
        </w:rPr>
      </w:pPr>
    </w:p>
    <w:p>
      <w:pPr>
        <w:ind w:right="60" w:firstLine="966"/>
        <w:spacing w:after="0" w:line="253" w:lineRule="auto"/>
        <w:tabs>
          <w:tab w:leader="none" w:pos="12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2" w:lineRule="exact"/>
        <w:rPr>
          <w:sz w:val="20"/>
          <w:szCs w:val="20"/>
          <w:color w:val="auto"/>
        </w:rPr>
      </w:pPr>
    </w:p>
    <w:p>
      <w:pPr>
        <w:ind w:right="140" w:firstLine="433"/>
        <w:spacing w:after="0" w:line="253"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4" w:lineRule="exact"/>
        <w:rPr>
          <w:sz w:val="20"/>
          <w:szCs w:val="20"/>
          <w:color w:val="auto"/>
        </w:rPr>
      </w:pPr>
    </w:p>
    <w:p>
      <w:pPr>
        <w:jc w:val="both"/>
        <w:ind w:right="80" w:firstLine="966"/>
        <w:spacing w:after="0" w:line="255" w:lineRule="auto"/>
        <w:tabs>
          <w:tab w:leader="none" w:pos="12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18"/>
          <w:szCs w:val="18"/>
          <w:color w:val="auto"/>
        </w:rPr>
      </w:pPr>
    </w:p>
    <w:p>
      <w:pPr>
        <w:ind w:firstLine="966"/>
        <w:spacing w:after="0" w:line="250" w:lineRule="auto"/>
        <w:tabs>
          <w:tab w:leader="none" w:pos="12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40" w:top="267" w:right="559" w:bottom="1440" w:gutter="0" w:footer="0" w:header="0"/>
        </w:sectPr>
      </w:pPr>
    </w:p>
    <w:bookmarkStart w:id="17" w:name="page18"/>
    <w:bookmarkEnd w:id="17"/>
    <w:p>
      <w:pPr>
        <w:ind w:firstLine="966"/>
        <w:spacing w:after="0" w:line="260" w:lineRule="auto"/>
        <w:tabs>
          <w:tab w:leader="none" w:pos="1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18"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18"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GMF or any other Subsidiary Borrower designated from time to time by the Company until (in the case of any Subsidiary Borrower) such time as such Subsidiary Borrower is removed as a party hereto pursuant to Section 10.1(d).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means a joinder agreement substantially in the form of Exhibit H.</w:t>
      </w:r>
    </w:p>
    <w:p>
      <w:pPr>
        <w:spacing w:after="0" w:line="218" w:lineRule="exact"/>
        <w:rPr>
          <w:sz w:val="20"/>
          <w:szCs w:val="20"/>
          <w:color w:val="auto"/>
        </w:rPr>
      </w:pPr>
    </w:p>
    <w:p>
      <w:pPr>
        <w:ind w:right="5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and Currency, made, converted or continued on the same date and, in the case of Term Benchmark Loans, as to which a single Interest Period is in effect.</w:t>
      </w:r>
    </w:p>
    <w:p>
      <w:pPr>
        <w:spacing w:after="0" w:line="164" w:lineRule="exact"/>
        <w:rPr>
          <w:sz w:val="20"/>
          <w:szCs w:val="20"/>
          <w:color w:val="auto"/>
        </w:rPr>
      </w:pPr>
    </w:p>
    <w:p>
      <w:pPr>
        <w:ind w:right="2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any Business Day specified by the Company or any Subsidiary Borrower as a date on which the Company or such Subsidiary Borrower requests the relevant Lenders to make Loans hereunder.</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540" w:top="267" w:right="559" w:bottom="1440" w:gutter="0" w:footer="0" w:header="0"/>
        </w:sectPr>
      </w:pPr>
    </w:p>
    <w:bookmarkStart w:id="18" w:name="page19"/>
    <w:bookmarkEnd w:id="18"/>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Domestic Loan or Multicurrency Loan, in substantially the form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L.</w:t>
      </w:r>
    </w:p>
    <w:p>
      <w:pPr>
        <w:spacing w:after="0" w:line="198"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in addition to the foregoing, a Business Day shall be (a) in relation to Loans denominated in Yen and in relation to the calculation or computation of TIBOR or the Japanese Prime Rate, any day (other than a Saturday or a Sunday) on which banks are open for business in Japan, (b) in relation to Loans denominated in Euros and in relation to the calculation or computation of EURIBOR, any day which is a TARGET Day, (c)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and (d) in relation to Daily Simple SOFR Loans and any interest rate settings, fundings, disbursements, settlements or payments of any such Daily Simple SOFR Loans or any other dealings of such Daily Simple SOFR Loans, any such day that is a U.S. Government Securities Business Day.</w:t>
      </w:r>
    </w:p>
    <w:p>
      <w:pPr>
        <w:spacing w:after="0" w:line="190"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2" w:lineRule="exact"/>
        <w:rPr>
          <w:sz w:val="20"/>
          <w:szCs w:val="20"/>
          <w:color w:val="auto"/>
        </w:rPr>
      </w:pPr>
    </w:p>
    <w:p>
      <w:pPr>
        <w:ind w:right="1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 or the Japanese Prime Rate.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Margin, applicable to such Loan that is replaced by a CBR Loan.</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Optional Currency determined after the Closing Date, a central bank rate as determined by the Administrative Agent in its reasonable discretion; plus (B) the applicable Central Bank Rate Adjustment and (II) the Floor.</w:t>
      </w:r>
    </w:p>
    <w:p>
      <w:pPr>
        <w:spacing w:after="0" w:line="185" w:lineRule="exact"/>
        <w:rPr>
          <w:sz w:val="20"/>
          <w:szCs w:val="20"/>
          <w:color w:val="auto"/>
        </w:rPr>
      </w:pPr>
    </w:p>
    <w:p>
      <w:pPr>
        <w:ind w:right="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0"/>
          </w:cols>
          <w:pgMar w:left="540" w:top="267" w:right="539" w:bottom="1440" w:gutter="0" w:footer="0" w:header="0"/>
        </w:sectPr>
      </w:pPr>
    </w:p>
    <w:bookmarkStart w:id="19" w:name="page20"/>
    <w:bookmarkEnd w:id="19"/>
    <w:p>
      <w:pPr>
        <w:ind w:left="8"/>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EURIBOR Rate applicable during such period of five Business Days) minus (ii) the Central Bank Rate in respect of Euro in effect on the last Business Day in such period and (b) any other Optional Currency determined after the Closing Date, a Central Bank Rate Adjustment as determined by the Administrative Agent in its reasonable discretion. For purposes of this definition, (x) the term Central Bank Rate shall be determined disregarding clause</w:t>
      </w:r>
    </w:p>
    <w:p>
      <w:pPr>
        <w:spacing w:after="0" w:line="1" w:lineRule="exact"/>
        <w:rPr>
          <w:sz w:val="20"/>
          <w:szCs w:val="20"/>
          <w:color w:val="auto"/>
        </w:rPr>
      </w:pPr>
    </w:p>
    <w:p>
      <w:pPr>
        <w:ind w:left="8" w:right="240" w:hanging="8"/>
        <w:spacing w:after="0" w:line="252" w:lineRule="auto"/>
        <w:tabs>
          <w:tab w:leader="none" w:pos="2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such term and (y) the EURIBOR Rate on any day shall be based on the EURIBOR Screen Rate, on such day at approximately the time referred to in the definition of such term for deposits in the applicable Optional Currency for a maturity of one month.</w:t>
      </w:r>
    </w:p>
    <w:p>
      <w:pPr>
        <w:spacing w:after="0" w:line="183" w:lineRule="exact"/>
        <w:rPr>
          <w:sz w:val="20"/>
          <w:szCs w:val="20"/>
          <w:color w:val="auto"/>
        </w:rPr>
      </w:pPr>
    </w:p>
    <w:p>
      <w:pPr>
        <w:ind w:left="8" w:right="2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2.18,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2.18,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87" w:lineRule="exact"/>
        <w:rPr>
          <w:sz w:val="20"/>
          <w:szCs w:val="20"/>
          <w:color w:val="auto"/>
        </w:rPr>
      </w:pPr>
    </w:p>
    <w:p>
      <w:pPr>
        <w:ind w:left="8" w:right="40" w:firstLine="9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events: (a) any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(as such terms are used in Sections 13(d) and 14(d) of the Exchange Act) shall become, or obtain rights (whether by means of warrants, options or otherwise) to become,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65" w:lineRule="exact"/>
        <w:rPr>
          <w:sz w:val="20"/>
          <w:szCs w:val="20"/>
          <w:color w:val="auto"/>
        </w:rPr>
      </w:pPr>
    </w:p>
    <w:p>
      <w:pPr>
        <w:ind w:left="8" w:right="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4" w:lineRule="exact"/>
        <w:rPr>
          <w:sz w:val="20"/>
          <w:szCs w:val="20"/>
          <w:color w:val="auto"/>
        </w:rPr>
      </w:pPr>
    </w:p>
    <w:p>
      <w:pPr>
        <w:ind w:left="8" w:right="7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set forth in Section 5.1 shall have been satisfied, which date is March 31, 2023.</w:t>
      </w:r>
    </w:p>
    <w:p>
      <w:pPr>
        <w:spacing w:after="0" w:line="164" w:lineRule="exact"/>
        <w:rPr>
          <w:sz w:val="20"/>
          <w:szCs w:val="20"/>
          <w:color w:val="auto"/>
        </w:rPr>
      </w:pPr>
    </w:p>
    <w:p>
      <w:pPr>
        <w:ind w:left="8" w:right="1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18" w:lineRule="exact"/>
        <w:rPr>
          <w:sz w:val="20"/>
          <w:szCs w:val="20"/>
          <w:color w:val="auto"/>
        </w:rPr>
      </w:pPr>
    </w:p>
    <w:p>
      <w:pPr>
        <w:ind w:left="8" w:right="2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Collateralized</w:t>
      </w:r>
      <w:r>
        <w:rPr>
          <w:rFonts w:ascii="Times New Roman" w:cs="Times New Roman" w:eastAsia="Times New Roman" w:hAnsi="Times New Roman"/>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8"/>
          </w:cols>
          <w:pgMar w:left="532" w:top="267" w:right="559" w:bottom="1440" w:gutter="0" w:footer="0" w:header="0"/>
        </w:sectPr>
      </w:pPr>
    </w:p>
    <w:bookmarkStart w:id="20" w:name="page21"/>
    <w:bookmarkEnd w:id="20"/>
    <w:p>
      <w:pPr>
        <w:ind w:right="10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individually and collectively, the Domestic Commitments and the Multicurrency Commitments. To the extent any Incremental Facility or New Local Facility is established, the “Commitments” shall, to the extent appropriate, include commitments under such Facilities.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has the meaning assigned to such term in Section 2.26(a).</w:t>
      </w:r>
    </w:p>
    <w:p>
      <w:pPr>
        <w:spacing w:after="0" w:line="218"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4"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76" w:lineRule="exact"/>
        <w:rPr>
          <w:sz w:val="20"/>
          <w:szCs w:val="20"/>
          <w:color w:val="auto"/>
        </w:rPr>
      </w:pPr>
    </w:p>
    <w:p>
      <w:pPr>
        <w:ind w:right="2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w:t>
      </w:r>
    </w:p>
    <w:p>
      <w:pPr>
        <w:spacing w:after="0" w:line="218" w:lineRule="exact"/>
        <w:rPr>
          <w:sz w:val="20"/>
          <w:szCs w:val="20"/>
          <w:color w:val="auto"/>
        </w:rPr>
      </w:pPr>
    </w:p>
    <w:p>
      <w:pPr>
        <w:ind w:right="10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Domestic Liquidity</w:t>
      </w:r>
      <w:r>
        <w:rPr>
          <w:rFonts w:ascii="Times New Roman" w:cs="Times New Roman" w:eastAsia="Times New Roman" w:hAnsi="Times New Roman"/>
          <w:sz w:val="18"/>
          <w:szCs w:val="18"/>
          <w:color w:val="auto"/>
        </w:rPr>
        <w:t xml:space="preserve">” means, as of any date of determination, the sum of (a) the Total Available Commitments as of such date plus (b) the 3-Year Total Available Commitments at such date plus (c) the total available commitments (after giving effect to any applicable borrowing base limitations) under other then-effective committed credit facilities of the Company or any Domestic Subsidiary (including any Ancillary Commitments under and as defined in the 3-Year Revolving Credit Agreement, which may at such time be reallocated to provide availability to the Company or any Domestic Subsidiary,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0" w:lineRule="exact"/>
        <w:rPr>
          <w:sz w:val="20"/>
          <w:szCs w:val="20"/>
          <w:color w:val="auto"/>
        </w:rPr>
      </w:pPr>
    </w:p>
    <w:p>
      <w:pPr>
        <w:ind w:right="18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Total Available Commitments as of such date plus (b) the 3-Year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(after giving effect to any applicable borrowing base limitations) under other then-effective committed credit facilities of the Company or any of its Subsidiaries (including any Ancillary Commitments under and as defined in the 3-Year Revolving Credit Agreement available to the Company or any of its Subsidiaries, if applicable,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0"/>
          </w:cols>
          <w:pgMar w:left="540" w:top="267" w:right="559" w:bottom="1440" w:gutter="0" w:footer="0" w:header="0"/>
        </w:sectPr>
      </w:pPr>
    </w:p>
    <w:bookmarkStart w:id="21" w:name="page22"/>
    <w:bookmarkEnd w:id="21"/>
    <w:p>
      <w:pPr>
        <w:jc w:val="both"/>
        <w:ind w:right="4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4"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76"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4" w:lineRule="exact"/>
        <w:rPr>
          <w:sz w:val="20"/>
          <w:szCs w:val="20"/>
          <w:color w:val="auto"/>
        </w:rPr>
      </w:pPr>
    </w:p>
    <w:p>
      <w:pPr>
        <w:ind w:right="3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right="5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18" w:lineRule="exact"/>
        <w:rPr>
          <w:sz w:val="20"/>
          <w:szCs w:val="20"/>
          <w:color w:val="auto"/>
        </w:rPr>
      </w:pPr>
    </w:p>
    <w:p>
      <w:pPr>
        <w:ind w:left="1180" w:hanging="214"/>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17"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17"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10.21.</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means Dollars or any Optional Currency.</w:t>
      </w:r>
    </w:p>
    <w:p>
      <w:pPr>
        <w:spacing w:after="0" w:line="218" w:lineRule="exact"/>
        <w:rPr>
          <w:sz w:val="20"/>
          <w:szCs w:val="20"/>
          <w:color w:val="auto"/>
        </w:rPr>
      </w:pPr>
    </w:p>
    <w:p>
      <w:pPr>
        <w:ind w:right="16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w:t>
      </w:r>
    </w:p>
    <w:p>
      <w:pPr>
        <w:spacing w:after="0" w:line="187" w:lineRule="exact"/>
        <w:rPr>
          <w:sz w:val="20"/>
          <w:szCs w:val="20"/>
          <w:color w:val="auto"/>
        </w:rPr>
      </w:pPr>
    </w:p>
    <w:p>
      <w:pPr>
        <w:ind w:right="3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540" w:top="267" w:right="559" w:bottom="1440" w:gutter="0" w:footer="0" w:header="0"/>
        </w:sectPr>
      </w:pPr>
    </w:p>
    <w:bookmarkStart w:id="22" w:name="page23"/>
    <w:bookmarkEnd w:id="22"/>
    <w:p>
      <w:pPr>
        <w:ind w:left="968"/>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as applicable.</w:t>
      </w:r>
    </w:p>
    <w:p>
      <w:pPr>
        <w:spacing w:after="0" w:line="198" w:lineRule="exact"/>
        <w:rPr>
          <w:sz w:val="20"/>
          <w:szCs w:val="20"/>
          <w:color w:val="auto"/>
        </w:rPr>
      </w:pPr>
    </w:p>
    <w:p>
      <w:pPr>
        <w:ind w:left="8" w:right="4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85" w:lineRule="exact"/>
        <w:rPr>
          <w:sz w:val="20"/>
          <w:szCs w:val="20"/>
          <w:color w:val="auto"/>
        </w:rPr>
      </w:pPr>
    </w:p>
    <w:p>
      <w:pPr>
        <w:ind w:left="8" w:right="2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Principal Trade Name</w:t>
      </w:r>
      <w:r>
        <w:rPr>
          <w:rFonts w:ascii="Times New Roman" w:cs="Times New Roman" w:eastAsia="Times New Roman" w:hAnsi="Times New Roman"/>
          <w:sz w:val="18"/>
          <w:szCs w:val="18"/>
          <w:color w:val="auto"/>
        </w:rPr>
        <w:t xml:space="preserv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5" w:lineRule="exact"/>
        <w:rPr>
          <w:sz w:val="20"/>
          <w:szCs w:val="20"/>
          <w:color w:val="auto"/>
        </w:rPr>
      </w:pPr>
    </w:p>
    <w:p>
      <w:pPr>
        <w:ind w:left="8" w:right="20" w:hanging="8"/>
        <w:spacing w:after="0" w:line="247"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8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218" w:lineRule="exact"/>
        <w:rPr>
          <w:sz w:val="20"/>
          <w:szCs w:val="20"/>
          <w:color w:val="auto"/>
        </w:rPr>
      </w:pPr>
    </w:p>
    <w:p>
      <w:pPr>
        <w:ind w:left="8"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Commitment</w:t>
      </w:r>
      <w:r>
        <w:rPr>
          <w:rFonts w:ascii="Times New Roman" w:cs="Times New Roman" w:eastAsia="Times New Roman" w:hAnsi="Times New Roman"/>
          <w:sz w:val="18"/>
          <w:szCs w:val="18"/>
          <w:color w:val="auto"/>
        </w:rPr>
        <w:t>” means as to any Lender, the obligation of such Lender, if any, to make Domestic Loans and participate in Letters of Credit in an aggregate principal and/or face amount the Dollar Equivalent of which shall not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82" w:lineRule="exact"/>
        <w:rPr>
          <w:sz w:val="20"/>
          <w:szCs w:val="20"/>
          <w:color w:val="auto"/>
        </w:rPr>
      </w:pPr>
    </w:p>
    <w:p>
      <w:pPr>
        <w:ind w:left="8" w:right="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Extensions of Credit</w:t>
      </w:r>
      <w:r>
        <w:rPr>
          <w:rFonts w:ascii="Times New Roman" w:cs="Times New Roman" w:eastAsia="Times New Roman" w:hAnsi="Times New Roman"/>
          <w:sz w:val="18"/>
          <w:szCs w:val="18"/>
          <w:color w:val="auto"/>
        </w:rPr>
        <w:t>” means, as to any Domestic Lender at any time, an amount equal to the sum of (a) the aggregate principal amount of all Domestic Loans held by such Lender then outstanding and (b) an amount equal to such Lender’s applicable Domestic Percentage of the aggregate L/C Obligations then outstanding.</w:t>
      </w:r>
    </w:p>
    <w:p>
      <w:pPr>
        <w:spacing w:after="0" w:line="11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8"/>
          </w:cols>
          <w:pgMar w:left="532" w:top="267" w:right="579" w:bottom="1440" w:gutter="0" w:footer="0" w:header="0"/>
        </w:sectPr>
      </w:pPr>
    </w:p>
    <w:bookmarkStart w:id="23" w:name="page24"/>
    <w:bookmarkEnd w:id="23"/>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Domestic Facility</w:t>
      </w:r>
      <w:r>
        <w:rPr>
          <w:rFonts w:ascii="Times New Roman" w:cs="Times New Roman" w:eastAsia="Times New Roman" w:hAnsi="Times New Roman"/>
          <w:sz w:val="18"/>
          <w:szCs w:val="18"/>
          <w:color w:val="auto"/>
        </w:rPr>
        <w:t>” means the Domestic Commitments and the extensions of credit made thereunder.</w:t>
      </w:r>
    </w:p>
    <w:p>
      <w:pPr>
        <w:spacing w:after="0" w:line="218" w:lineRule="exact"/>
        <w:rPr>
          <w:sz w:val="20"/>
          <w:szCs w:val="20"/>
          <w:color w:val="auto"/>
        </w:rPr>
      </w:pPr>
    </w:p>
    <w:p>
      <w:pPr>
        <w:ind w:right="3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Lender</w:t>
      </w:r>
      <w:r>
        <w:rPr>
          <w:rFonts w:ascii="Times New Roman" w:cs="Times New Roman" w:eastAsia="Times New Roman" w:hAnsi="Times New Roman"/>
          <w:sz w:val="18"/>
          <w:szCs w:val="18"/>
          <w:color w:val="auto"/>
        </w:rPr>
        <w:t>” means each Lender that has a Domestic Commitment or that holds Domestic Loans or other Loans made under the Domestic Facility.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Loans</w:t>
      </w:r>
      <w:r>
        <w:rPr>
          <w:rFonts w:ascii="Times New Roman" w:cs="Times New Roman" w:eastAsia="Times New Roman" w:hAnsi="Times New Roman"/>
          <w:sz w:val="18"/>
          <w:szCs w:val="18"/>
          <w:color w:val="auto"/>
        </w:rPr>
        <w:t>” has the meaning assigned to such term in Section 2.1.</w:t>
      </w:r>
    </w:p>
    <w:p>
      <w:pPr>
        <w:spacing w:after="0" w:line="218" w:lineRule="exact"/>
        <w:rPr>
          <w:sz w:val="20"/>
          <w:szCs w:val="20"/>
          <w:color w:val="auto"/>
        </w:rPr>
      </w:pPr>
    </w:p>
    <w:p>
      <w:pPr>
        <w:ind w:right="1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Percentage</w:t>
      </w:r>
      <w:r>
        <w:rPr>
          <w:rFonts w:ascii="Times New Roman" w:cs="Times New Roman" w:eastAsia="Times New Roman" w:hAnsi="Times New Roman"/>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of such Lender then outstanding constitutes of the aggregate Outstanding Amount of Domestic Extensions of Credit of the Domestic Lenders then outstanding.</w:t>
      </w:r>
    </w:p>
    <w:p>
      <w:pPr>
        <w:spacing w:after="0" w:line="182" w:lineRule="exact"/>
        <w:rPr>
          <w:sz w:val="20"/>
          <w:szCs w:val="20"/>
          <w:color w:val="auto"/>
        </w:rPr>
      </w:pPr>
    </w:p>
    <w:p>
      <w:pPr>
        <w:jc w:val="both"/>
        <w:ind w:right="4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means any Subsidiary Borrower which is a Domestic Subsidiary.</w:t>
      </w:r>
    </w:p>
    <w:p>
      <w:pPr>
        <w:spacing w:after="0" w:line="218" w:lineRule="exact"/>
        <w:rPr>
          <w:sz w:val="20"/>
          <w:szCs w:val="20"/>
          <w:color w:val="auto"/>
        </w:rPr>
      </w:pPr>
    </w:p>
    <w:p>
      <w:pPr>
        <w:ind w:right="1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4" w:lineRule="exact"/>
        <w:rPr>
          <w:sz w:val="20"/>
          <w:szCs w:val="20"/>
          <w:color w:val="auto"/>
        </w:rPr>
      </w:pPr>
    </w:p>
    <w:p>
      <w:pPr>
        <w:ind w:right="6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4" w:lineRule="exact"/>
        <w:rPr>
          <w:sz w:val="20"/>
          <w:szCs w:val="20"/>
          <w:color w:val="auto"/>
        </w:rPr>
      </w:pPr>
    </w:p>
    <w:p>
      <w:pPr>
        <w:ind w:right="1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20"/>
          </w:cols>
          <w:pgMar w:left="540" w:top="267" w:right="539" w:bottom="1440" w:gutter="0" w:footer="0" w:header="0"/>
        </w:sectPr>
      </w:pPr>
    </w:p>
    <w:bookmarkStart w:id="24" w:name="page25"/>
    <w:bookmarkEnd w:id="24"/>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18" w:lineRule="exact"/>
        <w:rPr>
          <w:sz w:val="20"/>
          <w:szCs w:val="20"/>
          <w:color w:val="auto"/>
        </w:rPr>
      </w:pPr>
    </w:p>
    <w:p>
      <w:pPr>
        <w:ind w:left="8" w:right="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ind w:left="8" w:firstLine="974"/>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Default</w:t>
      </w:r>
      <w:r>
        <w:rPr>
          <w:rFonts w:ascii="Times New Roman" w:cs="Times New Roman" w:eastAsia="Times New Roman" w:hAnsi="Times New Roman"/>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8" w:lineRule="exact"/>
        <w:rPr>
          <w:sz w:val="20"/>
          <w:szCs w:val="20"/>
          <w:color w:val="auto"/>
        </w:rPr>
      </w:pPr>
    </w:p>
    <w:p>
      <w:pPr>
        <w:ind w:left="8" w:right="280" w:hanging="8"/>
        <w:spacing w:after="0" w:line="249" w:lineRule="auto"/>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85" w:lineRule="exact"/>
        <w:rPr>
          <w:sz w:val="20"/>
          <w:szCs w:val="20"/>
          <w:color w:val="auto"/>
        </w:rPr>
      </w:pPr>
    </w:p>
    <w:p>
      <w:pPr>
        <w:ind w:left="8" w:right="6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4" w:lineRule="exact"/>
        <w:rPr>
          <w:sz w:val="20"/>
          <w:szCs w:val="20"/>
          <w:color w:val="auto"/>
        </w:rPr>
      </w:pPr>
    </w:p>
    <w:p>
      <w:pPr>
        <w:ind w:left="8" w:right="70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EURIBOR Rate</w:t>
      </w:r>
      <w:r>
        <w:rPr>
          <w:rFonts w:ascii="Times New Roman" w:cs="Times New Roman" w:eastAsia="Times New Roman" w:hAnsi="Times New Roman"/>
          <w:sz w:val="17"/>
          <w:szCs w:val="17"/>
          <w:color w:val="auto"/>
        </w:rPr>
        <w:t>” means, with respect to any Term Benchmark Borrowing denominated in Euros and for any Interest Period, the EURIBOR Screen Rate at approximately 11:00 a.m., Brussels time, two TARGET Days prior to the commencement of such Interest Period.</w:t>
      </w:r>
    </w:p>
    <w:p>
      <w:pPr>
        <w:spacing w:after="0" w:line="142" w:lineRule="exact"/>
        <w:rPr>
          <w:sz w:val="20"/>
          <w:szCs w:val="20"/>
          <w:color w:val="auto"/>
        </w:rPr>
      </w:pPr>
    </w:p>
    <w:p>
      <w:pPr>
        <w:ind w:left="8" w:right="24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Company. If the EURIBOR Screen Rate shall be less than zero, the EURIBOR Screen Rate shall be deemed to be zero for purposes of this Agreement.</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Participating Member States.</w:t>
      </w:r>
    </w:p>
    <w:p>
      <w:pPr>
        <w:spacing w:after="0" w:line="218" w:lineRule="exact"/>
        <w:rPr>
          <w:sz w:val="20"/>
          <w:szCs w:val="20"/>
          <w:color w:val="auto"/>
        </w:rPr>
      </w:pPr>
    </w:p>
    <w:p>
      <w:pPr>
        <w:ind w:left="8" w:right="3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15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8"/>
          </w:cols>
          <w:pgMar w:left="532" w:top="267" w:right="559" w:bottom="1440" w:gutter="0" w:footer="0" w:header="0"/>
        </w:sectPr>
      </w:pPr>
    </w:p>
    <w:bookmarkStart w:id="25" w:name="page26"/>
    <w:bookmarkEnd w:id="25"/>
    <w:p>
      <w:pPr>
        <w:ind w:left="8" w:firstLine="97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90"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5" w:lineRule="exact"/>
        <w:rPr>
          <w:sz w:val="20"/>
          <w:szCs w:val="20"/>
          <w:color w:val="auto"/>
        </w:rPr>
      </w:pPr>
    </w:p>
    <w:p>
      <w:pPr>
        <w:ind w:left="8" w:right="80" w:hanging="8"/>
        <w:spacing w:after="0" w:line="260" w:lineRule="auto"/>
        <w:tabs>
          <w:tab w:leader="none" w:pos="21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spacing w:after="0" w:line="3" w:lineRule="exact"/>
        <w:rPr>
          <w:rFonts w:ascii="Times New Roman" w:cs="Times New Roman" w:eastAsia="Times New Roman" w:hAnsi="Times New Roman"/>
          <w:sz w:val="17"/>
          <w:szCs w:val="17"/>
          <w:color w:val="auto"/>
        </w:rPr>
      </w:pPr>
    </w:p>
    <w:p>
      <w:pPr>
        <w:ind w:left="8" w:right="80" w:hanging="8"/>
        <w:spacing w:after="0" w:line="247" w:lineRule="auto"/>
        <w:tabs>
          <w:tab w:leader="none" w:pos="2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provided,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means the businesses and/or Subsidiaries indicated on Schedule 1.1E.</w:t>
      </w:r>
    </w:p>
    <w:p>
      <w:pPr>
        <w:spacing w:after="0" w:line="218" w:lineRule="exact"/>
        <w:rPr>
          <w:sz w:val="20"/>
          <w:szCs w:val="20"/>
          <w:color w:val="auto"/>
        </w:rPr>
      </w:pPr>
    </w:p>
    <w:p>
      <w:pPr>
        <w:ind w:left="8" w:right="20" w:firstLine="97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(b) any branch profit Taxes imposed by the United States or any similar Tax imposed by any other Governmental Authority in a jurisdiction described in clause</w:t>
      </w:r>
    </w:p>
    <w:p>
      <w:pPr>
        <w:spacing w:after="0" w:line="3" w:lineRule="exact"/>
        <w:rPr>
          <w:sz w:val="20"/>
          <w:szCs w:val="20"/>
          <w:color w:val="auto"/>
        </w:rPr>
      </w:pPr>
    </w:p>
    <w:p>
      <w:pPr>
        <w:ind w:left="8" w:right="100" w:hanging="8"/>
        <w:spacing w:after="0" w:line="264" w:lineRule="auto"/>
        <w:tabs>
          <w:tab w:leader="none" w:pos="24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2.22) or (ii) such Lender changes its Applicable Lending Office, except in each case to the extent that, pursuant to Section 2.19, amounts with respect to such Taxes were payable either to such Lender’s assignor immediately before such Lender became a party hereto or to such Lender immediately before it changed its lending office, (d) Taxes attributable to such Recipient’s failure to comply with Section 2.19(d) to the extent such Recipient is legally entitled to so comply and (e) any Taxes imposed under FATCA.</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28"/>
          </w:cols>
          <w:pgMar w:left="532" w:top="267" w:right="539" w:bottom="1440" w:gutter="0" w:footer="0" w:header="0"/>
        </w:sectPr>
      </w:pPr>
    </w:p>
    <w:bookmarkStart w:id="26" w:name="page27"/>
    <w:bookmarkEnd w:id="2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Five Year Credit Agreement</w:t>
      </w:r>
      <w:r>
        <w:rPr>
          <w:rFonts w:ascii="Times New Roman" w:cs="Times New Roman" w:eastAsia="Times New Roman" w:hAnsi="Times New Roman"/>
          <w:sz w:val="18"/>
          <w:szCs w:val="18"/>
          <w:color w:val="auto"/>
        </w:rPr>
        <w:t>” has the meaning assigned to such term in the recitals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means any “Loan” under and as defined in the Existing Five Year Credit Agreement.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Required Lenders</w:t>
      </w:r>
      <w:r>
        <w:rPr>
          <w:rFonts w:ascii="Times New Roman" w:cs="Times New Roman" w:eastAsia="Times New Roman" w:hAnsi="Times New Roman"/>
          <w:sz w:val="18"/>
          <w:szCs w:val="18"/>
          <w:color w:val="auto"/>
        </w:rPr>
        <w:t>” means the “Required Lenders” under and as defined in the Existing Five Year Credit Agreement.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assigned to such term in Section 2.27(a).</w:t>
      </w:r>
    </w:p>
    <w:p>
      <w:pPr>
        <w:spacing w:after="0" w:line="218" w:lineRule="exact"/>
        <w:rPr>
          <w:sz w:val="20"/>
          <w:szCs w:val="20"/>
          <w:color w:val="auto"/>
        </w:rPr>
      </w:pPr>
    </w:p>
    <w:p>
      <w:pPr>
        <w:ind w:right="180" w:firstLine="974"/>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Extensions of Credit</w:t>
      </w:r>
      <w:r>
        <w:rPr>
          <w:rFonts w:ascii="Times New Roman" w:cs="Times New Roman" w:eastAsia="Times New Roman" w:hAnsi="Times New Roman"/>
          <w:sz w:val="17"/>
          <w:szCs w:val="17"/>
          <w:color w:val="auto"/>
        </w:rPr>
        <w:t>” means, (a) as to any Domestic Lender, such Lender’s Domestic Extensions of Credit and (b)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each of (a) the Domestic Facility, (b) the Multicurrency Facility, (c) any New Local Facility and (d) any Incremental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assigned to such term in Section 2.8(a).</w:t>
      </w:r>
    </w:p>
    <w:p>
      <w:pPr>
        <w:spacing w:after="0" w:line="218"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 Rate</w:t>
      </w:r>
      <w:r>
        <w:rPr>
          <w:rFonts w:ascii="Times New Roman" w:cs="Times New Roman" w:eastAsia="Times New Roman" w:hAnsi="Times New Roman"/>
          <w:sz w:val="18"/>
          <w:szCs w:val="18"/>
          <w:color w:val="auto"/>
        </w:rPr>
        <w:t>” means, for any day relating to each of the Domestic Facility and the Multicurrency Facility, with respect to the Facility Fees payable hereunder, the applicable rate per annum set forth under the column heading “Facility Fee Rate” in the Applicable Pricing Grid, based upon the Applicable Rating in effect on such day.</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Rating</w:t>
      </w:r>
      <w:r>
        <w:rPr>
          <w:rFonts w:ascii="Times New Roman" w:cs="Times New Roman" w:eastAsia="Times New Roman" w:hAnsi="Times New Roman"/>
          <w:sz w:val="18"/>
          <w:szCs w:val="18"/>
          <w:color w:val="auto"/>
        </w:rPr>
        <w:t>” means, as of any date, the credit rating provided by Moody’s, S&amp;P or Fitch, as applicable, for the Facilities provided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198" w:lineRule="exact"/>
        <w:rPr>
          <w:sz w:val="20"/>
          <w:szCs w:val="20"/>
          <w:color w:val="auto"/>
        </w:rPr>
      </w:pPr>
    </w:p>
    <w:p>
      <w:pPr>
        <w:ind w:right="120" w:firstLine="97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0" w:lineRule="exact"/>
        <w:rPr>
          <w:sz w:val="20"/>
          <w:szCs w:val="20"/>
          <w:color w:val="auto"/>
        </w:rPr>
      </w:pPr>
    </w:p>
    <w:p>
      <w:pPr>
        <w:ind w:right="2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shall be less than zero, such rate shall be deemed to be zero for purposes of this Agreement.</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540" w:top="267" w:right="579" w:bottom="1440" w:gutter="0" w:footer="0" w:header="0"/>
        </w:sectPr>
      </w:pPr>
    </w:p>
    <w:bookmarkStart w:id="27" w:name="page28"/>
    <w:bookmarkEnd w:id="27"/>
    <w:p>
      <w:pPr>
        <w:ind w:right="22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means (a) the first day of each January, April, July and October (or, if any such day is not a Business Day, the next succeeding Business Day) and (b) the last day of the final Fee Payment Period.</w:t>
      </w:r>
    </w:p>
    <w:p>
      <w:pPr>
        <w:spacing w:after="0" w:line="164" w:lineRule="exact"/>
        <w:rPr>
          <w:sz w:val="20"/>
          <w:szCs w:val="20"/>
          <w:color w:val="auto"/>
        </w:rPr>
      </w:pPr>
    </w:p>
    <w:p>
      <w:pPr>
        <w:ind w:right="10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w:t>
      </w:r>
      <w:r>
        <w:rPr>
          <w:rFonts w:ascii="Times New Roman" w:cs="Times New Roman" w:eastAsia="Times New Roman" w:hAnsi="Times New Roman"/>
          <w:sz w:val="18"/>
          <w:szCs w:val="18"/>
          <w:color w:val="auto"/>
        </w:rPr>
        <w:t>”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 or Collateralized).</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 End Date</w:t>
      </w:r>
      <w:r>
        <w:rPr>
          <w:rFonts w:ascii="Times New Roman" w:cs="Times New Roman" w:eastAsia="Times New Roman" w:hAnsi="Times New Roman"/>
          <w:sz w:val="18"/>
          <w:szCs w:val="18"/>
          <w:color w:val="auto"/>
        </w:rPr>
        <w:t>” means the fifteenth day of each March, June, September and December of each year.</w:t>
      </w:r>
    </w:p>
    <w:p>
      <w:pPr>
        <w:spacing w:after="0" w:line="218"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Subsidiary</w:t>
      </w:r>
      <w:r>
        <w:rPr>
          <w:rFonts w:ascii="Times New Roman" w:cs="Times New Roman" w:eastAsia="Times New Roman" w:hAnsi="Times New Roman"/>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GMGTC shall not be considered a Finance Subsidiary.</w:t>
      </w:r>
    </w:p>
    <w:p>
      <w:pPr>
        <w:spacing w:after="0" w:line="182"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218"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Daily Simple SOFR, the Adjusted TIBOR Rate, the Adjusted EURIBOR Rate, the EURIBOR Rate, the Japanese Prime Rate or the Central Bank Rate, as applicable. For the avoidance of doubt the initial Floor for each of Adjusted Term SOFR Rate, the Adjusted Daily Simple SOFR, the Adjusted TIBOR Rate, the Adjusted EURIBOR Rate, the EURIBOR Rate, the Japanese Prime Rate or the Central Bank Rate shall be 0.00%.</w:t>
      </w:r>
    </w:p>
    <w:p>
      <w:pPr>
        <w:spacing w:after="0" w:line="182"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Borrower</w:t>
      </w:r>
      <w:r>
        <w:rPr>
          <w:rFonts w:ascii="Times New Roman" w:cs="Times New Roman" w:eastAsia="Times New Roman" w:hAnsi="Times New Roman"/>
          <w:sz w:val="18"/>
          <w:szCs w:val="18"/>
          <w:color w:val="auto"/>
        </w:rPr>
        <w:t>” means any Subsidiary Borrower that is not a Domestic Subsidiary.</w:t>
      </w:r>
    </w:p>
    <w:p>
      <w:pPr>
        <w:spacing w:after="0" w:line="218" w:lineRule="exact"/>
        <w:rPr>
          <w:sz w:val="20"/>
          <w:szCs w:val="20"/>
          <w:color w:val="auto"/>
        </w:rPr>
      </w:pPr>
    </w:p>
    <w:p>
      <w:pPr>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76" w:lineRule="exact"/>
        <w:rPr>
          <w:sz w:val="20"/>
          <w:szCs w:val="20"/>
          <w:color w:val="auto"/>
        </w:rPr>
      </w:pPr>
    </w:p>
    <w:p>
      <w:pPr>
        <w:ind w:right="2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80"/>
          </w:cols>
          <w:pgMar w:left="540" w:top="267" w:right="579" w:bottom="1440" w:gutter="0" w:footer="0" w:header="0"/>
        </w:sectPr>
      </w:pPr>
    </w:p>
    <w:bookmarkStart w:id="28" w:name="page29"/>
    <w:bookmarkEnd w:id="28"/>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w:t>
      </w:r>
      <w:r>
        <w:rPr>
          <w:rFonts w:ascii="Times New Roman" w:cs="Times New Roman" w:eastAsia="Times New Roman" w:hAnsi="Times New Roman"/>
          <w:sz w:val="18"/>
          <w:szCs w:val="18"/>
          <w:color w:val="auto"/>
        </w:rPr>
        <w:t>” means General Motors do Brasil Ltda., a Brazilian limited liability company.</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GMGTC</w:t>
      </w:r>
      <w:r>
        <w:rPr>
          <w:rFonts w:ascii="Times New Roman" w:cs="Times New Roman" w:eastAsia="Times New Roman" w:hAnsi="Times New Roman"/>
          <w:sz w:val="18"/>
          <w:szCs w:val="18"/>
          <w:color w:val="auto"/>
        </w:rPr>
        <w:t>” means GM Global Treasury Centre Limited, a private limited company incorporated under the laws of England and Wales.</w:t>
      </w:r>
    </w:p>
    <w:p>
      <w:pPr>
        <w:spacing w:after="0" w:line="218" w:lineRule="exact"/>
        <w:rPr>
          <w:sz w:val="20"/>
          <w:szCs w:val="20"/>
          <w:color w:val="auto"/>
        </w:rPr>
      </w:pPr>
    </w:p>
    <w:p>
      <w:pPr>
        <w:ind w:right="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76" w:lineRule="exact"/>
        <w:rPr>
          <w:sz w:val="20"/>
          <w:szCs w:val="20"/>
          <w:color w:val="auto"/>
        </w:rPr>
      </w:pPr>
    </w:p>
    <w:p>
      <w:pPr>
        <w:ind w:right="1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Fourth Amended and Restated Guarantee Agreement to be executed and delivered by the Company, substantially in the form of Exhibit A.</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18"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89" w:lineRule="exact"/>
        <w:rPr>
          <w:sz w:val="20"/>
          <w:szCs w:val="20"/>
          <w:color w:val="auto"/>
        </w:rPr>
      </w:pPr>
    </w:p>
    <w:p>
      <w:pPr>
        <w:ind w:right="7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Company (with respect to the Obligations of any Subsidiary Borrower) and any Subsidiary Guarantors (if applicable). For the avoidance of doubt, GM Holdings does not and shall not constitute a Guarantor.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00"/>
          </w:cols>
          <w:pgMar w:left="540" w:top="267" w:right="559" w:bottom="1440" w:gutter="0" w:footer="0" w:header="0"/>
        </w:sectPr>
      </w:pPr>
    </w:p>
    <w:bookmarkStart w:id="29" w:name="page30"/>
    <w:bookmarkEnd w:id="29"/>
    <w:p>
      <w:pPr>
        <w:ind w:right="40" w:firstLine="97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87"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2" w:lineRule="exact"/>
        <w:rPr>
          <w:sz w:val="20"/>
          <w:szCs w:val="20"/>
          <w:color w:val="auto"/>
        </w:rPr>
      </w:pPr>
    </w:p>
    <w:p>
      <w:pPr>
        <w:ind w:right="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means any series of Incremental Commitments (other than any Commitment Increase) and the extensions of credit thereunder as provided in any Incremental Loan Activation Notice.</w:t>
      </w:r>
    </w:p>
    <w:p>
      <w:pPr>
        <w:spacing w:after="0" w:line="164"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64" w:lineRule="exact"/>
        <w:rPr>
          <w:sz w:val="20"/>
          <w:szCs w:val="20"/>
          <w:color w:val="auto"/>
        </w:rPr>
      </w:pPr>
    </w:p>
    <w:p>
      <w:pPr>
        <w:ind w:right="100" w:firstLine="974"/>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Lender</w:t>
      </w:r>
      <w:r>
        <w:rPr>
          <w:rFonts w:ascii="Times New Roman" w:cs="Times New Roman" w:eastAsia="Times New Roman" w:hAnsi="Times New Roman"/>
          <w:sz w:val="17"/>
          <w:szCs w:val="17"/>
          <w:color w:val="auto"/>
        </w:rPr>
        <w:t>” means (a) any Lender designated by the Company (in the case of a Commitment Increase with respect to the Domestic Facility, with the consent of each Material Issuing Lender (unless such Lender is (A) a Domestic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Domestic Facility, each Material Issuing Lender at such time (such consents not to be unreasonably withheld), and (c) each Lender which has made, or acquired pursuant to an assignment made in accordance with Section 10.6, an Incremental Commitment.</w:t>
      </w:r>
    </w:p>
    <w:p>
      <w:pPr>
        <w:spacing w:after="0" w:line="17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Activation Notice</w:t>
      </w:r>
      <w:r>
        <w:rPr>
          <w:rFonts w:ascii="Times New Roman" w:cs="Times New Roman" w:eastAsia="Times New Roman" w:hAnsi="Times New Roman"/>
          <w:sz w:val="18"/>
          <w:szCs w:val="18"/>
          <w:color w:val="auto"/>
        </w:rPr>
        <w:t>” means a notice substantially in the form of Exhibit E.</w:t>
      </w:r>
    </w:p>
    <w:p>
      <w:pPr>
        <w:spacing w:after="0" w:line="218" w:lineRule="exact"/>
        <w:rPr>
          <w:sz w:val="20"/>
          <w:szCs w:val="20"/>
          <w:color w:val="auto"/>
        </w:rPr>
      </w:pPr>
    </w:p>
    <w:p>
      <w:pPr>
        <w:ind w:right="2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Maturity Date</w:t>
      </w:r>
      <w:r>
        <w:rPr>
          <w:rFonts w:ascii="Times New Roman" w:cs="Times New Roman" w:eastAsia="Times New Roman" w:hAnsi="Times New Roman"/>
          <w:sz w:val="18"/>
          <w:szCs w:val="18"/>
          <w:color w:val="auto"/>
        </w:rPr>
        <w:t>” means, as to any Incremental Facility, the maturity date specified in the Incremental Loan Activation Notice relating thereto.</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has the meaning assigned to such term in Section 2.26(b).</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00"/>
          </w:cols>
          <w:pgMar w:left="540" w:top="267" w:right="559" w:bottom="1440" w:gutter="0" w:footer="0" w:header="0"/>
        </w:sectPr>
      </w:pPr>
    </w:p>
    <w:bookmarkStart w:id="30" w:name="page31"/>
    <w:bookmarkEnd w:id="30"/>
    <w:p>
      <w:pPr>
        <w:ind w:left="8" w:firstLine="974"/>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spacing w:after="0" w:line="4" w:lineRule="exact"/>
        <w:rPr>
          <w:sz w:val="20"/>
          <w:szCs w:val="20"/>
          <w:color w:val="auto"/>
        </w:rPr>
      </w:pPr>
    </w:p>
    <w:p>
      <w:pPr>
        <w:ind w:left="8" w:right="120" w:hanging="8"/>
        <w:spacing w:after="0" w:line="248" w:lineRule="auto"/>
        <w:tabs>
          <w:tab w:leader="none" w:pos="2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w:t>
      </w:r>
    </w:p>
    <w:p>
      <w:pPr>
        <w:spacing w:after="0" w:line="218" w:lineRule="exact"/>
        <w:rPr>
          <w:sz w:val="20"/>
          <w:szCs w:val="20"/>
          <w:color w:val="auto"/>
        </w:rPr>
      </w:pPr>
    </w:p>
    <w:p>
      <w:pPr>
        <w:ind w:left="8" w:right="20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4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w:t>
      </w:r>
    </w:p>
    <w:p>
      <w:pPr>
        <w:spacing w:after="0" w:line="218" w:lineRule="exact"/>
        <w:rPr>
          <w:sz w:val="20"/>
          <w:szCs w:val="20"/>
          <w:color w:val="auto"/>
        </w:rPr>
      </w:pPr>
    </w:p>
    <w:p>
      <w:pPr>
        <w:ind w:left="8" w:right="3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164"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5" w:lineRule="exact"/>
        <w:rPr>
          <w:sz w:val="20"/>
          <w:szCs w:val="20"/>
          <w:color w:val="auto"/>
        </w:rPr>
      </w:pPr>
    </w:p>
    <w:p>
      <w:pPr>
        <w:ind w:left="8"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xml:space="preserve">” means each Subsidiary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8"/>
          </w:cols>
          <w:pgMar w:left="532" w:top="267" w:right="579" w:bottom="1440" w:gutter="0" w:footer="0" w:header="0"/>
        </w:sectPr>
      </w:pPr>
    </w:p>
    <w:bookmarkStart w:id="31" w:name="page32"/>
    <w:bookmarkEnd w:id="31"/>
    <w:p>
      <w:pPr>
        <w:ind w:right="20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2" w:lineRule="exact"/>
        <w:rPr>
          <w:sz w:val="20"/>
          <w:szCs w:val="20"/>
          <w:color w:val="auto"/>
        </w:rPr>
      </w:pPr>
    </w:p>
    <w:p>
      <w:pPr>
        <w:ind w:right="8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 Section 2.12, which shall be in a form approved by the Administrative Agent.</w:t>
      </w:r>
    </w:p>
    <w:p>
      <w:pPr>
        <w:spacing w:after="0" w:line="164" w:lineRule="exact"/>
        <w:rPr>
          <w:sz w:val="20"/>
          <w:szCs w:val="20"/>
          <w:color w:val="auto"/>
        </w:rPr>
      </w:pPr>
    </w:p>
    <w:p>
      <w:pPr>
        <w:ind w:right="4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and (2) the Termination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Termination Date and (d) as to any Loan, the date of any repayment or prepayment made in respect thereof (to the extent of such repayment or prepayment).</w:t>
      </w:r>
    </w:p>
    <w:p>
      <w:pPr>
        <w:spacing w:after="0" w:line="187"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for any Currency), as selected by the Company or relevant Subsidiary Borrower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for any Currency), as selected by the Company or relevant Subsidiary Borrower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97" w:lineRule="exact"/>
        <w:rPr>
          <w:sz w:val="20"/>
          <w:szCs w:val="20"/>
          <w:color w:val="auto"/>
        </w:rPr>
      </w:pPr>
    </w:p>
    <w:p>
      <w:pPr>
        <w:ind w:left="1380" w:right="200" w:hanging="420"/>
        <w:spacing w:after="0" w:line="260"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83" w:lineRule="exact"/>
        <w:rPr>
          <w:rFonts w:ascii="Times New Roman" w:cs="Times New Roman" w:eastAsia="Times New Roman" w:hAnsi="Times New Roman"/>
          <w:sz w:val="18"/>
          <w:szCs w:val="18"/>
          <w:color w:val="auto"/>
        </w:rPr>
      </w:pPr>
    </w:p>
    <w:p>
      <w:pPr>
        <w:ind w:left="1380" w:right="40" w:hanging="420"/>
        <w:spacing w:after="0" w:line="274"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71" w:lineRule="exact"/>
        <w:rPr>
          <w:rFonts w:ascii="Times New Roman" w:cs="Times New Roman" w:eastAsia="Times New Roman" w:hAnsi="Times New Roman"/>
          <w:sz w:val="18"/>
          <w:szCs w:val="18"/>
          <w:color w:val="auto"/>
        </w:rPr>
      </w:pPr>
    </w:p>
    <w:p>
      <w:pPr>
        <w:ind w:left="1380" w:right="140" w:hanging="420"/>
        <w:spacing w:after="0" w:line="304" w:lineRule="auto"/>
        <w:tabs>
          <w:tab w:leader="none" w:pos="13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00"/>
          </w:cols>
          <w:pgMar w:left="540" w:top="267" w:right="559" w:bottom="1440" w:gutter="0" w:footer="0" w:header="0"/>
        </w:sectPr>
      </w:pPr>
    </w:p>
    <w:bookmarkStart w:id="32" w:name="page33"/>
    <w:bookmarkEnd w:id="32"/>
    <w:p>
      <w:pPr>
        <w:ind w:left="1380" w:hanging="420"/>
        <w:spacing w:after="0" w:line="282" w:lineRule="auto"/>
        <w:tabs>
          <w:tab w:leader="none" w:pos="1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 tenor that has been removed from this definition pursuant to Section 2.16(e)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18"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(1998), International Chamber of Commerce Publication No. 590 and any subsequent revision thereof adhered to by the Issuing Lenders.</w:t>
      </w:r>
    </w:p>
    <w:p>
      <w:pPr>
        <w:spacing w:after="0" w:line="164"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means, with respect to a Letter of Credit, the Lender or the Applicable Lending Office thereof that is requested to issue, or that issues, such Letter of Credit pursuant to an L/C Commitment. For the avoidance of doubt, each party hereto acknowledges that, subject to the ability of the Company to add Issuing Lenders pursuant to Section 3.10 following the Closing Date, as of the Closing Date no Lender or any Applicable Lending Office thereof is an Issuing Lender.</w:t>
      </w:r>
    </w:p>
    <w:p>
      <w:pPr>
        <w:spacing w:after="0" w:line="178" w:lineRule="exact"/>
        <w:rPr>
          <w:sz w:val="20"/>
          <w:szCs w:val="20"/>
          <w:color w:val="auto"/>
        </w:rPr>
      </w:pPr>
    </w:p>
    <w:p>
      <w:pPr>
        <w:ind w:right="520" w:firstLine="974"/>
        <w:spacing w:after="0" w:line="27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means for any Loan denominated in Yen the greater of (a) (i) the Japanese local bank prime rate plus (ii) the Japanese Prime Rate Adjustment and (b) the Floor.</w:t>
      </w:r>
    </w:p>
    <w:p>
      <w:pPr>
        <w:spacing w:after="0" w:line="159"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 Adjustment</w:t>
      </w:r>
      <w:r>
        <w:rPr>
          <w:rFonts w:ascii="Times New Roman" w:cs="Times New Roman" w:eastAsia="Times New Roman" w:hAnsi="Times New Roman"/>
          <w:sz w:val="18"/>
          <w:szCs w:val="18"/>
          <w:color w:val="auto"/>
        </w:rPr>
        <w:t>” means, for any day, for any Loan denominated in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Japanese Prime Rate in effect on the last Business Day in such period. For purposes of this definition, the TIBOR Rate on any day shall be based on the TIBOR Screen Rate on such day at approximately the time referred to in the definition of such term for deposits in Yen for a maturity of one month.</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means the official currency of Japan.</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18" w:lineRule="exact"/>
        <w:rPr>
          <w:sz w:val="20"/>
          <w:szCs w:val="20"/>
          <w:color w:val="auto"/>
        </w:rPr>
      </w:pPr>
    </w:p>
    <w:p>
      <w:pPr>
        <w:ind w:right="12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as to any Lender (or Applicable Lending Office thereof), the obligation of such Person to issue Letters of Credit pursuant to Section 3 in an aggregate Outstanding Amount at any time not to exceed the amount set forth under the heading “L/C Commitment” opposite such Person’s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becomes a party thereto, in each case, as the same may be changed from time to time pursuant to the terms hereof, including Section 3.10. For the avoidance of doubt, each party hereto acknowledges that, subject to the ability of the Company to add Issuing Lenders pursuant to Section 3.10 following the Closing Date, as of the Closing Date no Lender or any Applicable Lending Office thereof has an L/C Commitment.</w:t>
      </w:r>
    </w:p>
    <w:p>
      <w:pPr>
        <w:spacing w:after="0" w:line="187"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at any time, the Dollar Equivalent of the aggregate Outstanding Amount of all Letters of Credit, after giving effect to Section 3.9.</w:t>
      </w:r>
    </w:p>
    <w:p>
      <w:pPr>
        <w:spacing w:after="0" w:line="164" w:lineRule="exact"/>
        <w:rPr>
          <w:sz w:val="20"/>
          <w:szCs w:val="20"/>
          <w:color w:val="auto"/>
        </w:rPr>
      </w:pPr>
    </w:p>
    <w:p>
      <w:pPr>
        <w:ind w:right="1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Participants</w:t>
      </w:r>
      <w:r>
        <w:rPr>
          <w:rFonts w:ascii="Times New Roman" w:cs="Times New Roman" w:eastAsia="Times New Roman" w:hAnsi="Times New Roman"/>
          <w:sz w:val="18"/>
          <w:szCs w:val="18"/>
          <w:color w:val="auto"/>
        </w:rPr>
        <w:t>” means, with respect to any Letter of Credit issued by an Issuing Lender, the collective reference to all of the Domestic Lenders (other than the Issuing Lender with respect to such Letter of Credit).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00"/>
          </w:cols>
          <w:pgMar w:left="540" w:top="267" w:right="559" w:bottom="1440" w:gutter="0" w:footer="0" w:header="0"/>
        </w:sectPr>
      </w:pPr>
    </w:p>
    <w:bookmarkStart w:id="33" w:name="page34"/>
    <w:bookmarkEnd w:id="33"/>
    <w:p>
      <w:pPr>
        <w:ind w:right="24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xml:space="preserve">” means, at the time of determination, the lesser of (i) $500 million or (ii) the Total Domestic Commitment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from time to time, the Company may increase the L/C Sublimit by notice to the Administrative Agent.</w:t>
      </w:r>
    </w:p>
    <w:p>
      <w:pPr>
        <w:spacing w:after="0" w:line="164"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7"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 and shall include, individually and in the aggregate, the Domestic Lenders, the Issuing Lenders and the Multicurrency Lenders. To the extent any Incremental Facility or New Local Facility is established, “Lenders” shall, to the extent appropriate, include any Lender under such Facilities.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has the meaning assigned to such term in Section 3.1(a), after giving effect to Section 3.9.</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has the meaning assigned to such term in Section 3.3.</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liabilities of any kind.</w:t>
      </w:r>
    </w:p>
    <w:p>
      <w:pPr>
        <w:spacing w:after="0" w:line="218" w:lineRule="exact"/>
        <w:rPr>
          <w:sz w:val="20"/>
          <w:szCs w:val="20"/>
          <w:color w:val="auto"/>
        </w:rPr>
      </w:pPr>
    </w:p>
    <w:p>
      <w:pPr>
        <w:ind w:right="4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164"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Guarantee, the Notes, each Borrower Joinder Agreement, each Guarantee Joinder and any amendment, waiver, supplement or other modification to any of the foregoing.</w:t>
      </w:r>
    </w:p>
    <w:p>
      <w:pPr>
        <w:spacing w:after="0" w:line="164"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collectively, the Company, each Subsidiary Borrower and each Subsidiary Guarantor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76"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 including Domestic Loans and Multicurrency Loans. To the extent any Incremental Facility or New Local Facility is established, “Loans” shall, to the extent appropriate, include Loans made under such Facilities.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Facility Amendment</w:t>
      </w:r>
      <w:r>
        <w:rPr>
          <w:rFonts w:ascii="Times New Roman" w:cs="Times New Roman" w:eastAsia="Times New Roman" w:hAnsi="Times New Roman"/>
          <w:sz w:val="18"/>
          <w:szCs w:val="18"/>
          <w:color w:val="auto"/>
        </w:rPr>
        <w:t>” has the meaning assigned to such term in Section 2.25(a).</w:t>
      </w:r>
    </w:p>
    <w:p>
      <w:pPr>
        <w:spacing w:after="0" w:line="218" w:lineRule="exact"/>
        <w:rPr>
          <w:sz w:val="20"/>
          <w:szCs w:val="20"/>
          <w:color w:val="auto"/>
        </w:rPr>
      </w:pPr>
    </w:p>
    <w:p>
      <w:pPr>
        <w:jc w:val="both"/>
        <w:ind w:right="1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New York City time in the case of a Loan or other disbursement denominated in Dollars and (ii) London time in the case of a Loan or other disbursement denominated in an Optional Currency (or any such other local time as otherwise notified to or communicated by the Administrative Agent).</w:t>
      </w:r>
    </w:p>
    <w:p>
      <w:pPr>
        <w:spacing w:after="0" w:line="176" w:lineRule="exact"/>
        <w:rPr>
          <w:sz w:val="20"/>
          <w:szCs w:val="20"/>
          <w:color w:val="auto"/>
        </w:rPr>
      </w:pPr>
    </w:p>
    <w:p>
      <w:pPr>
        <w:ind w:right="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thereunder).</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80"/>
          </w:cols>
          <w:pgMar w:left="540" w:top="267" w:right="579" w:bottom="1440" w:gutter="0" w:footer="0" w:header="0"/>
        </w:sectPr>
      </w:pPr>
    </w:p>
    <w:bookmarkStart w:id="34" w:name="page35"/>
    <w:bookmarkEnd w:id="34"/>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right="4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Indebtedness</w:t>
      </w:r>
      <w:r>
        <w:rPr>
          <w:rFonts w:ascii="Times New Roman" w:cs="Times New Roman" w:eastAsia="Times New Roman" w:hAnsi="Times New Roman"/>
          <w:sz w:val="17"/>
          <w:szCs w:val="17"/>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Issuing Lender</w:t>
      </w:r>
      <w:r>
        <w:rPr>
          <w:rFonts w:ascii="Times New Roman" w:cs="Times New Roman" w:eastAsia="Times New Roman" w:hAnsi="Times New Roman"/>
          <w:sz w:val="18"/>
          <w:szCs w:val="18"/>
          <w:color w:val="auto"/>
        </w:rPr>
        <w:t>” means any Issuing Lender with an L/C Commitment of $200 million or more.</w:t>
      </w:r>
    </w:p>
    <w:p>
      <w:pPr>
        <w:spacing w:after="0" w:line="218"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the Company and (b) any Subsidiary Guarantor (if any) that, at the time of determination, has Consolidated Total Assets equal to at least 10% of the Consolidated Total Assets of the Company at such time, as reflected initially in the 2022 10-K and thereafter in the most recent annual consolidated financial statements of the Company delivered or deemed delivered pursuant to Section 6.1.</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10.23.</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18"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Commitment</w:t>
      </w:r>
      <w:r>
        <w:rPr>
          <w:rFonts w:ascii="Times New Roman" w:cs="Times New Roman" w:eastAsia="Times New Roman" w:hAnsi="Times New Roman"/>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w:t>
      </w:r>
    </w:p>
    <w:p>
      <w:pPr>
        <w:spacing w:after="0" w:line="182"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Extensions of Credit</w:t>
      </w:r>
      <w:r>
        <w:rPr>
          <w:rFonts w:ascii="Times New Roman" w:cs="Times New Roman" w:eastAsia="Times New Roman" w:hAnsi="Times New Roman"/>
          <w:sz w:val="18"/>
          <w:szCs w:val="18"/>
          <w:color w:val="auto"/>
        </w:rPr>
        <w:t>” means, as to any Multicurrency Lender at any time, an amount equal to the Dollar Equivalent of the aggregate principal amount of all Multicurrency Loans held by such Lender then outstanding.</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Facility</w:t>
      </w:r>
      <w:r>
        <w:rPr>
          <w:rFonts w:ascii="Times New Roman" w:cs="Times New Roman" w:eastAsia="Times New Roman" w:hAnsi="Times New Roman"/>
          <w:sz w:val="18"/>
          <w:szCs w:val="18"/>
          <w:color w:val="auto"/>
        </w:rPr>
        <w:t>” means the Multicurrency Commitments and the extensions of credit made thereunder.</w:t>
      </w:r>
    </w:p>
    <w:p>
      <w:pPr>
        <w:spacing w:after="0" w:line="218" w:lineRule="exact"/>
        <w:rPr>
          <w:sz w:val="20"/>
          <w:szCs w:val="20"/>
          <w:color w:val="auto"/>
        </w:rPr>
      </w:pPr>
    </w:p>
    <w:p>
      <w:pPr>
        <w:ind w:right="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Lender</w:t>
      </w:r>
      <w:r>
        <w:rPr>
          <w:rFonts w:ascii="Times New Roman" w:cs="Times New Roman" w:eastAsia="Times New Roman" w:hAnsi="Times New Roman"/>
          <w:sz w:val="18"/>
          <w:szCs w:val="18"/>
          <w:color w:val="auto"/>
        </w:rPr>
        <w:t>” means each Lender that has a Multicurrency Commitment or that holds Multicurrency Loans or other Loans made under the Multicurrency Facility.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20"/>
          </w:cols>
          <w:pgMar w:left="540" w:top="267" w:right="539" w:bottom="1440" w:gutter="0" w:footer="0" w:header="0"/>
        </w:sectPr>
      </w:pPr>
    </w:p>
    <w:bookmarkStart w:id="35" w:name="page36"/>
    <w:bookmarkEnd w:id="35"/>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Multicurrency Loans</w:t>
      </w:r>
      <w:r>
        <w:rPr>
          <w:rFonts w:ascii="Times New Roman" w:cs="Times New Roman" w:eastAsia="Times New Roman" w:hAnsi="Times New Roman"/>
          <w:sz w:val="18"/>
          <w:szCs w:val="18"/>
          <w:color w:val="auto"/>
        </w:rPr>
        <w:t>” has the meaning assigned to such term in Section 2.3.</w:t>
      </w:r>
    </w:p>
    <w:p>
      <w:pPr>
        <w:spacing w:after="0" w:line="218"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Percentage</w:t>
      </w:r>
      <w:r>
        <w:rPr>
          <w:rFonts w:ascii="Times New Roman" w:cs="Times New Roman" w:eastAsia="Times New Roman" w:hAnsi="Times New Roman"/>
          <w:sz w:val="18"/>
          <w:szCs w:val="18"/>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of such Lender then outstanding constitutes of the aggregate Outstanding Amount of Multicurrency Extensions of Credit of the Multicurrency Lenders then outstanding.</w:t>
      </w:r>
    </w:p>
    <w:p>
      <w:pPr>
        <w:spacing w:after="0" w:line="182" w:lineRule="exact"/>
        <w:rPr>
          <w:sz w:val="20"/>
          <w:szCs w:val="20"/>
          <w:color w:val="auto"/>
        </w:rPr>
      </w:pPr>
    </w:p>
    <w:p>
      <w:pPr>
        <w:ind w:right="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Local Facility</w:t>
      </w:r>
      <w:r>
        <w:rPr>
          <w:rFonts w:ascii="Times New Roman" w:cs="Times New Roman" w:eastAsia="Times New Roman" w:hAnsi="Times New Roman"/>
          <w:sz w:val="18"/>
          <w:szCs w:val="18"/>
          <w:color w:val="auto"/>
        </w:rPr>
        <w:t>” has the meaning assigned to such term in Section 2.25(a).</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Local Facility Lender</w:t>
      </w:r>
      <w:r>
        <w:rPr>
          <w:rFonts w:ascii="Times New Roman" w:cs="Times New Roman" w:eastAsia="Times New Roman" w:hAnsi="Times New Roman"/>
          <w:sz w:val="18"/>
          <w:szCs w:val="18"/>
          <w:color w:val="auto"/>
        </w:rPr>
        <w:t>” has the meaning assigned to such term in Section 2.25(a).</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assigned to such term in Section 2.27(b).</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that is not a U.S. Person.</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Section 2.17(g).</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18"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2" w:lineRule="exact"/>
        <w:rPr>
          <w:sz w:val="20"/>
          <w:szCs w:val="20"/>
          <w:color w:val="auto"/>
        </w:rPr>
      </w:pPr>
    </w:p>
    <w:p>
      <w:pPr>
        <w:ind w:right="60" w:firstLine="974"/>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60"/>
          </w:cols>
          <w:pgMar w:left="540" w:top="267" w:right="599" w:bottom="1440" w:gutter="0" w:footer="0" w:header="0"/>
        </w:sectPr>
      </w:pPr>
    </w:p>
    <w:bookmarkStart w:id="36" w:name="page37"/>
    <w:bookmarkEnd w:id="36"/>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18" w:lineRule="exact"/>
        <w:rPr>
          <w:sz w:val="20"/>
          <w:szCs w:val="20"/>
          <w:color w:val="auto"/>
        </w:rPr>
      </w:pPr>
    </w:p>
    <w:p>
      <w:pPr>
        <w:jc w:val="both"/>
        <w:ind w:left="8" w:right="6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Currency</w:t>
      </w:r>
      <w:r>
        <w:rPr>
          <w:rFonts w:ascii="Times New Roman" w:cs="Times New Roman" w:eastAsia="Times New Roman" w:hAnsi="Times New Roman"/>
          <w:sz w:val="18"/>
          <w:szCs w:val="18"/>
          <w:color w:val="auto"/>
        </w:rPr>
        <w:t>” means, with respect to Loans or Letters of Credit made under each Facility (other than the Domestic Facility), at any time, Euro, Japanese Yen and such other lawful currencies which are not restricted and freely convertible into Dollars and are freely traded and readily available with the consent of the Administrative Agent and the Lenders under the applicable Facility (or, in the case of Letters of Credit, the applicable Issuing Lender).</w:t>
      </w:r>
    </w:p>
    <w:p>
      <w:pPr>
        <w:spacing w:after="0" w:line="182" w:lineRule="exact"/>
        <w:rPr>
          <w:sz w:val="20"/>
          <w:szCs w:val="20"/>
          <w:color w:val="auto"/>
        </w:rPr>
      </w:pPr>
    </w:p>
    <w:p>
      <w:pPr>
        <w:ind w:left="8" w:firstLine="974"/>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Optional Currency Equivalent</w:t>
      </w:r>
      <w:r>
        <w:rPr>
          <w:rFonts w:ascii="Times New Roman" w:cs="Times New Roman" w:eastAsia="Times New Roman" w:hAnsi="Times New Roman"/>
          <w:sz w:val="17"/>
          <w:szCs w:val="17"/>
          <w:color w:val="auto"/>
        </w:rPr>
        <w:t>” means, for any amount of any Optional Currency, at the time of determination thereof, (a) if such amount is expressed in such Optional Currency, such amount and (b) if such amount is expressed in Dollars, the equivalent of such amount in such Optional Currency determined by using the rate of exchange for the purchase of such Optional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Optional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7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18" w:lineRule="exact"/>
        <w:rPr>
          <w:sz w:val="20"/>
          <w:szCs w:val="20"/>
          <w:color w:val="auto"/>
        </w:rPr>
      </w:pPr>
    </w:p>
    <w:p>
      <w:pPr>
        <w:ind w:left="8" w:right="20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5" w:lineRule="exact"/>
        <w:rPr>
          <w:sz w:val="20"/>
          <w:szCs w:val="20"/>
          <w:color w:val="auto"/>
        </w:rPr>
      </w:pPr>
    </w:p>
    <w:p>
      <w:pPr>
        <w:ind w:left="8" w:right="120" w:hanging="8"/>
        <w:spacing w:after="0" w:line="249" w:lineRule="auto"/>
        <w:tabs>
          <w:tab w:leader="none" w:pos="2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banker’s acceptances, letters of credit or letters of guarantee, the aggregate undrawn, unexpired face amount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85" w:lineRule="exact"/>
        <w:rPr>
          <w:sz w:val="20"/>
          <w:szCs w:val="20"/>
          <w:color w:val="auto"/>
        </w:rPr>
      </w:pPr>
    </w:p>
    <w:p>
      <w:pPr>
        <w:ind w:left="8" w:right="24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Bank Funding Rate shall be less than zero, such rate shall be deemed to be zero for purposes of this Agreement.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15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08"/>
          </w:cols>
          <w:pgMar w:left="532" w:top="267" w:right="559" w:bottom="1440" w:gutter="0" w:footer="0" w:header="0"/>
        </w:sectPr>
      </w:pPr>
    </w:p>
    <w:bookmarkStart w:id="37" w:name="page38"/>
    <w:bookmarkEnd w:id="37"/>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9.13(c).</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9.13(c).</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18" w:lineRule="exact"/>
        <w:rPr>
          <w:sz w:val="20"/>
          <w:szCs w:val="20"/>
          <w:color w:val="auto"/>
        </w:rPr>
      </w:pPr>
    </w:p>
    <w:p>
      <w:pPr>
        <w:ind w:right="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the applicable Domestic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1" w:lineRule="exact"/>
        <w:rPr>
          <w:sz w:val="20"/>
          <w:szCs w:val="20"/>
          <w:color w:val="auto"/>
        </w:rPr>
      </w:pPr>
    </w:p>
    <w:p>
      <w:pPr>
        <w:ind w:left="960" w:firstLine="400"/>
        <w:spacing w:after="0" w:line="255" w:lineRule="auto"/>
        <w:tabs>
          <w:tab w:leader="none" w:pos="15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and to the extent required by GAAP, adequate reserves with respect thereto are maintained on the books of the relevant Person in conformity with GAAP;</w:t>
      </w:r>
    </w:p>
    <w:p>
      <w:pPr>
        <w:spacing w:after="0" w:line="75" w:lineRule="exact"/>
        <w:rPr>
          <w:rFonts w:ascii="Times New Roman" w:cs="Times New Roman" w:eastAsia="Times New Roman" w:hAnsi="Times New Roman"/>
          <w:sz w:val="18"/>
          <w:szCs w:val="18"/>
          <w:color w:val="auto"/>
        </w:rPr>
      </w:pPr>
    </w:p>
    <w:p>
      <w:pPr>
        <w:ind w:left="960" w:right="100" w:firstLine="400"/>
        <w:spacing w:after="0" w:line="260" w:lineRule="auto"/>
        <w:tabs>
          <w:tab w:leader="none" w:pos="16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70" w:lineRule="exact"/>
        <w:rPr>
          <w:rFonts w:ascii="Times New Roman" w:cs="Times New Roman" w:eastAsia="Times New Roman" w:hAnsi="Times New Roman"/>
          <w:sz w:val="18"/>
          <w:szCs w:val="18"/>
          <w:color w:val="auto"/>
        </w:rPr>
      </w:pPr>
    </w:p>
    <w:p>
      <w:pPr>
        <w:ind w:left="1600" w:hanging="240"/>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111" w:lineRule="exact"/>
        <w:rPr>
          <w:rFonts w:ascii="Times New Roman" w:cs="Times New Roman" w:eastAsia="Times New Roman" w:hAnsi="Times New Roman"/>
          <w:sz w:val="18"/>
          <w:szCs w:val="18"/>
          <w:color w:val="auto"/>
        </w:rPr>
      </w:pPr>
    </w:p>
    <w:p>
      <w:pPr>
        <w:jc w:val="both"/>
        <w:ind w:left="960" w:right="140" w:firstLine="400"/>
        <w:spacing w:after="0" w:line="260" w:lineRule="auto"/>
        <w:tabs>
          <w:tab w:leader="none" w:pos="16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0" w:lineRule="exact"/>
        <w:rPr>
          <w:rFonts w:ascii="Times New Roman" w:cs="Times New Roman" w:eastAsia="Times New Roman" w:hAnsi="Times New Roman"/>
          <w:sz w:val="18"/>
          <w:szCs w:val="18"/>
          <w:color w:val="auto"/>
        </w:rPr>
      </w:pPr>
    </w:p>
    <w:p>
      <w:pPr>
        <w:ind w:left="960" w:firstLine="400"/>
        <w:spacing w:after="0" w:line="253" w:lineRule="auto"/>
        <w:tabs>
          <w:tab w:leader="none" w:pos="15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20"/>
          </w:cols>
          <w:pgMar w:left="540" w:top="267" w:right="539" w:bottom="1440" w:gutter="0" w:footer="0" w:header="0"/>
        </w:sectPr>
      </w:pPr>
    </w:p>
    <w:bookmarkStart w:id="38" w:name="page39"/>
    <w:bookmarkEnd w:id="38"/>
    <w:p>
      <w:pPr>
        <w:ind w:left="60" w:right="600" w:firstLine="400"/>
        <w:spacing w:after="0" w:line="304" w:lineRule="auto"/>
        <w:tabs>
          <w:tab w:leader="none" w:pos="67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35" w:lineRule="exact"/>
        <w:rPr>
          <w:rFonts w:ascii="Times New Roman" w:cs="Times New Roman" w:eastAsia="Times New Roman" w:hAnsi="Times New Roman"/>
          <w:sz w:val="17"/>
          <w:szCs w:val="17"/>
          <w:color w:val="auto"/>
        </w:rPr>
      </w:pPr>
    </w:p>
    <w:p>
      <w:pPr>
        <w:ind w:left="60" w:firstLine="400"/>
        <w:spacing w:after="0" w:line="251" w:lineRule="auto"/>
        <w:tabs>
          <w:tab w:leader="none" w:pos="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0" w:lineRule="exact"/>
        <w:rPr>
          <w:rFonts w:ascii="Times New Roman" w:cs="Times New Roman" w:eastAsia="Times New Roman" w:hAnsi="Times New Roman"/>
          <w:sz w:val="18"/>
          <w:szCs w:val="18"/>
          <w:color w:val="auto"/>
        </w:rPr>
      </w:pPr>
    </w:p>
    <w:p>
      <w:pPr>
        <w:ind w:left="60" w:right="20" w:firstLine="400"/>
        <w:spacing w:after="0" w:line="260" w:lineRule="auto"/>
        <w:tabs>
          <w:tab w:leader="none" w:pos="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 or instruments;</w:t>
      </w:r>
    </w:p>
    <w:p>
      <w:pPr>
        <w:spacing w:after="0" w:line="70" w:lineRule="exact"/>
        <w:rPr>
          <w:rFonts w:ascii="Times New Roman" w:cs="Times New Roman" w:eastAsia="Times New Roman" w:hAnsi="Times New Roman"/>
          <w:sz w:val="18"/>
          <w:szCs w:val="18"/>
          <w:color w:val="auto"/>
        </w:rPr>
      </w:pPr>
    </w:p>
    <w:p>
      <w:pPr>
        <w:ind w:left="60" w:right="280" w:firstLine="400"/>
        <w:spacing w:after="0" w:line="250"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82" w:lineRule="exact"/>
        <w:rPr>
          <w:rFonts w:ascii="Times New Roman" w:cs="Times New Roman" w:eastAsia="Times New Roman" w:hAnsi="Times New Roman"/>
          <w:sz w:val="18"/>
          <w:szCs w:val="18"/>
          <w:color w:val="auto"/>
        </w:rPr>
      </w:pPr>
    </w:p>
    <w:p>
      <w:pPr>
        <w:ind w:left="60" w:right="160" w:firstLine="400"/>
        <w:spacing w:after="0" w:line="260"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listed on Schedule 1.1D,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70" w:lineRule="exact"/>
        <w:rPr>
          <w:rFonts w:ascii="Times New Roman" w:cs="Times New Roman" w:eastAsia="Times New Roman" w:hAnsi="Times New Roman"/>
          <w:sz w:val="18"/>
          <w:szCs w:val="18"/>
          <w:color w:val="auto"/>
        </w:rPr>
      </w:pPr>
    </w:p>
    <w:p>
      <w:pPr>
        <w:ind w:left="60" w:right="60" w:firstLine="400"/>
        <w:spacing w:after="0" w:line="282" w:lineRule="auto"/>
        <w:tabs>
          <w:tab w:leader="none" w:pos="70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property or Capital Stock of a Person at the time such Person becomes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Liens are not created, incurred or assumed in connection with, or in contemplation of, such other Person becoming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Lien may not extend to any other property owned by the Company or any Principal Domestic Subsidiary;</w:t>
      </w:r>
    </w:p>
    <w:p>
      <w:pPr>
        <w:spacing w:after="0" w:line="53" w:lineRule="exact"/>
        <w:rPr>
          <w:rFonts w:ascii="Times New Roman" w:cs="Times New Roman" w:eastAsia="Times New Roman" w:hAnsi="Times New Roman"/>
          <w:sz w:val="17"/>
          <w:szCs w:val="17"/>
          <w:color w:val="auto"/>
        </w:rPr>
      </w:pPr>
    </w:p>
    <w:p>
      <w:pPr>
        <w:ind w:left="60" w:right="100" w:firstLine="400"/>
        <w:spacing w:after="0" w:line="255"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the Company or any Principal Domestic Subsidiary;</w:t>
      </w:r>
    </w:p>
    <w:p>
      <w:pPr>
        <w:spacing w:after="0" w:line="75" w:lineRule="exact"/>
        <w:rPr>
          <w:rFonts w:ascii="Times New Roman" w:cs="Times New Roman" w:eastAsia="Times New Roman" w:hAnsi="Times New Roman"/>
          <w:sz w:val="18"/>
          <w:szCs w:val="18"/>
          <w:color w:val="auto"/>
        </w:rPr>
      </w:pPr>
    </w:p>
    <w:p>
      <w:pPr>
        <w:ind w:left="60" w:firstLine="400"/>
        <w:spacing w:after="0" w:line="260" w:lineRule="auto"/>
        <w:tabs>
          <w:tab w:leader="none" w:pos="7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900"/>
          </w:cols>
          <w:pgMar w:left="1440" w:top="267" w:right="559" w:bottom="1440" w:gutter="0" w:footer="0" w:header="0"/>
        </w:sectPr>
      </w:pPr>
    </w:p>
    <w:bookmarkStart w:id="39" w:name="page40"/>
    <w:bookmarkEnd w:id="39"/>
    <w:p>
      <w:pPr>
        <w:ind w:left="60" w:right="120" w:firstLine="400"/>
        <w:spacing w:after="0" w:line="274" w:lineRule="auto"/>
        <w:tabs>
          <w:tab w:leader="none" w:pos="7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any Lien arising out of claims under a judgment rendered, decree or claim filed so long as such judgments, decrees or claims do not constitute an Event of Default;</w:t>
      </w:r>
    </w:p>
    <w:p>
      <w:pPr>
        <w:spacing w:after="0" w:line="58"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111"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111" w:lineRule="exact"/>
        <w:rPr>
          <w:rFonts w:ascii="Times New Roman" w:cs="Times New Roman" w:eastAsia="Times New Roman" w:hAnsi="Times New Roman"/>
          <w:sz w:val="18"/>
          <w:szCs w:val="18"/>
          <w:color w:val="auto"/>
        </w:rPr>
      </w:pPr>
    </w:p>
    <w:p>
      <w:pPr>
        <w:ind w:left="60" w:right="100" w:firstLine="400"/>
        <w:spacing w:after="0" w:line="264" w:lineRule="auto"/>
        <w:tabs>
          <w:tab w:leader="none" w:pos="70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w:t>
      </w:r>
    </w:p>
    <w:p>
      <w:pPr>
        <w:spacing w:after="0" w:line="2" w:lineRule="exact"/>
        <w:rPr>
          <w:rFonts w:ascii="Times New Roman" w:cs="Times New Roman" w:eastAsia="Times New Roman" w:hAnsi="Times New Roman"/>
          <w:sz w:val="17"/>
          <w:szCs w:val="17"/>
          <w:color w:val="auto"/>
        </w:rPr>
      </w:pPr>
    </w:p>
    <w:p>
      <w:pPr>
        <w:ind w:left="460" w:hanging="394"/>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deposits, (ix) judicial appeals and (x) service contracts;</w:t>
      </w:r>
    </w:p>
    <w:p>
      <w:pPr>
        <w:spacing w:after="0" w:line="92" w:lineRule="exact"/>
        <w:rPr>
          <w:rFonts w:ascii="Times New Roman" w:cs="Times New Roman" w:eastAsia="Times New Roman" w:hAnsi="Times New Roman"/>
          <w:sz w:val="18"/>
          <w:szCs w:val="18"/>
          <w:color w:val="auto"/>
        </w:rPr>
      </w:pPr>
    </w:p>
    <w:p>
      <w:pPr>
        <w:ind w:left="680" w:hanging="220"/>
        <w:spacing w:after="0"/>
        <w:tabs>
          <w:tab w:leader="none" w:pos="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Subsidiary owing to the Company or any Principal Domestic Subsidiary;</w:t>
      </w:r>
    </w:p>
    <w:p>
      <w:pPr>
        <w:spacing w:after="0" w:line="111" w:lineRule="exact"/>
        <w:rPr>
          <w:rFonts w:ascii="Times New Roman" w:cs="Times New Roman" w:eastAsia="Times New Roman" w:hAnsi="Times New Roman"/>
          <w:sz w:val="18"/>
          <w:szCs w:val="18"/>
          <w:color w:val="auto"/>
        </w:rPr>
      </w:pPr>
    </w:p>
    <w:p>
      <w:pPr>
        <w:ind w:left="60" w:firstLine="400"/>
        <w:spacing w:after="0" w:line="260" w:lineRule="auto"/>
        <w:tabs>
          <w:tab w:leader="none" w:pos="6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0" w:lineRule="exact"/>
        <w:rPr>
          <w:rFonts w:ascii="Times New Roman" w:cs="Times New Roman" w:eastAsia="Times New Roman" w:hAnsi="Times New Roman"/>
          <w:sz w:val="18"/>
          <w:szCs w:val="18"/>
          <w:color w:val="auto"/>
        </w:rPr>
      </w:pPr>
    </w:p>
    <w:p>
      <w:pPr>
        <w:ind w:left="60" w:right="180" w:firstLine="400"/>
        <w:spacing w:after="0" w:line="255" w:lineRule="auto"/>
        <w:tabs>
          <w:tab w:leader="none" w:pos="6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75"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111" w:lineRule="exact"/>
        <w:rPr>
          <w:rFonts w:ascii="Times New Roman" w:cs="Times New Roman" w:eastAsia="Times New Roman" w:hAnsi="Times New Roman"/>
          <w:sz w:val="18"/>
          <w:szCs w:val="18"/>
          <w:color w:val="auto"/>
        </w:rPr>
      </w:pPr>
    </w:p>
    <w:p>
      <w:pPr>
        <w:ind w:left="60" w:right="140" w:firstLine="400"/>
        <w:spacing w:after="0" w:line="260" w:lineRule="auto"/>
        <w:tabs>
          <w:tab w:leader="none" w:pos="7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0" w:lineRule="exact"/>
        <w:rPr>
          <w:rFonts w:ascii="Times New Roman" w:cs="Times New Roman" w:eastAsia="Times New Roman" w:hAnsi="Times New Roman"/>
          <w:sz w:val="18"/>
          <w:szCs w:val="18"/>
          <w:color w:val="auto"/>
        </w:rPr>
      </w:pPr>
    </w:p>
    <w:p>
      <w:pPr>
        <w:ind w:left="60" w:firstLine="400"/>
        <w:spacing w:after="0" w:line="274" w:lineRule="auto"/>
        <w:tabs>
          <w:tab w:leader="none" w:pos="74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880"/>
          </w:cols>
          <w:pgMar w:left="1440" w:top="267" w:right="579" w:bottom="1440" w:gutter="0" w:footer="0" w:header="0"/>
        </w:sectPr>
      </w:pPr>
    </w:p>
    <w:bookmarkStart w:id="40" w:name="page41"/>
    <w:bookmarkEnd w:id="40"/>
    <w:p>
      <w:pPr>
        <w:ind w:left="960" w:right="120" w:firstLine="400"/>
        <w:spacing w:after="0" w:line="274" w:lineRule="auto"/>
        <w:tabs>
          <w:tab w:leader="none" w:pos="16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Liens under licensing agreements for use of Intellectual Property or licenses or sublicenses of Intellectual Property, in each case, entered into in the ordinary course of business;</w:t>
      </w:r>
    </w:p>
    <w:p>
      <w:pPr>
        <w:spacing w:after="0" w:line="58" w:lineRule="exact"/>
        <w:rPr>
          <w:rFonts w:ascii="Times New Roman" w:cs="Times New Roman" w:eastAsia="Times New Roman" w:hAnsi="Times New Roman"/>
          <w:sz w:val="18"/>
          <w:szCs w:val="18"/>
          <w:color w:val="auto"/>
        </w:rPr>
      </w:pPr>
    </w:p>
    <w:p>
      <w:pPr>
        <w:ind w:left="960" w:right="460" w:firstLine="400"/>
        <w:spacing w:after="0" w:line="274" w:lineRule="auto"/>
        <w:tabs>
          <w:tab w:leader="none" w:pos="16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arising under Article 2 of the UCC or similar provisions of applicable law in the ordinary course of business; and</w:t>
      </w:r>
    </w:p>
    <w:p>
      <w:pPr>
        <w:spacing w:after="0" w:line="58" w:lineRule="exact"/>
        <w:rPr>
          <w:rFonts w:ascii="Times New Roman" w:cs="Times New Roman" w:eastAsia="Times New Roman" w:hAnsi="Times New Roman"/>
          <w:sz w:val="18"/>
          <w:szCs w:val="18"/>
          <w:color w:val="auto"/>
        </w:rPr>
      </w:pPr>
    </w:p>
    <w:p>
      <w:pPr>
        <w:ind w:left="960" w:firstLine="400"/>
        <w:spacing w:after="0" w:line="255" w:lineRule="auto"/>
        <w:tabs>
          <w:tab w:leader="none" w:pos="15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2" w:lineRule="exact"/>
        <w:rPr>
          <w:sz w:val="20"/>
          <w:szCs w:val="20"/>
          <w:color w:val="auto"/>
        </w:rPr>
      </w:pPr>
    </w:p>
    <w:p>
      <w:pPr>
        <w:ind w:right="8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Principal Trade Name Transfer</w:t>
      </w:r>
      <w:r>
        <w:rPr>
          <w:rFonts w:ascii="Times New Roman" w:cs="Times New Roman" w:eastAsia="Times New Roman" w:hAnsi="Times New Roman"/>
          <w:sz w:val="17"/>
          <w:szCs w:val="17"/>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42" w:lineRule="exact"/>
        <w:rPr>
          <w:sz w:val="20"/>
          <w:szCs w:val="20"/>
          <w:color w:val="auto"/>
        </w:rPr>
      </w:pPr>
    </w:p>
    <w:p>
      <w:pPr>
        <w:ind w:right="1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303 of ERISA, but excluding any Multiemployer Plan, (a) which is sponsored, established, contributed to or maintained by the Company or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Affiliate, (b) for which the Company or any ERISA Affiliate could have any liability, whether actual or contingent (whether pursuant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4069 of ERISA or otherwise) or (c) for which the Company or any ERISA Affiliate is (or, if such Plan were terminated, would under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4062 or Section 4069 of ERISA be deemed to be) an “employer” as defined in Section 3(5) of ERISA.</w:t>
      </w:r>
    </w:p>
    <w:p>
      <w:pPr>
        <w:spacing w:after="0" w:line="19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 Asset Regulations</w:t>
      </w:r>
      <w:r>
        <w:rPr>
          <w:rFonts w:ascii="Times New Roman" w:cs="Times New Roman" w:eastAsia="Times New Roman" w:hAnsi="Times New Roman"/>
          <w:sz w:val="17"/>
          <w:szCs w:val="17"/>
          <w:color w:val="auto"/>
        </w:rPr>
        <w:t xml:space="preserve">” means of 29 CFR § 2510.3-101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as modified by Section 3(42) of ERISA, as amended from time to time.</w:t>
      </w:r>
    </w:p>
    <w:p>
      <w:pPr>
        <w:spacing w:after="0" w:line="231"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76"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2"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Domestic Subsidiary</w:t>
      </w:r>
      <w:r>
        <w:rPr>
          <w:rFonts w:ascii="Times New Roman" w:cs="Times New Roman" w:eastAsia="Times New Roman" w:hAnsi="Times New Roman"/>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2022 10-K), (B) at least 80% or more of the Capital Stock or Voting Stock of such Domestic Subsidiary is owned, directly or indirectly, by the Company and (C) none of the Capital Stock of such Domestic Subsidiary is publicly held.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20"/>
          </w:cols>
          <w:pgMar w:left="540" w:top="267" w:right="539" w:bottom="1440" w:gutter="0" w:footer="0" w:header="0"/>
        </w:sectPr>
      </w:pPr>
    </w:p>
    <w:bookmarkStart w:id="41" w:name="page42"/>
    <w:bookmarkEnd w:id="41"/>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18"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10.21.</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or (c) any Issuing Lender, as applicable.</w:t>
      </w:r>
    </w:p>
    <w:p>
      <w:pPr>
        <w:spacing w:after="0" w:line="218"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such Benchmark is TIBOR Rate, 11:00 a.m. Japan time two Business Days preceding the date of such setting, (4) if such Benchmark is Daily Simple SOFR, then two Business Days prior to such setting or (5) if such Benchmark is none of the Term SOFR Rate, Daily Simple SOFR, the EURIBOR Rate or the TIBOR Rate, the time determined by the Administrative Agent in its reasonable discretion.</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has the meaning assigned to such term in Section 3.5.</w:t>
      </w:r>
    </w:p>
    <w:p>
      <w:pPr>
        <w:spacing w:after="0" w:line="218" w:lineRule="exact"/>
        <w:rPr>
          <w:sz w:val="20"/>
          <w:szCs w:val="20"/>
          <w:color w:val="auto"/>
        </w:rPr>
      </w:pPr>
    </w:p>
    <w:p>
      <w:pPr>
        <w:ind w:right="3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means the obligation of the Company or the Applicable Account Party to reimburse an Issuing Lender pursuant to Section 3.5 for amounts drawn under Letters of Credit.</w:t>
      </w:r>
    </w:p>
    <w:p>
      <w:pPr>
        <w:spacing w:after="0" w:line="164" w:lineRule="exact"/>
        <w:rPr>
          <w:sz w:val="20"/>
          <w:szCs w:val="20"/>
          <w:color w:val="auto"/>
        </w:rPr>
      </w:pPr>
    </w:p>
    <w:p>
      <w:pPr>
        <w:ind w:right="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80"/>
          </w:cols>
          <w:pgMar w:left="540" w:top="267" w:right="679" w:bottom="1440" w:gutter="0" w:footer="0" w:header="0"/>
        </w:sectPr>
      </w:pPr>
    </w:p>
    <w:bookmarkStart w:id="42" w:name="page43"/>
    <w:bookmarkEnd w:id="42"/>
    <w:p>
      <w:pPr>
        <w:ind w:left="8" w:right="20" w:firstLine="974"/>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Japanese Yen, the Bank of Japan, or a committee officially endorsed or convened by the Bank of Japan or, in each case, any successor thereto and (iv) with respect to a Benchmark Replacement in respect of Loans denominated in any other Optional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3"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Adjusted Term SOFR Rate,</w:t>
      </w:r>
    </w:p>
    <w:p>
      <w:pPr>
        <w:spacing w:after="0" w:line="25" w:lineRule="exact"/>
        <w:rPr>
          <w:sz w:val="20"/>
          <w:szCs w:val="20"/>
          <w:color w:val="auto"/>
        </w:rPr>
      </w:pPr>
    </w:p>
    <w:p>
      <w:pPr>
        <w:ind w:left="8" w:right="200" w:hanging="8"/>
        <w:spacing w:after="0" w:line="249"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Borrowing denominated in Euros, the Adjusted EURIBOR Rate, as applicable, (iii) with respect to any Term Benchmark Borrowing denominated in Japanese Yen, the Adjusted TIBOR Rate, as applicable and (iv) with respect to any Daily Simple SOFR Borrowing, the Adjusted Daily Simple SOFR.</w:t>
      </w:r>
    </w:p>
    <w:p>
      <w:pPr>
        <w:spacing w:after="0" w:line="185" w:lineRule="exact"/>
        <w:rPr>
          <w:sz w:val="20"/>
          <w:szCs w:val="20"/>
          <w:color w:val="auto"/>
        </w:rPr>
      </w:pPr>
    </w:p>
    <w:p>
      <w:pPr>
        <w:ind w:left="8" w:right="3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(ii) with respect to any Term Benchmark Borrowing denominated in Euros, the EURIBOR Screen Rate or (iii) with respect to any Term Benchmark Borrowing denominated in Japanese Yen, the TIBOR Screen Rate, as applicable.</w:t>
      </w:r>
    </w:p>
    <w:p>
      <w:pPr>
        <w:spacing w:after="0" w:line="176" w:lineRule="exact"/>
        <w:rPr>
          <w:sz w:val="20"/>
          <w:szCs w:val="20"/>
          <w:color w:val="auto"/>
        </w:rPr>
      </w:pPr>
    </w:p>
    <w:p>
      <w:pPr>
        <w:ind w:left="8"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holders of more than 50% of the aggregate amount of the Total Commitments (or, at any time after the Commitments shall have expired or terminated, the holders of more than 50% of the Total Extensions of Credit).</w:t>
      </w:r>
    </w:p>
    <w:p>
      <w:pPr>
        <w:spacing w:after="0" w:line="164" w:lineRule="exact"/>
        <w:rPr>
          <w:sz w:val="20"/>
          <w:szCs w:val="20"/>
          <w:color w:val="auto"/>
        </w:rPr>
      </w:pPr>
    </w:p>
    <w:p>
      <w:pPr>
        <w:jc w:val="both"/>
        <w:ind w:left="8"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Resolution Authority</w:t>
      </w:r>
      <w:r>
        <w:rPr>
          <w:rFonts w:ascii="Times New Roman" w:cs="Times New Roman" w:eastAsia="Times New Roman" w:hAnsi="Times New Roman"/>
          <w:sz w:val="17"/>
          <w:szCs w:val="17"/>
          <w:color w:val="auto"/>
        </w:rPr>
        <w:t>” means an EEA Resolution Authority or, with respect to any UK Financial Institution, a UK Resolution Authority.</w:t>
      </w:r>
    </w:p>
    <w:p>
      <w:pPr>
        <w:spacing w:after="0" w:line="229" w:lineRule="exact"/>
        <w:rPr>
          <w:sz w:val="20"/>
          <w:szCs w:val="20"/>
          <w:color w:val="auto"/>
        </w:rPr>
      </w:pPr>
    </w:p>
    <w:p>
      <w:pPr>
        <w:ind w:left="8" w:right="3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218" w:lineRule="exact"/>
        <w:rPr>
          <w:sz w:val="20"/>
          <w:szCs w:val="20"/>
          <w:color w:val="auto"/>
        </w:rPr>
      </w:pPr>
    </w:p>
    <w:p>
      <w:pPr>
        <w:jc w:val="both"/>
        <w:ind w:left="8"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08"/>
          </w:cols>
          <w:pgMar w:left="532" w:top="267" w:right="559" w:bottom="1440" w:gutter="0" w:footer="0" w:header="0"/>
        </w:sectPr>
      </w:pPr>
    </w:p>
    <w:bookmarkStart w:id="43" w:name="page44"/>
    <w:bookmarkEnd w:id="43"/>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18" w:lineRule="exact"/>
        <w:rPr>
          <w:sz w:val="20"/>
          <w:szCs w:val="20"/>
          <w:color w:val="auto"/>
        </w:rPr>
      </w:pPr>
    </w:p>
    <w:p>
      <w:pPr>
        <w:ind w:right="1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18" w:lineRule="exact"/>
        <w:rPr>
          <w:sz w:val="20"/>
          <w:szCs w:val="20"/>
          <w:color w:val="auto"/>
        </w:rPr>
      </w:pPr>
    </w:p>
    <w:p>
      <w:pPr>
        <w:ind w:right="2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18"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or Adjusted TIBOR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7" w:lineRule="exact"/>
        <w:rPr>
          <w:sz w:val="20"/>
          <w:szCs w:val="20"/>
          <w:color w:val="auto"/>
        </w:rPr>
      </w:pPr>
    </w:p>
    <w:p>
      <w:pPr>
        <w:ind w:right="12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20"/>
          </w:cols>
          <w:pgMar w:left="540" w:top="267" w:right="539" w:bottom="1440" w:gutter="0" w:footer="0" w:header="0"/>
        </w:sectPr>
      </w:pPr>
    </w:p>
    <w:bookmarkStart w:id="44" w:name="page45"/>
    <w:bookmarkEnd w:id="44"/>
    <w:p>
      <w:pPr>
        <w:ind w:right="20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means GMF and any other Subsidiary that becomes a party hereto pursuant to Section 10.1(d) until such time as such Subsidiary Borrower is removed as a party hereto pursuant to Section 10.1(d).</w:t>
      </w:r>
    </w:p>
    <w:p>
      <w:pPr>
        <w:spacing w:after="0" w:line="164" w:lineRule="exact"/>
        <w:rPr>
          <w:sz w:val="20"/>
          <w:szCs w:val="20"/>
          <w:color w:val="auto"/>
        </w:rPr>
      </w:pPr>
    </w:p>
    <w:p>
      <w:pPr>
        <w:ind w:right="3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the Guarantee pursuant to Section 6.6(a) or Section 10.1(b).</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4" w:lineRule="exact"/>
        <w:rPr>
          <w:sz w:val="20"/>
          <w:szCs w:val="20"/>
          <w:color w:val="auto"/>
        </w:rPr>
      </w:pPr>
    </w:p>
    <w:p>
      <w:pPr>
        <w:ind w:right="2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64"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ind w:right="5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the Adjusted EURIBOR Rate or the Adjusted TIBOR Rate.</w:t>
      </w:r>
    </w:p>
    <w:p>
      <w:pPr>
        <w:spacing w:after="0" w:line="176" w:lineRule="exact"/>
        <w:rPr>
          <w:sz w:val="20"/>
          <w:szCs w:val="20"/>
          <w:color w:val="auto"/>
        </w:rPr>
      </w:pPr>
    </w:p>
    <w:p>
      <w:pPr>
        <w:jc w:val="both"/>
        <w:ind w:right="60" w:firstLine="9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Benchmark Tranche</w:t>
      </w:r>
      <w:r>
        <w:rPr>
          <w:rFonts w:ascii="Times New Roman" w:cs="Times New Roman" w:eastAsia="Times New Roman" w:hAnsi="Times New Roman"/>
          <w:sz w:val="17"/>
          <w:szCs w:val="17"/>
          <w:color w:val="auto"/>
        </w:rPr>
        <w:t>” means the collective reference to Term Benchmark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18" w:lineRule="exact"/>
        <w:rPr>
          <w:sz w:val="20"/>
          <w:szCs w:val="20"/>
          <w:color w:val="auto"/>
        </w:rPr>
      </w:pPr>
    </w:p>
    <w:p>
      <w:pPr>
        <w:ind w:right="20" w:firstLine="974"/>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60"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80"/>
          </w:cols>
          <w:pgMar w:left="540" w:top="267" w:right="57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60" w:lineRule="exact"/>
        <w:rPr>
          <w:sz w:val="20"/>
          <w:szCs w:val="20"/>
          <w:color w:val="auto"/>
        </w:rPr>
      </w:pPr>
    </w:p>
    <w:p>
      <w:pPr>
        <w:ind w:right="2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initially, the fifth anniversary of the Closing Date, as such date for such Lender under such Facility may be extended from time to time pursuant to Section 2.27.</w:t>
      </w:r>
    </w:p>
    <w:p>
      <w:pPr>
        <w:spacing w:after="0" w:line="164" w:lineRule="exact"/>
        <w:rPr>
          <w:sz w:val="20"/>
          <w:szCs w:val="20"/>
          <w:color w:val="auto"/>
        </w:rPr>
      </w:pPr>
    </w:p>
    <w:p>
      <w:pPr>
        <w:ind w:right="3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means, with respect to any Term Benchmark Borrowing denominated in Japanese Yen and for any Interest Period, the TIBOR Screen Rate, two Business Days prior to the commencement of such Interest Period.</w:t>
      </w:r>
    </w:p>
    <w:p>
      <w:pPr>
        <w:spacing w:after="0" w:line="164" w:lineRule="exact"/>
        <w:rPr>
          <w:sz w:val="20"/>
          <w:szCs w:val="20"/>
          <w:color w:val="auto"/>
        </w:rPr>
      </w:pPr>
    </w:p>
    <w:p>
      <w:pPr>
        <w:ind w:right="100" w:firstLine="974"/>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TIBOR Screen Rate</w:t>
      </w:r>
      <w:r>
        <w:rPr>
          <w:rFonts w:ascii="Times New Roman" w:cs="Times New Roman" w:eastAsia="Times New Roman" w:hAnsi="Times New Roman"/>
          <w:sz w:val="17"/>
          <w:szCs w:val="17"/>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Business Days prior to the commencement of such Interest Period. If the TIBOR Screen Rate shall be less than 0.0%, the TIBOR Screen Rate shall be deemed to be 0.0% for purposes of this Agreement.</w:t>
      </w:r>
    </w:p>
    <w:p>
      <w:pPr>
        <w:spacing w:after="0" w:line="171" w:lineRule="exact"/>
        <w:rPr>
          <w:sz w:val="20"/>
          <w:szCs w:val="20"/>
          <w:color w:val="auto"/>
        </w:rPr>
      </w:pPr>
    </w:p>
    <w:p>
      <w:pPr>
        <w:ind w:right="2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Commitments</w:t>
      </w:r>
      <w:r>
        <w:rPr>
          <w:rFonts w:ascii="Times New Roman" w:cs="Times New Roman" w:eastAsia="Times New Roman" w:hAnsi="Times New Roman"/>
          <w:sz w:val="18"/>
          <w:szCs w:val="18"/>
          <w:color w:val="auto"/>
        </w:rPr>
        <w:t xml:space="preserve">” means, at any time, an amount equal to the excess, if any, of (a) the Total Commitments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Total Extensions of Credit then outstanding.</w:t>
      </w:r>
    </w:p>
    <w:p>
      <w:pPr>
        <w:spacing w:after="0" w:line="164" w:lineRule="exact"/>
        <w:rPr>
          <w:sz w:val="20"/>
          <w:szCs w:val="20"/>
          <w:color w:val="auto"/>
        </w:rPr>
      </w:pPr>
    </w:p>
    <w:p>
      <w:pPr>
        <w:ind w:right="8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Domestic Commitments</w:t>
      </w:r>
      <w:r>
        <w:rPr>
          <w:rFonts w:ascii="Times New Roman" w:cs="Times New Roman" w:eastAsia="Times New Roman" w:hAnsi="Times New Roman"/>
          <w:sz w:val="18"/>
          <w:szCs w:val="18"/>
          <w:color w:val="auto"/>
        </w:rPr>
        <w:t>” means, at any time, an amount equal to the excess, if any, of (a) the Total Domestic Commitments then in effect, over (b) the Total Domestic Extensions of Credit then outstanding.</w:t>
      </w:r>
    </w:p>
    <w:p>
      <w:pPr>
        <w:spacing w:after="0" w:line="164" w:lineRule="exact"/>
        <w:rPr>
          <w:sz w:val="20"/>
          <w:szCs w:val="20"/>
          <w:color w:val="auto"/>
        </w:rPr>
      </w:pPr>
    </w:p>
    <w:p>
      <w:pPr>
        <w:ind w:right="2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Multicurrency Commitments</w:t>
      </w:r>
      <w:r>
        <w:rPr>
          <w:rFonts w:ascii="Times New Roman" w:cs="Times New Roman" w:eastAsia="Times New Roman" w:hAnsi="Times New Roman"/>
          <w:sz w:val="18"/>
          <w:szCs w:val="18"/>
          <w:color w:val="auto"/>
        </w:rPr>
        <w:t>” means, at any time, an amount equal to the excess, if any, of (a) the Total Multicurrency Commitments then in effect, over (b) the Total Multicurrency Extensions of Credit then outstanding.</w:t>
      </w:r>
    </w:p>
    <w:p>
      <w:pPr>
        <w:spacing w:after="0" w:line="164" w:lineRule="exact"/>
        <w:rPr>
          <w:sz w:val="20"/>
          <w:szCs w:val="20"/>
          <w:color w:val="auto"/>
        </w:rPr>
      </w:pPr>
    </w:p>
    <w:p>
      <w:pPr>
        <w:ind w:right="4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$10.0 billion.</w:t>
      </w:r>
    </w:p>
    <w:p>
      <w:pPr>
        <w:spacing w:after="0" w:line="164" w:lineRule="exact"/>
        <w:rPr>
          <w:sz w:val="20"/>
          <w:szCs w:val="20"/>
          <w:color w:val="auto"/>
        </w:rPr>
      </w:pPr>
    </w:p>
    <w:p>
      <w:pPr>
        <w:ind w:right="4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Domestic Commitment</w:t>
      </w:r>
      <w:r>
        <w:rPr>
          <w:rFonts w:ascii="Times New Roman" w:cs="Times New Roman" w:eastAsia="Times New Roman" w:hAnsi="Times New Roman"/>
          <w:sz w:val="18"/>
          <w:szCs w:val="18"/>
          <w:color w:val="auto"/>
        </w:rPr>
        <w:t>” means, at any time, the aggregate amount of the Domestic Commitments then in effect. The original amount of the Total Domestic Commitment is $443,000,000.</w:t>
      </w:r>
    </w:p>
    <w:p>
      <w:pPr>
        <w:spacing w:after="0" w:line="164" w:lineRule="exact"/>
        <w:rPr>
          <w:sz w:val="20"/>
          <w:szCs w:val="20"/>
          <w:color w:val="auto"/>
        </w:rPr>
      </w:pPr>
    </w:p>
    <w:p>
      <w:pPr>
        <w:ind w:right="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Domestic Extensions of Credit</w:t>
      </w:r>
      <w:r>
        <w:rPr>
          <w:rFonts w:ascii="Times New Roman" w:cs="Times New Roman" w:eastAsia="Times New Roman" w:hAnsi="Times New Roman"/>
          <w:sz w:val="18"/>
          <w:szCs w:val="18"/>
          <w:color w:val="auto"/>
        </w:rPr>
        <w:t>” means, at any time, the aggregate Outstanding Amount of the Domestic Extensions of Credit of the Domestic Lenders at such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means, at any time, the aggregate Outstanding Amount of the Extensions of Credit of the Lenders at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98" w:lineRule="exact"/>
        <w:rPr>
          <w:sz w:val="20"/>
          <w:szCs w:val="20"/>
          <w:color w:val="auto"/>
        </w:rPr>
      </w:pPr>
    </w:p>
    <w:p>
      <w:pPr>
        <w:ind w:right="4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Commitment</w:t>
      </w:r>
      <w:r>
        <w:rPr>
          <w:rFonts w:ascii="Times New Roman" w:cs="Times New Roman" w:eastAsia="Times New Roman" w:hAnsi="Times New Roman"/>
          <w:sz w:val="18"/>
          <w:szCs w:val="18"/>
          <w:color w:val="auto"/>
        </w:rPr>
        <w:t>” means, at any time, the aggregate amount of the Multicurrency Commitments then in effect. The original amount of the Total Multicurrency Commitment is $9,557,000,000.</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80"/>
          </w:cols>
          <w:pgMar w:left="540" w:top="267" w:right="579" w:bottom="1440" w:gutter="0" w:footer="0" w:header="0"/>
        </w:sectPr>
      </w:pPr>
    </w:p>
    <w:bookmarkStart w:id="46" w:name="page47"/>
    <w:bookmarkEnd w:id="46"/>
    <w:p>
      <w:pPr>
        <w:ind w:right="28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Multicurrency Extensions of Credit</w:t>
      </w:r>
      <w:r>
        <w:rPr>
          <w:rFonts w:ascii="Times New Roman" w:cs="Times New Roman" w:eastAsia="Times New Roman" w:hAnsi="Times New Roman"/>
          <w:sz w:val="18"/>
          <w:szCs w:val="18"/>
          <w:color w:val="auto"/>
        </w:rPr>
        <w:t>” means, at any time, the aggregate Outstanding Amount of the Multicurrency Extensions of Credit of the Multicurrency Lenders at such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18"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or Borrowing, refers to whether the rate of interest on such Loan, or on the Loans comprising such Borrowing, is determined by reference to the Adjusted Term SOFR Rate, the Adjusted EURIBOR Rate, the Adjusted TIBOR Rate, the Alternate Base Rate or the Adjusted Daily Simple SOFR.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18" w:lineRule="exact"/>
        <w:rPr>
          <w:sz w:val="20"/>
          <w:szCs w:val="20"/>
          <w:color w:val="auto"/>
        </w:rPr>
      </w:pPr>
    </w:p>
    <w:p>
      <w:pPr>
        <w:ind w:right="6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64"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2" w:lineRule="exact"/>
        <w:rPr>
          <w:sz w:val="20"/>
          <w:szCs w:val="20"/>
          <w:color w:val="auto"/>
        </w:rPr>
      </w:pPr>
    </w:p>
    <w:p>
      <w:pPr>
        <w:ind w:right="7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198" w:lineRule="exact"/>
        <w:rPr>
          <w:sz w:val="20"/>
          <w:szCs w:val="20"/>
          <w:color w:val="auto"/>
        </w:rPr>
      </w:pPr>
    </w:p>
    <w:p>
      <w:pPr>
        <w:jc w:val="both"/>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“U.S. Person” means any Person that is a “United States Person” as defined in Section 7701(a)(30) of the Code.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18" w:lineRule="exact"/>
        <w:rPr>
          <w:sz w:val="20"/>
          <w:szCs w:val="20"/>
          <w:color w:val="auto"/>
        </w:rPr>
      </w:pPr>
    </w:p>
    <w:p>
      <w:pPr>
        <w:ind w:right="4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18"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URDG</w:t>
      </w:r>
      <w:r>
        <w:rPr>
          <w:rFonts w:ascii="Times New Roman" w:cs="Times New Roman" w:eastAsia="Times New Roman" w:hAnsi="Times New Roman"/>
          <w:sz w:val="18"/>
          <w:szCs w:val="18"/>
          <w:color w:val="auto"/>
        </w:rPr>
        <w:t>” means the Uniform Rules for Demand Guarantees, ICC Publication 758, and any subsequent revision thereof adhered to by the Issuing Lenders.</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80"/>
          </w:cols>
          <w:pgMar w:left="540" w:top="267" w:right="579" w:bottom="1440" w:gutter="0" w:footer="0" w:header="0"/>
        </w:sectPr>
      </w:pPr>
    </w:p>
    <w:bookmarkStart w:id="47" w:name="page48"/>
    <w:bookmarkEnd w:id="47"/>
    <w:p>
      <w:pPr>
        <w:ind w:left="8" w:right="32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164" w:lineRule="exact"/>
        <w:rPr>
          <w:sz w:val="20"/>
          <w:szCs w:val="20"/>
          <w:color w:val="auto"/>
        </w:rPr>
      </w:pPr>
    </w:p>
    <w:p>
      <w:pPr>
        <w:ind w:left="8" w:right="120" w:firstLine="974"/>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Write-Down and Conversion Powers</w:t>
      </w:r>
      <w:r>
        <w:rPr>
          <w:rFonts w:ascii="Times New Roman" w:cs="Times New Roman" w:eastAsia="Times New Roman" w:hAnsi="Times New Roman"/>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200" w:firstLine="966"/>
        <w:spacing w:after="0" w:line="274" w:lineRule="auto"/>
        <w:tabs>
          <w:tab w:leader="none" w:pos="122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4" w:lineRule="exact"/>
        <w:rPr>
          <w:rFonts w:ascii="Times New Roman" w:cs="Times New Roman" w:eastAsia="Times New Roman" w:hAnsi="Times New Roman"/>
          <w:sz w:val="18"/>
          <w:szCs w:val="18"/>
          <w:color w:val="auto"/>
        </w:rPr>
      </w:pPr>
    </w:p>
    <w:p>
      <w:pPr>
        <w:ind w:left="1228" w:hanging="254"/>
        <w:spacing w:after="0"/>
        <w:tabs>
          <w:tab w:leader="none" w:pos="12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and in the other Loan Documents, and any certificate or other document made or delivered pursuant hereto or thereto,</w:t>
      </w:r>
    </w:p>
    <w:p>
      <w:pPr>
        <w:spacing w:after="0" w:line="36" w:lineRule="exact"/>
        <w:rPr>
          <w:rFonts w:ascii="Times New Roman" w:cs="Times New Roman" w:eastAsia="Times New Roman" w:hAnsi="Times New Roman"/>
          <w:sz w:val="17"/>
          <w:szCs w:val="17"/>
          <w:color w:val="auto"/>
        </w:rPr>
      </w:pPr>
    </w:p>
    <w:p>
      <w:pPr>
        <w:ind w:left="8" w:right="80" w:hanging="8"/>
        <w:spacing w:after="0" w:line="246"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93" w:lineRule="exact"/>
        <w:rPr>
          <w:rFonts w:ascii="Times New Roman" w:cs="Times New Roman" w:eastAsia="Times New Roman" w:hAnsi="Times New Roman"/>
          <w:sz w:val="18"/>
          <w:szCs w:val="18"/>
          <w:color w:val="auto"/>
        </w:rPr>
      </w:pPr>
    </w:p>
    <w:p>
      <w:pPr>
        <w:ind w:left="8" w:firstLine="966"/>
        <w:spacing w:after="0" w:line="260" w:lineRule="auto"/>
        <w:tabs>
          <w:tab w:leader="none" w:pos="122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76" w:lineRule="exact"/>
        <w:rPr>
          <w:rFonts w:ascii="Times New Roman" w:cs="Times New Roman" w:eastAsia="Times New Roman" w:hAnsi="Times New Roman"/>
          <w:sz w:val="18"/>
          <w:szCs w:val="18"/>
          <w:color w:val="auto"/>
        </w:rPr>
      </w:pPr>
    </w:p>
    <w:p>
      <w:pPr>
        <w:ind w:left="1228" w:hanging="254"/>
        <w:spacing w:after="0"/>
        <w:tabs>
          <w:tab w:leader="none" w:pos="12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15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88"/>
          </w:cols>
          <w:pgMar w:left="532" w:top="267" w:right="579" w:bottom="1440" w:gutter="0" w:footer="0" w:header="0"/>
        </w:sectPr>
      </w:pPr>
    </w:p>
    <w:bookmarkStart w:id="48" w:name="page49"/>
    <w:bookmarkEnd w:id="48"/>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right="40" w:firstLine="966"/>
        <w:spacing w:after="0" w:line="255" w:lineRule="auto"/>
        <w:tabs>
          <w:tab w:leader="none" w:pos="1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1" w:lineRule="exact"/>
        <w:rPr>
          <w:rFonts w:ascii="Times New Roman" w:cs="Times New Roman" w:eastAsia="Times New Roman" w:hAnsi="Times New Roman"/>
          <w:sz w:val="18"/>
          <w:szCs w:val="18"/>
          <w:color w:val="auto"/>
        </w:rPr>
      </w:pPr>
    </w:p>
    <w:p>
      <w:pPr>
        <w:ind w:right="80" w:firstLine="966"/>
        <w:spacing w:after="0" w:line="275" w:lineRule="auto"/>
        <w:tabs>
          <w:tab w:leader="none" w:pos="122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65" w:lineRule="exact"/>
        <w:rPr>
          <w:rFonts w:ascii="Times New Roman" w:cs="Times New Roman" w:eastAsia="Times New Roman" w:hAnsi="Times New Roman"/>
          <w:sz w:val="17"/>
          <w:szCs w:val="17"/>
          <w:color w:val="auto"/>
        </w:rPr>
      </w:pPr>
    </w:p>
    <w:p>
      <w:pPr>
        <w:jc w:val="both"/>
        <w:ind w:right="180" w:firstLine="966"/>
        <w:spacing w:after="0" w:line="260" w:lineRule="auto"/>
        <w:tabs>
          <w:tab w:leader="none" w:pos="1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6" w:lineRule="exact"/>
        <w:rPr>
          <w:sz w:val="20"/>
          <w:szCs w:val="20"/>
          <w:color w:val="auto"/>
        </w:rPr>
      </w:pPr>
    </w:p>
    <w:p>
      <w:pPr>
        <w:ind w:right="14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76" w:lineRule="exact"/>
        <w:rPr>
          <w:sz w:val="20"/>
          <w:szCs w:val="20"/>
          <w:color w:val="auto"/>
        </w:rPr>
      </w:pPr>
    </w:p>
    <w:p>
      <w:pPr>
        <w:ind w:right="40" w:firstLine="974"/>
        <w:spacing w:after="0" w:line="24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Dollars or an Optional Currency may be derived from an interest rate benchmark that may be discontinued or is, or may in the future become, the subject of regulatory reform. Upon the occurrence of a Benchmark Transition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8"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80"/>
          </w:cols>
          <w:pgMar w:left="540" w:top="267" w:right="579" w:bottom="1440" w:gutter="0" w:footer="0" w:header="0"/>
        </w:sectPr>
      </w:pPr>
    </w:p>
    <w:bookmarkStart w:id="49" w:name="page50"/>
    <w:bookmarkEnd w:id="49"/>
    <w:p>
      <w:pPr>
        <w:jc w:val="center"/>
        <w:ind w:right="-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2. AMOUNT AND TERMS OF COMMITMENTS</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Domestic Commitments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60" w:firstLine="966"/>
        <w:spacing w:after="0" w:line="249" w:lineRule="auto"/>
        <w:tabs>
          <w:tab w:leader="none" w:pos="12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each Domestic Lender severally agrees to make (or cause its Applicable Lending Office to make) revolving loans (“</w:t>
      </w:r>
      <w:r>
        <w:rPr>
          <w:rFonts w:ascii="Times New Roman" w:cs="Times New Roman" w:eastAsia="Times New Roman" w:hAnsi="Times New Roman"/>
          <w:sz w:val="18"/>
          <w:szCs w:val="18"/>
          <w:u w:val="single" w:color="auto"/>
          <w:color w:val="auto"/>
        </w:rPr>
        <w:t>Domestic Loans</w:t>
      </w:r>
      <w:r>
        <w:rPr>
          <w:rFonts w:ascii="Times New Roman" w:cs="Times New Roman" w:eastAsia="Times New Roman" w:hAnsi="Times New Roman"/>
          <w:sz w:val="18"/>
          <w:szCs w:val="18"/>
          <w:color w:val="auto"/>
        </w:rPr>
        <w:t xml:space="preserve">”) in Dollars to the Company or any Domestic Subsidiary Borrower from time to time during the Commitment Period of such Domestic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and (iii)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Term Benchmark Loans, Daily Simple SOFR Loans or ABR Loans or any combination of the foregoing, as determined by the Company or the relevant Domestic Subsidiary Borrower and notified to the Administrative Agent in accordance with Section 2.2 and 2.12.</w:t>
      </w:r>
    </w:p>
    <w:p>
      <w:pPr>
        <w:spacing w:after="0" w:line="187" w:lineRule="exact"/>
        <w:rPr>
          <w:rFonts w:ascii="Times New Roman" w:cs="Times New Roman" w:eastAsia="Times New Roman" w:hAnsi="Times New Roman"/>
          <w:sz w:val="18"/>
          <w:szCs w:val="18"/>
          <w:color w:val="auto"/>
        </w:rPr>
      </w:pPr>
    </w:p>
    <w:p>
      <w:pPr>
        <w:ind w:left="8" w:right="260" w:firstLine="966"/>
        <w:spacing w:after="0" w:line="274" w:lineRule="auto"/>
        <w:tabs>
          <w:tab w:leader="none" w:pos="12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64" w:lineRule="exact"/>
        <w:rPr>
          <w:sz w:val="20"/>
          <w:szCs w:val="20"/>
          <w:color w:val="auto"/>
        </w:rPr>
      </w:pPr>
    </w:p>
    <w:p>
      <w:pPr>
        <w:ind w:left="8" w:right="140" w:firstLine="974"/>
        <w:spacing w:after="0" w:line="263"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Procedure for Domestic Loan Borrowing</w:t>
      </w:r>
      <w:r>
        <w:rPr>
          <w:rFonts w:ascii="Times New Roman" w:cs="Times New Roman" w:eastAsia="Times New Roman" w:hAnsi="Times New Roman"/>
          <w:sz w:val="17"/>
          <w:szCs w:val="17"/>
          <w:color w:val="auto"/>
        </w:rPr>
        <w:t xml:space="preserve">. The Company and any Domestic Subsidiary Borrower may borrow under the Domestic Commitments during the applicable Commitment Period on any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except in the case of a deemed request for an ABR Loan on the Reimbursement Date of a Reimbursement Obligation as contemplated by Section 3.5, the Company or the relevant Domestic Subsidiary Borrower shall give the Administrative Agent a written Borrowing Request prior to (a) 1:00 p.m., New York City time, three U.S. Government Securities Business Days prior to the requested Borrowing Date, in the case of Term Benchmark Loans, (b) in the case of Daily Simple SOFR Loans, 11:00 a.m., New York City time, three U.S. Government Securities Business Days prior to the requested Borrowing Date or (c) 1:00 p.m., New York City time, on the date of the proposed borrowing, in the case of ABR Loans, specifying (i) the amount and Type of Domestic Loans to be borrowed,</w:t>
      </w:r>
    </w:p>
    <w:p>
      <w:pPr>
        <w:spacing w:after="0" w:line="6" w:lineRule="exact"/>
        <w:rPr>
          <w:sz w:val="20"/>
          <w:szCs w:val="20"/>
          <w:color w:val="auto"/>
        </w:rPr>
      </w:pPr>
    </w:p>
    <w:p>
      <w:pPr>
        <w:ind w:left="8" w:right="120" w:hanging="8"/>
        <w:spacing w:after="0" w:line="260" w:lineRule="auto"/>
        <w:tabs>
          <w:tab w:leader="none" w:pos="26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requested Borrowing Date and (iii) in the case of Term Benchmark Loans, the respective lengths of the initial Interest Period(s) therefor;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Term Benchmark Loan is specified in any such notice, then the Company or the relevant Domestic Subsidiary Borrower shall be deemed to have selected an Interest Period of one month’s duration. Except as otherwise contemplated by Section 3.5, each borrowing under the Domestic Commitments shall be in an amount equal to $25 million (or, if the Total Available Domestic Commitments at such time are less than</w:t>
      </w:r>
    </w:p>
    <w:p>
      <w:pPr>
        <w:spacing w:after="0" w:line="2" w:lineRule="exact"/>
        <w:rPr>
          <w:rFonts w:ascii="Times New Roman" w:cs="Times New Roman" w:eastAsia="Times New Roman" w:hAnsi="Times New Roman"/>
          <w:sz w:val="17"/>
          <w:szCs w:val="17"/>
          <w:color w:val="auto"/>
        </w:rPr>
      </w:pPr>
    </w:p>
    <w:p>
      <w:pPr>
        <w:ind w:left="8"/>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$25 million, such lesser amount) or a whole multiple of $5 million in excess thereof. Upon receipt of any such notice (or, as provided in Section 3.5, deemed notice) from the Company or the relevant Domestic Subsidiary Borrower, the Administrative Agent shall promptly notify each Domestic Lender thereof. Each Domestic Lender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Subject to Section 3.5 (where the proceeds of such borrowing shall be applied to repay the related Reimbursement</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28"/>
          </w:cols>
          <w:pgMar w:left="532" w:top="267" w:right="539" w:bottom="1440" w:gutter="0" w:footer="0" w:header="0"/>
        </w:sectPr>
      </w:pPr>
    </w:p>
    <w:bookmarkStart w:id="50" w:name="page51"/>
    <w:bookmarkEnd w:id="50"/>
    <w:p>
      <w:pPr>
        <w:ind w:left="8"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Obligation),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Multicurrency Commitments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100" w:firstLine="966"/>
        <w:spacing w:after="0" w:line="266" w:lineRule="auto"/>
        <w:tabs>
          <w:tab w:leader="none" w:pos="1223"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hereof, each Multicurrency Lender severally agrees to make (or cause its Applicable Lending Office to make) revolving loans (“</w:t>
      </w:r>
      <w:r>
        <w:rPr>
          <w:rFonts w:ascii="Times New Roman" w:cs="Times New Roman" w:eastAsia="Times New Roman" w:hAnsi="Times New Roman"/>
          <w:sz w:val="17"/>
          <w:szCs w:val="17"/>
          <w:u w:val="single" w:color="auto"/>
          <w:color w:val="auto"/>
        </w:rPr>
        <w:t>Multicurrency Loans</w:t>
      </w:r>
      <w:r>
        <w:rPr>
          <w:rFonts w:ascii="Times New Roman" w:cs="Times New Roman" w:eastAsia="Times New Roman" w:hAnsi="Times New Roman"/>
          <w:sz w:val="17"/>
          <w:szCs w:val="17"/>
          <w:color w:val="auto"/>
        </w:rPr>
        <w:t xml:space="preserve">”) in Dollars or any Optional Currency to the Company, GMF or any Foreign Subsidiary Borrower from time to time during the Commitment Period of such Multicurrency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after giving effect to such borrowing and the use of proceeds thereof, (i) such Lender’s Multicurrency Extensions of Credit do not exceed the amount of such Lender’s Multicurrency Commitments,</w:t>
      </w:r>
    </w:p>
    <w:p>
      <w:pPr>
        <w:spacing w:after="0" w:line="1" w:lineRule="exact"/>
        <w:rPr>
          <w:rFonts w:ascii="Times New Roman" w:cs="Times New Roman" w:eastAsia="Times New Roman" w:hAnsi="Times New Roman"/>
          <w:sz w:val="17"/>
          <w:szCs w:val="17"/>
          <w:color w:val="auto"/>
        </w:rPr>
      </w:pPr>
    </w:p>
    <w:p>
      <w:pPr>
        <w:ind w:left="8" w:right="80" w:hanging="8"/>
        <w:spacing w:after="0" w:line="247" w:lineRule="auto"/>
        <w:tabs>
          <w:tab w:leader="none" w:pos="2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Multicurrency Extensions of Credit shall not exceed the Total Multicurrency Commitments then in effect and (iii) 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Term Benchmark Loans or (if made to the Company and denominated in Dollars) Daily Simple SOFR Loans or ABR Loans, in each case, as notified to the Administrative Agent in accordance with Section 2.4 and 2.12.</w:t>
      </w:r>
    </w:p>
    <w:p>
      <w:pPr>
        <w:spacing w:after="0" w:line="188" w:lineRule="exact"/>
        <w:rPr>
          <w:rFonts w:ascii="Times New Roman" w:cs="Times New Roman" w:eastAsia="Times New Roman" w:hAnsi="Times New Roman"/>
          <w:sz w:val="18"/>
          <w:szCs w:val="18"/>
          <w:color w:val="auto"/>
        </w:rPr>
      </w:pPr>
    </w:p>
    <w:p>
      <w:pPr>
        <w:ind w:left="8" w:right="160" w:firstLine="966"/>
        <w:spacing w:after="0" w:line="274" w:lineRule="auto"/>
        <w:tabs>
          <w:tab w:leader="none" w:pos="123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64" w:lineRule="exact"/>
        <w:rPr>
          <w:sz w:val="20"/>
          <w:szCs w:val="20"/>
          <w:color w:val="auto"/>
        </w:rPr>
      </w:pPr>
    </w:p>
    <w:p>
      <w:pPr>
        <w:ind w:left="8" w:firstLine="974"/>
        <w:spacing w:after="0" w:line="262"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Procedure for Multicurrency Loan Borrowing</w:t>
      </w:r>
      <w:r>
        <w:rPr>
          <w:rFonts w:ascii="Times New Roman" w:cs="Times New Roman" w:eastAsia="Times New Roman" w:hAnsi="Times New Roman"/>
          <w:sz w:val="17"/>
          <w:szCs w:val="17"/>
          <w:color w:val="auto"/>
        </w:rPr>
        <w:t xml:space="preserve">. The Company and any relevant Subsidiary Borrower may borrow under the Multicurrency Commitments during the applicable Commitment Period on any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or the relevant Subsidiary Borrower shall deliver to the Administrative Agent (x) in the case of any Multicurrency Loan denominated in Dollars, a written Borrowing Request prior to (a) in the case of Term Benchmark Loans and Daily Simple SOFR Loans, 1:00 P.M., New York City time, three Business Days prior to the requested Borrowing Date or (b) 1:00 P.M., New York City time, on the date of the proposed borrowing, in the case of ABR Loans requested by the Company, (y) in the case of any Multicurrency Loan denominated in an Optional Currency (other than Japanese Yen), a written Borrowing Request prior to 1:00 P.M., London time, three Business Days prior to the requested Borrowing Date and (z) in the case of any Multicurrency Loan denominated in Japanese Yen, a written Borrowing Request prior to 1:00 P.M., London time, four Business Days prior to the requested Borrowing Date, in each case, specifying (a) the amount, Type and Currency of Multicurrency Loans to be borrowed, (b) the requested Borrowing Date and (c) the respective lengths of the initial Interest Period(s) therefor, if applicable;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 Daily Simple SOFR Loan. If no Interest Period with respect to any Term Benchmark Loan is specified in any such notice, then the Company or the relevant Subsidiary Borrower shall be deemed to have selected an Interest Period of one month’s duration. Each borrowing under the Multicurrency Commitments shall be in an amount that is an integral multiple of</w:t>
      </w:r>
    </w:p>
    <w:p>
      <w:pPr>
        <w:spacing w:after="0" w:line="3" w:lineRule="exact"/>
        <w:rPr>
          <w:sz w:val="20"/>
          <w:szCs w:val="20"/>
          <w:color w:val="auto"/>
        </w:rPr>
      </w:pPr>
    </w:p>
    <w:p>
      <w:pPr>
        <w:ind w:left="8" w:right="420"/>
        <w:spacing w:after="0" w:line="249" w:lineRule="auto"/>
        <w:rPr>
          <w:sz w:val="20"/>
          <w:szCs w:val="20"/>
          <w:color w:val="auto"/>
        </w:rPr>
      </w:pPr>
      <w:r>
        <w:rPr>
          <w:rFonts w:ascii="Times New Roman" w:cs="Times New Roman" w:eastAsia="Times New Roman" w:hAnsi="Times New Roman"/>
          <w:sz w:val="18"/>
          <w:szCs w:val="18"/>
          <w:color w:val="auto"/>
        </w:rPr>
        <w:t>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28"/>
          </w:cols>
          <w:pgMar w:left="532" w:top="267" w:right="539" w:bottom="1440" w:gutter="0" w:footer="0" w:header="0"/>
        </w:sectPr>
      </w:pPr>
    </w:p>
    <w:bookmarkStart w:id="51" w:name="page52"/>
    <w:bookmarkEnd w:id="51"/>
    <w:p>
      <w:pPr>
        <w:ind w:righ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Agent shall promptly notify each Multicurrency Lender holding Multicurrency Commitments of such notice. Each Multicurrency Lender holding Multicurrency Commitments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borrowing available to the Administrative Agent for the account of the Company or the relevant Subsidiary Borrower at the Funding Office prior to (x) in the case of any Multicurrency Loan denominated in Dollars, 1:00 P.M. (or, in the case of an ABR Loan requested on the proposed Borrowing Date, 3:00 P.M.), New York City time, on the Borrowing Date requested by the Company or the relevant Subsidiary Borrower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[Reserved]</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Facility Fees, etc.</w:t>
      </w:r>
      <w:r>
        <w:rPr>
          <w:rFonts w:ascii="Times New Roman" w:cs="Times New Roman" w:eastAsia="Times New Roman" w:hAnsi="Times New Roman"/>
          <w:sz w:val="18"/>
          <w:szCs w:val="18"/>
          <w:color w:val="auto"/>
        </w:rPr>
        <w:t xml:space="preserve"> (a) The Company agrees to pay to the Administrative Agent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of such Lender under such Facility during the related Fee Payment Period for which payment is made, payable in arrears on each Fee Payment Date, commencing on the first such date to occur after the Closing Date.</w:t>
      </w:r>
    </w:p>
    <w:p>
      <w:pPr>
        <w:spacing w:after="0" w:line="185" w:lineRule="exact"/>
        <w:rPr>
          <w:sz w:val="20"/>
          <w:szCs w:val="20"/>
          <w:color w:val="auto"/>
        </w:rPr>
      </w:pPr>
    </w:p>
    <w:p>
      <w:pPr>
        <w:ind w:left="1220" w:hanging="254"/>
        <w:spacing w:after="0"/>
        <w:tabs>
          <w:tab w:leader="none" w:pos="1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7" w:lineRule="exact"/>
        <w:rPr>
          <w:rFonts w:ascii="Times New Roman" w:cs="Times New Roman" w:eastAsia="Times New Roman" w:hAnsi="Times New Roman"/>
          <w:sz w:val="18"/>
          <w:szCs w:val="18"/>
          <w:color w:val="auto"/>
        </w:rPr>
      </w:pPr>
    </w:p>
    <w:p>
      <w:pPr>
        <w:ind w:right="380" w:firstLine="966"/>
        <w:spacing w:after="0" w:line="274" w:lineRule="auto"/>
        <w:tabs>
          <w:tab w:leader="none" w:pos="12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Administrative Agent the fees in the amounts and on the dates as set forth in the Administrative Agent Fee Letter, dated as of January 25, 2023.</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Termination, Reduction and Reallocation of Commitments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120" w:firstLine="966"/>
        <w:spacing w:after="0" w:line="250" w:lineRule="auto"/>
        <w:tabs>
          <w:tab w:leader="none" w:pos="1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upon not less than three Business Days’ notice to the Administrative Agent, to terminate the Commitments under any Facility or, from time to time, to reduce the amount of Commitments under any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termination or reduction of such Commitments shall be permitted if, after giving effect thereto and to any prepayments of the Loans (if applicable) made on the effective date thereof, (w) the Total Domestic Extensions of Credit would exceed the Total Domestic Commitments then in effect, (x) the Domestic Extensions of Credit of any Lender would exceed such Lender’s Domestic Commitment then in effect or (y) the Total Multicurrency Extensions of Credit would exceed the Total Multicurrency Commitments then in effect. In the event that the Administrative Agent receives such notice, the Administrative Agent shall give notice thereof to the relevant Lenders as soon as practicable thereafter. Any such reduction shall be in an amount equal to $25</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20"/>
          </w:cols>
          <w:pgMar w:left="540" w:top="267" w:right="539" w:bottom="1440" w:gutter="0" w:footer="0" w:header="0"/>
        </w:sectPr>
      </w:pPr>
    </w:p>
    <w:bookmarkStart w:id="52" w:name="page53"/>
    <w:bookmarkEnd w:id="5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million or a whole multiple of $10 million in excess thereof and shall reduce permanently the Commitments then in effect under such Facility. Each notice delivered by the Company pursuant to this Section 2.9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2.20 for any loss or expense sustained or incurred as a consequence thereof.</w:t>
      </w:r>
    </w:p>
    <w:p>
      <w:pPr>
        <w:spacing w:after="0" w:line="187" w:lineRule="exact"/>
        <w:rPr>
          <w:sz w:val="20"/>
          <w:szCs w:val="20"/>
          <w:color w:val="auto"/>
        </w:rPr>
      </w:pPr>
    </w:p>
    <w:p>
      <w:pPr>
        <w:ind w:firstLine="966"/>
        <w:spacing w:after="0" w:line="247" w:lineRule="auto"/>
        <w:tabs>
          <w:tab w:leader="none" w:pos="12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upon not less than three Business Days’ notice to the Administrative Agent, to require the Lenders under the Multicurrency Facility to reallocate the Multicurrency Commitments to the Domestic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after giving effect to any such reallocation,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(ii) such reallocation with respect to any Lender shall have been consented to by each Material Issuing Lender to the extent such consent would be required for an assignment to such Lender pursuant to Section 10.6(b). Except as provided in Section 2.22, any such reallocation shall be in an amount equal to $25 million or a whole multiple of $1 million in excess thereof. Any such reallocation shall reduce the Multicurrency Commitment of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their existing Multicurrency Commitments at such time and increase such Lender’s Domestic Commitment by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reallocation would result in amounts being payable by the Company or any Subsidiary Borrower to any Lender under Section 2.18 or 2.19, such Lender shall use reasonable efforts (subject to Section 2.21)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2.20 as a result of such prepayment.</w:t>
      </w:r>
    </w:p>
    <w:p>
      <w:pPr>
        <w:spacing w:after="0" w:line="199" w:lineRule="exact"/>
        <w:rPr>
          <w:rFonts w:ascii="Times New Roman" w:cs="Times New Roman" w:eastAsia="Times New Roman" w:hAnsi="Times New Roman"/>
          <w:sz w:val="18"/>
          <w:szCs w:val="18"/>
          <w:color w:val="auto"/>
        </w:rPr>
      </w:pPr>
    </w:p>
    <w:p>
      <w:pPr>
        <w:ind w:firstLine="966"/>
        <w:spacing w:after="0" w:line="264" w:lineRule="auto"/>
        <w:tabs>
          <w:tab w:leader="none" w:pos="12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may at any time or from time to time after the Closing Date, by notice to the Administrative Agent and the Lenders, request that one or more of the Lenders under the Domestic Facility reallocate a portion of their respective Domestic Commitments to the Multicurrency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giving effect to any such reallocation and any prepayment of the Domestic Loans (which, notwithstanding anything to the contrary contained herein, may include a non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prepayment of the Lenders agreeing to such reallocation), (A) the Total Domestic Extensions of Credit shall not exceed the Total Domestic Commitments then in effect and (B) the Domestic Extensions of Credit of any Lender shall not exceed the amount of such Lender’s Domestic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to such reallocation. The relevant Lenders agreeing to reallocate a portion of their Domestic Commitments to the Multicurrency Facility shall have such portion of their Domestic Commitment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80"/>
          </w:cols>
          <w:pgMar w:left="540" w:top="267" w:right="579" w:bottom="1440" w:gutter="0" w:footer="0" w:header="0"/>
        </w:sectPr>
      </w:pPr>
    </w:p>
    <w:bookmarkStart w:id="53" w:name="page54"/>
    <w:bookmarkEnd w:id="53"/>
    <w:p>
      <w:pPr>
        <w:ind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2.20 as a result of such prepayment(s). Notwithstanding anything in this clause (c) to the contrary, no Domestic Lender shall be obligated to reallocate any portion of its Domestic Commitments to the Multicurrency Facility unless such Lender agrees.</w:t>
      </w:r>
    </w:p>
    <w:p>
      <w:pPr>
        <w:spacing w:after="0" w:line="182" w:lineRule="exact"/>
        <w:rPr>
          <w:sz w:val="20"/>
          <w:szCs w:val="20"/>
          <w:color w:val="auto"/>
        </w:rPr>
      </w:pPr>
    </w:p>
    <w:p>
      <w:pPr>
        <w:ind w:right="20" w:firstLine="974"/>
        <w:spacing w:after="0" w:line="247"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Company and any relevant Subsidiary Borrower may at any time and from time to time prepay the Loans, in whole or in part, without premium or penalty, upon irrevocable notice delivered to the Administrative Agent no later than (x) with respect to Domestic Loans, (i) 1:00 p.m., New York City time, three Business Days prior thereto, in the case of Term Benchmark Loans and Daily Simple SOFR Loans and (ii) 1:00 P.M., New York City time, on the day of such prepayment, in the case of ABR Loans, (y) with respect to Multicurrency Loans (other than Multicurrency Loans denominated in Japanese Yen), 11:00 A.M., London time, three Business Days prior thereto and (z) respect to Multicurrency Loans denominated in Japanese Yen, 11:00 A.M., London time, four Business Days prior thereto, in each case which notice shall specify the applicable Facility, the date and amount of prepayment and whether the prepayment is of Term Benchmark Loans, ABR Loans or Daily Simple SOFR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Benchmark Loan is prepaid on any day other than the last day of the Interest Period applicable thereto, the Company or the relevant Subsidiary Borrower shall also pay any amounts owing pursuant to Section 2.20;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2.20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units of the Currency of such Loan and no less than the Dollar Equivalent of $25 million.</w:t>
      </w:r>
    </w:p>
    <w:p>
      <w:pPr>
        <w:spacing w:after="0" w:line="199" w:lineRule="exact"/>
        <w:rPr>
          <w:sz w:val="20"/>
          <w:szCs w:val="20"/>
          <w:color w:val="auto"/>
        </w:rPr>
      </w:pPr>
    </w:p>
    <w:p>
      <w:pPr>
        <w:ind w:firstLine="974"/>
        <w:spacing w:after="0" w:line="267"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Mandatory Prepayments</w:t>
      </w:r>
      <w:r>
        <w:rPr>
          <w:rFonts w:ascii="Times New Roman" w:cs="Times New Roman" w:eastAsia="Times New Roman" w:hAnsi="Times New Roman"/>
          <w:sz w:val="17"/>
          <w:szCs w:val="17"/>
          <w:color w:val="auto"/>
        </w:rPr>
        <w:t xml:space="preserve">. (a) On each Fee Payment Date on which any Letter of Credit denominated in an Optional Currency is outstanding, the Administrative Agent shall determine the Dollar Equivalent of the Total Domestic Extensions of Credit as of the last day of the related Fee Payment Period. If, as of the last day of any Fee Payment Period, the Dollar Equivalent of the Total Domestic Extensions of Credit exceeds the Total Domestic Commitments then in effect by 5% or more, then the Administrative Agent shall notify the Company and, within five Business Days of such notice, the Company or the relevant Subsidiary Borrower shall prepay Domestic Loans or Collateralize outstanding Letters of Credit in an aggregate principal or face amount at least equal to such excess;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failure of the Administrative Agent to determine the Dollar Equivalent of the Total Domestic Extensions of Credit as provided in this Section 2.11(a) shall not subject the Administrative Agent to any liability hereunder.</w:t>
      </w:r>
    </w:p>
    <w:p>
      <w:pPr>
        <w:spacing w:after="0" w:line="176" w:lineRule="exact"/>
        <w:rPr>
          <w:sz w:val="20"/>
          <w:szCs w:val="20"/>
          <w:color w:val="auto"/>
        </w:rPr>
      </w:pPr>
    </w:p>
    <w:p>
      <w:pPr>
        <w:ind w:right="20" w:firstLine="966"/>
        <w:spacing w:after="0" w:line="250" w:lineRule="auto"/>
        <w:tabs>
          <w:tab w:leader="none" w:pos="12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the Administrative Agent to determine the Total Multicurrency Extensions of Credit as provided in this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2.11(b) shall not subject the Administrative Agent to any liability hereunder.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20"/>
          </w:cols>
          <w:pgMar w:left="540" w:top="267" w:right="539" w:bottom="1440" w:gutter="0" w:footer="0" w:header="0"/>
        </w:sectPr>
      </w:pPr>
    </w:p>
    <w:bookmarkStart w:id="54" w:name="page55"/>
    <w:bookmarkEnd w:id="5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2.12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80" w:firstLine="966"/>
        <w:spacing w:after="0" w:line="263" w:lineRule="auto"/>
        <w:tabs>
          <w:tab w:leader="none" w:pos="12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or any Subsidiary Borrower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conversion of Term Benchmark Loans that is not made on the last day of an Interest Period with respect thereto shall be subject to Section 2.20. The Company or any Subsidiary Borrower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or any Subsidiary Borrower may elect from time to time to convert ABR Loans or Daily Simple SOFR Loans to Term Benchmark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ABR Loan may be converted into a Term Benchmark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84" w:lineRule="exact"/>
        <w:rPr>
          <w:rFonts w:ascii="Times New Roman" w:cs="Times New Roman" w:eastAsia="Times New Roman" w:hAnsi="Times New Roman"/>
          <w:sz w:val="17"/>
          <w:szCs w:val="17"/>
          <w:color w:val="auto"/>
        </w:rPr>
      </w:pPr>
    </w:p>
    <w:p>
      <w:pPr>
        <w:ind w:firstLine="966"/>
        <w:spacing w:after="0" w:line="248" w:lineRule="auto"/>
        <w:tabs>
          <w:tab w:leader="none" w:pos="12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Term Benchmark Loan denominated in Dollars under the relevant Facility shall be converted to an ABR Loan at the end of the Interest Period applicable thereto and (ii) each Term Benchmark Loan denominated in an Optional Currency under the applicable Facility shall be converted at the end of the Interest Period applicable thereto to a Term Benchmark Loan with an Interest Period of one month;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or such Subsidiary Borrower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91"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Limitations on Term Benchmark and Daily Simple SOFR Borrowings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no more than 30 Term Benchmark Tranches shall be outstanding at any one time. Notwithstanding anything to the contrary in this Agreement, all borrowings, conversions and continuations of Daily Simple SOFR Loans shall be in such amounts and be made pursuant to such elections so that no more than 10 Daily Simple SOFR Borrowings shall be outstanding at any one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00"/>
          </w:cols>
          <w:pgMar w:left="540" w:top="267" w:right="559" w:bottom="1440" w:gutter="0" w:footer="0" w:header="0"/>
        </w:sectPr>
      </w:pPr>
    </w:p>
    <w:bookmarkStart w:id="55" w:name="page56"/>
    <w:bookmarkEnd w:id="55"/>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2.14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66"/>
        <w:spacing w:after="0" w:line="251" w:lineRule="auto"/>
        <w:tabs>
          <w:tab w:leader="none" w:pos="1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(w) Term Benchmark Loan denominated in Dollars shall bear interest for each day during each Interest Period with respect thereto at a rate per annum equal to the Adjusted Term SOFR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(x) Term Benchmark Loan denominated in Euro shall bear interest for each day during each Interest Period with respect thereto at a rate per annum equal to the Adjusted EURIBOR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(y) Term Benchmark Loan denominated in Japanese Yen shall bear interest for each day during each Interest Period with respect thereto at a rate per annum equal to the Adjusted TIBOR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 (z) Daily Simple SOFR Loan shall bear interest for each day at a rate per annum equal to the Adjusted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86"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17" w:lineRule="exact"/>
        <w:rPr>
          <w:rFonts w:ascii="Times New Roman" w:cs="Times New Roman" w:eastAsia="Times New Roman" w:hAnsi="Times New Roman"/>
          <w:sz w:val="18"/>
          <w:szCs w:val="18"/>
          <w:color w:val="auto"/>
        </w:rPr>
      </w:pPr>
    </w:p>
    <w:p>
      <w:pPr>
        <w:ind w:right="140" w:firstLine="966"/>
        <w:spacing w:after="0" w:line="249" w:lineRule="auto"/>
        <w:tabs>
          <w:tab w:leader="none" w:pos="1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2.14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or (y) in the case of Reimbursement Obligations, the rate applicable to ABR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Reimbursement Obligation or any Facility Fee or Letter of Credit Fee payable hereunder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(after as well as before judgment).</w:t>
      </w:r>
    </w:p>
    <w:p>
      <w:pPr>
        <w:spacing w:after="0" w:line="189" w:lineRule="exact"/>
        <w:rPr>
          <w:rFonts w:ascii="Times New Roman" w:cs="Times New Roman" w:eastAsia="Times New Roman" w:hAnsi="Times New Roman"/>
          <w:sz w:val="18"/>
          <w:szCs w:val="18"/>
          <w:color w:val="auto"/>
        </w:rPr>
      </w:pPr>
    </w:p>
    <w:p>
      <w:pPr>
        <w:ind w:right="120" w:firstLine="966"/>
        <w:spacing w:after="0" w:line="274" w:lineRule="auto"/>
        <w:tabs>
          <w:tab w:leader="none" w:pos="12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2.14(c) shall be payable from time to time on demand.</w:t>
      </w:r>
    </w:p>
    <w:p>
      <w:pPr>
        <w:spacing w:after="0" w:line="164" w:lineRule="exact"/>
        <w:rPr>
          <w:rFonts w:ascii="Times New Roman" w:cs="Times New Roman" w:eastAsia="Times New Roman" w:hAnsi="Times New Roman"/>
          <w:sz w:val="18"/>
          <w:szCs w:val="18"/>
          <w:color w:val="auto"/>
        </w:rPr>
      </w:pPr>
    </w:p>
    <w:p>
      <w:pPr>
        <w:ind w:left="1200" w:hanging="234"/>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paid in the Currency in which the Loan giving rise to such interest is denominated.</w:t>
      </w:r>
    </w:p>
    <w:p>
      <w:pPr>
        <w:spacing w:after="0" w:line="218"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(a) Interest and fees payable pursuant hereto shall be calculated on the basis of a 360-day year for the actual days elapsed, except that interest computed by reference to (x) ABR at times when ABR is based on the Prime Rate and (y) the TIBOR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EURIBOR Rate, EURIBOR Rate, Adjusted TIBOR Rate, TIBOR Rate, Adjusted Daily Simple SOFR Rate or Daily Simple SOFR shall be determined by the Administrative Agent, and such determination shall be conclusive absent manifest error. The Administrative Agent shall as soon as practicable notify the Company or relevant Subsidiary Borrower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Lenders of each determination of a Relevant Rate. Any change in the interest rate resulting from a change in the ABR or the Statutory Reserve Rate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00"/>
          </w:cols>
          <w:pgMar w:left="540" w:top="267" w:right="559" w:bottom="1440" w:gutter="0" w:footer="0" w:header="0"/>
        </w:sectPr>
      </w:pPr>
    </w:p>
    <w:bookmarkStart w:id="56" w:name="page57"/>
    <w:bookmarkEnd w:id="56"/>
    <w:p>
      <w:pPr>
        <w:ind w:right="22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176" w:lineRule="exact"/>
        <w:rPr>
          <w:sz w:val="20"/>
          <w:szCs w:val="20"/>
          <w:color w:val="auto"/>
        </w:rPr>
      </w:pPr>
    </w:p>
    <w:p>
      <w:pPr>
        <w:ind w:right="20" w:firstLine="966"/>
        <w:spacing w:after="0" w:line="304" w:lineRule="auto"/>
        <w:tabs>
          <w:tab w:leader="none" w:pos="122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at the request of the Company or any Subsidiary Borrower, deliver to the Company or such Subsidiary Borrower a statement showing the quotations used by the Administrative Agent in determining any interest rate pursuant to this Section 2.15.</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Inability to Determine Interest Rate; Illegality</w:t>
      </w:r>
      <w:r>
        <w:rPr>
          <w:rFonts w:ascii="Times New Roman" w:cs="Times New Roman" w:eastAsia="Times New Roman" w:hAnsi="Times New Roman"/>
          <w:sz w:val="18"/>
          <w:szCs w:val="18"/>
          <w:color w:val="auto"/>
        </w:rPr>
        <w:t>. (a) Subject to clauses (b), (c), (d), (e) and (f) of this Section 2.16, if:</w:t>
      </w:r>
    </w:p>
    <w:p>
      <w:pPr>
        <w:spacing w:after="0" w:line="111" w:lineRule="exact"/>
        <w:rPr>
          <w:sz w:val="20"/>
          <w:szCs w:val="20"/>
          <w:color w:val="auto"/>
        </w:rPr>
      </w:pPr>
    </w:p>
    <w:p>
      <w:pPr>
        <w:ind w:left="960" w:right="20" w:firstLine="400"/>
        <w:spacing w:after="0" w:line="251" w:lineRule="auto"/>
        <w:tabs>
          <w:tab w:leader="none" w:pos="15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EURIBOR Rate, the EURIBOR Rate, the Adjusted TIBOR Rate or the TIBOR Rate, as applicable (including because the Relevant Screen Rate is not available or published on a current basis), for the applicable Optional Currency and such Interest Period or (B) at any time, that adequate and reasonable means do not exist for ascertaining the applicable Adjusted Daily Simple SOFR or Daily Simple SOFR; or</w:t>
      </w:r>
    </w:p>
    <w:p>
      <w:pPr>
        <w:spacing w:after="0" w:line="80" w:lineRule="exact"/>
        <w:rPr>
          <w:rFonts w:ascii="Times New Roman" w:cs="Times New Roman" w:eastAsia="Times New Roman" w:hAnsi="Times New Roman"/>
          <w:sz w:val="18"/>
          <w:szCs w:val="18"/>
          <w:color w:val="auto"/>
        </w:rPr>
      </w:pPr>
    </w:p>
    <w:p>
      <w:pPr>
        <w:ind w:left="960" w:right="20" w:firstLine="400"/>
        <w:spacing w:after="0" w:line="251" w:lineRule="auto"/>
        <w:tabs>
          <w:tab w:leader="none" w:pos="16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Term SOFR Rate, the Adjusted EURIBOR Rate, the EURIBOR Rate, the Adjusted TIBOR Rate or the TIBOR Rate, as applicable, for the applicable Optional Currency and such Interest Period will not adequately and fairly reflect the cost to such Lenders of making or maintaining their Loans included in such Borrowing for the applicable Optional Currency and such Interest Period or (B) at any time, Adjusted Daily Simple SOFR will not adequately and fairly reflect the cost to such Lenders (or Lender) of making or maintaining their Loans (or its Loan) included in such Borrowing;</w:t>
      </w:r>
    </w:p>
    <w:p>
      <w:pPr>
        <w:spacing w:after="0" w:line="18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relevant Borrower delivers a new Interest Election Request in accordance with the terms of Section 2.12 or a new Borrowing Request in accordance with the terms of Section 2.2,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2.16(a)(i) or (ii) above or (y) an ABR Borrowing if the Adjusted Daily Simple SOFR also is the subject of Section 2.16(a)(i) or (ii) above and (2) any Borrowing Request that requests a Daily Simple SOFR Borrowing shall instead be deemed to be a Borrowing Request for an ABR Borrowing and (B) for Loans denominated in an Optional Currency, any Interest Election Request that requests the conversion of any Borrowing to, or continuation of any Borrowing as, a Term Benchmark Borrowing and any Borrowing Request that requests a Term Benchmark Borrowing for the relevant Benchmark, shall be ineffective; provided that if the circumstances giving rise to such notice affect only one Type of Borrowings, then all other Types of Borrowings shall be permitted. Furthermore, if any Term Benchmark Loan in any Optional Currency is outstanding on the date of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00"/>
          </w:cols>
          <w:pgMar w:left="540" w:top="267" w:right="559" w:bottom="1440" w:gutter="0" w:footer="0" w:header="0"/>
        </w:sectPr>
      </w:pPr>
    </w:p>
    <w:bookmarkStart w:id="57" w:name="page58"/>
    <w:bookmarkEnd w:id="57"/>
    <w:p>
      <w:pPr>
        <w:ind w:left="8" w:right="16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Company’s receipt of the notice from the Administrative Agent referred to in this Section 2.16(a) with respect to a Relevant Rate applicable to such Term Benchmark Loan, then until (x) the Administrative Agent notifies the Company and the Lenders that the circumstances giving rise to such notice no longer exist with respect to the relevant Benchmark and (y) the relevant Borrower delivers a new Interest Election Request in accordance with the terms of Section 2.14 or a new Borrowing Request in accordance with the terms of Section 2.2, (A) for Loans denominated in Dollars, (1) any Term Benchmark Loan shall on the last day of the Interest Period applicable to such Loan, be converted by the Administrative Agent to, and shall constitute,</w:t>
      </w:r>
    </w:p>
    <w:p>
      <w:pPr>
        <w:spacing w:after="0" w:line="1" w:lineRule="exact"/>
        <w:rPr>
          <w:sz w:val="20"/>
          <w:szCs w:val="20"/>
          <w:color w:val="auto"/>
        </w:rPr>
      </w:pPr>
    </w:p>
    <w:p>
      <w:pPr>
        <w:ind w:left="8" w:right="20" w:hanging="8"/>
        <w:spacing w:after="0" w:line="246" w:lineRule="auto"/>
        <w:tabs>
          <w:tab w:leader="none" w:pos="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Daily Simple SOFR Borrowing so long as the Adjusted Daily Simple SOFR is not also the subject of Section 2.16(a)(i) or (ii) above or (y) an ABR Loan if the Adjusted Daily Simple SOFR also is the subject of Section 2.16(a)(i) or (ii) above, on such day and (2) any Daily Simple SOFR Loans shall on and from such day be converted by the Administrative Agent to, and shall constitute an, ABR Loan and (B) for Loans denominated in an Optional Currency, any Term Benchmark Loan shall, on the last day of the Interest Period applicable to such Loan bear interest at the Central Bank Rate (or in the case of Japanese Yen, the Japanese Prime Rate) for the applicable Optional Currency plus the CBR Spread; provided that, if the Administrative Agent determines (which determination shall be conclusive and binding absent manifest error) that the Central Bank Rate (or in the case of Japanese Yen, the Japanese Prime Rate) for the applicable Optional Currency cannot be determined, any outstanding affected Term Benchmark Loans denominated in any Optional Currency shall, at the applicable Borrower’s election prior to such day: (A) be prepaid by 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w:t>
      </w:r>
    </w:p>
    <w:p>
      <w:pPr>
        <w:spacing w:after="0" w:line="193" w:lineRule="exact"/>
        <w:rPr>
          <w:rFonts w:ascii="Times New Roman" w:cs="Times New Roman" w:eastAsia="Times New Roman" w:hAnsi="Times New Roman"/>
          <w:sz w:val="18"/>
          <w:szCs w:val="18"/>
          <w:color w:val="auto"/>
        </w:rPr>
      </w:pPr>
    </w:p>
    <w:p>
      <w:pPr>
        <w:ind w:left="8" w:firstLine="966"/>
        <w:spacing w:after="0" w:line="269" w:lineRule="auto"/>
        <w:tabs>
          <w:tab w:leader="none" w:pos="1233"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1" w:lineRule="exact"/>
        <w:rPr>
          <w:rFonts w:ascii="Times New Roman" w:cs="Times New Roman" w:eastAsia="Times New Roman" w:hAnsi="Times New Roman"/>
          <w:sz w:val="17"/>
          <w:szCs w:val="17"/>
          <w:color w:val="auto"/>
        </w:rPr>
      </w:pPr>
    </w:p>
    <w:p>
      <w:pPr>
        <w:jc w:val="both"/>
        <w:ind w:left="8" w:right="120" w:firstLine="966"/>
        <w:spacing w:after="0" w:line="255" w:lineRule="auto"/>
        <w:tabs>
          <w:tab w:leader="none" w:pos="122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1" w:lineRule="exact"/>
        <w:rPr>
          <w:rFonts w:ascii="Times New Roman" w:cs="Times New Roman" w:eastAsia="Times New Roman" w:hAnsi="Times New Roman"/>
          <w:sz w:val="18"/>
          <w:szCs w:val="18"/>
          <w:color w:val="auto"/>
        </w:rPr>
      </w:pPr>
    </w:p>
    <w:p>
      <w:pPr>
        <w:ind w:left="1228" w:hanging="254"/>
        <w:spacing w:after="0"/>
        <w:tabs>
          <w:tab w:leader="none" w:pos="122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will promptly notify the Company and the Lenders of (i) any occurrence of a Benchmark Transition Event,</w:t>
      </w:r>
    </w:p>
    <w:p>
      <w:pPr>
        <w:spacing w:after="0" w:line="36" w:lineRule="exact"/>
        <w:rPr>
          <w:rFonts w:ascii="Times New Roman" w:cs="Times New Roman" w:eastAsia="Times New Roman" w:hAnsi="Times New Roman"/>
          <w:sz w:val="17"/>
          <w:szCs w:val="17"/>
          <w:color w:val="auto"/>
        </w:rPr>
      </w:pPr>
    </w:p>
    <w:p>
      <w:pPr>
        <w:ind w:left="8" w:hanging="8"/>
        <w:spacing w:after="0" w:line="247" w:lineRule="auto"/>
        <w:tabs>
          <w:tab w:leader="none" w:pos="2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28"/>
          </w:cols>
          <w:pgMar w:left="532" w:top="267" w:right="539" w:bottom="1440" w:gutter="0" w:footer="0" w:header="0"/>
        </w:sectPr>
      </w:pPr>
    </w:p>
    <w:bookmarkStart w:id="58" w:name="page59"/>
    <w:bookmarkEnd w:id="58"/>
    <w:p>
      <w:pPr>
        <w:ind w:left="8" w:firstLine="966"/>
        <w:spacing w:after="0" w:line="249" w:lineRule="auto"/>
        <w:tabs>
          <w:tab w:leader="none" w:pos="12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Notwithstanding anything to the contrary herein or in any other Loan Document, at any time (including in connection with the implementation of a Benchmark Replacement), (i) if the then-current Benchmark is a term rate (including the Term SOFR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7" w:lineRule="exact"/>
        <w:rPr>
          <w:rFonts w:ascii="Times New Roman" w:cs="Times New Roman" w:eastAsia="Times New Roman" w:hAnsi="Times New Roman"/>
          <w:sz w:val="18"/>
          <w:szCs w:val="18"/>
          <w:color w:val="auto"/>
        </w:rPr>
      </w:pPr>
    </w:p>
    <w:p>
      <w:pPr>
        <w:ind w:left="8" w:right="40" w:firstLine="966"/>
        <w:spacing w:after="0" w:line="262" w:lineRule="auto"/>
        <w:tabs>
          <w:tab w:leader="none" w:pos="120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Company’s and any relevant Subsidiary Borrower’s receipt of notice of the commencement of a Benchmark Unavailability Period, the applicable Borrower may revoke any request for a Term Benchmark Borrowing or Daily Simple SOFR Borrowing, or any request for the conversion to or continuation of Term Benchmark Loans to be made, converted or continued during any Benchmark Unavailability Period and, failing that, either (x) such Borrower will be deemed to have converted any request for (1) a Term Benchmark Borrowing denominated in Dollars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or (y) any Term Benchmark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receipt of notice of the commencement of a Benchmark Unavailability Period with respect to a Relevant Rate applicable to such Term Benchmark Loan or Daily Simple SOFR Loan, then until such time as a Benchmark Replacement for such Currency is implemented pursuant to this Section 2.16, (A) for Loans denominated in Dollars (1) any Term Benchmark Loan shall on the last day of the Interest Period applicable to such Loan, be converted by the Administrative Agent to, and shall constitute, (x) a Daily Simple SOFR Borrowing so long as the Adjusted Daily Simple SOFR is not the subject of a</w:t>
      </w:r>
    </w:p>
    <w:p>
      <w:pPr>
        <w:spacing w:after="0" w:line="3" w:lineRule="exact"/>
        <w:rPr>
          <w:sz w:val="20"/>
          <w:szCs w:val="20"/>
          <w:color w:val="auto"/>
        </w:rPr>
      </w:pPr>
    </w:p>
    <w:p>
      <w:pPr>
        <w:ind w:left="8" w:right="160"/>
        <w:spacing w:after="0" w:line="260" w:lineRule="auto"/>
        <w:rPr>
          <w:sz w:val="20"/>
          <w:szCs w:val="20"/>
          <w:color w:val="auto"/>
        </w:rPr>
      </w:pPr>
      <w:r>
        <w:rPr>
          <w:rFonts w:ascii="Times New Roman" w:cs="Times New Roman" w:eastAsia="Times New Roman" w:hAnsi="Times New Roman"/>
          <w:sz w:val="17"/>
          <w:szCs w:val="17"/>
          <w:color w:val="auto"/>
        </w:rPr>
        <w:t>Benchmark Transition Event or (y) an ABR Loan if the Adjusted Daily Simple SOFR is the subject of a Benchmark Transition Event, on such day and (2) any Daily Simple SOFR Loan shall on and from such day be converted by the Administrative Agent to, and shall constitute, an ABR Loan and</w:t>
      </w:r>
    </w:p>
    <w:p>
      <w:pPr>
        <w:spacing w:after="0" w:line="1" w:lineRule="exact"/>
        <w:rPr>
          <w:sz w:val="20"/>
          <w:szCs w:val="20"/>
          <w:color w:val="auto"/>
        </w:rPr>
      </w:pPr>
    </w:p>
    <w:p>
      <w:pPr>
        <w:ind w:left="8" w:right="40" w:hanging="8"/>
        <w:spacing w:after="0" w:line="246" w:lineRule="auto"/>
        <w:tabs>
          <w:tab w:leader="none" w:pos="2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denominated in an Optional Currency, any Term Benchmark Loan shall, on the last day of the Interest Period applicable to such Loan bear interest at the Central Bank Rate (or in the case of Japanese Yen, the Japanese Prime Rate) for the applicable Optional Currency plus the CBR Spread; provided that, if the Administrative Agent determines (which determination shall be conclusive and binding absent manifest error) that the Central Bank Rate (or in the case of Japanese Yen, the Japanese Prime Rate) for the applicable Optional Currency cannot be determined, any outstanding affected Term Benchmark Loans denominated in any Optional Currency shall, at the applicable Borrower’s election prior to such day: (a) be prepaid by 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28"/>
          </w:cols>
          <w:pgMar w:left="532" w:top="267" w:right="539" w:bottom="1440" w:gutter="0" w:footer="0" w:header="0"/>
        </w:sectPr>
      </w:pPr>
    </w:p>
    <w:bookmarkStart w:id="59" w:name="page60"/>
    <w:bookmarkEnd w:id="59"/>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2.17 </w:t>
      </w:r>
      <w:r>
        <w:rPr>
          <w:rFonts w:ascii="Times New Roman" w:cs="Times New Roman" w:eastAsia="Times New Roman" w:hAnsi="Times New Roman"/>
          <w:sz w:val="18"/>
          <w:szCs w:val="18"/>
          <w:u w:val="single" w:color="auto"/>
          <w:color w:val="auto"/>
        </w:rPr>
        <w:t>Pro Rata Treatment and Payments; Evidence of Debt</w:t>
      </w:r>
      <w:r>
        <w:rPr>
          <w:rFonts w:ascii="Times New Roman" w:cs="Times New Roman" w:eastAsia="Times New Roman" w:hAnsi="Times New Roman"/>
          <w:sz w:val="18"/>
          <w:szCs w:val="18"/>
          <w:color w:val="auto"/>
        </w:rPr>
        <w:t xml:space="preserve">. (a) Each borrowing of Loans under any Facility by the Company or any Subsidiary Borrower from the Lenders under such Facility, each payment by the Company or any Subsidiary Borrower on account of any Facility Fee or Letter of Credit Fee and any reduction of the Commitments of the Lenders under any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under such Facility, of the relevant Lenders in such Facility except to the extent required or permitted pursuant to Sections 2.9, 2.22, 2.23, 2.25 and 2.27.</w:t>
      </w:r>
    </w:p>
    <w:p>
      <w:pPr>
        <w:spacing w:after="0" w:line="182" w:lineRule="exact"/>
        <w:rPr>
          <w:sz w:val="20"/>
          <w:szCs w:val="20"/>
          <w:color w:val="auto"/>
        </w:rPr>
      </w:pPr>
    </w:p>
    <w:p>
      <w:pPr>
        <w:ind w:right="80" w:firstLine="966"/>
        <w:spacing w:after="0" w:line="275" w:lineRule="auto"/>
        <w:tabs>
          <w:tab w:leader="none" w:pos="122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payment (including each prepayment) by the Company or any Subsidiary Borrower on account of principal of and interest on the Loans under any Facility shall be made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to the Lenders under such Facility according to the respective outstanding principal amounts of the Loans under such Facility then held by the Lenders under such Facility except to the extent required or permitted pursuant to Sections 2.9, 2.22, 2.23, 2.25 and 2.27. Except as otherwise provided in Section 8, each such payment shall be paid in the relevant Currency in which such Loan was made.</w:t>
      </w:r>
    </w:p>
    <w:p>
      <w:pPr>
        <w:spacing w:after="0" w:line="165" w:lineRule="exact"/>
        <w:rPr>
          <w:rFonts w:ascii="Times New Roman" w:cs="Times New Roman" w:eastAsia="Times New Roman" w:hAnsi="Times New Roman"/>
          <w:sz w:val="17"/>
          <w:szCs w:val="17"/>
          <w:color w:val="auto"/>
        </w:rPr>
      </w:pPr>
    </w:p>
    <w:p>
      <w:pPr>
        <w:ind w:firstLine="966"/>
        <w:spacing w:after="0" w:line="248" w:lineRule="auto"/>
        <w:tabs>
          <w:tab w:leader="none" w:pos="1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payment of fronting fees owing to any Issuing Lender shall be made directly to the relevant Issuing Lender.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4" w:lineRule="exact"/>
        <w:rPr>
          <w:rFonts w:ascii="Times New Roman" w:cs="Times New Roman" w:eastAsia="Times New Roman" w:hAnsi="Times New Roman"/>
          <w:sz w:val="18"/>
          <w:szCs w:val="18"/>
          <w:color w:val="auto"/>
        </w:rPr>
      </w:pPr>
    </w:p>
    <w:p>
      <w:pPr>
        <w:ind w:right="20" w:firstLine="966"/>
        <w:spacing w:after="0" w:line="263" w:lineRule="auto"/>
        <w:tabs>
          <w:tab w:leader="none" w:pos="122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20"/>
          </w:cols>
          <w:pgMar w:left="540" w:top="267" w:right="539" w:bottom="1440" w:gutter="0" w:footer="0" w:header="0"/>
        </w:sectPr>
      </w:pPr>
    </w:p>
    <w:bookmarkStart w:id="60" w:name="page61"/>
    <w:bookmarkEnd w:id="60"/>
    <w:p>
      <w:pPr>
        <w:ind w:firstLine="966"/>
        <w:spacing w:after="0" w:line="265" w:lineRule="auto"/>
        <w:tabs>
          <w:tab w:leader="none" w:pos="12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76" w:lineRule="exact"/>
        <w:rPr>
          <w:rFonts w:ascii="Times New Roman" w:cs="Times New Roman" w:eastAsia="Times New Roman" w:hAnsi="Times New Roman"/>
          <w:sz w:val="17"/>
          <w:szCs w:val="17"/>
          <w:color w:val="auto"/>
        </w:rPr>
      </w:pPr>
    </w:p>
    <w:p>
      <w:pPr>
        <w:ind w:right="120" w:firstLine="966"/>
        <w:spacing w:after="0" w:line="260" w:lineRule="auto"/>
        <w:tabs>
          <w:tab w:leader="none" w:pos="11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2.17(a) and (b) (applied as if such payments were made by the Company) and Section 10.7.</w:t>
      </w:r>
    </w:p>
    <w:p>
      <w:pPr>
        <w:spacing w:after="0" w:line="176" w:lineRule="exact"/>
        <w:rPr>
          <w:rFonts w:ascii="Times New Roman" w:cs="Times New Roman" w:eastAsia="Times New Roman" w:hAnsi="Times New Roman"/>
          <w:sz w:val="18"/>
          <w:szCs w:val="18"/>
          <w:color w:val="auto"/>
        </w:rPr>
      </w:pPr>
    </w:p>
    <w:p>
      <w:pPr>
        <w:jc w:val="both"/>
        <w:ind w:right="100" w:firstLine="966"/>
        <w:spacing w:after="0" w:line="255" w:lineRule="auto"/>
        <w:tabs>
          <w:tab w:leader="none" w:pos="12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200" w:hanging="234"/>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1" w:lineRule="exact"/>
        <w:rPr>
          <w:rFonts w:ascii="Times New Roman" w:cs="Times New Roman" w:eastAsia="Times New Roman" w:hAnsi="Times New Roman"/>
          <w:sz w:val="18"/>
          <w:szCs w:val="18"/>
          <w:color w:val="auto"/>
        </w:rPr>
      </w:pPr>
    </w:p>
    <w:p>
      <w:pPr>
        <w:ind w:left="960" w:right="220" w:firstLine="400"/>
        <w:spacing w:after="0" w:line="255" w:lineRule="auto"/>
        <w:tabs>
          <w:tab w:leader="none" w:pos="156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Lender that is not otherwise included in the determination of the Adjusted Term SOFR, Adjusted EUIRIBOR Rate or Adjusted TIBOR Rate, as applicable; or</w:t>
      </w:r>
    </w:p>
    <w:p>
      <w:pPr>
        <w:spacing w:after="0" w:line="75" w:lineRule="exact"/>
        <w:rPr>
          <w:rFonts w:ascii="Times New Roman" w:cs="Times New Roman" w:eastAsia="Times New Roman" w:hAnsi="Times New Roman"/>
          <w:sz w:val="18"/>
          <w:szCs w:val="18"/>
          <w:color w:val="auto"/>
        </w:rPr>
      </w:pPr>
    </w:p>
    <w:p>
      <w:pPr>
        <w:ind w:left="1620" w:hanging="260"/>
        <w:spacing w:after="0"/>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such Lender or Issuing Lender or any interbank market any other condition;</w:t>
      </w:r>
    </w:p>
    <w:p>
      <w:pPr>
        <w:spacing w:after="0" w:line="21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the Administrative Agent, such Lender (or its affiliate, as the case may be) or Issuing Lender, by an amount that the Administrative Agent or such Lender or Issuing Lender reasonably deems material, of making, converting into, continuing or maintaining Term Benchmark Loans, issuing or participating in Letters of Credit, or to reduce any amount receivable hereunder in respect thereof, then, in any such case, the Company and any relevant Subsidiary Borrower shall pay the Administrative Agent or such Lender or Issuing Lender, within 15 Business Days of receipt of notice from the Administrative Agent or the relevant Lender or Issuing Lender as described below, any additional amounts necessary to compensate the Administrative Agent or such Lender or Issuing Lender for such increased cost or reduced amount receivable (it being understood that the provisions set forth in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20"/>
          </w:cols>
          <w:pgMar w:left="540" w:top="267" w:right="539" w:bottom="1440" w:gutter="0" w:footer="0" w:header="0"/>
        </w:sectPr>
      </w:pPr>
    </w:p>
    <w:bookmarkStart w:id="61" w:name="page62"/>
    <w:bookmarkEnd w:id="6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this Section 2.18(a) are not intended to derogate from the Company’s rights provided in Section 2.21 and Section 2.22). If the Administrative Agent or any Lender or Issuing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82" w:lineRule="exact"/>
        <w:rPr>
          <w:sz w:val="20"/>
          <w:szCs w:val="20"/>
          <w:color w:val="auto"/>
        </w:rPr>
      </w:pPr>
    </w:p>
    <w:p>
      <w:pPr>
        <w:ind w:firstLine="966"/>
        <w:spacing w:after="0" w:line="249" w:lineRule="auto"/>
        <w:tabs>
          <w:tab w:leader="none" w:pos="12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Lender shall have determined that any Change in Law regarding capital or liquidity requirements has or would have the effect of reducing the rate of return on such Lender’s or Issuing Lender’s, or an entity controlling such Lender’s or Issuing Lender’s, capital as a consequence of its obligations hereunder or under or in respect of any Letter of Credit to a level below that which such Lender or Issuing Lender or such entity could have achieved but for such Change in Law (taking into consideration such Lender’s or Issuing Lender’s or such entity’s policies with respect to capital adequacy or liquidity) by an amount deemed by such Lender or Issuing Lender to be material, then from time to time, within 15 Business Days after submission by such Lender or Issuing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or Issuing Lender such additional amount or amounts as will compensate such Lender or Issuing Lender or such entity for such reduction (it being understood that the provisions set forth in this Section 2.18(b) are not intended to derogate from the Company’s rights provided in Sections 2.21 and 2.22).</w:t>
      </w:r>
    </w:p>
    <w:p>
      <w:pPr>
        <w:spacing w:after="0" w:line="187" w:lineRule="exact"/>
        <w:rPr>
          <w:rFonts w:ascii="Times New Roman" w:cs="Times New Roman" w:eastAsia="Times New Roman" w:hAnsi="Times New Roman"/>
          <w:sz w:val="18"/>
          <w:szCs w:val="18"/>
          <w:color w:val="auto"/>
        </w:rPr>
      </w:pPr>
    </w:p>
    <w:p>
      <w:pPr>
        <w:ind w:firstLine="966"/>
        <w:spacing w:after="0" w:line="248" w:lineRule="auto"/>
        <w:tabs>
          <w:tab w:leader="none" w:pos="1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2.18 submitted by the Administrative Agent or any Lender or Issuing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or Issuing Lender shall be entitled to request any payment or amount under this Section 2.18 unless the Administrative Agent or such Lender or Issuing Lender is generally demanding payment (and certifies to the Company that it is generally demanding payment) under comparable provisions of its agreements with similarly situated borrowers of similar credit quality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under any obligation to verify any such request of a Lender or Issuing Lender) and (ii) the Company and any relevant Subsidiary Borrower shall not be required to compensate the Administrative Agent or a Lender or Issuing Lender pursuant to this Section 2.18 for any amounts incurred more than 90 days prior to the date that the Administrative Agent or such Lender or Issuing Lender notifies the Company or relevant Subsidiary Borrower of the Administrative Agent’s or such Lender’s or Issuing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2.18 shall survive the termination of this Agreement and the payment of the Loans and all interest thereon and fees payable hereunder.</w:t>
      </w:r>
    </w:p>
    <w:p>
      <w:pPr>
        <w:spacing w:after="0" w:line="189" w:lineRule="exact"/>
        <w:rPr>
          <w:sz w:val="20"/>
          <w:szCs w:val="20"/>
          <w:color w:val="auto"/>
        </w:rPr>
      </w:pPr>
    </w:p>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00"/>
          </w:cols>
          <w:pgMar w:left="540" w:top="267" w:right="559" w:bottom="1440" w:gutter="0" w:footer="0" w:header="0"/>
        </w:sectPr>
      </w:pPr>
    </w:p>
    <w:bookmarkStart w:id="62" w:name="page63"/>
    <w:bookmarkEnd w:id="62"/>
    <w:p>
      <w:pPr>
        <w:ind w:left="1228" w:hanging="254"/>
        <w:spacing w:after="0"/>
        <w:tabs>
          <w:tab w:leader="none" w:pos="122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addition, each Loan Party shall pay any Other Taxes over to the relevant Governmental Authority in accordance with applicable law.</w:t>
      </w:r>
    </w:p>
    <w:p>
      <w:pPr>
        <w:spacing w:after="0" w:line="229" w:lineRule="exact"/>
        <w:rPr>
          <w:rFonts w:ascii="Times New Roman" w:cs="Times New Roman" w:eastAsia="Times New Roman" w:hAnsi="Times New Roman"/>
          <w:sz w:val="17"/>
          <w:szCs w:val="17"/>
          <w:color w:val="auto"/>
        </w:rPr>
      </w:pPr>
    </w:p>
    <w:p>
      <w:pPr>
        <w:ind w:left="8" w:right="40" w:firstLine="966"/>
        <w:spacing w:after="0" w:line="268" w:lineRule="auto"/>
        <w:tabs>
          <w:tab w:leader="none" w:pos="122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w:t>
      </w:r>
    </w:p>
    <w:p>
      <w:pPr>
        <w:spacing w:after="0" w:line="1" w:lineRule="exact"/>
        <w:rPr>
          <w:rFonts w:ascii="Times New Roman" w:cs="Times New Roman" w:eastAsia="Times New Roman" w:hAnsi="Times New Roman"/>
          <w:sz w:val="17"/>
          <w:szCs w:val="17"/>
          <w:color w:val="auto"/>
        </w:rPr>
      </w:pPr>
    </w:p>
    <w:p>
      <w:pPr>
        <w:ind w:left="8" w:hanging="8"/>
        <w:spacing w:after="0" w:line="247"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2.19 shall be made within 30 days after the date the Administrative Agent makes a written demand therefor (together with a reasonably detailed calculation of such amounts).</w:t>
      </w:r>
    </w:p>
    <w:p>
      <w:pPr>
        <w:spacing w:after="0" w:line="187" w:lineRule="exact"/>
        <w:rPr>
          <w:rFonts w:ascii="Times New Roman" w:cs="Times New Roman" w:eastAsia="Times New Roman" w:hAnsi="Times New Roman"/>
          <w:sz w:val="18"/>
          <w:szCs w:val="18"/>
          <w:color w:val="auto"/>
        </w:rPr>
      </w:pPr>
    </w:p>
    <w:p>
      <w:pPr>
        <w:ind w:left="8" w:right="40" w:firstLine="966"/>
        <w:spacing w:after="0" w:line="249" w:lineRule="auto"/>
        <w:tabs>
          <w:tab w:leader="none" w:pos="123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2.19(d)(ii))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1" w:lineRule="exact"/>
        <w:rPr>
          <w:rFonts w:ascii="Times New Roman" w:cs="Times New Roman" w:eastAsia="Times New Roman" w:hAnsi="Times New Roman"/>
          <w:sz w:val="18"/>
          <w:szCs w:val="18"/>
          <w:color w:val="auto"/>
        </w:rPr>
      </w:pPr>
    </w:p>
    <w:p>
      <w:pPr>
        <w:ind w:left="1628" w:hanging="260"/>
        <w:spacing w:after="0"/>
        <w:tabs>
          <w:tab w:leader="none" w:pos="162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1" w:lineRule="exact"/>
        <w:rPr>
          <w:sz w:val="20"/>
          <w:szCs w:val="20"/>
          <w:color w:val="auto"/>
        </w:rPr>
      </w:pPr>
    </w:p>
    <w:p>
      <w:pPr>
        <w:ind w:left="968" w:firstLine="400"/>
        <w:spacing w:after="0" w:line="250" w:lineRule="auto"/>
        <w:tabs>
          <w:tab w:leader="none" w:pos="16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Non-U.S. Lender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79" w:lineRule="exact"/>
        <w:rPr>
          <w:rFonts w:ascii="Times New Roman" w:cs="Times New Roman" w:eastAsia="Times New Roman" w:hAnsi="Times New Roman"/>
          <w:sz w:val="18"/>
          <w:szCs w:val="18"/>
          <w:color w:val="auto"/>
        </w:rPr>
      </w:pPr>
    </w:p>
    <w:p>
      <w:pPr>
        <w:ind w:left="1648" w:hanging="280"/>
        <w:spacing w:after="0"/>
        <w:tabs>
          <w:tab w:leader="none" w:pos="16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the Company, any relevant Domestic Subsidiary Borrower and the</w:t>
      </w:r>
    </w:p>
    <w:p>
      <w:pPr>
        <w:spacing w:after="0" w:line="24" w:lineRule="exact"/>
        <w:rPr>
          <w:rFonts w:ascii="Times New Roman" w:cs="Times New Roman" w:eastAsia="Times New Roman" w:hAnsi="Times New Roman"/>
          <w:sz w:val="18"/>
          <w:szCs w:val="18"/>
          <w:color w:val="auto"/>
        </w:rPr>
      </w:pPr>
    </w:p>
    <w:p>
      <w:pPr>
        <w:ind w:left="968" w:right="2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in the case of a Participant, to the Lender from which the related participation shall have been purchased) two properly completed and duly executed copies of IRS Form W-9 certifying that such Lender is exempt from U.S. federal backup withholding tax.</w:t>
      </w:r>
    </w:p>
    <w:p>
      <w:pPr>
        <w:spacing w:after="0" w:line="11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08"/>
          </w:cols>
          <w:pgMar w:left="532" w:top="267" w:right="559" w:bottom="1440" w:gutter="0" w:footer="0" w:header="0"/>
        </w:sectPr>
      </w:pPr>
    </w:p>
    <w:bookmarkStart w:id="63" w:name="page64"/>
    <w:bookmarkEnd w:id="63"/>
    <w:p>
      <w:pPr>
        <w:ind w:left="60" w:firstLine="400"/>
        <w:spacing w:after="0" w:line="250" w:lineRule="auto"/>
        <w:tabs>
          <w:tab w:leader="none" w:pos="7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w:t>
      </w:r>
    </w:p>
    <w:p>
      <w:pPr>
        <w:spacing w:after="0" w:line="82" w:lineRule="exact"/>
        <w:rPr>
          <w:rFonts w:ascii="Times New Roman" w:cs="Times New Roman" w:eastAsia="Times New Roman" w:hAnsi="Times New Roman"/>
          <w:sz w:val="18"/>
          <w:szCs w:val="18"/>
          <w:color w:val="auto"/>
        </w:rPr>
      </w:pPr>
    </w:p>
    <w:p>
      <w:pPr>
        <w:ind w:left="60" w:right="60" w:firstLine="400"/>
        <w:spacing w:after="0" w:line="263" w:lineRule="auto"/>
        <w:tabs>
          <w:tab w:leader="none" w:pos="74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w:t>
      </w:r>
    </w:p>
    <w:p>
      <w:pPr>
        <w:spacing w:after="0" w:line="3" w:lineRule="exact"/>
        <w:rPr>
          <w:rFonts w:ascii="Times New Roman" w:cs="Times New Roman" w:eastAsia="Times New Roman" w:hAnsi="Times New Roman"/>
          <w:sz w:val="17"/>
          <w:szCs w:val="17"/>
          <w:color w:val="auto"/>
        </w:rPr>
      </w:pPr>
    </w:p>
    <w:p>
      <w:pPr>
        <w:ind w:left="60" w:right="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2.19(d), “FATCA” shall include any amendments made to FATCA after the date of this Agreement. Notwithstanding any other provision of this Section 2.19, a Lender shall not be required to deliver any form pursuant to this Section 2.19 (other than clause (ii) of the first sentence of this paragraph) that such Lender is not legally able to deliver.</w:t>
      </w:r>
    </w:p>
    <w:p>
      <w:pPr>
        <w:spacing w:after="0" w:line="79" w:lineRule="exact"/>
        <w:rPr>
          <w:sz w:val="20"/>
          <w:szCs w:val="20"/>
          <w:color w:val="auto"/>
        </w:rPr>
      </w:pPr>
    </w:p>
    <w:p>
      <w:pPr>
        <w:ind w:left="60" w:right="100" w:firstLine="394"/>
        <w:spacing w:after="0" w:line="251" w:lineRule="auto"/>
        <w:rPr>
          <w:sz w:val="20"/>
          <w:szCs w:val="20"/>
          <w:color w:val="auto"/>
        </w:rPr>
      </w:pPr>
      <w:r>
        <w:rPr>
          <w:rFonts w:ascii="Times New Roman" w:cs="Times New Roman" w:eastAsia="Times New Roman" w:hAnsi="Times New Roman"/>
          <w:sz w:val="18"/>
          <w:szCs w:val="18"/>
          <w:color w:val="auto"/>
        </w:rPr>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 or any relevant Subsidiary Borrower. If any Commitment is reallocated in accordance with Section 2.9(b), then the relevant Lender (to whom such Commitment has been reallocated) shall deliver, on the effective date of such reallocation, all such forms that it is legally able to deliver.</w:t>
      </w:r>
    </w:p>
    <w:p>
      <w:pPr>
        <w:spacing w:after="0" w:line="81" w:lineRule="exact"/>
        <w:rPr>
          <w:sz w:val="20"/>
          <w:szCs w:val="20"/>
          <w:color w:val="auto"/>
        </w:rPr>
      </w:pPr>
    </w:p>
    <w:p>
      <w:pPr>
        <w:ind w:left="60" w:right="80" w:firstLine="400"/>
        <w:spacing w:after="0" w:line="251" w:lineRule="auto"/>
        <w:tabs>
          <w:tab w:leader="none" w:pos="7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Foreign Subsidiary Borrower each Lender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any Taxes imposed on such payment under the laws of the jurisdiction under which such Foreign Subsidiary Borrower is incorporated or organized. If any</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880"/>
          </w:cols>
          <w:pgMar w:left="1440" w:top="267" w:right="579" w:bottom="1440" w:gutter="0" w:footer="0" w:header="0"/>
        </w:sectPr>
      </w:pPr>
    </w:p>
    <w:bookmarkStart w:id="64" w:name="page65"/>
    <w:bookmarkEnd w:id="64"/>
    <w:p>
      <w:pPr>
        <w:ind w:left="960"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Commitment is reallocated in accordance with Section 2.9,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w:t>
      </w:r>
    </w:p>
    <w:p>
      <w:pPr>
        <w:spacing w:after="0" w:line="182" w:lineRule="exact"/>
        <w:rPr>
          <w:sz w:val="20"/>
          <w:szCs w:val="20"/>
          <w:color w:val="auto"/>
        </w:rPr>
      </w:pPr>
    </w:p>
    <w:p>
      <w:pPr>
        <w:ind w:firstLine="966"/>
        <w:spacing w:after="0" w:line="263" w:lineRule="auto"/>
        <w:tabs>
          <w:tab w:leader="none" w:pos="12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2.19, it shall pay over such refund to such Loan Party (but only to the extent of indemnity payments made, or additional amounts paid, by such Loan Party under this Section 2.19 with respect to the Indemnified Taxes giving rise to such refund), net of all out-of-pocket expenses of the Administrative Agent, such Transferee or such Lender and without interest (other than any interest paid by the relevant Governmental Authority with respect to such refund);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84" w:lineRule="exact"/>
        <w:rPr>
          <w:rFonts w:ascii="Times New Roman" w:cs="Times New Roman" w:eastAsia="Times New Roman" w:hAnsi="Times New Roman"/>
          <w:sz w:val="17"/>
          <w:szCs w:val="17"/>
          <w:color w:val="auto"/>
        </w:rPr>
      </w:pPr>
    </w:p>
    <w:p>
      <w:pPr>
        <w:ind w:right="20" w:firstLine="966"/>
        <w:spacing w:after="0" w:line="251" w:lineRule="auto"/>
        <w:tabs>
          <w:tab w:leader="none" w:pos="11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(to the extent not reimbursed by or on behalf of the Company if it is required to do so under Section 2.19(a) or 10.5 and without limiting the obligation of the Company under Section 2.19(a)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6"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2.19.</w:t>
      </w:r>
    </w:p>
    <w:p>
      <w:pPr>
        <w:spacing w:after="0" w:line="217" w:lineRule="exact"/>
        <w:rPr>
          <w:rFonts w:ascii="Times New Roman" w:cs="Times New Roman" w:eastAsia="Times New Roman" w:hAnsi="Times New Roman"/>
          <w:sz w:val="18"/>
          <w:szCs w:val="18"/>
          <w:color w:val="auto"/>
        </w:rPr>
      </w:pPr>
    </w:p>
    <w:p>
      <w:pPr>
        <w:jc w:val="both"/>
        <w:ind w:right="240" w:firstLine="966"/>
        <w:spacing w:after="0" w:line="260" w:lineRule="auto"/>
        <w:tabs>
          <w:tab w:leader="none" w:pos="12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2.19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76"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40"/>
          </w:cols>
          <w:pgMar w:left="540" w:top="267" w:right="619" w:bottom="1440" w:gutter="0" w:footer="0" w:header="0"/>
        </w:sectPr>
      </w:pPr>
    </w:p>
    <w:bookmarkStart w:id="65" w:name="page66"/>
    <w:bookmarkEnd w:id="65"/>
    <w:p>
      <w:pPr>
        <w:ind w:left="8" w:right="4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w:t>
      </w:r>
    </w:p>
    <w:p>
      <w:pPr>
        <w:spacing w:after="0" w:line="1" w:lineRule="exact"/>
        <w:rPr>
          <w:sz w:val="20"/>
          <w:szCs w:val="20"/>
          <w:color w:val="auto"/>
        </w:rPr>
      </w:pPr>
    </w:p>
    <w:p>
      <w:pPr>
        <w:ind w:left="8" w:right="20" w:hanging="8"/>
        <w:spacing w:after="0" w:line="246" w:lineRule="auto"/>
        <w:tabs>
          <w:tab w:leader="none" w:pos="25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any Term Benchmark Loan other than on the last day of an Interest Period therefor as a result of a request by the Company pursuant to Section 2.22.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Section 2.20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2.20 shall survive the termination of this Agreement, the repayment of the Loans and all other amounts payable hereunder and the other Loan Documents.</w:t>
      </w:r>
    </w:p>
    <w:p>
      <w:pPr>
        <w:spacing w:after="0" w:line="194" w:lineRule="exact"/>
        <w:rPr>
          <w:sz w:val="20"/>
          <w:szCs w:val="20"/>
          <w:color w:val="auto"/>
        </w:rPr>
      </w:pPr>
    </w:p>
    <w:p>
      <w:pPr>
        <w:ind w:left="8" w:right="6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2.18 or 2.19(a)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2.21 shall affect or postpone any of the obligations of the Company or the rights of any Lender pursuant to Section 2.18 or 2.19(a).</w:t>
      </w:r>
    </w:p>
    <w:p>
      <w:pPr>
        <w:spacing w:after="0" w:line="189" w:lineRule="exact"/>
        <w:rPr>
          <w:sz w:val="20"/>
          <w:szCs w:val="20"/>
          <w:color w:val="auto"/>
        </w:rPr>
      </w:pPr>
    </w:p>
    <w:p>
      <w:pPr>
        <w:ind w:left="8" w:firstLine="974"/>
        <w:spacing w:after="0" w:line="265" w:lineRule="auto"/>
        <w:rPr>
          <w:sz w:val="20"/>
          <w:szCs w:val="20"/>
          <w:color w:val="auto"/>
        </w:rPr>
      </w:pPr>
      <w:r>
        <w:rPr>
          <w:rFonts w:ascii="Times New Roman" w:cs="Times New Roman" w:eastAsia="Times New Roman" w:hAnsi="Times New Roman"/>
          <w:sz w:val="17"/>
          <w:szCs w:val="17"/>
          <w:color w:val="auto"/>
        </w:rPr>
        <w:t xml:space="preserve">2.22 </w:t>
      </w:r>
      <w:r>
        <w:rPr>
          <w:rFonts w:ascii="Times New Roman" w:cs="Times New Roman" w:eastAsia="Times New Roman" w:hAnsi="Times New Roman"/>
          <w:sz w:val="17"/>
          <w:szCs w:val="17"/>
          <w:u w:val="single" w:color="auto"/>
          <w:color w:val="auto"/>
        </w:rPr>
        <w:t>Replacement/Termination of Lenders</w:t>
      </w:r>
      <w:r>
        <w:rPr>
          <w:rFonts w:ascii="Times New Roman" w:cs="Times New Roman" w:eastAsia="Times New Roman" w:hAnsi="Times New Roman"/>
          <w:sz w:val="17"/>
          <w:szCs w:val="17"/>
          <w:color w:val="auto"/>
        </w:rPr>
        <w:t>.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2.18 or 2.19(a),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w:t>
      </w:r>
    </w:p>
    <w:p>
      <w:pPr>
        <w:spacing w:after="0" w:line="1" w:lineRule="exact"/>
        <w:rPr>
          <w:sz w:val="20"/>
          <w:szCs w:val="20"/>
          <w:color w:val="auto"/>
        </w:rPr>
      </w:pPr>
    </w:p>
    <w:p>
      <w:pPr>
        <w:ind w:left="8" w:right="240" w:hanging="8"/>
        <w:spacing w:after="0" w:line="260" w:lineRule="auto"/>
        <w:tabs>
          <w:tab w:leader="none" w:pos="31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fails to give its consent to an extension of the Termination Date to which the Majority Facility Lenders under such Facility have consented, (b) in the case of any Multicurrency Lender that fails to give its consent to the addition of a new Optional Currency to which the Majority Facility Lenders under such Facility have consented, to reallocate such Lender’s Multicurrency Commitment to a Domestic Commitment pursuant to Section 2.9(b)</w:t>
      </w:r>
    </w:p>
    <w:p>
      <w:pPr>
        <w:spacing w:after="0" w:line="1" w:lineRule="exact"/>
        <w:rPr>
          <w:rFonts w:ascii="Times New Roman" w:cs="Times New Roman" w:eastAsia="Times New Roman" w:hAnsi="Times New Roman"/>
          <w:sz w:val="17"/>
          <w:szCs w:val="17"/>
          <w:color w:val="auto"/>
        </w:rPr>
      </w:pPr>
    </w:p>
    <w:p>
      <w:pPr>
        <w:ind w:left="8" w:right="2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(regardless of whether the amount of such Commitment is less than the minimum amount required under such section) and (c) in the case of any Multicurrency Lender that fails to give its consent to the addition of a new Borrower pursuant to Section 10.1(d)(i) to which the Administrative Agent has agreed, to reallocate such Lender’s Multicurrency Commitment to a Domestic Commitment pursuant to Section 2.9(b)(regardless of whether the amount of such Commitment is less than the minimum amount required under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2.20 if any Term Benchmark Loan</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808"/>
          </w:cols>
          <w:pgMar w:left="532" w:top="267" w:right="559" w:bottom="1440" w:gutter="0" w:footer="0" w:header="0"/>
        </w:sectPr>
      </w:pPr>
    </w:p>
    <w:bookmarkStart w:id="66" w:name="page67"/>
    <w:bookmarkEnd w:id="66"/>
    <w:p>
      <w:pPr>
        <w:ind w:left="8" w:right="8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2.18 or 2.19(a), as the case may be, and</w:t>
      </w:r>
    </w:p>
    <w:p>
      <w:pPr>
        <w:spacing w:after="0" w:line="1" w:lineRule="exact"/>
        <w:rPr>
          <w:sz w:val="20"/>
          <w:szCs w:val="20"/>
          <w:color w:val="auto"/>
        </w:rPr>
      </w:pPr>
    </w:p>
    <w:p>
      <w:pPr>
        <w:ind w:left="8" w:hanging="8"/>
        <w:spacing w:after="0" w:line="247" w:lineRule="auto"/>
        <w:tabs>
          <w:tab w:leader="none" w:pos="2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2.22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8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720" w:firstLine="974"/>
        <w:spacing w:after="0" w:line="274"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64" w:lineRule="exact"/>
        <w:rPr>
          <w:sz w:val="20"/>
          <w:szCs w:val="20"/>
          <w:color w:val="auto"/>
        </w:rPr>
      </w:pPr>
    </w:p>
    <w:p>
      <w:pPr>
        <w:ind w:left="1208" w:hanging="234"/>
        <w:spacing w:after="0"/>
        <w:tabs>
          <w:tab w:leader="none" w:pos="12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Fees shall cease to accrue on the unfunded Commitment of such Defaulting Lender pursuant to Section 2.8;</w:t>
      </w:r>
    </w:p>
    <w:p>
      <w:pPr>
        <w:spacing w:after="0" w:line="217" w:lineRule="exact"/>
        <w:rPr>
          <w:rFonts w:ascii="Times New Roman" w:cs="Times New Roman" w:eastAsia="Times New Roman" w:hAnsi="Times New Roman"/>
          <w:sz w:val="18"/>
          <w:szCs w:val="18"/>
          <w:color w:val="auto"/>
        </w:rPr>
      </w:pPr>
    </w:p>
    <w:p>
      <w:pPr>
        <w:ind w:left="8" w:right="20" w:firstLine="966"/>
        <w:spacing w:after="0" w:line="266" w:lineRule="auto"/>
        <w:tabs>
          <w:tab w:leader="none" w:pos="123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72" w:lineRule="exact"/>
        <w:rPr>
          <w:rFonts w:ascii="Times New Roman" w:cs="Times New Roman" w:eastAsia="Times New Roman" w:hAnsi="Times New Roman"/>
          <w:sz w:val="17"/>
          <w:szCs w:val="17"/>
          <w:color w:val="auto"/>
        </w:rPr>
      </w:pPr>
    </w:p>
    <w:p>
      <w:pPr>
        <w:ind w:left="1208" w:hanging="234"/>
        <w:spacing w:after="0"/>
        <w:tabs>
          <w:tab w:leader="none" w:pos="12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Obligations exist at the time any Domestic Lender becomes a Defaulting Lender then:</w:t>
      </w:r>
    </w:p>
    <w:p>
      <w:pPr>
        <w:spacing w:after="0" w:line="111" w:lineRule="exact"/>
        <w:rPr>
          <w:rFonts w:ascii="Times New Roman" w:cs="Times New Roman" w:eastAsia="Times New Roman" w:hAnsi="Times New Roman"/>
          <w:sz w:val="18"/>
          <w:szCs w:val="18"/>
          <w:color w:val="auto"/>
        </w:rPr>
      </w:pPr>
    </w:p>
    <w:p>
      <w:pPr>
        <w:ind w:left="968" w:right="60" w:firstLine="400"/>
        <w:spacing w:after="0" w:line="253" w:lineRule="auto"/>
        <w:tabs>
          <w:tab w:leader="none" w:pos="157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shall have occurred and be continuing at such time all or any part of the L/C Obligations of such Defaulting Lender shall be reallocated among the Domestic Lenders that are not Defaulting Lenders in accordance with their respective Domestic Percentages (calculated without regard to such Defaulting Lender) but only to the extent the sum of all non-Defaulting Lenders’ Domestic Extensions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L/C Obligations does not exceed the total of all Domestic Lenders that are not Defaulting Lenders’ Domestic Commitments;</w:t>
      </w:r>
    </w:p>
    <w:p>
      <w:pPr>
        <w:spacing w:after="0" w:line="1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08"/>
          </w:cols>
          <w:pgMar w:left="532" w:top="267" w:right="559" w:bottom="1440" w:gutter="0" w:footer="0" w:header="0"/>
        </w:sectPr>
      </w:pPr>
    </w:p>
    <w:bookmarkStart w:id="67" w:name="page68"/>
    <w:bookmarkEnd w:id="67"/>
    <w:p>
      <w:pPr>
        <w:ind w:left="960" w:right="20" w:firstLine="400"/>
        <w:spacing w:after="0" w:line="250" w:lineRule="auto"/>
        <w:tabs>
          <w:tab w:leader="none" w:pos="161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if the reallocation described in clause (i) above cannot, or can only partially, be effected, the Company or any Domestic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applicable Subsidiary Borrower at any time and from time to time upon its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Event of Default shall have then occurred and be continuing);</w:t>
      </w:r>
    </w:p>
    <w:p>
      <w:pPr>
        <w:spacing w:after="0" w:line="79" w:lineRule="exact"/>
        <w:rPr>
          <w:rFonts w:ascii="Times New Roman" w:cs="Times New Roman" w:eastAsia="Times New Roman" w:hAnsi="Times New Roman"/>
          <w:sz w:val="18"/>
          <w:szCs w:val="18"/>
          <w:color w:val="auto"/>
        </w:rPr>
      </w:pPr>
    </w:p>
    <w:p>
      <w:pPr>
        <w:jc w:val="both"/>
        <w:ind w:left="960" w:right="100" w:firstLine="400"/>
        <w:spacing w:after="0" w:line="255" w:lineRule="auto"/>
        <w:tabs>
          <w:tab w:leader="none" w:pos="16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75" w:lineRule="exact"/>
        <w:rPr>
          <w:rFonts w:ascii="Times New Roman" w:cs="Times New Roman" w:eastAsia="Times New Roman" w:hAnsi="Times New Roman"/>
          <w:sz w:val="18"/>
          <w:szCs w:val="18"/>
          <w:color w:val="auto"/>
        </w:rPr>
      </w:pPr>
    </w:p>
    <w:p>
      <w:pPr>
        <w:ind w:left="1660" w:hanging="300"/>
        <w:spacing w:after="0"/>
        <w:tabs>
          <w:tab w:leader="none" w:pos="1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Obligations of the Defaulting Lenders are reallocated pursuant to clause (i) above, then the fees payable to the</w:t>
      </w:r>
    </w:p>
    <w:p>
      <w:pPr>
        <w:spacing w:after="0" w:line="25" w:lineRule="exact"/>
        <w:rPr>
          <w:sz w:val="20"/>
          <w:szCs w:val="20"/>
          <w:color w:val="auto"/>
        </w:rPr>
      </w:pPr>
    </w:p>
    <w:p>
      <w:pPr>
        <w:ind w:left="960" w:right="180"/>
        <w:spacing w:after="0" w:line="249" w:lineRule="auto"/>
        <w:rPr>
          <w:sz w:val="20"/>
          <w:szCs w:val="20"/>
          <w:color w:val="auto"/>
        </w:rPr>
      </w:pPr>
      <w:r>
        <w:rPr>
          <w:rFonts w:ascii="Times New Roman" w:cs="Times New Roman" w:eastAsia="Times New Roman" w:hAnsi="Times New Roman"/>
          <w:sz w:val="18"/>
          <w:szCs w:val="18"/>
          <w:color w:val="auto"/>
        </w:rPr>
        <w:t>non-Defaulting Lenders pursuant to Section 2.8 and Section 3.3, as applicable, shall be adjusted in accordance with such non-Defaulting Lenders’ Domestic Percentages of the Domestic Commitments calculated without regard to such Defaulting Lender’s Domestic Percentage of the Domestic Commitments; and</w:t>
      </w:r>
    </w:p>
    <w:p>
      <w:pPr>
        <w:spacing w:after="0" w:line="79" w:lineRule="exact"/>
        <w:rPr>
          <w:sz w:val="20"/>
          <w:szCs w:val="20"/>
          <w:color w:val="auto"/>
        </w:rPr>
      </w:pPr>
    </w:p>
    <w:p>
      <w:pPr>
        <w:ind w:left="1620" w:hanging="260"/>
        <w:spacing w:after="0"/>
        <w:tabs>
          <w:tab w:leader="none" w:pos="16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all or any portion of such Defaulting Lender’s L/C Obligations is neither reallocated nor Collateralized pursuant to clause (i) or</w:t>
      </w:r>
    </w:p>
    <w:p>
      <w:pPr>
        <w:spacing w:after="0" w:line="36" w:lineRule="exact"/>
        <w:rPr>
          <w:rFonts w:ascii="Times New Roman" w:cs="Times New Roman" w:eastAsia="Times New Roman" w:hAnsi="Times New Roman"/>
          <w:sz w:val="17"/>
          <w:szCs w:val="17"/>
          <w:color w:val="auto"/>
        </w:rPr>
      </w:pPr>
    </w:p>
    <w:p>
      <w:pPr>
        <w:ind w:left="960" w:right="200" w:firstLine="6"/>
        <w:spacing w:after="0" w:line="248" w:lineRule="auto"/>
        <w:tabs>
          <w:tab w:leader="none" w:pos="1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the Company or any relevant Subsidiary Borrower, the applicable Issuing Lender or any other Domestic Lender hereunder, all Letter of Credit Fees payable under Section 3.3 with respect to such Defaulting Lender’s L/C Obligations shall be payable to the applicable Issuing Lender until and to the extent that such L/C Obligations are so reallocated and/or Collateralized; and</w:t>
      </w:r>
    </w:p>
    <w:p>
      <w:pPr>
        <w:spacing w:after="0" w:line="186" w:lineRule="exact"/>
        <w:rPr>
          <w:sz w:val="20"/>
          <w:szCs w:val="20"/>
          <w:color w:val="auto"/>
        </w:rPr>
      </w:pPr>
    </w:p>
    <w:p>
      <w:pPr>
        <w:ind w:right="80" w:firstLine="966"/>
        <w:spacing w:after="0" w:line="253" w:lineRule="auto"/>
        <w:tabs>
          <w:tab w:leader="none" w:pos="12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Lender shall be required to issue, renew, amend or increase any Letter of Credit unless it is reasonably satisfied that the related exposure and such Defaulting Lender’s then outstanding L/C Obligations will be 100% covered by the Domestic Commitments of the Domestic Lenders that are not Defaulting Lenders and/or Collateralized by the Company or any applicable Subsidiary Borrower in accordance with this Section 2.23 and participating interests in any newly issued or increased Letter of Credit shall be allocated among the Domestic Lenders that are not Defaulting Lenders in a manner consistent with this Section 2.23 (and such Defaulting Lender shall not participate therein).</w:t>
      </w:r>
    </w:p>
    <w:p>
      <w:pPr>
        <w:spacing w:after="0" w:line="182"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If (i) either (x) a Lender Insolvency Event with respect to the parent company of any Domestic Lender shall occur following the Closing Date or (y) the parent company of any Domestic Lender shall become the subject of a Bail-In Action following the Closing Date and, in each case, for so long as such event shall continue or (ii) any Domestic Lender has defaulted in fulfilling its obligations under one or more other agreements in which such Domestic Lender commits to extend credit, no Issuing Lender shall be required to issue, amend or increase any Letter of Credit, unless such Issuing Lender shall have entered into arrangements with the Company or such Domestic Lender, satisfactory to such Issuing Lender, to defease any risk to it in respect of such Domestic Lender 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00"/>
          </w:cols>
          <w:pgMar w:left="540" w:top="267" w:right="559" w:bottom="1440" w:gutter="0" w:footer="0" w:header="0"/>
        </w:sectPr>
      </w:pPr>
    </w:p>
    <w:bookmarkStart w:id="68" w:name="page69"/>
    <w:bookmarkEnd w:id="68"/>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the event that a Domestic Lender becomes a Defaulting Lender, the Administrative Agent shall give notice to the Company and each affected Issuing Lender stating that such Domestic Lender has become a Defaulting Lender. In the event that each of the Administrative Agent, the Company, each relevant Subsidiary Borrower and each affected Issuing Lender agrees that a Defaulting Lender has adequately remedied all matters that caused such Defaulting Lender to be a Defaulting Lender, then the L/C Obligations of the Domestic Lenders shall be readjusted to reflect the inclusion of such Defaulting Lender’s Domestic Commitment and, on such date, such Domestic Lender shall purchase at par such of the Loans and/or participations in the L/C Obligations of the other Domestic Lenders as the Administrative Agent shall determine may be necessary in order for such Domestic Lender to hold such Domestic Loans and participations in the L/C Obligations in accordance with its Domestic Percentage of the Domestic Commitments.</w:t>
      </w:r>
    </w:p>
    <w:p>
      <w:pPr>
        <w:spacing w:after="0" w:line="185" w:lineRule="exact"/>
        <w:rPr>
          <w:sz w:val="20"/>
          <w:szCs w:val="20"/>
          <w:color w:val="auto"/>
        </w:rPr>
      </w:pPr>
    </w:p>
    <w:p>
      <w:pPr>
        <w:ind w:firstLine="974"/>
        <w:spacing w:after="0" w:line="262" w:lineRule="auto"/>
        <w:rPr>
          <w:sz w:val="20"/>
          <w:szCs w:val="20"/>
          <w:color w:val="auto"/>
        </w:rPr>
      </w:pPr>
      <w:r>
        <w:rPr>
          <w:rFonts w:ascii="Times New Roman" w:cs="Times New Roman" w:eastAsia="Times New Roman" w:hAnsi="Times New Roman"/>
          <w:sz w:val="17"/>
          <w:szCs w:val="17"/>
          <w:color w:val="auto"/>
        </w:rPr>
        <w:t xml:space="preserve">2.24 </w:t>
      </w:r>
      <w:r>
        <w:rPr>
          <w:rFonts w:ascii="Times New Roman" w:cs="Times New Roman" w:eastAsia="Times New Roman" w:hAnsi="Times New Roman"/>
          <w:sz w:val="17"/>
          <w:szCs w:val="17"/>
          <w:u w:val="single" w:color="auto"/>
          <w:color w:val="auto"/>
        </w:rPr>
        <w:t>Reallocation of Payments for the Account of Defaulting Lenders</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any Defaulting Lender under any Facility (whether voluntary or mandatory, at or prior to maturity, or otherwise), shall be applied at such time or times as may be determined by the Administrative Agent as follows: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in the case of the Domestic Facility only, to the payment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of any amounts owing by such Defaulting Lender to each Issuing Lender hereunder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to the Issuing Lenders in accordance with the amounts owed by such Defaulting Lender to each Issuing Lender);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in the case of the Domestic Facility only, if so determined by the Administrative Agent or requested by the Company or an Issuing Lender, to be held as cash collateral for future funding obligations of such Defaulting Lender of any participation in any Letter of Credit; </w:t>
      </w: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xml:space="preserve">, to the payment of any amounts owing to the Lenders under such Facility and, in the case of the Domestic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Times New Roman" w:cs="Times New Roman" w:eastAsia="Times New Roman" w:hAnsi="Times New Roman"/>
          <w:sz w:val="17"/>
          <w:szCs w:val="17"/>
          <w:u w:val="single" w:color="auto"/>
          <w:color w:val="auto"/>
        </w:rPr>
        <w:t>seventh</w:t>
      </w:r>
      <w:r>
        <w:rPr>
          <w:rFonts w:ascii="Times New Roman" w:cs="Times New Roman" w:eastAsia="Times New Roman" w:hAnsi="Times New Roman"/>
          <w:sz w:val="17"/>
          <w:szCs w:val="17"/>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7"/>
          <w:szCs w:val="17"/>
          <w:u w:val="single" w:color="auto"/>
          <w:color w:val="auto"/>
        </w:rPr>
        <w:t>eighth</w:t>
      </w:r>
      <w:r>
        <w:rPr>
          <w:rFonts w:ascii="Times New Roman" w:cs="Times New Roman" w:eastAsia="Times New Roman" w:hAnsi="Times New Roman"/>
          <w:sz w:val="17"/>
          <w:szCs w:val="17"/>
          <w:color w:val="auto"/>
        </w:rPr>
        <w:t xml:space="preserve">, to such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2.24 shall be deemed paid to and redirected by such Defaulting Lender, and each Lender under the applicable Facility irrevocably consents hereto.</w:t>
      </w:r>
    </w:p>
    <w:p>
      <w:pPr>
        <w:spacing w:after="0" w:line="398" w:lineRule="exact"/>
        <w:rPr>
          <w:sz w:val="20"/>
          <w:szCs w:val="20"/>
          <w:color w:val="auto"/>
        </w:rPr>
      </w:pPr>
    </w:p>
    <w:p>
      <w:pPr>
        <w:jc w:val="both"/>
        <w:ind w:right="140" w:firstLine="974"/>
        <w:spacing w:after="0" w:line="260"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New Local Facilities</w:t>
      </w:r>
      <w:r>
        <w:rPr>
          <w:rFonts w:ascii="Times New Roman" w:cs="Times New Roman" w:eastAsia="Times New Roman" w:hAnsi="Times New Roman"/>
          <w:sz w:val="18"/>
          <w:szCs w:val="18"/>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800"/>
          </w:cols>
          <w:pgMar w:left="540" w:top="267" w:right="559" w:bottom="1440" w:gutter="0" w:footer="0" w:header="0"/>
        </w:sectPr>
      </w:pPr>
    </w:p>
    <w:bookmarkStart w:id="69" w:name="page70"/>
    <w:bookmarkEnd w:id="69"/>
    <w:p>
      <w:pPr>
        <w:ind w:left="8"/>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to a newly established sub-facility or sub-facilities under any Facility or a separate revolving facility hereunder (each, a “</w:t>
      </w:r>
      <w:r>
        <w:rPr>
          <w:rFonts w:ascii="Times New Roman" w:cs="Times New Roman" w:eastAsia="Times New Roman" w:hAnsi="Times New Roman"/>
          <w:sz w:val="18"/>
          <w:szCs w:val="18"/>
          <w:u w:val="single" w:color="auto"/>
          <w:color w:val="auto"/>
        </w:rPr>
        <w:t>New Local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both at the time of any such request and upon the effectiveness of any Local Facility Amendment referred to below,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shall be required to make Extensions of Credit in excess of its Commitment then in effect, and (ii) after giving effect to any such New Local Facility, the Total Domestic Extensions of Credit shall not exceed the Total Domestic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2.25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Times New Roman" w:cs="Times New Roman" w:eastAsia="Times New Roman" w:hAnsi="Times New Roman"/>
          <w:sz w:val="18"/>
          <w:szCs w:val="18"/>
          <w:u w:val="single" w:color="auto"/>
          <w:color w:val="auto"/>
        </w:rPr>
        <w:t>New Local Facility Lender</w:t>
      </w:r>
      <w:r>
        <w:rPr>
          <w:rFonts w:ascii="Times New Roman" w:cs="Times New Roman" w:eastAsia="Times New Roman" w:hAnsi="Times New Roman"/>
          <w:sz w:val="18"/>
          <w:szCs w:val="18"/>
          <w:color w:val="auto"/>
        </w:rPr>
        <w:t xml:space="preserve">”) shall have such portion of their Commitment under such Facility designated to such New Local Facility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in accordance with the aggregate Commitments of the other New Local Facility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may so reallocate its Commitments to a New Local Facility if such reallocation would result in amounts being payable by the Company or any Subsidiary Borrower under Section 2.18 or 2.19 unless such Lender changes its Applicable Lending Office to avoid such a result or the Company otherwise consents. The designation of Commitments to any New Local Facility shall be made pursuant to an amendment (each, a “</w:t>
      </w:r>
      <w:r>
        <w:rPr>
          <w:rFonts w:ascii="Times New Roman" w:cs="Times New Roman" w:eastAsia="Times New Roman" w:hAnsi="Times New Roman"/>
          <w:sz w:val="18"/>
          <w:szCs w:val="18"/>
          <w:u w:val="single" w:color="auto"/>
          <w:color w:val="auto"/>
        </w:rPr>
        <w:t>Local Facility Amendment</w:t>
      </w:r>
      <w:r>
        <w:rPr>
          <w:rFonts w:ascii="Times New Roman" w:cs="Times New Roman" w:eastAsia="Times New Roman" w:hAnsi="Times New Roman"/>
          <w:sz w:val="18"/>
          <w:szCs w:val="18"/>
          <w:color w:val="auto"/>
        </w:rPr>
        <w:t>”) to this Agreement and, as appropriate, the other Loan Documents, executed by the Loan Parties, the Administrative Agent and each New Local Facility Lender. Notwithstanding anything in this Section 2.25 to the contrary, no Lender shall be obligated to transfer any portion of its Commitments to a New Local Facility unless it so agrees.</w:t>
      </w:r>
    </w:p>
    <w:p>
      <w:pPr>
        <w:spacing w:after="0" w:line="199" w:lineRule="exact"/>
        <w:rPr>
          <w:sz w:val="20"/>
          <w:szCs w:val="20"/>
          <w:color w:val="auto"/>
        </w:rPr>
      </w:pPr>
    </w:p>
    <w:p>
      <w:pPr>
        <w:ind w:left="8" w:right="160" w:firstLine="966"/>
        <w:spacing w:after="0" w:line="255" w:lineRule="auto"/>
        <w:tabs>
          <w:tab w:leader="none" w:pos="12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2.25, a copy of which shall be made available to each Lender.</w:t>
      </w:r>
    </w:p>
    <w:p>
      <w:pPr>
        <w:spacing w:after="0" w:line="182" w:lineRule="exact"/>
        <w:rPr>
          <w:sz w:val="20"/>
          <w:szCs w:val="20"/>
          <w:color w:val="auto"/>
        </w:rPr>
      </w:pPr>
    </w:p>
    <w:p>
      <w:pPr>
        <w:ind w:left="8" w:right="140" w:firstLine="974"/>
        <w:spacing w:after="0" w:line="263" w:lineRule="auto"/>
        <w:rPr>
          <w:sz w:val="20"/>
          <w:szCs w:val="20"/>
          <w:color w:val="auto"/>
        </w:rPr>
      </w:pPr>
      <w:r>
        <w:rPr>
          <w:rFonts w:ascii="Times New Roman" w:cs="Times New Roman" w:eastAsia="Times New Roman" w:hAnsi="Times New Roman"/>
          <w:sz w:val="17"/>
          <w:szCs w:val="17"/>
          <w:color w:val="auto"/>
        </w:rPr>
        <w:t xml:space="preserve">2.26 </w:t>
      </w:r>
      <w:r>
        <w:rPr>
          <w:rFonts w:ascii="Times New Roman" w:cs="Times New Roman" w:eastAsia="Times New Roman" w:hAnsi="Times New Roman"/>
          <w:sz w:val="17"/>
          <w:szCs w:val="17"/>
          <w:u w:val="single" w:color="auto"/>
          <w:color w:val="auto"/>
        </w:rPr>
        <w:t>Incremental Commitments/Facilities</w:t>
      </w:r>
      <w:r>
        <w:rPr>
          <w:rFonts w:ascii="Times New Roman" w:cs="Times New Roman" w:eastAsia="Times New Roman" w:hAnsi="Times New Roman"/>
          <w:sz w:val="17"/>
          <w:szCs w:val="17"/>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Times New Roman" w:cs="Times New Roman" w:eastAsia="Times New Roman" w:hAnsi="Times New Roman"/>
          <w:sz w:val="17"/>
          <w:szCs w:val="17"/>
          <w:u w:val="single" w:color="auto"/>
          <w:color w:val="auto"/>
        </w:rPr>
        <w:t>Commitment Increase</w:t>
      </w:r>
      <w:r>
        <w:rPr>
          <w:rFonts w:ascii="Times New Roman" w:cs="Times New Roman" w:eastAsia="Times New Roman" w:hAnsi="Times New Roman"/>
          <w:sz w:val="17"/>
          <w:szCs w:val="17"/>
          <w:color w:val="auto"/>
        </w:rPr>
        <w:t>”)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w:t>
      </w:r>
    </w:p>
    <w:p>
      <w:pPr>
        <w:spacing w:after="0" w:line="6" w:lineRule="exact"/>
        <w:rPr>
          <w:sz w:val="20"/>
          <w:szCs w:val="20"/>
          <w:color w:val="auto"/>
        </w:rPr>
      </w:pPr>
    </w:p>
    <w:p>
      <w:pPr>
        <w:ind w:left="8" w:right="20" w:hanging="8"/>
        <w:spacing w:after="0" w:line="246" w:lineRule="auto"/>
        <w:tabs>
          <w:tab w:leader="none" w:pos="2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3-Year Total Commitments then in effect (including, for the avoidance of doubt, any commitments under incremental facilities under the 3-Year Revolving Credit Agreement) and the aggregate amount of all Ancillary Commitments (under and as defined in the 3-Year Revolving Credit Agreement) then in effect shall not exceed $17.0 billion.</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808"/>
          </w:cols>
          <w:pgMar w:left="532" w:top="267" w:right="559" w:bottom="1440" w:gutter="0" w:footer="0" w:header="0"/>
        </w:sectPr>
      </w:pPr>
    </w:p>
    <w:bookmarkStart w:id="70" w:name="page71"/>
    <w:bookmarkEnd w:id="70"/>
    <w:p>
      <w:pPr>
        <w:ind w:left="8" w:right="80" w:firstLine="966"/>
        <w:spacing w:after="0" w:line="251" w:lineRule="auto"/>
        <w:tabs>
          <w:tab w:leader="none" w:pos="123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Each Incremental Lender that is a signatory to an Incremental Loan Activation Notice severally agrees, on the terms and conditions of this Agreement, to make revolving credit loans (each,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2.26 shall be construed to obligate any Lender to execute an Incremental Loan Activation Notice.</w:t>
      </w:r>
    </w:p>
    <w:p>
      <w:pPr>
        <w:spacing w:after="0" w:line="186" w:lineRule="exact"/>
        <w:rPr>
          <w:rFonts w:ascii="Times New Roman" w:cs="Times New Roman" w:eastAsia="Times New Roman" w:hAnsi="Times New Roman"/>
          <w:sz w:val="18"/>
          <w:szCs w:val="18"/>
          <w:color w:val="auto"/>
        </w:rPr>
      </w:pPr>
    </w:p>
    <w:p>
      <w:pPr>
        <w:ind w:left="1208" w:hanging="234"/>
        <w:spacing w:after="0"/>
        <w:tabs>
          <w:tab w:leader="none" w:pos="12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Commitment Increase Date with respect to any Facility, in the event any Loans under such Facility are then outstanding,</w:t>
      </w:r>
    </w:p>
    <w:p>
      <w:pPr>
        <w:spacing w:after="0" w:line="24" w:lineRule="exact"/>
        <w:rPr>
          <w:rFonts w:ascii="Times New Roman" w:cs="Times New Roman" w:eastAsia="Times New Roman" w:hAnsi="Times New Roman"/>
          <w:sz w:val="18"/>
          <w:szCs w:val="18"/>
          <w:color w:val="auto"/>
        </w:rPr>
      </w:pPr>
    </w:p>
    <w:p>
      <w:pPr>
        <w:ind w:left="8" w:right="80" w:hanging="8"/>
        <w:spacing w:after="0" w:line="247"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2.20 as a result of such prepayment.</w:t>
      </w:r>
    </w:p>
    <w:p>
      <w:pPr>
        <w:spacing w:after="0" w:line="188" w:lineRule="exact"/>
        <w:rPr>
          <w:sz w:val="20"/>
          <w:szCs w:val="20"/>
          <w:color w:val="auto"/>
        </w:rPr>
      </w:pPr>
    </w:p>
    <w:p>
      <w:pPr>
        <w:ind w:left="8" w:right="2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Termination Date Extension</w:t>
      </w:r>
      <w:r>
        <w:rPr>
          <w:rFonts w:ascii="Times New Roman" w:cs="Times New Roman" w:eastAsia="Times New Roman" w:hAnsi="Times New Roman"/>
          <w:sz w:val="18"/>
          <w:szCs w:val="18"/>
          <w:color w:val="auto"/>
        </w:rPr>
        <w:t>. (a) The Company may at any time and from time to time, by notice to the Administrative Agent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2.27(b).</w:t>
      </w:r>
    </w:p>
    <w:p>
      <w:pPr>
        <w:spacing w:after="0" w:line="185" w:lineRule="exact"/>
        <w:rPr>
          <w:sz w:val="20"/>
          <w:szCs w:val="20"/>
          <w:color w:val="auto"/>
        </w:rPr>
      </w:pPr>
    </w:p>
    <w:p>
      <w:pPr>
        <w:ind w:left="8" w:firstLine="966"/>
        <w:spacing w:after="0" w:line="255" w:lineRule="auto"/>
        <w:tabs>
          <w:tab w:leader="none" w:pos="123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does not consent to any extension request that becomes effective pursuant to Section 2.27(a) (each such Lender,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then the Termination Date for such Non-Extending Lender shall remain unchanged from that applicable prior to the extension and the Commitments of each Non-Extending Lender and the existing Applicable Margins shall, subject to the terms of Section 2.16, continue in full force and effect.</w:t>
      </w:r>
    </w:p>
    <w:p>
      <w:pPr>
        <w:spacing w:after="0" w:line="181" w:lineRule="exact"/>
        <w:rPr>
          <w:rFonts w:ascii="Times New Roman" w:cs="Times New Roman" w:eastAsia="Times New Roman" w:hAnsi="Times New Roman"/>
          <w:sz w:val="18"/>
          <w:szCs w:val="18"/>
          <w:color w:val="auto"/>
        </w:rPr>
      </w:pPr>
    </w:p>
    <w:p>
      <w:pPr>
        <w:ind w:left="8" w:right="160" w:firstLine="966"/>
        <w:spacing w:after="0" w:line="255" w:lineRule="auto"/>
        <w:tabs>
          <w:tab w:leader="none" w:pos="12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10.1(a), the Company and the Administrative Agent (and the Extending Lenders) shall be entitled to enter into any amendments to this Agreement that the Administrative Agent believe are necessary or appropriate to reflect, or to provide for the integration of, any extension of the Termination Date or change in Applicable Margins pursuant to this Section 2.27 without the consent of any Non-Extending Lender.</w:t>
      </w:r>
    </w:p>
    <w:p>
      <w:pPr>
        <w:spacing w:after="0" w:line="11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08"/>
          </w:cols>
          <w:pgMar w:left="532" w:top="267" w:right="559" w:bottom="1440" w:gutter="0" w:footer="0" w:header="0"/>
        </w:sectPr>
      </w:pPr>
    </w:p>
    <w:bookmarkStart w:id="71" w:name="page72"/>
    <w:bookmarkEnd w:id="71"/>
    <w:p>
      <w:pPr>
        <w:jc w:val="center"/>
        <w:ind w:right="-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3. LETTERS OF CREDIT</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L/C Commitment</w:t>
      </w:r>
      <w:r>
        <w:rPr>
          <w:rFonts w:ascii="Times New Roman" w:cs="Times New Roman" w:eastAsia="Times New Roman" w:hAnsi="Times New Roman"/>
          <w:sz w:val="17"/>
          <w:szCs w:val="17"/>
          <w:color w:val="auto"/>
        </w:rPr>
        <w:t>. (a) Subject to the terms and conditions hereof, each Issuing Lender, in reliance on the agreements of the Lenders set</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forth in Section 3.4(a), agrees to issue (or cause its Applicable Lending Office to issue) letters of credit and, with the consent of such Issuing Lender,</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letters of guarantee (each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under the Domestic Facility for the account of a Loan Party or a Subsidiary of a Loan Party (the</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on any Business Day during the Commitment Period of such Issuing Lender in such form as may be reasonable and</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customary for the purpose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Applicable Account Party shall request, and no Issuing Lender shall be required to issue (or</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cause its Applicable Lending Office to issue), any Letter of Credit if, after giving effect to such issuance (and to any concurrent funding or prepayment</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of a Loan and to the application of proceeds thereof and to any concurrent expiration or termination or amendment or modification of any previously</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issued Letter of Credit), (A) the Dollar Equivalent of the then Outstanding Amount of all Letters of Credit issued by such Issuing Lender (or any</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Applicable Lending Office thereof) would exceed such Issuing Lender’s L/C Commitment then in effect, (B) the Dollar Equivalent of the then</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Outstanding Amount of all Letters of Credit would exceed the L/C Sublimit then in effect or (C) sum of (x) 105% of the Dollar Equivalent of Letters of</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Credit denominated in Optional Currencies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then Outstanding Amount of the Total Domestic Extensions of Credit other than Letters of</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Credit denominated in Optional Currencies would exceed the Total Domestic Commitments then in effect and (ii) the Company shall be jointly and</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severally liable with respect to each Letter of Credit issued for the account of an Applicable Account Party (other than the Company). Each Letter of</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Credit shall (x) be denominated in Dollars or any Optional Currency and (y) expire no later than the earlier of (A) the date that is one year after the date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of issuance of such Letter of Credit and (B) five Business Days prior to the Termination Date of such Issuing Lender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Letter of Credit with a one-year or shorter tenor may (1) provide for the subsequent or successive renewal or automatic renewal thereof for additional</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one-year or shorter periods (which shall in no event extend beyond the date referred to in foregoing clause (B), unless and to the extent that such Letter</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of Credit is Collateralized for the period following such date at 100% of the undrawn and unexpired amount of such Letter of Credit if requested by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relevant Issuing Lender) or (2) continue past such date referred to in the foregoing clause (B) to the extent that such Letter of Credit is Collateralized for</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period following such date at 100% of the undrawn and unexpired amount of such Letter of Credit if requested by the relevant Issuing Lender;</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upon request of the Company and with the consent of the relevant Issuing Lender, a Letter of Credit may have a tenor of longer</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than one year so long as such Letter of Credit does not extend beyond the date referred to in clause (B) above (or, to the extent such Letter of Credit does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extend beyond such date, it is in compliance with the parenthetical in clause (1) above). Any such Collateralization of a Letter of Credit provided by a</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Loan Party or Applicable Account Party, as applicable, with respect to a Letter of Credit, together with accrued interest or earnings thereon, shall be</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terminated and (to the extent not applied to satisfy L/C Obligations) released to such Loan Party or Applicable Account Party, as applicable, as soon as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practicable after the expiration or other termination of such Letter of Credit and the reimbursement of any amount drawn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so</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long as such 100% margin is maintained, the accrued interest or earnings on such Collateralization shall be released to the Loan Party or Applicable</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Account Party, as applicable, at any time and from time to time upon its request therefor.</w:t>
      </w:r>
    </w:p>
    <w:p>
      <w:pPr>
        <w:spacing w:after="0" w:line="198" w:lineRule="exact"/>
        <w:rPr>
          <w:sz w:val="20"/>
          <w:szCs w:val="20"/>
          <w:color w:val="auto"/>
        </w:rPr>
      </w:pPr>
    </w:p>
    <w:p>
      <w:pPr>
        <w:ind w:left="8" w:right="140" w:firstLine="966"/>
        <w:spacing w:after="0" w:line="260" w:lineRule="auto"/>
        <w:tabs>
          <w:tab w:leader="none" w:pos="123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76" w:lineRule="exact"/>
        <w:rPr>
          <w:rFonts w:ascii="Times New Roman" w:cs="Times New Roman" w:eastAsia="Times New Roman" w:hAnsi="Times New Roman"/>
          <w:sz w:val="18"/>
          <w:szCs w:val="18"/>
          <w:color w:val="auto"/>
        </w:rPr>
      </w:pPr>
    </w:p>
    <w:p>
      <w:pPr>
        <w:ind w:left="8" w:right="340" w:firstLine="966"/>
        <w:spacing w:after="0" w:line="272" w:lineRule="auto"/>
        <w:tabs>
          <w:tab w:leader="none" w:pos="122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Termination Date has been extended (pursuant to Section 2.27 or otherwise) and any Domestic Lenders are Non-Consenting Lenders with respect thereto, and any Letter of Credit remains outstanding on the Termination Date applicable to such Non-Extending Lenders, then</w:t>
      </w:r>
    </w:p>
    <w:p>
      <w:pPr>
        <w:ind w:left="208" w:hanging="208"/>
        <w:spacing w:after="0"/>
        <w:tabs>
          <w:tab w:leader="none" w:pos="2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w:t>
      </w:r>
    </w:p>
    <w:p>
      <w:pPr>
        <w:spacing w:after="0" w:line="1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828"/>
          </w:cols>
          <w:pgMar w:left="532" w:top="267" w:right="539" w:bottom="1440" w:gutter="0" w:footer="0" w:header="0"/>
        </w:sectPr>
      </w:pPr>
    </w:p>
    <w:bookmarkStart w:id="72" w:name="page73"/>
    <w:bookmarkEnd w:id="72"/>
    <w:p>
      <w:pPr>
        <w:ind w:left="8"/>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as no Event of Default shall have occurred and be continuing at such time, all or any part of the L/C Obligations of such Non-Extending Lenders shall be reallocated among the Domestic Lenders that are Extending Lenders with respect thereto in accordance with their Domestic Percentages (calculated after giving effect to the termination of the Commitments of the Non-Extending Lenders on such Termination Date) but only to the extent the sum of all Extending Lenders’ Domestic Extensions of Credit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such L/C Obligations does not exceed the total of all Domestic Lenders that are Extending Lenders’ Domestic Commitments, (ii) if any reallocation described in clause (i) above cannot, or can only partially, be effected, the Company or any applicable Subsidiary Borrower shall, at any time and from time to time following notice by the Administrative Agent, (x) prepay Domestic Loans in an amount sufficient to permit such reallocation of the L/C Obligations of the Non-Extending Lenders in full or (y) Collateralize for the benefit of each Issuing Lender, the Borrowers’ obligations corresponding to such Non-Extending Lenders’ L/C Obligations (after giving effect to any partial reallocation pursuant to clause (i) above) for so long as such L/C Obligations are outstanding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Event of Default shall have then occurred and be continuing), and (iii) if all or any portion of such Non-Extending Lenders’ L/C Obligations is neither reallocated nor Collateralized pursuant to clause</w:t>
      </w:r>
    </w:p>
    <w:p>
      <w:pPr>
        <w:spacing w:after="0" w:line="5" w:lineRule="exact"/>
        <w:rPr>
          <w:sz w:val="20"/>
          <w:szCs w:val="20"/>
          <w:color w:val="auto"/>
        </w:rPr>
      </w:pPr>
    </w:p>
    <w:p>
      <w:pPr>
        <w:ind w:left="8" w:right="380" w:hanging="8"/>
        <w:spacing w:after="0" w:line="249" w:lineRule="auto"/>
        <w:tabs>
          <w:tab w:leader="none" w:pos="2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then, without prejudice to any rights or remedies of the applicable Issuing Lender or any other Domestic Lender hereunder, all fees payable hereunder with respect to such Non-Extending Lenders’ L/C Obligations shall be payable to the applicable Issuing Lender until and to the extent that such L/C Obligations are so reallocated and/or Collateralized.</w:t>
      </w:r>
    </w:p>
    <w:p>
      <w:pPr>
        <w:spacing w:after="0" w:line="185" w:lineRule="exact"/>
        <w:rPr>
          <w:sz w:val="20"/>
          <w:szCs w:val="20"/>
          <w:color w:val="auto"/>
        </w:rPr>
      </w:pPr>
    </w:p>
    <w:p>
      <w:pPr>
        <w:ind w:left="8" w:firstLine="974"/>
        <w:spacing w:after="0" w:line="24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Procedure for Issuance of Letters of Credit</w:t>
      </w:r>
      <w:r>
        <w:rPr>
          <w:rFonts w:ascii="Times New Roman" w:cs="Times New Roman" w:eastAsia="Times New Roman" w:hAnsi="Times New Roman"/>
          <w:sz w:val="18"/>
          <w:szCs w:val="18"/>
          <w:color w:val="auto"/>
        </w:rPr>
        <w:t>. Any Applicable Account Party, with (in the case of any such Applicable Account Party other than the Company) the written consent of the Company, may from time to time request that any Issuing Lender issue (or cause its Applicable Lending Office to issue) a Letter of Credit or amend or extend an outstanding Letter of Credit (or cause its Applicable Lending Office to amend or extend an outstanding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amend or extend (or cause its Applicable Lending Office to issue, amend or extend) any Letter of Credit earlier than three Business Days after its receipt of the Application therefor and all such other certificates, documents and other papers and information relating thereto) by issuing the original of such Letter of Credit (or of such amendment or extension, as applicable) to the beneficiary thereof or as otherwise may be agreed to by the relevant Issuing Lender and the Applicable Account Party. The relevant Issuing Lender shall furnish a copy of such Letter of Credit (or of such amendment or extension, as applicable) to the Applicable Account Party promptly (and in any event within 10 calendar days of such issuance, amendment or extension) following the issuance, amendment or extension, as the case may be, thereof. The relevant Issuing Lender shall promptly furnish to the Administrative Agent notice of the issuance of each Letter of Credit (including the amount and currency thereof). No Issuing Lender shall issue, amend or extend (or cause its Applicable Lending Office to issue, amend or extend)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w:t>
      </w:r>
    </w:p>
    <w:p>
      <w:pPr>
        <w:spacing w:after="0" w:line="1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08"/>
          </w:cols>
          <w:pgMar w:left="532" w:top="267" w:right="559" w:bottom="1440" w:gutter="0" w:footer="0" w:header="0"/>
        </w:sectPr>
      </w:pPr>
    </w:p>
    <w:bookmarkStart w:id="73" w:name="page74"/>
    <w:bookmarkEnd w:id="73"/>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76" w:lineRule="exact"/>
        <w:rPr>
          <w:sz w:val="20"/>
          <w:szCs w:val="20"/>
          <w:color w:val="auto"/>
        </w:rPr>
      </w:pPr>
    </w:p>
    <w:p>
      <w:pPr>
        <w:ind w:right="120" w:firstLine="974"/>
        <w:spacing w:after="0" w:line="24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Fees and Other Charges</w:t>
      </w:r>
      <w:r>
        <w:rPr>
          <w:rFonts w:ascii="Times New Roman" w:cs="Times New Roman" w:eastAsia="Times New Roman" w:hAnsi="Times New Roman"/>
          <w:sz w:val="18"/>
          <w:szCs w:val="18"/>
          <w:color w:val="auto"/>
        </w:rPr>
        <w:t>. The Company shall, or shall cause the Applicable Account Party to, pay a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on the average daily undrawn and unexpired amount of all outstanding Letters of Credit during each Fee Payment Period at a per annum rate equal to the Applicable Margin then in effect with respect to Term Benchmark Loans, shared ratably among the Domestic Lenders based on the Domestic Percentages of the Domestic Lenders during the relevant Fee Payment Period and payable in arrears for each Fee Payment Period on the related Fee Payment Date. In addition, the Company shall pay a fronting fee in an amount equal to 0.25% per annum on the average daily undrawn and unexpired amount of each Letter of Credit issued by such Issuing Lender, payable in arrears to the relevant Issuing Lender for each Fee Payment Period on the related Fee Payment Date. For the purposes of the foregoing calculations, the average daily undrawn and unexpired amount of any Letter of Credit denominated in an Optional Currency for any Fee Payment Period shall be calculated by multiplying (i) the average daily undrawn and unexpired amount of such Letter of Credit (expressed in the Optional Currency in which such Letter of Credit giving rise to such fee is denominated) by (ii) the Exchange Rate for each such Optional Currency in effect on the first Business Day of the related Fee Payment Period or by such other method that the Administrative Agent and the Company may agree. In addition to the foregoing fees, the Company shall pay or reimburse each Issuing Lender, for its own account such customary out-of-pocket costs and expenses as are incurred or charged by such Issuing Lender in issuing, negotiating, effecting payment under, amending or otherwise administering any Letter of Credit, to the extent that such costs and expenses have been mutually agreed upon between the Company and such Issuing Lender.</w:t>
      </w:r>
    </w:p>
    <w:p>
      <w:pPr>
        <w:spacing w:after="0" w:line="189" w:lineRule="exact"/>
        <w:rPr>
          <w:sz w:val="20"/>
          <w:szCs w:val="20"/>
          <w:color w:val="auto"/>
        </w:rPr>
      </w:pPr>
    </w:p>
    <w:p>
      <w:pPr>
        <w:ind w:firstLine="974"/>
        <w:spacing w:after="0" w:line="247"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Domestic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Domestic Percentage of the Dollar Equivalent of the amount of such draft or demand, or any part thereof, that is not so reimbursed (calculated, in the case of any Letter of Credit denominated in an Optional Currency, as of the Reimbursement Date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 L/C Participant be obligated to fund an amount that would cause such L/C Participant’s Total Domestic Extensions of Credit to exceed such L/C Participant’s Domestic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820"/>
          </w:cols>
          <w:pgMar w:left="540" w:top="267" w:right="539" w:bottom="1440" w:gutter="0" w:footer="0" w:header="0"/>
        </w:sectPr>
      </w:pPr>
    </w:p>
    <w:bookmarkStart w:id="74" w:name="page75"/>
    <w:bookmarkEnd w:id="74"/>
    <w:p>
      <w:pPr>
        <w:ind w:right="60" w:firstLine="966"/>
        <w:spacing w:after="0" w:line="249" w:lineRule="auto"/>
        <w:tabs>
          <w:tab w:leader="none" w:pos="12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87" w:lineRule="exact"/>
        <w:rPr>
          <w:rFonts w:ascii="Times New Roman" w:cs="Times New Roman" w:eastAsia="Times New Roman" w:hAnsi="Times New Roman"/>
          <w:sz w:val="18"/>
          <w:szCs w:val="18"/>
          <w:color w:val="auto"/>
        </w:rPr>
      </w:pPr>
    </w:p>
    <w:p>
      <w:pPr>
        <w:ind w:right="60" w:firstLine="966"/>
        <w:spacing w:after="0" w:line="251" w:lineRule="auto"/>
        <w:tabs>
          <w:tab w:leader="none" w:pos="12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any Issuing Lender has made payment under any Letter of Credit and has received from any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Reimbursement Obligation of the Company and the Applicable Account Party</w:t>
      </w:r>
      <w:r>
        <w:rPr>
          <w:rFonts w:ascii="Times New Roman" w:cs="Times New Roman" w:eastAsia="Times New Roman" w:hAnsi="Times New Roman"/>
          <w:sz w:val="18"/>
          <w:szCs w:val="18"/>
          <w:color w:val="auto"/>
        </w:rPr>
        <w:t>. If any draft or demand is paid under any Letter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issued for the account of an Applicable Account Party, the Company or such Applicable Account Party, on a joint and several basis, shall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reimburse the Issuing Lender for the amount of the draft or demand so paid, not later than 3:00 P.M., New York City time, on the second Business Day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day that the Company receives notice of payment of such draft or demand (or if notice of such payment is received after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New York City time, on a Business Day, on the third Business Day immediately following such date of receipt) (such date,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Reimbursement Date</w:t>
      </w:r>
      <w:r>
        <w:rPr>
          <w:rFonts w:ascii="Times New Roman" w:cs="Times New Roman" w:eastAsia="Times New Roman" w:hAnsi="Times New Roman"/>
          <w:sz w:val="17"/>
          <w:szCs w:val="17"/>
          <w:color w:val="auto"/>
        </w:rPr>
        <w:t>”). Each such payment shall be made to the relevant Issuing Lender in the currency in which such Letter of Credit is denominated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immediately available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Letter of Credit denominated in an Optional Currency, if such payment,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 to make such payment, in an Optional Currency would subject the Administrative Agent, the relevant Issuing Lender or any Domestic Lender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stamp duty, ad valorem charge or any similar Tax that would not be payable if such payment were paid or required to be paid in Dollars,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or such Applicable Account Party shall, at its option, (A) pay the amount of such Tax to the Administrative Agent, the relevant Issuing Lender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or the relevant Domestic Lender or (B) pay the Dollar Equivalent of such draft or demand (calculated as of the Reimbursement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if such payment is not made on the applicable Reimbursement Date the obligation to pay such draft or demand shall be permanently converted into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obligation to pay the Dollar Equivalent amount of such draft or demand (calculated as of such Reimbursement Date). Interest shall be payable on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amounts from the Reimbursement Date until payment in full at the rate set forth in Section 2.14(b). Notwithstanding any inconsistent provision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unless (x) the Company or such Applicable Account Party gives notice to the Administrative Agent that it has paid its Reimbursement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by 2:00 P.M., New York City time, on the Reimbursement Date or notifies the Administrative Agent that it does not wish to have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Obligation paid with the proceeds of an ABR Loan by such time, or (y) the Administrative Agent has actual knowledge that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precedent to an ABR Loan to be made on such Reimbursement Date which are contained in Section 5.2 have not been satisfied or waived,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such Applicable Account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800"/>
          </w:cols>
          <w:pgMar w:left="540" w:top="267" w:right="559" w:bottom="1440" w:gutter="0" w:footer="0" w:header="0"/>
        </w:sectPr>
      </w:pPr>
    </w:p>
    <w:bookmarkStart w:id="75" w:name="page76"/>
    <w:bookmarkEnd w:id="75"/>
    <w:p>
      <w:pPr>
        <w:ind w:right="4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Party shall be deemed to have requested that the Domestic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2.2,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Domestic Percentage of such ABR Loan to the relevant Reimbursement Obligation in lieu of funding such amount to the Administrative Agent.</w:t>
      </w:r>
    </w:p>
    <w:p>
      <w:pPr>
        <w:spacing w:after="0" w:line="189" w:lineRule="exact"/>
        <w:rPr>
          <w:sz w:val="20"/>
          <w:szCs w:val="20"/>
          <w:color w:val="auto"/>
        </w:rPr>
      </w:pPr>
    </w:p>
    <w:p>
      <w:pPr>
        <w:ind w:right="40" w:firstLine="974"/>
        <w:spacing w:after="0" w:line="263"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Obligations Absolute</w:t>
      </w:r>
      <w:r>
        <w:rPr>
          <w:rFonts w:ascii="Times New Roman" w:cs="Times New Roman" w:eastAsia="Times New Roman" w:hAnsi="Times New Roman"/>
          <w:sz w:val="17"/>
          <w:szCs w:val="17"/>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85"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Letter of Credit Payments</w:t>
      </w:r>
      <w:r>
        <w:rPr>
          <w:rFonts w:ascii="Times New Roman" w:cs="Times New Roman" w:eastAsia="Times New Roman" w:hAnsi="Times New Roman"/>
          <w:sz w:val="18"/>
          <w:szCs w:val="18"/>
          <w:color w:val="auto"/>
        </w:rPr>
        <w:t xml:space="preserve">. If any draft or demand shall be presented for payment under any Letter of Credit, the 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the Company and the Administrative Agent of the date and amount thereof and whether such Issuing Lender has made or will make the payment under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94" w:lineRule="exact"/>
        <w:rPr>
          <w:sz w:val="20"/>
          <w:szCs w:val="20"/>
          <w:color w:val="auto"/>
        </w:rPr>
      </w:pPr>
    </w:p>
    <w:p>
      <w:pPr>
        <w:ind w:right="140" w:firstLine="974"/>
        <w:spacing w:after="0" w:line="304"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Applications</w:t>
      </w:r>
      <w:r>
        <w:rPr>
          <w:rFonts w:ascii="Times New Roman" w:cs="Times New Roman" w:eastAsia="Times New Roman" w:hAnsi="Times New Roman"/>
          <w:sz w:val="17"/>
          <w:szCs w:val="17"/>
          <w:color w:val="auto"/>
        </w:rPr>
        <w:t>.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60"/>
          </w:cols>
          <w:pgMar w:left="540" w:top="267" w:right="599" w:bottom="1440" w:gutter="0" w:footer="0" w:header="0"/>
        </w:sectPr>
      </w:pPr>
    </w:p>
    <w:bookmarkStart w:id="76" w:name="page77"/>
    <w:bookmarkEnd w:id="76"/>
    <w:p>
      <w:pPr>
        <w:ind w:right="20" w:firstLine="97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3.9 </w:t>
      </w:r>
      <w:r>
        <w:rPr>
          <w:rFonts w:ascii="Times New Roman" w:cs="Times New Roman" w:eastAsia="Times New Roman" w:hAnsi="Times New Roman"/>
          <w:sz w:val="18"/>
          <w:szCs w:val="18"/>
          <w:u w:val="single" w:color="auto"/>
          <w:color w:val="auto"/>
        </w:rPr>
        <w:t>Collateralization</w:t>
      </w:r>
      <w:r>
        <w:rPr>
          <w:rFonts w:ascii="Times New Roman" w:cs="Times New Roman" w:eastAsia="Times New Roman" w:hAnsi="Times New Roman"/>
          <w:sz w:val="18"/>
          <w:szCs w:val="18"/>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87" w:lineRule="exact"/>
        <w:rPr>
          <w:sz w:val="20"/>
          <w:szCs w:val="20"/>
          <w:color w:val="auto"/>
        </w:rPr>
      </w:pPr>
    </w:p>
    <w:p>
      <w:pPr>
        <w:ind w:firstLine="974"/>
        <w:spacing w:after="0" w:line="263"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New Issuing Lenders; L/C Commitments</w:t>
      </w:r>
      <w:r>
        <w:rPr>
          <w:rFonts w:ascii="Times New Roman" w:cs="Times New Roman" w:eastAsia="Times New Roman" w:hAnsi="Times New Roman"/>
          <w:sz w:val="17"/>
          <w:szCs w:val="17"/>
          <w:color w:val="auto"/>
        </w:rPr>
        <w:t>. (a) The Company may from time to time (i) decrease the L/C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Commitment of any existing Issuing Lender. If the Company shall decide to add a new Issuing Lender under this Agreement, then the Company may appoint from among the Domestic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Commitment shall become effective. Any decrease of an L/C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Domestic Lenders of the effectiveness of any replacement or addition of an Issuing Lender, or any changed L/C Commitment pursuant to this Section 3.10.</w:t>
      </w:r>
    </w:p>
    <w:p>
      <w:pPr>
        <w:spacing w:after="0" w:line="393" w:lineRule="exact"/>
        <w:rPr>
          <w:sz w:val="20"/>
          <w:szCs w:val="20"/>
          <w:color w:val="auto"/>
        </w:rPr>
      </w:pPr>
    </w:p>
    <w:p>
      <w:pPr>
        <w:ind w:right="420" w:firstLine="966"/>
        <w:spacing w:after="0" w:line="274" w:lineRule="auto"/>
        <w:tabs>
          <w:tab w:leader="none" w:pos="12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Issuing Lender may, in its discretion, arrange for one or more Letters of Credit to be issued by an Applicable Lending Office thereof, in which case, such Applicable Lending Office shall be an “Issuing Lender” hereunder.</w:t>
      </w:r>
    </w:p>
    <w:p>
      <w:pPr>
        <w:spacing w:after="0" w:line="164" w:lineRule="exact"/>
        <w:rPr>
          <w:sz w:val="20"/>
          <w:szCs w:val="20"/>
          <w:color w:val="auto"/>
        </w:rPr>
      </w:pPr>
    </w:p>
    <w:p>
      <w:pPr>
        <w:ind w:right="120" w:firstLine="974"/>
        <w:spacing w:after="0" w:line="271"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Conflicts</w:t>
      </w:r>
      <w:r>
        <w:rPr>
          <w:rFonts w:ascii="Times New Roman" w:cs="Times New Roman" w:eastAsia="Times New Roman" w:hAnsi="Times New Roman"/>
          <w:sz w:val="17"/>
          <w:szCs w:val="17"/>
          <w:color w:val="auto"/>
        </w:rPr>
        <w:t>. 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provided, that in the case of a Letter of Credit that is issued in a jurisdiction outside of the United States, such Letter of Credit shall be governed by, and shall be construed in accordance with, the laws of a jurisdiction requested by the beneficiary and acceptable to the Issuing Lender and the Company and (ii) to the extent not prohibited by such laws and not materially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00"/>
          </w:cols>
          <w:pgMar w:left="540" w:top="267" w:right="559" w:bottom="1440" w:gutter="0" w:footer="0" w:header="0"/>
        </w:sectPr>
      </w:pPr>
    </w:p>
    <w:bookmarkStart w:id="77" w:name="page78"/>
    <w:bookmarkEnd w:id="77"/>
    <w:p>
      <w:pPr>
        <w:jc w:val="both"/>
        <w:ind w:left="8" w:right="8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18" w:lineRule="exact"/>
        <w:rPr>
          <w:sz w:val="20"/>
          <w:szCs w:val="20"/>
          <w:color w:val="auto"/>
        </w:rPr>
      </w:pPr>
    </w:p>
    <w:p>
      <w:pPr>
        <w:ind w:left="8" w:right="260" w:firstLine="974"/>
        <w:spacing w:after="0" w:line="274" w:lineRule="auto"/>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and issue or participate in the Letters of Credit the Company hereby represents and warrants to each Lender that:</w:t>
      </w:r>
    </w:p>
    <w:p>
      <w:pPr>
        <w:spacing w:after="0" w:line="164"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consolidated financial statements of the Company included in its Annual Report on Form 10-K, for the twelve-month period ended December 31, 2022 (the “</w:t>
      </w:r>
      <w:r>
        <w:rPr>
          <w:rFonts w:ascii="Times New Roman" w:cs="Times New Roman" w:eastAsia="Times New Roman" w:hAnsi="Times New Roman"/>
          <w:sz w:val="18"/>
          <w:szCs w:val="18"/>
          <w:u w:val="single" w:color="auto"/>
          <w:color w:val="auto"/>
        </w:rPr>
        <w:t>2022 10-K</w:t>
      </w:r>
      <w:r>
        <w:rPr>
          <w:rFonts w:ascii="Times New Roman" w:cs="Times New Roman" w:eastAsia="Times New Roman" w:hAnsi="Times New Roman"/>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left="8" w:right="80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Between the date of the financial statements included in the 2022 10-K and the Closing Date, there has been no development or event which has had a Material Adverse Effect.</w:t>
      </w:r>
    </w:p>
    <w:p>
      <w:pPr>
        <w:spacing w:after="0" w:line="164" w:lineRule="exact"/>
        <w:rPr>
          <w:sz w:val="20"/>
          <w:szCs w:val="20"/>
          <w:color w:val="auto"/>
        </w:rPr>
      </w:pPr>
    </w:p>
    <w:p>
      <w:pPr>
        <w:ind w:left="8" w:firstLine="974"/>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2" w:lineRule="exact"/>
        <w:rPr>
          <w:sz w:val="20"/>
          <w:szCs w:val="20"/>
          <w:color w:val="auto"/>
        </w:rPr>
      </w:pPr>
    </w:p>
    <w:p>
      <w:pPr>
        <w:ind w:left="8" w:right="80" w:firstLine="974"/>
        <w:spacing w:after="0" w:line="268"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Power; Authorization; Enforceable Obligations</w:t>
      </w:r>
      <w:r>
        <w:rPr>
          <w:rFonts w:ascii="Times New Roman" w:cs="Times New Roman" w:eastAsia="Times New Roman" w:hAnsi="Times New Roman"/>
          <w:sz w:val="17"/>
          <w:szCs w:val="17"/>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8" w:right="140" w:hanging="8"/>
        <w:spacing w:after="0" w:line="270" w:lineRule="auto"/>
        <w:tabs>
          <w:tab w:leader="none" w:pos="25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0" w:lineRule="exact"/>
        <w:rPr>
          <w:sz w:val="20"/>
          <w:szCs w:val="20"/>
          <w:color w:val="auto"/>
        </w:rPr>
      </w:pPr>
    </w:p>
    <w:p>
      <w:pPr>
        <w:ind w:left="8" w:right="180" w:firstLine="97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2" w:lineRule="exact"/>
        <w:rPr>
          <w:sz w:val="20"/>
          <w:szCs w:val="20"/>
          <w:color w:val="auto"/>
        </w:rPr>
      </w:pPr>
    </w:p>
    <w:p>
      <w:pPr>
        <w:ind w:left="8" w:right="20" w:firstLine="974"/>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4.6 and except as set forth in the 2022 10-K or on any Current Report on Form 8-K of the Company filed with the SEC after December 31, 2022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808"/>
          </w:cols>
          <w:pgMar w:left="532" w:top="267" w:right="559" w:bottom="1440" w:gutter="0" w:footer="0" w:header="0"/>
        </w:sectPr>
      </w:pPr>
    </w:p>
    <w:bookmarkStart w:id="78" w:name="page79"/>
    <w:bookmarkEnd w:id="78"/>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Closing Date no Default or Event of Default has occurred and is continuing.</w:t>
      </w:r>
    </w:p>
    <w:p>
      <w:pPr>
        <w:spacing w:after="0" w:line="218"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85" w:lineRule="exact"/>
        <w:rPr>
          <w:sz w:val="20"/>
          <w:szCs w:val="20"/>
          <w:color w:val="auto"/>
        </w:rPr>
      </w:pPr>
    </w:p>
    <w:p>
      <w:pPr>
        <w:jc w:val="both"/>
        <w:ind w:left="8" w:right="200" w:firstLine="974"/>
        <w:spacing w:after="0" w:line="260"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ind w:left="8" w:right="16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or Letters of Credit, and no other extensions of credit hereunder, will be used for any purpose that violates the provisions of Regulation T, U or X of the Board.</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218" w:lineRule="exact"/>
        <w:rPr>
          <w:sz w:val="20"/>
          <w:szCs w:val="20"/>
          <w:color w:val="auto"/>
        </w:rPr>
      </w:pPr>
    </w:p>
    <w:p>
      <w:pPr>
        <w:ind w:left="8" w:right="32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4" w:lineRule="exact"/>
        <w:rPr>
          <w:sz w:val="20"/>
          <w:szCs w:val="20"/>
          <w:color w:val="auto"/>
        </w:rPr>
      </w:pPr>
    </w:p>
    <w:p>
      <w:pPr>
        <w:ind w:left="8" w:right="38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Ownership of the Subsidiary Borrowers</w:t>
      </w:r>
      <w:r>
        <w:rPr>
          <w:rFonts w:ascii="Times New Roman" w:cs="Times New Roman" w:eastAsia="Times New Roman" w:hAnsi="Times New Roman"/>
          <w:sz w:val="18"/>
          <w:szCs w:val="18"/>
          <w:color w:val="auto"/>
        </w:rPr>
        <w:t>. As of the Closing Date, each Subsidiary Borrower is a direct or indirect wholly-owned Subsidiary of the Company.</w:t>
      </w:r>
    </w:p>
    <w:p>
      <w:pPr>
        <w:spacing w:after="0" w:line="164" w:lineRule="exact"/>
        <w:rPr>
          <w:sz w:val="20"/>
          <w:szCs w:val="20"/>
          <w:color w:val="auto"/>
        </w:rPr>
      </w:pPr>
    </w:p>
    <w:p>
      <w:pPr>
        <w:jc w:val="both"/>
        <w:ind w:left="8" w:right="60" w:firstLine="974"/>
        <w:spacing w:after="0" w:line="260"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and Letters of Credit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76" w:lineRule="exact"/>
        <w:rPr>
          <w:sz w:val="20"/>
          <w:szCs w:val="20"/>
          <w:color w:val="auto"/>
        </w:rPr>
      </w:pPr>
    </w:p>
    <w:p>
      <w:pPr>
        <w:ind w:left="8" w:right="20" w:firstLine="974"/>
        <w:spacing w:after="0" w:line="264"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w:t>
      </w:r>
      <w:r>
        <w:rPr>
          <w:rFonts w:ascii="Times New Roman" w:cs="Times New Roman" w:eastAsia="Times New Roman" w:hAnsi="Times New Roman"/>
          <w:sz w:val="17"/>
          <w:szCs w:val="17"/>
          <w:u w:val="single" w:color="auto"/>
          <w:color w:val="auto"/>
        </w:rPr>
        <w:t>Sanctions Lists</w:t>
      </w:r>
      <w:r>
        <w:rPr>
          <w:rFonts w:ascii="Times New Roman" w:cs="Times New Roman" w:eastAsia="Times New Roman" w:hAnsi="Times New Roman"/>
          <w:sz w:val="17"/>
          <w:szCs w:val="17"/>
          <w:color w:val="auto"/>
        </w:rPr>
        <w:t>”). Neither the Company nor any of its Subsidiaries has a physical place of business, or is organized or resident, in</w:t>
      </w:r>
    </w:p>
    <w:p>
      <w:pPr>
        <w:spacing w:after="0" w:line="3" w:lineRule="exact"/>
        <w:rPr>
          <w:sz w:val="20"/>
          <w:szCs w:val="20"/>
          <w:color w:val="auto"/>
        </w:rPr>
      </w:pPr>
    </w:p>
    <w:p>
      <w:pPr>
        <w:ind w:left="5328" w:right="1240" w:hanging="5328"/>
        <w:spacing w:after="0" w:line="421" w:lineRule="auto"/>
        <w:tabs>
          <w:tab w:leader="none" w:pos="2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Kherson, or Zaporizhzhia regions of Ukraine, the so-called Donetsk People’s Republic 68</w:t>
      </w:r>
    </w:p>
    <w:p>
      <w:pPr>
        <w:sectPr>
          <w:pgSz w:w="11900" w:h="16838" w:orient="portrait"/>
          <w:cols w:equalWidth="0" w:num="1">
            <w:col w:w="10748"/>
          </w:cols>
          <w:pgMar w:left="532" w:top="267" w:right="619" w:bottom="1440" w:gutter="0" w:footer="0" w:header="0"/>
        </w:sectPr>
      </w:pPr>
    </w:p>
    <w:bookmarkStart w:id="79" w:name="page80"/>
    <w:bookmarkEnd w:id="79"/>
    <w:p>
      <w:pPr>
        <w:ind w:left="8"/>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or the so-called Luhansk People’s Republic or (b) in any other Sanctioned Country.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200" w:lineRule="exact"/>
        <w:rPr>
          <w:sz w:val="20"/>
          <w:szCs w:val="20"/>
          <w:color w:val="auto"/>
        </w:rPr>
      </w:pPr>
    </w:p>
    <w:p>
      <w:pPr>
        <w:spacing w:after="0" w:line="20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218" w:lineRule="exact"/>
        <w:rPr>
          <w:sz w:val="20"/>
          <w:szCs w:val="20"/>
          <w:color w:val="auto"/>
        </w:rPr>
      </w:pPr>
    </w:p>
    <w:p>
      <w:pPr>
        <w:ind w:left="8"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xml:space="preserve">.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the Existing Required Lenders, each Person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and each other party hereto and (2) written confirmation by the Administrative Agent to the Company and the Lenders confirming that the following conditions have been satisfied (or waived in accordance with the provisions hereof):</w:t>
      </w:r>
    </w:p>
    <w:p>
      <w:pPr>
        <w:spacing w:after="0" w:line="182" w:lineRule="exact"/>
        <w:rPr>
          <w:sz w:val="20"/>
          <w:szCs w:val="20"/>
          <w:color w:val="auto"/>
        </w:rPr>
      </w:pPr>
    </w:p>
    <w:p>
      <w:pPr>
        <w:ind w:left="1208" w:hanging="234"/>
        <w:spacing w:after="0"/>
        <w:tabs>
          <w:tab w:leader="none" w:pos="120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Loan Documents</w:t>
      </w:r>
      <w:r>
        <w:rPr>
          <w:rFonts w:ascii="Times New Roman" w:cs="Times New Roman" w:eastAsia="Times New Roman" w:hAnsi="Times New Roman"/>
          <w:sz w:val="18"/>
          <w:szCs w:val="18"/>
          <w:color w:val="auto"/>
        </w:rPr>
        <w:t>. The Company shall have executed and delivered the Guarantee.</w:t>
      </w:r>
    </w:p>
    <w:p>
      <w:pPr>
        <w:spacing w:after="0" w:line="217" w:lineRule="exact"/>
        <w:rPr>
          <w:rFonts w:ascii="Times New Roman" w:cs="Times New Roman" w:eastAsia="Times New Roman" w:hAnsi="Times New Roman"/>
          <w:sz w:val="18"/>
          <w:szCs w:val="18"/>
          <w:color w:val="auto"/>
        </w:rPr>
      </w:pPr>
    </w:p>
    <w:p>
      <w:pPr>
        <w:ind w:left="8" w:right="100" w:firstLine="966"/>
        <w:spacing w:after="0" w:line="274" w:lineRule="auto"/>
        <w:tabs>
          <w:tab w:leader="none" w:pos="123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64" w:lineRule="exact"/>
        <w:rPr>
          <w:rFonts w:ascii="Times New Roman" w:cs="Times New Roman" w:eastAsia="Times New Roman" w:hAnsi="Times New Roman"/>
          <w:sz w:val="18"/>
          <w:szCs w:val="18"/>
          <w:color w:val="auto"/>
        </w:rPr>
      </w:pPr>
    </w:p>
    <w:p>
      <w:pPr>
        <w:ind w:left="1208" w:hanging="234"/>
        <w:spacing w:after="0"/>
        <w:tabs>
          <w:tab w:leader="none" w:pos="120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Certificate; Certified Certificate of Incorporation; Good Standing Certificates</w:t>
      </w:r>
      <w:r>
        <w:rPr>
          <w:rFonts w:ascii="Times New Roman" w:cs="Times New Roman" w:eastAsia="Times New Roman" w:hAnsi="Times New Roman"/>
          <w:sz w:val="17"/>
          <w:szCs w:val="17"/>
          <w:color w:val="auto"/>
        </w:rPr>
        <w:t>. The Administrative Agent shall have received</w:t>
      </w:r>
    </w:p>
    <w:p>
      <w:pPr>
        <w:spacing w:after="0" w:line="36" w:lineRule="exact"/>
        <w:rPr>
          <w:rFonts w:ascii="Times New Roman" w:cs="Times New Roman" w:eastAsia="Times New Roman" w:hAnsi="Times New Roman"/>
          <w:sz w:val="17"/>
          <w:szCs w:val="17"/>
          <w:color w:val="auto"/>
        </w:rPr>
      </w:pPr>
    </w:p>
    <w:p>
      <w:pPr>
        <w:jc w:val="both"/>
        <w:ind w:left="8" w:right="100" w:hanging="8"/>
        <w:spacing w:after="0" w:line="265" w:lineRule="auto"/>
        <w:tabs>
          <w:tab w:leader="none" w:pos="21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4" w:lineRule="exact"/>
        <w:rPr>
          <w:rFonts w:ascii="Times New Roman" w:cs="Times New Roman" w:eastAsia="Times New Roman" w:hAnsi="Times New Roman"/>
          <w:sz w:val="17"/>
          <w:szCs w:val="17"/>
          <w:color w:val="auto"/>
        </w:rPr>
      </w:pPr>
    </w:p>
    <w:p>
      <w:pPr>
        <w:ind w:left="8" w:right="220" w:firstLine="966"/>
        <w:spacing w:after="0" w:line="274" w:lineRule="auto"/>
        <w:tabs>
          <w:tab w:leader="none" w:pos="123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executed legal opinion of (i) in-house counsel to the Loan Parties and (ii) Mayer Brown LLP, counsel to the Loan Parties, each in form and substance reasonably acceptable to the Administrative Agent.</w:t>
      </w:r>
    </w:p>
    <w:p>
      <w:pPr>
        <w:spacing w:after="0" w:line="164" w:lineRule="exact"/>
        <w:rPr>
          <w:rFonts w:ascii="Times New Roman" w:cs="Times New Roman" w:eastAsia="Times New Roman" w:hAnsi="Times New Roman"/>
          <w:sz w:val="18"/>
          <w:szCs w:val="18"/>
          <w:color w:val="auto"/>
        </w:rPr>
      </w:pPr>
    </w:p>
    <w:p>
      <w:pPr>
        <w:ind w:left="8" w:firstLine="966"/>
        <w:spacing w:after="0" w:line="275" w:lineRule="auto"/>
        <w:tabs>
          <w:tab w:leader="none" w:pos="1223"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Five-Year Credit Agreement</w:t>
      </w:r>
      <w:r>
        <w:rPr>
          <w:rFonts w:ascii="Times New Roman" w:cs="Times New Roman" w:eastAsia="Times New Roman" w:hAnsi="Times New Roman"/>
          <w:sz w:val="17"/>
          <w:szCs w:val="17"/>
          <w:color w:val="auto"/>
        </w:rPr>
        <w:t>. The Administrative Agent shall have received reasonably satisfactory evidence that all Existing Loans shall be repaid, the commitments of the lenders under the Existing Five Year Credit Agreement that are not Lenders hereunder shall have been terminated (and the Commitments of all continuing Lenders shall be as set forth on Schedule 1.1(A)) and all accrued interest and fees under the Existing Five Year Credit Agreement shall have been paid, or arrangements satisfactory to the Administrative Agent in respect thereof shall have been made.</w:t>
      </w:r>
    </w:p>
    <w:p>
      <w:pPr>
        <w:spacing w:after="0" w:line="9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788"/>
          </w:cols>
          <w:pgMar w:left="532" w:top="267" w:right="579" w:bottom="1440" w:gutter="0" w:footer="0" w:header="0"/>
        </w:sectPr>
      </w:pPr>
    </w:p>
    <w:bookmarkStart w:id="80" w:name="page81"/>
    <w:bookmarkEnd w:id="80"/>
    <w:p>
      <w:pPr>
        <w:ind w:right="180" w:firstLine="966"/>
        <w:spacing w:after="0" w:line="260" w:lineRule="auto"/>
        <w:tabs>
          <w:tab w:leader="none" w:pos="11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USA Patriot Act</w:t>
      </w:r>
      <w:r>
        <w:rPr>
          <w:rFonts w:ascii="Times New Roman" w:cs="Times New Roman" w:eastAsia="Times New Roman" w:hAnsi="Times New Roman"/>
          <w:sz w:val="18"/>
          <w:szCs w:val="18"/>
          <w:color w:val="auto"/>
        </w:rPr>
        <w:t>. The Administrative Agent shall have received all documentation and other information reasonably requested by the Administrative Agent or any Lender who is not a lender under the Existing Five Year Credit Agreement under applicable “know your customer” and anti-money-laundering rules and regulations, including the USA Patriot Act and the Beneficial Ownership Regulation.</w:t>
      </w:r>
    </w:p>
    <w:p>
      <w:pPr>
        <w:spacing w:after="0" w:line="176" w:lineRule="exact"/>
        <w:rPr>
          <w:sz w:val="20"/>
          <w:szCs w:val="20"/>
          <w:color w:val="auto"/>
        </w:rPr>
      </w:pPr>
    </w:p>
    <w:p>
      <w:pPr>
        <w:ind w:right="20" w:firstLine="974"/>
        <w:spacing w:after="0" w:line="25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87" w:lineRule="exact"/>
        <w:rPr>
          <w:sz w:val="20"/>
          <w:szCs w:val="20"/>
          <w:color w:val="auto"/>
        </w:rPr>
      </w:pPr>
    </w:p>
    <w:p>
      <w:pPr>
        <w:jc w:val="both"/>
        <w:ind w:right="360" w:firstLine="966"/>
        <w:spacing w:after="0" w:line="255" w:lineRule="auto"/>
        <w:tabs>
          <w:tab w:leader="none" w:pos="12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81" w:lineRule="exact"/>
        <w:rPr>
          <w:rFonts w:ascii="Times New Roman" w:cs="Times New Roman" w:eastAsia="Times New Roman" w:hAnsi="Times New Roman"/>
          <w:sz w:val="18"/>
          <w:szCs w:val="18"/>
          <w:color w:val="auto"/>
        </w:rPr>
      </w:pPr>
    </w:p>
    <w:p>
      <w:pPr>
        <w:ind w:right="80" w:firstLine="966"/>
        <w:spacing w:after="0" w:line="274" w:lineRule="auto"/>
        <w:tabs>
          <w:tab w:leader="none" w:pos="12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64" w:lineRule="exact"/>
        <w:rPr>
          <w:rFonts w:ascii="Times New Roman" w:cs="Times New Roman" w:eastAsia="Times New Roman" w:hAnsi="Times New Roman"/>
          <w:sz w:val="18"/>
          <w:szCs w:val="18"/>
          <w:color w:val="auto"/>
        </w:rPr>
      </w:pPr>
    </w:p>
    <w:p>
      <w:pPr>
        <w:ind w:firstLine="966"/>
        <w:spacing w:after="0" w:line="249" w:lineRule="auto"/>
        <w:tabs>
          <w:tab w:leader="none" w:pos="12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Subsidiary Borrower Bankruptcy Events</w:t>
      </w:r>
      <w:r>
        <w:rPr>
          <w:rFonts w:ascii="Times New Roman" w:cs="Times New Roman" w:eastAsia="Times New Roman" w:hAnsi="Times New Roman"/>
          <w:sz w:val="18"/>
          <w:szCs w:val="18"/>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90"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Each borrowing, or issuance of a Letter of Credit (or amendment thereof which increases the face amount thereof)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00"/>
          </w:cols>
          <w:pgMar w:left="540" w:top="267" w:right="5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6. AFFIRMATIVE COVENANTS</w:t>
      </w:r>
    </w:p>
    <w:p>
      <w:pPr>
        <w:spacing w:after="0" w:line="218"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64" w:lineRule="exact"/>
        <w:rPr>
          <w:sz w:val="20"/>
          <w:szCs w:val="20"/>
          <w:color w:val="auto"/>
        </w:rPr>
      </w:pPr>
    </w:p>
    <w:p>
      <w:pPr>
        <w:ind w:right="20" w:firstLine="974"/>
        <w:spacing w:after="0" w:line="24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be deemed to be delivered upon the filing with the SEC of its Form 10-K or Form 10-Q for the relevant fiscal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restatement of previously delivered (or deemed delivered) financial statements shall not constitute a breach or violation of this Section 6.1.</w:t>
      </w:r>
    </w:p>
    <w:p>
      <w:pPr>
        <w:spacing w:after="0" w:line="190"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2"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2"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87"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Guarantors, etc.</w:t>
      </w:r>
    </w:p>
    <w:p>
      <w:pPr>
        <w:spacing w:after="0" w:line="218" w:lineRule="exact"/>
        <w:rPr>
          <w:sz w:val="20"/>
          <w:szCs w:val="20"/>
          <w:color w:val="auto"/>
        </w:rPr>
      </w:pPr>
    </w:p>
    <w:p>
      <w:pPr>
        <w:jc w:val="both"/>
        <w:ind w:right="380" w:firstLine="966"/>
        <w:spacing w:after="0" w:line="255" w:lineRule="auto"/>
        <w:tabs>
          <w:tab w:leader="none" w:pos="12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a Guarantee Joinder, executed and delivered by such Principal Domestic Subsidiary (other than an Excluded Subsidiary), together with customary secretary’s certificates, resolutions and legal opinions.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800"/>
          </w:cols>
          <w:pgMar w:left="540" w:top="267" w:right="559" w:bottom="1440" w:gutter="0" w:footer="0" w:header="0"/>
        </w:sectPr>
      </w:pPr>
    </w:p>
    <w:bookmarkStart w:id="82" w:name="page83"/>
    <w:bookmarkEnd w:id="82"/>
    <w:p>
      <w:pPr>
        <w:ind w:right="660" w:firstLine="966"/>
        <w:spacing w:after="0" w:line="274" w:lineRule="auto"/>
        <w:tabs>
          <w:tab w:leader="none" w:pos="12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Notwithstanding the foregoing or anything in any Loan Document to the contrary, in no event shall GM Holdings or any other Excluded Subsidiary be required to be a Guarantor or a Subsidiary Guarantor.</w:t>
      </w:r>
    </w:p>
    <w:p>
      <w:pPr>
        <w:spacing w:after="0" w:line="164"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76" w:lineRule="exact"/>
        <w:rPr>
          <w:sz w:val="20"/>
          <w:szCs w:val="20"/>
          <w:color w:val="auto"/>
        </w:rPr>
      </w:pPr>
    </w:p>
    <w:p>
      <w:pPr>
        <w:jc w:val="both"/>
        <w:ind w:right="80" w:firstLine="974"/>
        <w:spacing w:after="0" w:line="260"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Company shall not be required to obtain or maintain, as applicable, a specific Index Debt Rating.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18" w:lineRule="exact"/>
        <w:rPr>
          <w:sz w:val="20"/>
          <w:szCs w:val="20"/>
          <w:color w:val="auto"/>
        </w:rPr>
      </w:pPr>
    </w:p>
    <w:p>
      <w:pPr>
        <w:ind w:right="340" w:firstLine="974"/>
        <w:spacing w:after="0" w:line="274"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64" w:lineRule="exact"/>
        <w:rPr>
          <w:sz w:val="20"/>
          <w:szCs w:val="20"/>
          <w:color w:val="auto"/>
        </w:rPr>
      </w:pPr>
    </w:p>
    <w:p>
      <w:pPr>
        <w:ind w:right="380" w:firstLine="974"/>
        <w:spacing w:after="0" w:line="27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4" w:lineRule="exact"/>
        <w:rPr>
          <w:sz w:val="20"/>
          <w:szCs w:val="20"/>
          <w:color w:val="auto"/>
        </w:rPr>
      </w:pPr>
    </w:p>
    <w:p>
      <w:pPr>
        <w:ind w:firstLine="974"/>
        <w:spacing w:after="0" w:line="271"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firstLine="966"/>
        <w:spacing w:after="0" w:line="251" w:lineRule="auto"/>
        <w:tabs>
          <w:tab w:leader="none" w:pos="12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186" w:lineRule="exact"/>
        <w:rPr>
          <w:rFonts w:ascii="Times New Roman" w:cs="Times New Roman" w:eastAsia="Times New Roman" w:hAnsi="Times New Roman"/>
          <w:sz w:val="18"/>
          <w:szCs w:val="18"/>
          <w:color w:val="auto"/>
        </w:rPr>
      </w:pPr>
    </w:p>
    <w:p>
      <w:pPr>
        <w:ind w:right="160" w:firstLine="966"/>
        <w:spacing w:after="0" w:line="253" w:lineRule="auto"/>
        <w:tabs>
          <w:tab w:leader="none" w:pos="12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800"/>
          </w:cols>
          <w:pgMar w:left="540" w:top="267" w:right="559" w:bottom="1440" w:gutter="0" w:footer="0" w:header="0"/>
        </w:sectPr>
      </w:pPr>
    </w:p>
    <w:bookmarkStart w:id="83" w:name="page84"/>
    <w:bookmarkEnd w:id="83"/>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40" w:firstLine="966"/>
        <w:spacing w:after="0" w:line="248" w:lineRule="auto"/>
        <w:tabs>
          <w:tab w:leader="none" w:pos="122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92" w:lineRule="exact"/>
        <w:rPr>
          <w:rFonts w:ascii="Times New Roman" w:cs="Times New Roman" w:eastAsia="Times New Roman" w:hAnsi="Times New Roman"/>
          <w:sz w:val="18"/>
          <w:szCs w:val="18"/>
          <w:color w:val="auto"/>
        </w:rPr>
      </w:pPr>
    </w:p>
    <w:p>
      <w:pPr>
        <w:ind w:left="8" w:firstLine="966"/>
        <w:spacing w:after="0" w:line="265" w:lineRule="auto"/>
        <w:tabs>
          <w:tab w:leader="none" w:pos="1233"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w:t>
      </w:r>
    </w:p>
    <w:p>
      <w:pPr>
        <w:spacing w:after="0" w:line="1" w:lineRule="exact"/>
        <w:rPr>
          <w:rFonts w:ascii="Times New Roman" w:cs="Times New Roman" w:eastAsia="Times New Roman" w:hAnsi="Times New Roman"/>
          <w:sz w:val="17"/>
          <w:szCs w:val="17"/>
          <w:color w:val="auto"/>
        </w:rPr>
      </w:pPr>
    </w:p>
    <w:p>
      <w:pPr>
        <w:ind w:left="8" w:right="20" w:hanging="8"/>
        <w:spacing w:after="0" w:line="248" w:lineRule="auto"/>
        <w:tabs>
          <w:tab w:leader="none" w:pos="2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6" w:lineRule="exact"/>
        <w:rPr>
          <w:sz w:val="20"/>
          <w:szCs w:val="20"/>
          <w:color w:val="auto"/>
        </w:rPr>
      </w:pPr>
    </w:p>
    <w:p>
      <w:pPr>
        <w:ind w:left="8" w:right="20" w:firstLine="974"/>
        <w:spacing w:after="0" w:line="272"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and its Subsidiary Borrowers shall not, and shall not permit any of its Subsidiaries to, knowingly use the proceeds of the Loans or Letters of Credit (i) in violation of any Anti-Corruption Laws or (ii) to fund any activities or business</w:t>
      </w:r>
    </w:p>
    <w:p>
      <w:pPr>
        <w:spacing w:after="0" w:line="1" w:lineRule="exact"/>
        <w:rPr>
          <w:sz w:val="20"/>
          <w:szCs w:val="20"/>
          <w:color w:val="auto"/>
        </w:rPr>
      </w:pPr>
    </w:p>
    <w:p>
      <w:pPr>
        <w:ind w:left="8" w:right="160" w:hanging="8"/>
        <w:spacing w:after="0" w:line="247" w:lineRule="auto"/>
        <w:tabs>
          <w:tab w:leader="none" w:pos="2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828"/>
          </w:cols>
          <w:pgMar w:left="532" w:top="267" w:right="539" w:bottom="1440" w:gutter="0" w:footer="0" w:header="0"/>
        </w:sectPr>
      </w:pPr>
    </w:p>
    <w:bookmarkStart w:id="84" w:name="page85"/>
    <w:bookmarkEnd w:id="84"/>
    <w:p>
      <w:pPr>
        <w:ind w:left="390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8. EVENTS OF DEFAULT</w:t>
      </w:r>
    </w:p>
    <w:p>
      <w:pPr>
        <w:spacing w:after="0" w:line="2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111" w:lineRule="exact"/>
        <w:rPr>
          <w:sz w:val="20"/>
          <w:szCs w:val="20"/>
          <w:color w:val="auto"/>
        </w:rPr>
      </w:pPr>
    </w:p>
    <w:p>
      <w:pPr>
        <w:ind w:firstLine="966"/>
        <w:spacing w:after="0" w:line="253" w:lineRule="auto"/>
        <w:tabs>
          <w:tab w:leader="none" w:pos="12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Loan at maturity, (ii) any interest, Facility Fee, Letter of Credit Fee or any Reimbursement Obligation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82" w:lineRule="exact"/>
        <w:rPr>
          <w:rFonts w:ascii="Times New Roman" w:cs="Times New Roman" w:eastAsia="Times New Roman" w:hAnsi="Times New Roman"/>
          <w:sz w:val="18"/>
          <w:szCs w:val="18"/>
          <w:color w:val="auto"/>
        </w:rPr>
      </w:pPr>
    </w:p>
    <w:p>
      <w:pPr>
        <w:ind w:right="40" w:firstLine="966"/>
        <w:spacing w:after="0" w:line="304" w:lineRule="auto"/>
        <w:tabs>
          <w:tab w:leader="none" w:pos="122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41" w:lineRule="exact"/>
        <w:rPr>
          <w:rFonts w:ascii="Times New Roman" w:cs="Times New Roman" w:eastAsia="Times New Roman" w:hAnsi="Times New Roman"/>
          <w:sz w:val="17"/>
          <w:szCs w:val="17"/>
          <w:color w:val="auto"/>
        </w:rPr>
      </w:pPr>
    </w:p>
    <w:p>
      <w:pPr>
        <w:jc w:val="both"/>
        <w:ind w:firstLine="966"/>
        <w:spacing w:after="0" w:line="275" w:lineRule="auto"/>
        <w:tabs>
          <w:tab w:leader="none" w:pos="121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that is not a Principal Domestic Subsidiary, to Section 7.4 and 7.5) or in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165" w:lineRule="exact"/>
        <w:rPr>
          <w:rFonts w:ascii="Times New Roman" w:cs="Times New Roman" w:eastAsia="Times New Roman" w:hAnsi="Times New Roman"/>
          <w:sz w:val="17"/>
          <w:szCs w:val="17"/>
          <w:color w:val="auto"/>
        </w:rPr>
      </w:pPr>
    </w:p>
    <w:p>
      <w:pPr>
        <w:ind w:right="100" w:firstLine="966"/>
        <w:spacing w:after="0" w:line="250" w:lineRule="auto"/>
        <w:tabs>
          <w:tab w:leader="none" w:pos="12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8" w:lineRule="exact"/>
        <w:rPr>
          <w:rFonts w:ascii="Times New Roman" w:cs="Times New Roman" w:eastAsia="Times New Roman" w:hAnsi="Times New Roman"/>
          <w:sz w:val="18"/>
          <w:szCs w:val="18"/>
          <w:color w:val="auto"/>
        </w:rPr>
      </w:pPr>
    </w:p>
    <w:p>
      <w:pPr>
        <w:ind w:right="120" w:firstLine="966"/>
        <w:spacing w:after="0" w:line="267" w:lineRule="auto"/>
        <w:tabs>
          <w:tab w:leader="none" w:pos="121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75" w:lineRule="exact"/>
        <w:rPr>
          <w:rFonts w:ascii="Times New Roman" w:cs="Times New Roman" w:eastAsia="Times New Roman" w:hAnsi="Times New Roman"/>
          <w:sz w:val="17"/>
          <w:szCs w:val="17"/>
          <w:color w:val="auto"/>
        </w:rPr>
      </w:pPr>
    </w:p>
    <w:p>
      <w:pPr>
        <w:ind w:left="1180" w:hanging="214"/>
        <w:spacing w:after="0"/>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ERISA Default; or</w:t>
      </w:r>
    </w:p>
    <w:p>
      <w:pPr>
        <w:spacing w:after="0" w:line="217" w:lineRule="exact"/>
        <w:rPr>
          <w:rFonts w:ascii="Times New Roman" w:cs="Times New Roman" w:eastAsia="Times New Roman" w:hAnsi="Times New Roman"/>
          <w:sz w:val="18"/>
          <w:szCs w:val="18"/>
          <w:color w:val="auto"/>
        </w:rPr>
      </w:pPr>
    </w:p>
    <w:p>
      <w:pPr>
        <w:ind w:firstLine="966"/>
        <w:spacing w:after="0" w:line="255" w:lineRule="auto"/>
        <w:tabs>
          <w:tab w:leader="none" w:pos="12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800"/>
          </w:cols>
          <w:pgMar w:left="540" w:top="262" w:right="559" w:bottom="1440" w:gutter="0" w:footer="0" w:header="0"/>
        </w:sectPr>
      </w:pPr>
    </w:p>
    <w:bookmarkStart w:id="85" w:name="page86"/>
    <w:bookmarkEnd w:id="85"/>
    <w:p>
      <w:pPr>
        <w:ind w:right="520" w:firstLine="966"/>
        <w:spacing w:after="0" w:line="274" w:lineRule="auto"/>
        <w:tabs>
          <w:tab w:leader="none" w:pos="12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Guarantee of the Company or any Subsidiary Guarantor shall cease to be in full force and effect (other than pursuant to or as provided by the terms hereof or any other Loan Document); or</w:t>
      </w:r>
    </w:p>
    <w:p>
      <w:pPr>
        <w:spacing w:after="0" w:line="164" w:lineRule="exact"/>
        <w:rPr>
          <w:rFonts w:ascii="Times New Roman" w:cs="Times New Roman" w:eastAsia="Times New Roman" w:hAnsi="Times New Roman"/>
          <w:sz w:val="18"/>
          <w:szCs w:val="18"/>
          <w:color w:val="auto"/>
        </w:rPr>
      </w:pPr>
    </w:p>
    <w:p>
      <w:pPr>
        <w:ind w:left="1180" w:hanging="214"/>
        <w:spacing w:after="0"/>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w:t>
      </w:r>
    </w:p>
    <w:p>
      <w:pPr>
        <w:spacing w:after="0" w:line="21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SECTION 9. THE AGENTS</w:t>
      </w:r>
    </w:p>
    <w:p>
      <w:pPr>
        <w:spacing w:after="0" w:line="224" w:lineRule="exact"/>
        <w:rPr>
          <w:sz w:val="20"/>
          <w:szCs w:val="20"/>
          <w:color w:val="auto"/>
        </w:rPr>
      </w:pPr>
    </w:p>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the other Loan Documents, and each such Lender irrevocably authorizes the Administrative Agent, in such capacity, to take such action on its behalf under the provisions of this Agreement,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820"/>
          </w:cols>
          <w:pgMar w:left="540" w:top="267" w:right="539" w:bottom="1440" w:gutter="0" w:footer="0" w:header="0"/>
        </w:sectPr>
      </w:pPr>
    </w:p>
    <w:bookmarkStart w:id="86" w:name="page87"/>
    <w:bookmarkEnd w:id="86"/>
    <w:p>
      <w:pPr>
        <w:ind w:right="2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6"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the Administrative Agent nor any of its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87" w:lineRule="exact"/>
        <w:rPr>
          <w:sz w:val="20"/>
          <w:szCs w:val="20"/>
          <w:color w:val="auto"/>
        </w:rPr>
      </w:pPr>
    </w:p>
    <w:p>
      <w:pPr>
        <w:ind w:right="40" w:firstLine="974"/>
        <w:spacing w:after="0" w:line="24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91" w:lineRule="exact"/>
        <w:rPr>
          <w:sz w:val="20"/>
          <w:szCs w:val="20"/>
          <w:color w:val="auto"/>
        </w:rPr>
      </w:pPr>
    </w:p>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800"/>
          </w:cols>
          <w:pgMar w:left="540" w:top="267" w:right="559" w:bottom="1440" w:gutter="0" w:footer="0" w:header="0"/>
        </w:sectPr>
      </w:pPr>
    </w:p>
    <w:bookmarkStart w:id="87" w:name="page88"/>
    <w:bookmarkEnd w:id="87"/>
    <w:p>
      <w:pPr>
        <w:ind w:right="40" w:firstLine="974"/>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9.6 </w:t>
      </w:r>
      <w:r>
        <w:rPr>
          <w:rFonts w:ascii="Times New Roman" w:cs="Times New Roman" w:eastAsia="Times New Roman" w:hAnsi="Times New Roman"/>
          <w:sz w:val="18"/>
          <w:szCs w:val="18"/>
          <w:u w:val="single" w:color="auto"/>
          <w:color w:val="auto"/>
        </w:rPr>
        <w:t>Non-Reliance on Agent and Other Lenders</w:t>
      </w:r>
      <w:r>
        <w:rPr>
          <w:rFonts w:ascii="Times New Roman" w:cs="Times New Roman" w:eastAsia="Times New Roman" w:hAnsi="Times New Roman"/>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88" w:lineRule="exact"/>
        <w:rPr>
          <w:sz w:val="20"/>
          <w:szCs w:val="20"/>
          <w:color w:val="auto"/>
        </w:rPr>
      </w:pPr>
    </w:p>
    <w:p>
      <w:pPr>
        <w:ind w:firstLine="974"/>
        <w:spacing w:after="0" w:line="264"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The Lenders agree to indemnify the Administrative Agent, each Issuing Bank and each Related Party of any of the foregoing Persons (each, an “</w:t>
      </w:r>
      <w:r>
        <w:rPr>
          <w:rFonts w:ascii="Times New Roman" w:cs="Times New Roman" w:eastAsia="Times New Roman" w:hAnsi="Times New Roman"/>
          <w:sz w:val="17"/>
          <w:szCs w:val="17"/>
          <w:u w:val="single" w:color="auto"/>
          <w:color w:val="auto"/>
        </w:rPr>
        <w:t>Agent-Related Person</w:t>
      </w:r>
      <w:r>
        <w:rPr>
          <w:rFonts w:ascii="Times New Roman" w:cs="Times New Roman" w:eastAsia="Times New Roman" w:hAnsi="Times New Roman"/>
          <w:sz w:val="17"/>
          <w:szCs w:val="17"/>
          <w:color w:val="auto"/>
        </w:rPr>
        <w:t xml:space="preserve">”)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and agrees to indemnify and hold each Agent-Related Person harmless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Agent-Related Person’s gross negligence or willful misconduct. The agreements in this Section 9.7 shall survive the payment of the Loans and all other amounts payable hereunder.</w:t>
      </w:r>
    </w:p>
    <w:p>
      <w:pPr>
        <w:spacing w:after="0" w:line="176" w:lineRule="exact"/>
        <w:rPr>
          <w:sz w:val="20"/>
          <w:szCs w:val="20"/>
          <w:color w:val="auto"/>
        </w:rPr>
      </w:pPr>
    </w:p>
    <w:p>
      <w:pPr>
        <w:ind w:right="120" w:firstLine="974"/>
        <w:spacing w:after="0" w:line="25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Administrative 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any Letter of Credit issued or participated in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820"/>
          </w:cols>
          <w:pgMar w:left="540" w:top="267" w:right="539" w:bottom="1440" w:gutter="0" w:footer="0" w:header="0"/>
        </w:sectPr>
      </w:pPr>
    </w:p>
    <w:bookmarkStart w:id="88" w:name="page89"/>
    <w:bookmarkEnd w:id="88"/>
    <w:p>
      <w:pPr>
        <w:ind w:firstLine="97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0" w:firstLine="974"/>
        <w:spacing w:after="0" w:line="271" w:lineRule="auto"/>
        <w:rPr>
          <w:sz w:val="20"/>
          <w:szCs w:val="20"/>
          <w:color w:val="auto"/>
        </w:rPr>
      </w:pPr>
      <w:r>
        <w:rPr>
          <w:rFonts w:ascii="Times New Roman" w:cs="Times New Roman" w:eastAsia="Times New Roman" w:hAnsi="Times New Roman"/>
          <w:sz w:val="17"/>
          <w:szCs w:val="17"/>
          <w:color w:val="auto"/>
        </w:rPr>
        <w:t xml:space="preserve">9.11 </w:t>
      </w:r>
      <w:r>
        <w:rPr>
          <w:rFonts w:ascii="Times New Roman" w:cs="Times New Roman" w:eastAsia="Times New Roman" w:hAnsi="Times New Roman"/>
          <w:sz w:val="17"/>
          <w:szCs w:val="17"/>
          <w:u w:val="single" w:color="auto"/>
          <w:color w:val="auto"/>
        </w:rPr>
        <w:t>Bookrunners, Lead Arrangers, Global and Regional Coordinators, Documentation Agents, Syndication Agent and Co-Syndication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cs="Times New Roman" w:eastAsia="Times New Roman" w:hAnsi="Times New Roman"/>
          <w:sz w:val="17"/>
          <w:szCs w:val="17"/>
          <w:u w:val="single" w:color="auto"/>
          <w:color w:val="auto"/>
        </w:rPr>
        <w:t>Arrangers</w:t>
      </w:r>
      <w:r>
        <w:rPr>
          <w:rFonts w:ascii="Times New Roman" w:cs="Times New Roman" w:eastAsia="Times New Roman" w:hAnsi="Times New Roman"/>
          <w:sz w:val="17"/>
          <w:szCs w:val="17"/>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40" w:firstLine="966"/>
        <w:spacing w:after="0" w:line="255" w:lineRule="auto"/>
        <w:tabs>
          <w:tab w:leader="none" w:pos="12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75" w:lineRule="exact"/>
        <w:rPr>
          <w:rFonts w:ascii="Times New Roman" w:cs="Times New Roman" w:eastAsia="Times New Roman" w:hAnsi="Times New Roman"/>
          <w:sz w:val="18"/>
          <w:szCs w:val="18"/>
          <w:color w:val="auto"/>
        </w:rPr>
      </w:pPr>
    </w:p>
    <w:p>
      <w:pPr>
        <w:ind w:left="960" w:right="600" w:firstLine="400"/>
        <w:spacing w:after="0" w:line="274" w:lineRule="auto"/>
        <w:tabs>
          <w:tab w:leader="none" w:pos="156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80"/>
          </w:cols>
          <w:pgMar w:left="540" w:top="267" w:right="579" w:bottom="1440" w:gutter="0" w:footer="0" w:header="0"/>
        </w:sectPr>
      </w:pPr>
    </w:p>
    <w:bookmarkStart w:id="89" w:name="page90"/>
    <w:bookmarkEnd w:id="89"/>
    <w:p>
      <w:pPr>
        <w:ind w:left="968" w:right="100" w:firstLine="400"/>
        <w:spacing w:after="0" w:line="251" w:lineRule="auto"/>
        <w:tabs>
          <w:tab w:leader="none" w:pos="1622"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80" w:lineRule="exact"/>
        <w:rPr>
          <w:rFonts w:ascii="Times New Roman" w:cs="Times New Roman" w:eastAsia="Times New Roman" w:hAnsi="Times New Roman"/>
          <w:sz w:val="18"/>
          <w:szCs w:val="18"/>
          <w:color w:val="auto"/>
        </w:rPr>
      </w:pPr>
    </w:p>
    <w:p>
      <w:pPr>
        <w:ind w:left="968" w:right="80" w:firstLine="400"/>
        <w:spacing w:after="0" w:line="250" w:lineRule="auto"/>
        <w:tabs>
          <w:tab w:leader="none" w:pos="1671"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2" w:lineRule="exact"/>
        <w:rPr>
          <w:rFonts w:ascii="Times New Roman" w:cs="Times New Roman" w:eastAsia="Times New Roman" w:hAnsi="Times New Roman"/>
          <w:sz w:val="18"/>
          <w:szCs w:val="18"/>
          <w:color w:val="auto"/>
        </w:rPr>
      </w:pPr>
    </w:p>
    <w:p>
      <w:pPr>
        <w:ind w:left="968" w:right="420" w:firstLine="400"/>
        <w:spacing w:after="0" w:line="274" w:lineRule="auto"/>
        <w:tabs>
          <w:tab w:leader="none" w:pos="1661"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4" w:lineRule="exact"/>
        <w:rPr>
          <w:rFonts w:ascii="Times New Roman" w:cs="Times New Roman" w:eastAsia="Times New Roman" w:hAnsi="Times New Roman"/>
          <w:sz w:val="18"/>
          <w:szCs w:val="18"/>
          <w:color w:val="auto"/>
        </w:rPr>
      </w:pPr>
    </w:p>
    <w:p>
      <w:pPr>
        <w:ind w:left="8" w:right="120" w:firstLine="966"/>
        <w:spacing w:after="0" w:line="272" w:lineRule="auto"/>
        <w:tabs>
          <w:tab w:leader="none" w:pos="1233"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8" w:right="80" w:hanging="8"/>
        <w:spacing w:after="0" w:line="247" w:lineRule="auto"/>
        <w:tabs>
          <w:tab w:leader="none" w:pos="2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neither the Administrative Agent, nor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8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Acknowledgements of Lenders and Issuing Lenders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firstLine="966"/>
        <w:spacing w:after="0" w:line="266" w:lineRule="auto"/>
        <w:tabs>
          <w:tab w:leader="none" w:pos="1223"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and each Issuing Lender represents and warrants that (i) the Loan Documents set forth the terms of a commercial lending facility, (ii) it is engaged in making, acquiring or holding commercial loans and in providing other facilities set forth herein as may be applicable to such Lender or Issuing Lender, in each case in the ordinary course of business and is making the Loans and issuing Letters of Credit hereunder as commercial loans or letters of credit, as the case may be, in the ordinary course of its business and not for the purpose of purchasing, acquiring or holding any other type of financial instrument (and each Lender and each Issuing Lender agrees not to assert a claim in contravention of the foregoing), (iii) it has, independently and without reliance upon the Administrative Agent, any Arranger, any Syndication Agent, any Co-Syndication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w:t>
      </w:r>
    </w:p>
    <w:p>
      <w:pPr>
        <w:spacing w:after="0" w:line="10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808"/>
          </w:cols>
          <w:pgMar w:left="532" w:top="267" w:right="559" w:bottom="1440" w:gutter="0" w:footer="0" w:header="0"/>
        </w:sectPr>
      </w:pPr>
    </w:p>
    <w:bookmarkStart w:id="90" w:name="page91"/>
    <w:bookmarkEnd w:id="90"/>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Syndication Agent, any Co-Syndication Agent or any other Lender or Issuing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5" w:lineRule="exact"/>
        <w:rPr>
          <w:sz w:val="20"/>
          <w:szCs w:val="20"/>
          <w:color w:val="auto"/>
        </w:rPr>
      </w:pPr>
    </w:p>
    <w:p>
      <w:pPr>
        <w:ind w:right="80" w:firstLine="966"/>
        <w:spacing w:after="0" w:line="255" w:lineRule="auto"/>
        <w:tabs>
          <w:tab w:leader="none" w:pos="12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81" w:lineRule="exact"/>
        <w:rPr>
          <w:rFonts w:ascii="Times New Roman" w:cs="Times New Roman" w:eastAsia="Times New Roman" w:hAnsi="Times New Roman"/>
          <w:sz w:val="18"/>
          <w:szCs w:val="18"/>
          <w:color w:val="auto"/>
        </w:rPr>
      </w:pPr>
    </w:p>
    <w:p>
      <w:pPr>
        <w:ind w:right="80" w:firstLine="966"/>
        <w:spacing w:after="0" w:line="248" w:lineRule="auto"/>
        <w:tabs>
          <w:tab w:leader="none" w:pos="12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93" w:lineRule="exact"/>
        <w:rPr>
          <w:sz w:val="20"/>
          <w:szCs w:val="20"/>
          <w:color w:val="auto"/>
        </w:rPr>
      </w:pPr>
    </w:p>
    <w:p>
      <w:pPr>
        <w:ind w:right="20" w:firstLine="966"/>
        <w:spacing w:after="0" w:line="249" w:lineRule="auto"/>
        <w:tabs>
          <w:tab w:leader="none" w:pos="11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i w:val="1"/>
          <w:iCs w:val="1"/>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820"/>
          </w:cols>
          <w:pgMar w:left="540" w:top="267" w:right="539" w:bottom="1440" w:gutter="0" w:footer="0" w:header="0"/>
        </w:sectPr>
      </w:pPr>
    </w:p>
    <w:bookmarkStart w:id="91" w:name="page92"/>
    <w:bookmarkEnd w:id="91"/>
    <w:p>
      <w:pPr>
        <w:ind w:firstLine="966"/>
        <w:spacing w:after="0" w:line="251" w:lineRule="auto"/>
        <w:tabs>
          <w:tab w:leader="none" w:pos="123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Payment is, and solely with respect to the amount of such Payment that is, comprised of funds of such Borrower or any other Loan Party (including, for the avoidance of doubt, the proceeds of any financing or contribution incurred or obtained by the such Borrower or any Loan Party).</w:t>
      </w:r>
    </w:p>
    <w:p>
      <w:pPr>
        <w:spacing w:after="0" w:line="186" w:lineRule="exact"/>
        <w:rPr>
          <w:rFonts w:ascii="Times New Roman" w:cs="Times New Roman" w:eastAsia="Times New Roman" w:hAnsi="Times New Roman"/>
          <w:sz w:val="18"/>
          <w:szCs w:val="18"/>
          <w:color w:val="auto"/>
        </w:rPr>
      </w:pPr>
    </w:p>
    <w:p>
      <w:pPr>
        <w:ind w:right="220" w:firstLine="966"/>
        <w:spacing w:after="0" w:line="260" w:lineRule="auto"/>
        <w:tabs>
          <w:tab w:leader="none" w:pos="128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SECTION 10. MISCELLANEOUS</w:t>
      </w:r>
    </w:p>
    <w:p>
      <w:pPr>
        <w:spacing w:after="0" w:line="224" w:lineRule="exact"/>
        <w:rPr>
          <w:sz w:val="20"/>
          <w:szCs w:val="20"/>
          <w:color w:val="auto"/>
        </w:rPr>
      </w:pPr>
    </w:p>
    <w:p>
      <w:pPr>
        <w:ind w:right="140" w:firstLine="974"/>
        <w:spacing w:after="0" w:line="24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Subject to Section 2.16(b) and (c), neither this Agreement, any other Loan Document, nor any terms hereof or thereof may be amended, supplemented or modified except in accordance with the provisions of this Section 10.1 or as otherwise expressly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update or revision to any annex or schedule to any Loan Document (other than any amendment or modification to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83" w:lineRule="exact"/>
        <w:rPr>
          <w:sz w:val="20"/>
          <w:szCs w:val="20"/>
          <w:color w:val="auto"/>
        </w:rPr>
      </w:pPr>
    </w:p>
    <w:p>
      <w:pPr>
        <w:ind w:left="960" w:right="20" w:firstLine="400"/>
        <w:spacing w:after="0" w:line="251" w:lineRule="auto"/>
        <w:tabs>
          <w:tab w:leader="none" w:pos="164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80" w:lineRule="exact"/>
        <w:rPr>
          <w:rFonts w:ascii="Times New Roman" w:cs="Times New Roman" w:eastAsia="Times New Roman" w:hAnsi="Times New Roman"/>
          <w:sz w:val="18"/>
          <w:szCs w:val="18"/>
          <w:color w:val="auto"/>
        </w:rPr>
      </w:pPr>
    </w:p>
    <w:p>
      <w:pPr>
        <w:ind w:left="1640" w:hanging="280"/>
        <w:spacing w:after="0"/>
        <w:tabs>
          <w:tab w:leader="none" w:pos="1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11" w:lineRule="exact"/>
        <w:rPr>
          <w:rFonts w:ascii="Times New Roman" w:cs="Times New Roman" w:eastAsia="Times New Roman" w:hAnsi="Times New Roman"/>
          <w:sz w:val="18"/>
          <w:szCs w:val="18"/>
          <w:color w:val="auto"/>
        </w:rPr>
      </w:pPr>
    </w:p>
    <w:p>
      <w:pPr>
        <w:ind w:left="960" w:right="20" w:firstLine="400"/>
        <w:spacing w:after="0" w:line="253" w:lineRule="auto"/>
        <w:tabs>
          <w:tab w:leader="none" w:pos="163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820"/>
          </w:cols>
          <w:pgMar w:left="540" w:top="267" w:right="539" w:bottom="1440" w:gutter="0" w:footer="0" w:header="0"/>
        </w:sectPr>
      </w:pPr>
    </w:p>
    <w:bookmarkStart w:id="92" w:name="page93"/>
    <w:bookmarkEnd w:id="92"/>
    <w:p>
      <w:pPr>
        <w:ind w:left="1640" w:hanging="280"/>
        <w:spacing w:after="0"/>
        <w:tabs>
          <w:tab w:leader="none" w:pos="1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reduce the percentage specified in the definition of Required Lenders without the written consent of all Lenders;</w:t>
      </w:r>
    </w:p>
    <w:p>
      <w:pPr>
        <w:spacing w:after="0" w:line="111" w:lineRule="exact"/>
        <w:rPr>
          <w:rFonts w:ascii="Times New Roman" w:cs="Times New Roman" w:eastAsia="Times New Roman" w:hAnsi="Times New Roman"/>
          <w:sz w:val="18"/>
          <w:szCs w:val="18"/>
          <w:color w:val="auto"/>
        </w:rPr>
      </w:pPr>
    </w:p>
    <w:p>
      <w:pPr>
        <w:ind w:left="960" w:right="380" w:firstLine="400"/>
        <w:spacing w:after="0" w:line="274" w:lineRule="auto"/>
        <w:tabs>
          <w:tab w:leader="none" w:pos="16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Majority Facility Lenders with respect to any Facility without the written consent of all Lenders under such Facility;</w:t>
      </w:r>
    </w:p>
    <w:p>
      <w:pPr>
        <w:spacing w:after="0" w:line="58" w:lineRule="exact"/>
        <w:rPr>
          <w:rFonts w:ascii="Times New Roman" w:cs="Times New Roman" w:eastAsia="Times New Roman" w:hAnsi="Times New Roman"/>
          <w:sz w:val="18"/>
          <w:szCs w:val="18"/>
          <w:color w:val="auto"/>
        </w:rPr>
      </w:pPr>
    </w:p>
    <w:p>
      <w:pPr>
        <w:ind w:left="960" w:right="100" w:firstLine="400"/>
        <w:spacing w:after="0" w:line="274" w:lineRule="auto"/>
        <w:tabs>
          <w:tab w:leader="none" w:pos="161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9 in a manner adverse to the Administrative Agent without the written consent of the Administrative Agent;</w:t>
      </w:r>
    </w:p>
    <w:p>
      <w:pPr>
        <w:spacing w:after="0" w:line="58" w:lineRule="exact"/>
        <w:rPr>
          <w:rFonts w:ascii="Times New Roman" w:cs="Times New Roman" w:eastAsia="Times New Roman" w:hAnsi="Times New Roman"/>
          <w:sz w:val="18"/>
          <w:szCs w:val="18"/>
          <w:color w:val="auto"/>
        </w:rPr>
      </w:pPr>
    </w:p>
    <w:p>
      <w:pPr>
        <w:ind w:left="960" w:right="40" w:firstLine="400"/>
        <w:spacing w:after="0" w:line="274" w:lineRule="auto"/>
        <w:tabs>
          <w:tab w:leader="none" w:pos="164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3 in a manner adverse to an Issuing Lender without the written consent of such Issuing Lender;</w:t>
      </w:r>
    </w:p>
    <w:p>
      <w:pPr>
        <w:spacing w:after="0" w:line="58" w:lineRule="exact"/>
        <w:rPr>
          <w:rFonts w:ascii="Times New Roman" w:cs="Times New Roman" w:eastAsia="Times New Roman" w:hAnsi="Times New Roman"/>
          <w:sz w:val="18"/>
          <w:szCs w:val="18"/>
          <w:color w:val="auto"/>
        </w:rPr>
      </w:pPr>
    </w:p>
    <w:p>
      <w:pPr>
        <w:ind w:left="960" w:right="480" w:firstLine="400"/>
        <w:spacing w:after="0" w:line="274" w:lineRule="auto"/>
        <w:tabs>
          <w:tab w:leader="none" w:pos="164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2.17(a) or (b) or Section 10.7 without the written consent of each Lender adversely affected thereby; or</w:t>
      </w:r>
    </w:p>
    <w:p>
      <w:pPr>
        <w:spacing w:after="0" w:line="58" w:lineRule="exact"/>
        <w:rPr>
          <w:rFonts w:ascii="Times New Roman" w:cs="Times New Roman" w:eastAsia="Times New Roman" w:hAnsi="Times New Roman"/>
          <w:sz w:val="18"/>
          <w:szCs w:val="18"/>
          <w:color w:val="auto"/>
        </w:rPr>
      </w:pPr>
    </w:p>
    <w:p>
      <w:pPr>
        <w:ind w:left="1580" w:hanging="220"/>
        <w:spacing w:after="0"/>
        <w:tabs>
          <w:tab w:leader="none" w:pos="1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any Facility without the written consent of each Lender directly affected thereby.</w:t>
      </w:r>
    </w:p>
    <w:p>
      <w:pPr>
        <w:spacing w:after="0" w:line="218"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Any such waiver and any such amendment, supplement or modification shall apply equally to each of the Lenders and shall be binding upon the Loan Parties, the Lenders, the Issuing Lenders, the Administrative Agent and all future holders of the Loans. In the case of any waiver, the Loan Parties, the Lenders, the Issuing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2" w:lineRule="exact"/>
        <w:rPr>
          <w:sz w:val="20"/>
          <w:szCs w:val="20"/>
          <w:color w:val="auto"/>
        </w:rPr>
      </w:pPr>
    </w:p>
    <w:p>
      <w:pPr>
        <w:ind w:firstLine="966"/>
        <w:spacing w:after="0" w:line="263" w:lineRule="auto"/>
        <w:tabs>
          <w:tab w:leader="none" w:pos="122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paragraph (a), without the consent of the Required Lenders (or, in the case of clauses (i) and (iii) below, any Issuing Lender), but subject to any consent required by paragraphs (A) through (I) above, (i) the terms of any Facility may be amended, modified or waived in any manner that does not adversely affect the rights or obligations of Lenders under any other Facility with the written consent of the Majority Facility Lenders in respect of such Facility, (ii) this Agreement may be amended with only the consent of the Company, the Administrative Agent and each Issuing Lender, if any, as may be necessary in the reasonable opinion of the Company and the Administrative Agent in order to provide that Letters of Credit are to be issued under the Multicurrency Facility rather than the Domestic Facility and (iii)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Administrative Agent shall notify the Lenders and Issuing Lenders of any such amendment, modification, supplement or waiver consummated in accordance with this clause (iii) promptly after consummation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820"/>
          </w:cols>
          <w:pgMar w:left="540" w:top="267" w:right="539" w:bottom="1440" w:gutter="0" w:footer="0" w:header="0"/>
        </w:sectPr>
      </w:pPr>
    </w:p>
    <w:bookmarkStart w:id="93" w:name="page94"/>
    <w:bookmarkEnd w:id="93"/>
    <w:p>
      <w:pPr>
        <w:ind w:right="20" w:firstLine="966"/>
        <w:spacing w:after="0" w:line="251" w:lineRule="auto"/>
        <w:tabs>
          <w:tab w:leader="none" w:pos="12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For the avoidance of doubt it is understood that (i) any transaction permitted by Sections 2.9, 2.25, 2.26 and 2.27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86" w:lineRule="exact"/>
        <w:rPr>
          <w:rFonts w:ascii="Times New Roman" w:cs="Times New Roman" w:eastAsia="Times New Roman" w:hAnsi="Times New Roman"/>
          <w:sz w:val="18"/>
          <w:szCs w:val="18"/>
          <w:color w:val="auto"/>
        </w:rPr>
      </w:pPr>
    </w:p>
    <w:p>
      <w:pPr>
        <w:ind w:right="120" w:firstLine="966"/>
        <w:spacing w:after="0" w:line="274" w:lineRule="auto"/>
        <w:tabs>
          <w:tab w:leader="none" w:pos="12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58" w:lineRule="exact"/>
        <w:rPr>
          <w:rFonts w:ascii="Times New Roman" w:cs="Times New Roman" w:eastAsia="Times New Roman" w:hAnsi="Times New Roman"/>
          <w:sz w:val="18"/>
          <w:szCs w:val="18"/>
          <w:color w:val="auto"/>
        </w:rPr>
      </w:pPr>
    </w:p>
    <w:p>
      <w:pPr>
        <w:ind w:left="1580" w:hanging="220"/>
        <w:spacing w:after="0"/>
        <w:tabs>
          <w:tab w:leader="none" w:pos="15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(x) any Domestic Subsidiary of the Company as a Domestic Subsidiary Borrower, (y) any Foreign Subsidiary</w:t>
      </w:r>
    </w:p>
    <w:p>
      <w:pPr>
        <w:spacing w:after="0" w:line="24" w:lineRule="exact"/>
        <w:rPr>
          <w:rFonts w:ascii="Times New Roman" w:cs="Times New Roman" w:eastAsia="Times New Roman" w:hAnsi="Times New Roman"/>
          <w:sz w:val="18"/>
          <w:szCs w:val="18"/>
          <w:color w:val="auto"/>
        </w:rPr>
      </w:pPr>
    </w:p>
    <w:p>
      <w:pPr>
        <w:ind w:left="9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organized or domiciled under the laws of Canada, with the consent of each Lender under the Multicurrency Facility (provided,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and (z) any other Foreign Subsidiary of the Company as a Foreign Subsidiary Borrower under a New Local Facility or any Incremental Facility with the consent of the Administrative Agent and each Lender under such New Local Facility or such Incremental Facility, as the case may be upon (A) ten Business Days’ prior notice to the Administrative Agent (such notice to contain the name, primary business address and taxpayer identification number of such Subsidiary), (B) the execution and delivery by the Company, such Subsidiary and the Administrative Agent of a Borrower Joinder Agreement, providing for such Subsidiary to become a Subsidiary Borrower, (C) the agreement and acknowledgment by the Company and each Subsidiary Guarantor (if any) that the Guarantee covers the Obligations of such Subsidiary, (D) the delivery to the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and</w:t>
      </w:r>
    </w:p>
    <w:p>
      <w:pPr>
        <w:spacing w:after="0" w:line="70" w:lineRule="exact"/>
        <w:rPr>
          <w:rFonts w:ascii="Times New Roman" w:cs="Times New Roman" w:eastAsia="Times New Roman" w:hAnsi="Times New Roman"/>
          <w:sz w:val="18"/>
          <w:szCs w:val="18"/>
          <w:color w:val="auto"/>
        </w:rPr>
      </w:pPr>
    </w:p>
    <w:p>
      <w:pPr>
        <w:ind w:left="960" w:right="40" w:firstLine="400"/>
        <w:spacing w:after="0" w:line="250" w:lineRule="auto"/>
        <w:tabs>
          <w:tab w:leader="none" w:pos="161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820"/>
          </w:cols>
          <w:pgMar w:left="540" w:top="267" w:right="539" w:bottom="1440" w:gutter="0" w:footer="0" w:header="0"/>
        </w:sectPr>
      </w:pPr>
    </w:p>
    <w:bookmarkStart w:id="94" w:name="page95"/>
    <w:bookmarkEnd w:id="94"/>
    <w:p>
      <w:pPr>
        <w:ind w:firstLine="97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0800"/>
          </w:cols>
          <w:pgMar w:left="540" w:top="267" w:right="55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Borrower: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92" w:lineRule="exact"/>
        <w:rPr>
          <w:sz w:val="20"/>
          <w:szCs w:val="20"/>
          <w:color w:val="auto"/>
        </w:rPr>
      </w:pPr>
    </w:p>
    <w:p>
      <w:pPr>
        <w:sectPr>
          <w:pgSz w:w="11900" w:h="16838" w:orient="portrait"/>
          <w:cols w:equalWidth="0" w:num="2">
            <w:col w:w="2420" w:space="720"/>
            <w:col w:w="7660"/>
          </w:cols>
          <w:pgMar w:left="540" w:top="267" w:right="559"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482-C26-D41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Treasurer</w:t>
      </w:r>
    </w:p>
    <w:p>
      <w:pPr>
        <w:spacing w:after="0" w:line="104" w:lineRule="exact"/>
        <w:rPr>
          <w:sz w:val="20"/>
          <w:szCs w:val="20"/>
          <w:color w:val="auto"/>
        </w:rPr>
      </w:pPr>
    </w:p>
    <w:p>
      <w:pPr>
        <w:sectPr>
          <w:pgSz w:w="11900" w:h="16838" w:orient="portrait"/>
          <w:cols w:equalWidth="0" w:num="2">
            <w:col w:w="2920" w:space="220"/>
            <w:col w:w="7660"/>
          </w:cols>
          <w:pgMar w:left="540" w:top="267" w:right="559"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482-C26-C18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Capital Markets</w:t>
      </w:r>
    </w:p>
    <w:p>
      <w:pPr>
        <w:spacing w:after="0" w:line="104" w:lineRule="exact"/>
        <w:rPr>
          <w:sz w:val="20"/>
          <w:szCs w:val="20"/>
          <w:color w:val="auto"/>
        </w:rPr>
      </w:pPr>
    </w:p>
    <w:p>
      <w:pPr>
        <w:sectPr>
          <w:pgSz w:w="11900" w:h="16838" w:orient="portrait"/>
          <w:cols w:equalWidth="0" w:num="2">
            <w:col w:w="2700" w:space="440"/>
            <w:col w:w="7660"/>
          </w:cols>
          <w:pgMar w:left="540" w:top="267" w:right="559"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482-C26-B98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Treasury Operations</w:t>
      </w:r>
    </w:p>
    <w:p>
      <w:pPr>
        <w:spacing w:after="0" w:line="104" w:lineRule="exact"/>
        <w:rPr>
          <w:sz w:val="20"/>
          <w:szCs w:val="20"/>
          <w:color w:val="auto"/>
        </w:rPr>
      </w:pPr>
    </w:p>
    <w:p>
      <w:pPr>
        <w:sectPr>
          <w:pgSz w:w="11900" w:h="16838" w:orient="portrait"/>
          <w:cols w:equalWidth="0" w:num="2">
            <w:col w:w="2700" w:space="440"/>
            <w:col w:w="7660"/>
          </w:cols>
          <w:pgMar w:left="540" w:top="267" w:right="559"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482-C39-B40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craig.glidden@gm.com</w:t>
      </w:r>
    </w:p>
    <w:p>
      <w:pPr>
        <w:spacing w:after="0" w:line="143" w:lineRule="exact"/>
        <w:rPr>
          <w:sz w:val="20"/>
          <w:szCs w:val="20"/>
          <w:color w:val="auto"/>
        </w:rPr>
      </w:pPr>
    </w:p>
    <w:p>
      <w:pPr>
        <w:sectPr>
          <w:pgSz w:w="11900" w:h="16838" w:orient="portrait"/>
          <w:cols w:equalWidth="0" w:num="2">
            <w:col w:w="2700" w:space="440"/>
            <w:col w:w="7660"/>
          </w:cols>
          <w:pgMar w:left="540" w:top="267" w:right="5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800"/>
          </w:cols>
          <w:pgMar w:left="540" w:top="267" w:right="5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with a further copy to (which shall not</w:t>
            </w: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constitute notice):</w:t>
            </w: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Mail Code 482-C23-A68</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300 Renaissance Center</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 Box 300</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Detroit, MI 48265-3000</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7"/>
              </w:rPr>
              <w:t>Attention: Assistant Corporate Secretary &amp; Lead Counsel – Corporate Finance</w:t>
            </w:r>
          </w:p>
        </w:tc>
      </w:tr>
      <w:tr>
        <w:trPr>
          <w:trHeight w:val="232"/>
        </w:trPr>
        <w:tc>
          <w:tcPr>
            <w:tcW w:w="2960" w:type="dxa"/>
            <w:vAlign w:val="bottom"/>
          </w:tcPr>
          <w:p>
            <w:pPr>
              <w:spacing w:after="0"/>
              <w:rPr>
                <w:sz w:val="20"/>
                <w:szCs w:val="20"/>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Email: John.S.Kim@gm.com</w:t>
            </w:r>
          </w:p>
        </w:tc>
      </w:tr>
      <w:tr>
        <w:trPr>
          <w:trHeight w:val="29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 for all notices:</w:t>
            </w: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Bank Loan Operations North America</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500 Stanton Christiana Road, NCC5, Floor 01</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Newark, DE, 19713-2107, United States</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Email: laura.delgadillo@jpmorgan.com</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Telephone: 302-634-3228</w:t>
            </w:r>
          </w:p>
        </w:tc>
      </w:tr>
      <w:tr>
        <w:trPr>
          <w:trHeight w:val="232"/>
        </w:trPr>
        <w:tc>
          <w:tcPr>
            <w:tcW w:w="2960" w:type="dxa"/>
            <w:vAlign w:val="bottom"/>
          </w:tcPr>
          <w:p>
            <w:pPr>
              <w:spacing w:after="0"/>
              <w:rPr>
                <w:sz w:val="20"/>
                <w:szCs w:val="20"/>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Attention: Laura Delgadillo</w:t>
            </w:r>
          </w:p>
        </w:tc>
      </w:tr>
      <w:tr>
        <w:trPr>
          <w:trHeight w:val="31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JPMorgan Chase Bank, N.A.</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17"/>
                <w:szCs w:val="17"/>
                <w:color w:val="auto"/>
              </w:rPr>
              <w:t>8181 Communications Pkwy, Bldg B,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Floor</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Plano, TX, 75024, United States</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Email: sean.bodkin@jpmorgan.com</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Telephone: 972-324-1749</w:t>
            </w:r>
          </w:p>
        </w:tc>
      </w:tr>
      <w:tr>
        <w:trPr>
          <w:trHeight w:val="232"/>
        </w:trPr>
        <w:tc>
          <w:tcPr>
            <w:tcW w:w="2960" w:type="dxa"/>
            <w:vAlign w:val="bottom"/>
          </w:tcPr>
          <w:p>
            <w:pPr>
              <w:spacing w:after="0"/>
              <w:rPr>
                <w:sz w:val="20"/>
                <w:szCs w:val="20"/>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Attention: Sean D. Bodkin</w:t>
            </w:r>
          </w:p>
        </w:tc>
      </w:tr>
      <w:tr>
        <w:trPr>
          <w:trHeight w:val="31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with a further copy (with respect to any</w:t>
            </w: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J.P. Morgan Europe Limited</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notices in connection with the</w:t>
            </w:r>
          </w:p>
        </w:tc>
        <w:tc>
          <w:tcPr>
            <w:tcW w:w="574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17"/>
                <w:szCs w:val="17"/>
                <w:color w:val="auto"/>
              </w:rPr>
              <w:t>Loans Agency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Floor</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Multicurrency Facility) to:</w:t>
            </w: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25 Bank Street, Canary Wharf</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London E14 5JP</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Attention: Loans Agency</w:t>
            </w:r>
          </w:p>
        </w:tc>
      </w:tr>
      <w:tr>
        <w:trPr>
          <w:trHeight w:val="212"/>
        </w:trPr>
        <w:tc>
          <w:tcPr>
            <w:tcW w:w="2960" w:type="dxa"/>
            <w:vAlign w:val="bottom"/>
          </w:tcPr>
          <w:p>
            <w:pPr>
              <w:spacing w:after="0"/>
              <w:rPr>
                <w:sz w:val="18"/>
                <w:szCs w:val="18"/>
                <w:color w:val="auto"/>
              </w:rPr>
            </w:pPr>
          </w:p>
        </w:tc>
        <w:tc>
          <w:tcPr>
            <w:tcW w:w="5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Facsimile: +44 20 7777 2360</w:t>
            </w:r>
          </w:p>
        </w:tc>
      </w:tr>
      <w:tr>
        <w:trPr>
          <w:trHeight w:val="191"/>
        </w:trPr>
        <w:tc>
          <w:tcPr>
            <w:tcW w:w="2960" w:type="dxa"/>
            <w:vAlign w:val="bottom"/>
          </w:tcPr>
          <w:p>
            <w:pPr>
              <w:spacing w:after="0"/>
              <w:rPr>
                <w:sz w:val="16"/>
                <w:szCs w:val="16"/>
                <w:color w:val="auto"/>
              </w:rPr>
            </w:pPr>
          </w:p>
        </w:tc>
        <w:tc>
          <w:tcPr>
            <w:tcW w:w="5740" w:type="dxa"/>
            <w:vAlign w:val="bottom"/>
            <w:gridSpan w:val="3"/>
          </w:tcPr>
          <w:p>
            <w:pPr>
              <w:ind w:left="180"/>
              <w:spacing w:after="0" w:line="191" w:lineRule="exact"/>
              <w:rPr>
                <w:sz w:val="20"/>
                <w:szCs w:val="20"/>
                <w:color w:val="auto"/>
              </w:rPr>
            </w:pPr>
            <w:r>
              <w:rPr>
                <w:rFonts w:ascii="Times New Roman" w:cs="Times New Roman" w:eastAsia="Times New Roman" w:hAnsi="Times New Roman"/>
                <w:sz w:val="18"/>
                <w:szCs w:val="18"/>
                <w:color w:val="auto"/>
              </w:rPr>
              <w:t>Email: loan_and_agency_london@jpmorgan.com</w:t>
            </w:r>
          </w:p>
        </w:tc>
      </w:tr>
      <w:tr>
        <w:trPr>
          <w:trHeight w:val="20"/>
        </w:trPr>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line="27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request or demand to or upon the Administrative Agent or the Lenders pursuant to Section 2.2, 2.4, 2.9, 2.10, or 2.12 shall not be effective until received.</w:t>
      </w:r>
    </w:p>
    <w:p>
      <w:pPr>
        <w:spacing w:after="0" w:line="164" w:lineRule="exact"/>
        <w:rPr>
          <w:sz w:val="20"/>
          <w:szCs w:val="20"/>
          <w:color w:val="auto"/>
        </w:rPr>
      </w:pPr>
    </w:p>
    <w:p>
      <w:pPr>
        <w:ind w:right="20" w:firstLine="966"/>
        <w:spacing w:after="0" w:line="220" w:lineRule="auto"/>
        <w:tabs>
          <w:tab w:leader="none" w:pos="12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and the Issuing Lenders by posting such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right="20" w:firstLine="966"/>
        <w:spacing w:after="0" w:line="250" w:lineRule="auto"/>
        <w:tabs>
          <w:tab w:leader="none" w:pos="12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760"/>
          </w:cols>
          <w:pgMar w:left="540" w:top="267" w:right="599" w:bottom="1440" w:gutter="0" w:footer="0" w:header="0"/>
        </w:sectPr>
      </w:pPr>
    </w:p>
    <w:bookmarkStart w:id="96" w:name="page97"/>
    <w:bookmarkEnd w:id="96"/>
    <w:p>
      <w:pPr>
        <w:ind w:right="80" w:firstLine="966"/>
        <w:spacing w:after="0" w:line="250" w:lineRule="auto"/>
        <w:tabs>
          <w:tab w:leader="none" w:pos="12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85" w:lineRule="exact"/>
        <w:rPr>
          <w:rFonts w:ascii="Times New Roman" w:cs="Times New Roman" w:eastAsia="Times New Roman" w:hAnsi="Times New Roman"/>
          <w:sz w:val="18"/>
          <w:szCs w:val="18"/>
          <w:color w:val="auto"/>
        </w:rPr>
      </w:pPr>
    </w:p>
    <w:p>
      <w:pPr>
        <w:ind w:right="320" w:firstLine="966"/>
        <w:spacing w:after="0" w:line="260" w:lineRule="auto"/>
        <w:tabs>
          <w:tab w:leader="none" w:pos="12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ind w:right="160" w:firstLine="974"/>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2" w:lineRule="exact"/>
        <w:rPr>
          <w:sz w:val="20"/>
          <w:szCs w:val="20"/>
          <w:color w:val="auto"/>
        </w:rPr>
      </w:pPr>
    </w:p>
    <w:p>
      <w:pPr>
        <w:ind w:right="8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66"/>
        <w:spacing w:after="0" w:line="247" w:lineRule="auto"/>
        <w:tabs>
          <w:tab w:leader="none" w:pos="121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each Issuing Lender and the Administrative Agent for, and hold each Lender, each Issuing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780"/>
          </w:cols>
          <w:pgMar w:left="540" w:top="267" w:right="579" w:bottom="1440" w:gutter="0" w:footer="0" w:header="0"/>
        </w:sectPr>
      </w:pPr>
    </w:p>
    <w:bookmarkStart w:id="97" w:name="page98"/>
    <w:bookmarkEnd w:id="97"/>
    <w:p>
      <w:pPr>
        <w:ind w:left="-20" w:right="40" w:firstLine="966"/>
        <w:spacing w:after="0" w:line="251" w:lineRule="auto"/>
        <w:tabs>
          <w:tab w:leader="none" w:pos="12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provided,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6" w:lineRule="exact"/>
        <w:rPr>
          <w:rFonts w:ascii="Times New Roman" w:cs="Times New Roman" w:eastAsia="Times New Roman" w:hAnsi="Times New Roman"/>
          <w:sz w:val="18"/>
          <w:szCs w:val="18"/>
          <w:color w:val="auto"/>
        </w:rPr>
      </w:pPr>
    </w:p>
    <w:p>
      <w:pPr>
        <w:ind w:left="-20" w:firstLine="966"/>
        <w:spacing w:after="0" w:line="248" w:lineRule="auto"/>
        <w:tabs>
          <w:tab w:leader="none" w:pos="119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shall pay, indemnify or reimburse each Lender, each Issuing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2.19 or with respect to the costs, losses or expenses which are of the type covered by Section 2.18 or Section 2.20) in respect of the financing contemplated by this Agreement or the use or the proposed use of proceeds thereof and the other Loan Documents (all the foregoing,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90" w:lineRule="exact"/>
        <w:rPr>
          <w:rFonts w:ascii="Times New Roman" w:cs="Times New Roman" w:eastAsia="Times New Roman" w:hAnsi="Times New Roman"/>
          <w:sz w:val="18"/>
          <w:szCs w:val="18"/>
          <w:color w:val="auto"/>
        </w:rPr>
      </w:pPr>
    </w:p>
    <w:p>
      <w:pPr>
        <w:ind w:left="-20" w:right="40" w:firstLine="966"/>
        <w:spacing w:after="0" w:line="248" w:lineRule="auto"/>
        <w:tabs>
          <w:tab w:leader="none" w:pos="12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780"/>
          </w:cols>
          <w:pgMar w:left="560" w:top="267" w:right="559" w:bottom="1440" w:gutter="0" w:footer="0" w:header="0"/>
        </w:sectPr>
      </w:pPr>
    </w:p>
    <w:bookmarkStart w:id="98" w:name="page99"/>
    <w:bookmarkEnd w:id="98"/>
    <w:p>
      <w:pPr>
        <w:ind w:right="20" w:firstLine="966"/>
        <w:spacing w:after="0" w:line="250" w:lineRule="auto"/>
        <w:tabs>
          <w:tab w:leader="none" w:pos="12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85" w:lineRule="exact"/>
        <w:rPr>
          <w:sz w:val="20"/>
          <w:szCs w:val="20"/>
          <w:color w:val="auto"/>
        </w:rPr>
      </w:pPr>
    </w:p>
    <w:p>
      <w:pPr>
        <w:ind w:right="20" w:firstLine="974"/>
        <w:spacing w:after="0" w:line="25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87" w:lineRule="exact"/>
        <w:rPr>
          <w:sz w:val="20"/>
          <w:szCs w:val="20"/>
          <w:color w:val="auto"/>
        </w:rPr>
      </w:pPr>
    </w:p>
    <w:p>
      <w:pPr>
        <w:ind w:right="80" w:firstLine="966"/>
        <w:spacing w:after="0" w:line="255" w:lineRule="auto"/>
        <w:tabs>
          <w:tab w:leader="none" w:pos="12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“Assignee”)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5" w:lineRule="exact"/>
        <w:rPr>
          <w:rFonts w:ascii="Times New Roman" w:cs="Times New Roman" w:eastAsia="Times New Roman" w:hAnsi="Times New Roman"/>
          <w:sz w:val="18"/>
          <w:szCs w:val="18"/>
          <w:color w:val="auto"/>
        </w:rPr>
      </w:pPr>
    </w:p>
    <w:p>
      <w:pPr>
        <w:jc w:val="both"/>
        <w:ind w:left="960" w:right="120" w:firstLine="400"/>
        <w:spacing w:after="0" w:line="260" w:lineRule="auto"/>
        <w:tabs>
          <w:tab w:leader="none" w:pos="160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70" w:lineRule="exact"/>
        <w:rPr>
          <w:rFonts w:ascii="Times New Roman" w:cs="Times New Roman" w:eastAsia="Times New Roman" w:hAnsi="Times New Roman"/>
          <w:sz w:val="18"/>
          <w:szCs w:val="18"/>
          <w:color w:val="auto"/>
        </w:rPr>
      </w:pPr>
    </w:p>
    <w:p>
      <w:pPr>
        <w:ind w:left="1620" w:hanging="260"/>
        <w:spacing w:after="0"/>
        <w:tabs>
          <w:tab w:leader="none" w:pos="16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111" w:lineRule="exact"/>
        <w:rPr>
          <w:rFonts w:ascii="Times New Roman" w:cs="Times New Roman" w:eastAsia="Times New Roman" w:hAnsi="Times New Roman"/>
          <w:sz w:val="18"/>
          <w:szCs w:val="18"/>
          <w:color w:val="auto"/>
        </w:rPr>
      </w:pPr>
    </w:p>
    <w:p>
      <w:pPr>
        <w:ind w:left="960" w:right="340" w:firstLine="400"/>
        <w:spacing w:after="0" w:line="274" w:lineRule="auto"/>
        <w:tabs>
          <w:tab w:leader="none" w:pos="160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of any rights or interest under the Domestic Facility, each Material Issuing Lender at such time (unless such assignment is to a Lender who has an investment grade rating from two of S&amp;P, Moody’s and Fitch); and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consent provided for in clause (2) above shall be required for an assignment to a Lender or an affiliate thereof and</w:t>
      </w:r>
    </w:p>
    <w:p>
      <w:pPr>
        <w:spacing w:after="0" w:line="25" w:lineRule="exact"/>
        <w:rPr>
          <w:sz w:val="20"/>
          <w:szCs w:val="20"/>
          <w:color w:val="auto"/>
        </w:rPr>
      </w:pPr>
    </w:p>
    <w:p>
      <w:pPr>
        <w:ind w:left="960" w:right="40" w:firstLine="6"/>
        <w:spacing w:after="0" w:line="249" w:lineRule="auto"/>
        <w:tabs>
          <w:tab w:leader="none" w:pos="121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provided for in clause (3) above shall be required for an assignment to a Domestic Lender or an affiliate thereof and (z) no consent of the Company provided for in clause (1) above shall be required if an Event of Default under Section 8(a) or (e) has occurred and is continuing.</w:t>
      </w:r>
    </w:p>
    <w:p>
      <w:pPr>
        <w:spacing w:after="0" w:line="185"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780"/>
          </w:cols>
          <w:pgMar w:left="540" w:top="267" w:right="579"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(ii) Assignments shall be subject to the following additional conditions:</w:t>
      </w:r>
    </w:p>
    <w:p>
      <w:pPr>
        <w:spacing w:after="0" w:line="111" w:lineRule="exact"/>
        <w:rPr>
          <w:sz w:val="20"/>
          <w:szCs w:val="20"/>
          <w:color w:val="auto"/>
        </w:rPr>
      </w:pPr>
    </w:p>
    <w:p>
      <w:pPr>
        <w:ind w:left="60" w:firstLine="400"/>
        <w:spacing w:after="0" w:line="269" w:lineRule="auto"/>
        <w:tabs>
          <w:tab w:leader="none" w:pos="74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64" w:lineRule="exact"/>
        <w:rPr>
          <w:rFonts w:ascii="Times New Roman" w:cs="Times New Roman" w:eastAsia="Times New Roman" w:hAnsi="Times New Roman"/>
          <w:sz w:val="17"/>
          <w:szCs w:val="17"/>
          <w:color w:val="auto"/>
        </w:rPr>
      </w:pPr>
    </w:p>
    <w:p>
      <w:pPr>
        <w:ind w:left="60" w:right="220" w:firstLine="400"/>
        <w:spacing w:after="0" w:line="253" w:lineRule="auto"/>
        <w:tabs>
          <w:tab w:leader="none" w:pos="7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2.22,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2.22, by the assigning Lender, the Assignee, or the Company); and</w:t>
      </w:r>
    </w:p>
    <w:p>
      <w:pPr>
        <w:spacing w:after="0" w:line="76" w:lineRule="exact"/>
        <w:rPr>
          <w:rFonts w:ascii="Times New Roman" w:cs="Times New Roman" w:eastAsia="Times New Roman" w:hAnsi="Times New Roman"/>
          <w:sz w:val="18"/>
          <w:szCs w:val="18"/>
          <w:color w:val="auto"/>
        </w:rPr>
      </w:pPr>
    </w:p>
    <w:p>
      <w:pPr>
        <w:ind w:left="60" w:right="860" w:firstLine="400"/>
        <w:spacing w:after="0" w:line="274" w:lineRule="auto"/>
        <w:tabs>
          <w:tab w:leader="none" w:pos="7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-1256665</wp:posOffset>
            </wp:positionV>
            <wp:extent cx="279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38" w:lineRule="exact"/>
        <w:rPr>
          <w:sz w:val="20"/>
          <w:szCs w:val="20"/>
          <w:color w:val="auto"/>
        </w:rPr>
      </w:pPr>
    </w:p>
    <w:p>
      <w:pPr>
        <w:ind w:left="60" w:right="20" w:firstLine="400"/>
        <w:spacing w:after="0" w:line="249" w:lineRule="auto"/>
        <w:tabs>
          <w:tab w:leader="none" w:pos="76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83" w:lineRule="exact"/>
        <w:rPr>
          <w:rFonts w:ascii="Times New Roman" w:cs="Times New Roman" w:eastAsia="Times New Roman" w:hAnsi="Times New Roman"/>
          <w:sz w:val="18"/>
          <w:szCs w:val="18"/>
          <w:color w:val="auto"/>
        </w:rPr>
      </w:pPr>
    </w:p>
    <w:p>
      <w:pPr>
        <w:ind w:left="60" w:right="20" w:firstLine="400"/>
        <w:spacing w:after="0" w:line="249" w:lineRule="auto"/>
        <w:tabs>
          <w:tab w:leader="none" w:pos="75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9900"/>
          </w:cols>
          <w:pgMar w:left="1440" w:top="267" w:right="559" w:bottom="1440" w:gutter="0" w:footer="0" w:header="0"/>
        </w:sectPr>
      </w:pPr>
    </w:p>
    <w:bookmarkStart w:id="100" w:name="page101"/>
    <w:bookmarkEnd w:id="100"/>
    <w:p>
      <w:pPr>
        <w:ind w:left="960" w:firstLine="400"/>
        <w:spacing w:after="0" w:line="250" w:lineRule="auto"/>
        <w:tabs>
          <w:tab w:leader="none" w:pos="160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2.22,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8" w:lineRule="exact"/>
        <w:rPr>
          <w:rFonts w:ascii="Times New Roman" w:cs="Times New Roman" w:eastAsia="Times New Roman" w:hAnsi="Times New Roman"/>
          <w:sz w:val="18"/>
          <w:szCs w:val="18"/>
          <w:color w:val="auto"/>
        </w:rPr>
      </w:pPr>
    </w:p>
    <w:p>
      <w:pPr>
        <w:ind w:firstLine="966"/>
        <w:spacing w:after="0" w:line="262" w:lineRule="auto"/>
        <w:tabs>
          <w:tab w:leader="none" w:pos="12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Lender may, without the consent of the Company, any Issuing Lender or the Administrative Agent, sell participations to one or more banks or other entities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Lender’s obligations under this Agreement shall remain unchanged, (B) such Lender shall remain solely responsible to the other parties hereto for the performance of such obligations, (C) the Loan Parties, the Administrative Agent, the Issuing Lenders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2.18, 2.19, and</w:t>
      </w:r>
    </w:p>
    <w:p>
      <w:pPr>
        <w:spacing w:after="0" w:line="4" w:lineRule="exact"/>
        <w:rPr>
          <w:rFonts w:ascii="Times New Roman" w:cs="Times New Roman" w:eastAsia="Times New Roman" w:hAnsi="Times New Roman"/>
          <w:sz w:val="17"/>
          <w:szCs w:val="17"/>
          <w:color w:val="auto"/>
        </w:rPr>
      </w:pPr>
    </w:p>
    <w:p>
      <w:pPr>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2.20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-2720340</wp:posOffset>
            </wp:positionV>
            <wp:extent cx="279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800"/>
          </w:cols>
          <w:pgMar w:left="540" w:top="267" w:right="559" w:bottom="1440" w:gutter="0" w:footer="0" w:header="0"/>
        </w:sectPr>
      </w:pPr>
    </w:p>
    <w:bookmarkStart w:id="101" w:name="page102"/>
    <w:bookmarkEnd w:id="101"/>
    <w:p>
      <w:pPr>
        <w:ind w:left="960" w:right="220" w:firstLine="400"/>
        <w:spacing w:after="0" w:line="251" w:lineRule="auto"/>
        <w:tabs>
          <w:tab w:leader="none" w:pos="161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 Participant shall not be entitled to receive any greater payment under Section 2.18 or 2.19 than the applicable Lender would have been entitled to receive with respect to the participation sold to such Participant. A Participant shall not be entitled to receive any funds directly from the Company in respect of Sections 2.18, 2.19, 2.20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2.19 unless such Participant complies with Sections 2.19(c), 2.19(d) and 2.19(e) as though it were a Lender.</w:t>
      </w:r>
    </w:p>
    <w:p>
      <w:pPr>
        <w:spacing w:after="0" w:line="186" w:lineRule="exact"/>
        <w:rPr>
          <w:rFonts w:ascii="Times New Roman" w:cs="Times New Roman" w:eastAsia="Times New Roman" w:hAnsi="Times New Roman"/>
          <w:sz w:val="18"/>
          <w:szCs w:val="18"/>
          <w:color w:val="auto"/>
        </w:rPr>
      </w:pPr>
    </w:p>
    <w:p>
      <w:pPr>
        <w:ind w:right="100" w:firstLine="966"/>
        <w:spacing w:after="0" w:line="253" w:lineRule="auto"/>
        <w:tabs>
          <w:tab w:leader="none" w:pos="12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without the consent of the Company,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2" w:lineRule="exact"/>
        <w:rPr>
          <w:rFonts w:ascii="Times New Roman" w:cs="Times New Roman" w:eastAsia="Times New Roman" w:hAnsi="Times New Roman"/>
          <w:sz w:val="18"/>
          <w:szCs w:val="18"/>
          <w:color w:val="auto"/>
        </w:rPr>
      </w:pPr>
    </w:p>
    <w:p>
      <w:pPr>
        <w:ind w:firstLine="966"/>
        <w:spacing w:after="0" w:line="251" w:lineRule="auto"/>
        <w:tabs>
          <w:tab w:leader="none" w:pos="12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7" w:lineRule="exact"/>
        <w:rPr>
          <w:sz w:val="20"/>
          <w:szCs w:val="20"/>
          <w:color w:val="auto"/>
        </w:rPr>
      </w:pPr>
    </w:p>
    <w:p>
      <w:pPr>
        <w:ind w:right="60" w:firstLine="974"/>
        <w:spacing w:after="0" w:line="264" w:lineRule="auto"/>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If any Lender (a “</w:t>
      </w:r>
      <w:r>
        <w:rPr>
          <w:rFonts w:ascii="Times New Roman" w:cs="Times New Roman" w:eastAsia="Times New Roman" w:hAnsi="Times New Roman"/>
          <w:sz w:val="17"/>
          <w:szCs w:val="17"/>
          <w:u w:val="single" w:color="auto"/>
          <w:color w:val="auto"/>
        </w:rPr>
        <w:t>Benefitted Lender</w:t>
      </w:r>
      <w:r>
        <w:rPr>
          <w:rFonts w:ascii="Times New Roman" w:cs="Times New Roman" w:eastAsia="Times New Roman" w:hAnsi="Times New Roman"/>
          <w:sz w:val="17"/>
          <w:szCs w:val="17"/>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no payments in respect of Obligations owing by any Foreign Subsidiary Borrower shall be utilized to satisfy any Obligations owing by the Company or any Domestic Subsidiary Borrower.</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66"/>
        <w:spacing w:after="0" w:line="255" w:lineRule="auto"/>
        <w:tabs>
          <w:tab w:leader="none" w:pos="12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800"/>
          </w:cols>
          <w:pgMar w:left="540" w:top="267" w:right="559" w:bottom="1440" w:gutter="0" w:footer="0" w:header="0"/>
        </w:sectPr>
      </w:pPr>
    </w:p>
    <w:bookmarkStart w:id="102" w:name="page103"/>
    <w:bookmarkEnd w:id="102"/>
    <w:p>
      <w:pPr>
        <w:ind w:firstLine="966"/>
        <w:spacing w:after="0" w:line="247" w:lineRule="auto"/>
        <w:tabs>
          <w:tab w:leader="none" w:pos="12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any Issuing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187" w:lineRule="exact"/>
        <w:rPr>
          <w:sz w:val="20"/>
          <w:szCs w:val="20"/>
          <w:color w:val="auto"/>
        </w:rPr>
      </w:pPr>
    </w:p>
    <w:p>
      <w:pPr>
        <w:ind w:right="14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820"/>
          </w:cols>
          <w:pgMar w:left="540" w:top="267" w:right="539" w:bottom="1440" w:gutter="0" w:footer="0" w:header="0"/>
        </w:sectPr>
      </w:pPr>
    </w:p>
    <w:bookmarkStart w:id="103" w:name="page104"/>
    <w:bookmarkEnd w:id="103"/>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(other than agreements between any Borrower and any Issuing Lender contemplated by this Agreement).</w:t>
      </w:r>
    </w:p>
    <w:p>
      <w:pPr>
        <w:spacing w:after="0" w:line="182" w:lineRule="exact"/>
        <w:rPr>
          <w:sz w:val="20"/>
          <w:szCs w:val="20"/>
          <w:color w:val="auto"/>
        </w:rPr>
      </w:pPr>
    </w:p>
    <w:p>
      <w:pPr>
        <w:ind w:right="24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380" w:firstLine="966"/>
        <w:spacing w:after="0" w:line="274" w:lineRule="auto"/>
        <w:tabs>
          <w:tab w:leader="none" w:pos="12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Administrative Agent, the Lenders, the Issuing Lenders, the Company, each Subsidiary Borrower and each other Loan Party hereby irrevocably and unconditionally:</w:t>
      </w:r>
    </w:p>
    <w:p>
      <w:pPr>
        <w:spacing w:after="0" w:line="58" w:lineRule="exact"/>
        <w:rPr>
          <w:rFonts w:ascii="Times New Roman" w:cs="Times New Roman" w:eastAsia="Times New Roman" w:hAnsi="Times New Roman"/>
          <w:sz w:val="18"/>
          <w:szCs w:val="18"/>
          <w:color w:val="auto"/>
        </w:rPr>
      </w:pPr>
    </w:p>
    <w:p>
      <w:pPr>
        <w:ind w:left="960" w:firstLine="400"/>
        <w:spacing w:after="0" w:line="255" w:lineRule="auto"/>
        <w:tabs>
          <w:tab w:leader="none" w:pos="156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75" w:lineRule="exact"/>
        <w:rPr>
          <w:rFonts w:ascii="Times New Roman" w:cs="Times New Roman" w:eastAsia="Times New Roman" w:hAnsi="Times New Roman"/>
          <w:sz w:val="18"/>
          <w:szCs w:val="18"/>
          <w:color w:val="auto"/>
        </w:rPr>
      </w:pPr>
    </w:p>
    <w:p>
      <w:pPr>
        <w:ind w:left="960" w:right="60" w:firstLine="400"/>
        <w:spacing w:after="0" w:line="260" w:lineRule="auto"/>
        <w:tabs>
          <w:tab w:leader="none" w:pos="161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0" w:lineRule="exact"/>
        <w:rPr>
          <w:rFonts w:ascii="Times New Roman" w:cs="Times New Roman" w:eastAsia="Times New Roman" w:hAnsi="Times New Roman"/>
          <w:sz w:val="18"/>
          <w:szCs w:val="18"/>
          <w:color w:val="auto"/>
        </w:rPr>
      </w:pPr>
    </w:p>
    <w:p>
      <w:pPr>
        <w:ind w:left="960" w:right="20" w:firstLine="400"/>
        <w:spacing w:after="0" w:line="274" w:lineRule="auto"/>
        <w:tabs>
          <w:tab w:leader="none" w:pos="166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4" w:lineRule="exact"/>
        <w:rPr>
          <w:rFonts w:ascii="Times New Roman" w:cs="Times New Roman" w:eastAsia="Times New Roman" w:hAnsi="Times New Roman"/>
          <w:sz w:val="18"/>
          <w:szCs w:val="18"/>
          <w:color w:val="auto"/>
        </w:rPr>
      </w:pPr>
    </w:p>
    <w:p>
      <w:pPr>
        <w:ind w:right="120" w:firstLine="966"/>
        <w:spacing w:after="0" w:line="265" w:lineRule="auto"/>
        <w:tabs>
          <w:tab w:leader="none" w:pos="1224"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800"/>
          </w:cols>
          <w:pgMar w:left="540" w:top="267" w:right="559" w:bottom="1440" w:gutter="0" w:footer="0" w:header="0"/>
        </w:sectPr>
      </w:pPr>
    </w:p>
    <w:bookmarkStart w:id="104" w:name="page105"/>
    <w:bookmarkEnd w:id="104"/>
    <w:p>
      <w:pPr>
        <w:ind w:right="100" w:firstLine="966"/>
        <w:spacing w:after="0" w:line="253" w:lineRule="auto"/>
        <w:tabs>
          <w:tab w:leader="none" w:pos="12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82" w:lineRule="exact"/>
        <w:rPr>
          <w:sz w:val="20"/>
          <w:szCs w:val="20"/>
          <w:color w:val="auto"/>
        </w:rPr>
      </w:pPr>
    </w:p>
    <w:p>
      <w:pPr>
        <w:ind w:right="20" w:firstLine="974"/>
        <w:spacing w:after="0" w:line="249"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Facility Fees, Letter of Credit Fees, and Letter of Credit fronting fees payable hereunder or under any other Loan Document.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Each of the Company and the Subsidiary Borrowers hereby acknowledges that:</w:t>
      </w:r>
    </w:p>
    <w:p>
      <w:pPr>
        <w:spacing w:after="0" w:line="218" w:lineRule="exact"/>
        <w:rPr>
          <w:sz w:val="20"/>
          <w:szCs w:val="20"/>
          <w:color w:val="auto"/>
        </w:rPr>
      </w:pPr>
    </w:p>
    <w:p>
      <w:pPr>
        <w:ind w:left="1200" w:hanging="234"/>
        <w:spacing w:after="0"/>
        <w:tabs>
          <w:tab w:leader="none" w:pos="12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17" w:lineRule="exact"/>
        <w:rPr>
          <w:rFonts w:ascii="Times New Roman" w:cs="Times New Roman" w:eastAsia="Times New Roman" w:hAnsi="Times New Roman"/>
          <w:sz w:val="18"/>
          <w:szCs w:val="18"/>
          <w:color w:val="auto"/>
        </w:rPr>
      </w:pPr>
    </w:p>
    <w:p>
      <w:pPr>
        <w:jc w:val="both"/>
        <w:ind w:right="160" w:firstLine="966"/>
        <w:spacing w:after="0" w:line="282" w:lineRule="auto"/>
        <w:tabs>
          <w:tab w:leader="none" w:pos="1224"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59" w:lineRule="exact"/>
        <w:rPr>
          <w:rFonts w:ascii="Times New Roman" w:cs="Times New Roman" w:eastAsia="Times New Roman" w:hAnsi="Times New Roman"/>
          <w:sz w:val="17"/>
          <w:szCs w:val="17"/>
          <w:color w:val="auto"/>
        </w:rPr>
      </w:pPr>
    </w:p>
    <w:p>
      <w:pPr>
        <w:ind w:firstLine="966"/>
        <w:spacing w:after="0" w:line="274" w:lineRule="auto"/>
        <w:tabs>
          <w:tab w:leader="none" w:pos="12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r>
        <w:rPr>
          <w:rFonts w:ascii="Times New Roman" w:cs="Times New Roman" w:eastAsia="Times New Roman" w:hAnsi="Times New Roman"/>
          <w:sz w:val="18"/>
          <w:szCs w:val="18"/>
          <w:color w:val="auto"/>
        </w:rPr>
        <w:t xml:space="preserve"> .</w:t>
      </w:r>
    </w:p>
    <w:p>
      <w:pPr>
        <w:spacing w:after="0" w:line="218" w:lineRule="exact"/>
        <w:rPr>
          <w:sz w:val="20"/>
          <w:szCs w:val="20"/>
          <w:color w:val="auto"/>
        </w:rPr>
      </w:pPr>
    </w:p>
    <w:p>
      <w:pPr>
        <w:ind w:right="40" w:firstLine="966"/>
        <w:spacing w:after="0" w:line="251" w:lineRule="auto"/>
        <w:tabs>
          <w:tab w:leader="none" w:pos="12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the Administrative Agent is hereby irrevocably authorized by each Lender and each Issuing Lender (without requirement of notice to or consent of any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86" w:lineRule="exact"/>
        <w:rPr>
          <w:rFonts w:ascii="Times New Roman" w:cs="Times New Roman" w:eastAsia="Times New Roman" w:hAnsi="Times New Roman"/>
          <w:sz w:val="18"/>
          <w:szCs w:val="18"/>
          <w:color w:val="auto"/>
        </w:rPr>
      </w:pPr>
    </w:p>
    <w:p>
      <w:pPr>
        <w:ind w:right="60" w:firstLine="966"/>
        <w:spacing w:after="0" w:line="255" w:lineRule="auto"/>
        <w:tabs>
          <w:tab w:leader="none" w:pos="12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the Reimbursement Obligations and interest and fees owing hereunder and under any other Loan Document shall have been paid in full, the Commitments have been terminated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820"/>
          </w:cols>
          <w:pgMar w:left="540" w:top="267" w:right="539" w:bottom="1440" w:gutter="0" w:footer="0" w:header="0"/>
        </w:sectPr>
      </w:pPr>
    </w:p>
    <w:bookmarkStart w:id="105" w:name="page106"/>
    <w:bookmarkEnd w:id="105"/>
    <w:p>
      <w:pPr>
        <w:ind w:right="360" w:firstLine="966"/>
        <w:spacing w:after="0" w:line="260" w:lineRule="auto"/>
        <w:tabs>
          <w:tab w:leader="none" w:pos="12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6" w:lineRule="exact"/>
        <w:rPr>
          <w:rFonts w:ascii="Times New Roman" w:cs="Times New Roman" w:eastAsia="Times New Roman" w:hAnsi="Times New Roman"/>
          <w:sz w:val="18"/>
          <w:szCs w:val="18"/>
          <w:color w:val="auto"/>
        </w:rPr>
      </w:pPr>
    </w:p>
    <w:p>
      <w:pPr>
        <w:ind w:right="60" w:firstLine="966"/>
        <w:spacing w:after="0" w:line="250" w:lineRule="auto"/>
        <w:tabs>
          <w:tab w:leader="none" w:pos="12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189" w:lineRule="exact"/>
        <w:rPr>
          <w:sz w:val="20"/>
          <w:szCs w:val="20"/>
          <w:color w:val="auto"/>
        </w:rPr>
      </w:pPr>
    </w:p>
    <w:p>
      <w:pPr>
        <w:ind w:firstLine="974"/>
        <w:spacing w:after="0" w:line="247"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each Issuing Lender, each Lender and each Transferee (each a “</w:t>
      </w:r>
      <w:r>
        <w:rPr>
          <w:rFonts w:ascii="Times New Roman" w:cs="Times New Roman" w:eastAsia="Times New Roman" w:hAnsi="Times New Roman"/>
          <w:sz w:val="18"/>
          <w:szCs w:val="18"/>
          <w:u w:val="single" w:color="auto"/>
          <w:color w:val="auto"/>
        </w:rPr>
        <w:t>Receiving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agrees to keep confidential all non-public information provided to it by or on behalf of any Loan Party or any of its respective Subsidiaries, the Administrative Agent, an Issuing Lender or any Lender pursuant to or in connection with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w:t>
      </w:r>
    </w:p>
    <w:p>
      <w:pPr>
        <w:spacing w:after="0" w:line="198" w:lineRule="exact"/>
        <w:rPr>
          <w:sz w:val="20"/>
          <w:szCs w:val="20"/>
          <w:color w:val="auto"/>
        </w:rPr>
      </w:pPr>
    </w:p>
    <w:p>
      <w:pPr>
        <w:ind w:right="200" w:firstLine="974"/>
        <w:spacing w:after="0" w:line="255"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EACH SUBSIDIARY BORROWER, THE ADMINISTRATIVE AGENT, THE ISSUING LENDERS AND THE LENDERS HEREBY IRREVOCABLY AND UNCONDITIONALLY WAIVE TRIAL BY JURY IN ANY LEGAL ACTION OR PROCEEDING RELATING TO THIS AGREEMENT OR ANY OTHER LOAN DOCUMENT AND FOR ANY COUNTERCLAIM THEREIN.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800"/>
          </w:cols>
          <w:pgMar w:left="540" w:top="267" w:right="559" w:bottom="1440" w:gutter="0" w:footer="0" w:header="0"/>
        </w:sectPr>
      </w:pPr>
    </w:p>
    <w:bookmarkStart w:id="106" w:name="page107"/>
    <w:bookmarkEnd w:id="106"/>
    <w:p>
      <w:pPr>
        <w:ind w:firstLine="974"/>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10.18 </w:t>
      </w:r>
      <w:r>
        <w:rPr>
          <w:rFonts w:ascii="Times New Roman" w:cs="Times New Roman" w:eastAsia="Times New Roman" w:hAnsi="Times New Roman"/>
          <w:sz w:val="17"/>
          <w:szCs w:val="17"/>
          <w:u w:val="single" w:color="auto"/>
          <w:color w:val="auto"/>
        </w:rPr>
        <w:t>USA Patriot Act and the Beneficial Ownership Regulation</w:t>
      </w:r>
      <w:r>
        <w:rPr>
          <w:rFonts w:ascii="Times New Roman" w:cs="Times New Roman" w:eastAsia="Times New Roman" w:hAnsi="Times New Roman"/>
          <w:sz w:val="17"/>
          <w:szCs w:val="17"/>
          <w:color w:val="auto"/>
        </w:rPr>
        <w:t>. Each Lender hereby notifies the Company and each Subsidiary Borrower that pursuant to the requirements of the USA Patriot Act (Title III of Pub. L. 107-56 (signed into law October 26, 2001)) (the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70" w:lineRule="exact"/>
        <w:rPr>
          <w:sz w:val="20"/>
          <w:szCs w:val="20"/>
          <w:color w:val="auto"/>
        </w:rPr>
      </w:pPr>
    </w:p>
    <w:p>
      <w:pPr>
        <w:ind w:right="60" w:firstLine="974"/>
        <w:spacing w:after="0" w:line="250"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Existing Five Year Credit Agreement are amended as set forth in, and restated in their entirety and superseded by, this Agreement. Nothing in this Agreement shall be deemed to be a novation of any of the Obligations as defined in the Existing Five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Five Year Credit Agreement. From and after the Closing Date, each reference to the “Agreement”, “Credit Agreement” or other reference originally applicable to the Existing Five Year Credit Agreement contained in any Loan Document shall be a reference to this Agreement, as amended, supplemented, restated or otherwise modified from time to time.</w:t>
      </w:r>
    </w:p>
    <w:p>
      <w:pPr>
        <w:spacing w:after="0" w:line="189" w:lineRule="exact"/>
        <w:rPr>
          <w:sz w:val="20"/>
          <w:szCs w:val="20"/>
          <w:color w:val="auto"/>
        </w:rPr>
      </w:pPr>
    </w:p>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ind w:right="560" w:firstLine="966"/>
        <w:spacing w:after="0" w:line="274" w:lineRule="auto"/>
        <w:tabs>
          <w:tab w:leader="none" w:pos="12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4"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18" w:lineRule="exact"/>
        <w:rPr>
          <w:sz w:val="20"/>
          <w:szCs w:val="20"/>
          <w:color w:val="auto"/>
        </w:rPr>
      </w:pPr>
    </w:p>
    <w:p>
      <w:pPr>
        <w:ind w:left="1180" w:hanging="214"/>
        <w:spacing w:after="0"/>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17" w:lineRule="exact"/>
        <w:rPr>
          <w:rFonts w:ascii="Times New Roman" w:cs="Times New Roman" w:eastAsia="Times New Roman" w:hAnsi="Times New Roman"/>
          <w:sz w:val="18"/>
          <w:szCs w:val="18"/>
          <w:color w:val="auto"/>
        </w:rPr>
      </w:pPr>
    </w:p>
    <w:p>
      <w:pPr>
        <w:jc w:val="both"/>
        <w:ind w:right="160" w:firstLine="966"/>
        <w:spacing w:after="0" w:line="260" w:lineRule="auto"/>
        <w:tabs>
          <w:tab w:leader="none" w:pos="123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18"/>
          <w:szCs w:val="18"/>
          <w:color w:val="auto"/>
        </w:rPr>
      </w:pPr>
    </w:p>
    <w:p>
      <w:pPr>
        <w:ind w:right="760" w:firstLine="966"/>
        <w:spacing w:after="0" w:line="274" w:lineRule="auto"/>
        <w:tabs>
          <w:tab w:leader="none" w:pos="128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 xml:space="preserve">10.21 </w:t>
      </w:r>
      <w:r>
        <w:rPr>
          <w:rFonts w:ascii="Times New Roman" w:cs="Times New Roman" w:eastAsia="Times New Roman" w:hAnsi="Times New Roman"/>
          <w:sz w:val="17"/>
          <w:szCs w:val="17"/>
          <w:u w:val="single" w:color="auto"/>
          <w:color w:val="auto"/>
        </w:rPr>
        <w:t>Acknowledgement Regarding Any Supported QFCs</w:t>
      </w:r>
      <w:r>
        <w:rPr>
          <w:rFonts w:ascii="Times New Roman" w:cs="Times New Roman" w:eastAsia="Times New Roman" w:hAnsi="Times New Roman"/>
          <w:sz w:val="17"/>
          <w:szCs w:val="17"/>
          <w:color w:val="auto"/>
        </w:rPr>
        <w:t>. To the extent that the Loan Documents provide support, through a guarantee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Federal Deposit Insurance Act and Title II of the Dodd-Frank Wall Street Reform and Consumer Protection Act (together with the regulations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promulgated thereunder, the “U.</w:t>
      </w:r>
      <w:r>
        <w:rPr>
          <w:rFonts w:ascii="Times New Roman" w:cs="Times New Roman" w:eastAsia="Times New Roman" w:hAnsi="Times New Roman"/>
          <w:sz w:val="17"/>
          <w:szCs w:val="17"/>
          <w:u w:val="single" w:color="auto"/>
          <w:color w:val="auto"/>
        </w:rPr>
        <w:t>S. Special Resolution Regimes</w:t>
      </w:r>
      <w:r>
        <w:rPr>
          <w:rFonts w:ascii="Times New Roman" w:cs="Times New Roman" w:eastAsia="Times New Roman" w:hAnsi="Times New Roman"/>
          <w:sz w:val="17"/>
          <w:szCs w:val="17"/>
          <w:color w:val="auto"/>
        </w:rPr>
        <w:t>”) in respect of such Supported QFC and QFC Credit Support (with the provisions below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notwithstanding that the Loan Documents and any Supported QFC may in fact be stated to be governed by the laws of the State of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820"/>
          </w:cols>
          <w:pgMar w:left="540" w:top="267" w:right="539" w:bottom="1440" w:gutter="0" w:footer="0" w:header="0"/>
        </w:sectPr>
      </w:pPr>
    </w:p>
    <w:bookmarkStart w:id="107" w:name="page108"/>
    <w:bookmarkEnd w:id="107"/>
    <w:p>
      <w:pPr>
        <w:ind w:right="20" w:firstLine="433"/>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4" w:lineRule="exact"/>
        <w:rPr>
          <w:sz w:val="20"/>
          <w:szCs w:val="20"/>
          <w:color w:val="auto"/>
        </w:rPr>
      </w:pPr>
    </w:p>
    <w:p>
      <w:pPr>
        <w:jc w:val="both"/>
        <w:ind w:right="10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Removal of GMB and Brazilian Administrative Agent</w:t>
      </w:r>
      <w:r>
        <w:rPr>
          <w:rFonts w:ascii="Times New Roman" w:cs="Times New Roman" w:eastAsia="Times New Roman" w:hAnsi="Times New Roman"/>
          <w:sz w:val="18"/>
          <w:szCs w:val="18"/>
          <w:color w:val="auto"/>
        </w:rPr>
        <w:t xml:space="preserve"> The parties hereby agree that (i) this Agreement shall constitute notice to the Administrative Agent of the removal of GMB as a Subsidiary Borrower pursuant to Section 10.1(d)(ii)(A) of the Existing Five-Year Credit Agreement and (ii) Banco do Brasil S.A. is hereby removed as Brazilian Administrative Agent in connection with this amendment and restatement.</w:t>
      </w:r>
    </w:p>
    <w:p>
      <w:pPr>
        <w:spacing w:after="0" w:line="176" w:lineRule="exact"/>
        <w:rPr>
          <w:sz w:val="20"/>
          <w:szCs w:val="20"/>
          <w:color w:val="auto"/>
        </w:rPr>
      </w:pPr>
    </w:p>
    <w:p>
      <w:pPr>
        <w:ind w:firstLine="974"/>
        <w:spacing w:after="0" w:line="264" w:lineRule="auto"/>
        <w:rPr>
          <w:sz w:val="20"/>
          <w:szCs w:val="20"/>
          <w:color w:val="auto"/>
        </w:rPr>
      </w:pPr>
      <w:r>
        <w:rPr>
          <w:rFonts w:ascii="Times New Roman" w:cs="Times New Roman" w:eastAsia="Times New Roman" w:hAnsi="Times New Roman"/>
          <w:sz w:val="17"/>
          <w:szCs w:val="17"/>
          <w:color w:val="auto"/>
        </w:rPr>
        <w:t xml:space="preserve">10.23 </w:t>
      </w:r>
      <w:r>
        <w:rPr>
          <w:rFonts w:ascii="Times New Roman" w:cs="Times New Roman" w:eastAsia="Times New Roman" w:hAnsi="Times New Roman"/>
          <w:sz w:val="17"/>
          <w:szCs w:val="17"/>
          <w:u w:val="single" w:color="auto"/>
          <w:color w:val="auto"/>
        </w:rPr>
        <w:t>Interest Rate Limitations</w:t>
      </w:r>
      <w:r>
        <w:rPr>
          <w:rFonts w:ascii="Times New Roman" w:cs="Times New Roman" w:eastAsia="Times New Roman" w:hAnsi="Times New Roman"/>
          <w:sz w:val="17"/>
          <w:szCs w:val="17"/>
          <w:color w:val="auto"/>
        </w:rPr>
        <w:t xml:space="preserve">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820"/>
          </w:cols>
          <w:pgMar w:left="540" w:top="267" w:right="539" w:bottom="1440" w:gutter="0" w:footer="0" w:header="0"/>
        </w:sectPr>
      </w:pPr>
    </w:p>
    <w:bookmarkStart w:id="108" w:name="page109"/>
    <w:bookmarkEnd w:id="108"/>
    <w:p>
      <w:pPr>
        <w:ind w:firstLine="974"/>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Agreement to be duly executed and delivered by their proper and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as of the day and year first above written.</w:t>
      </w:r>
    </w:p>
    <w:p>
      <w:pPr>
        <w:spacing w:after="0" w:line="18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Rakesh K. Gupta</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9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color w:val="auto"/>
        </w:rPr>
        <w:t>GENERAL MOTORS FINANCIAL COMPANY, INC.</w:t>
      </w:r>
    </w:p>
    <w:p>
      <w:pPr>
        <w:spacing w:after="0" w:line="22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Richard A. Gokenbach, Jr.</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13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10500"/>
          </w:cols>
          <w:pgMar w:left="540" w:top="265" w:right="859" w:bottom="1440" w:gutter="0" w:footer="0" w:header="0"/>
        </w:sectPr>
      </w:pPr>
    </w:p>
    <w:bookmarkStart w:id="109" w:name="page110"/>
    <w:bookmarkEnd w:id="109"/>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JPMORGAN CHASE BANK, N.A., as Administrative</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Agent and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Marlon Mathews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15240</wp:posOffset>
            </wp:positionV>
            <wp:extent cx="25520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Marlon Mathews</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480"/>
          </w:cols>
          <w:pgMar w:left="1440" w:top="267" w:right="979" w:bottom="1440" w:gutter="0" w:footer="0" w:header="0"/>
        </w:sectPr>
      </w:pPr>
    </w:p>
    <w:bookmarkStart w:id="110" w:name="page111"/>
    <w:bookmarkEnd w:id="11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CITIBANK, N.A., as Syndication Agent and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15240</wp:posOffset>
            </wp:positionV>
            <wp:extent cx="25520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Susan Olsen</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500"/>
          </w:cols>
          <w:pgMar w:left="1440" w:top="267" w:right="959" w:bottom="1440" w:gutter="0" w:footer="0" w:header="0"/>
        </w:sectPr>
      </w:pPr>
    </w:p>
    <w:bookmarkStart w:id="111" w:name="page112"/>
    <w:bookmarkEnd w:id="111"/>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BANCO BILBAO VIZCAYA ARGENTARIA, S.A. NEW</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15240</wp:posOffset>
            </wp:positionV>
            <wp:extent cx="2552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15240</wp:posOffset>
            </wp:positionV>
            <wp:extent cx="25520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740"/>
          </w:cols>
          <w:pgMar w:left="1440" w:top="267" w:right="719" w:bottom="1440" w:gutter="0" w:footer="0" w:header="0"/>
        </w:sectPr>
      </w:pPr>
    </w:p>
    <w:bookmarkStart w:id="112" w:name="page113"/>
    <w:bookmarkEnd w:id="112"/>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Bank of America, N.A.,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Brian Lukehart</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Brian Lukehart</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13" w:name="page114"/>
    <w:bookmarkEnd w:id="113"/>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BARCLAYS BANK PLC,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Charlene Saldanha</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Charlene Saldanha</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14" w:name="page115"/>
    <w:bookmarkEnd w:id="114"/>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BNP Paribas,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Christopher Sked</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Christopher Sked</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Valentin Detry</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Valentin Detry</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15" w:name="page116"/>
    <w:bookmarkEnd w:id="115"/>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CREDIT AGRICOLE CORPORATE AND INVESTMENT</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BANK, 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Jill Wong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Jill Wong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Gordon Yip</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Gordon Yip</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16" w:name="page117"/>
    <w:bookmarkEnd w:id="116"/>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DEUTSCHE BANK AG NEW YORK BRANCH, as Lender</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Annie Chung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Annie Chung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Marko Lukin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Marko Lukin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17" w:name="page118"/>
    <w:bookmarkEnd w:id="117"/>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GOLDMAN SACHS BANK USA,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Jonathan Dworkin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Jonathan Dworkin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18" w:name="page119"/>
    <w:bookmarkEnd w:id="118"/>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Intesa Sanpaolo S.p.A., New York Branch,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Jordan Schweon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Jordan Schweon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Alessandro Toigo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Alessandro Toigo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 of Corporate Desk</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19" w:name="page120"/>
    <w:bookmarkEnd w:id="119"/>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MIZUHO BANK, LTD.,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Donna DeMagistris</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Donna DeMagistris</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0" w:name="page121"/>
    <w:bookmarkEnd w:id="120"/>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MORGAN STANLEY SENIOR FUNDING, INC.,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Michael King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1" w:name="page122"/>
    <w:bookmarkEnd w:id="12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Royal Bank of Canada,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Benjamin Lennon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Benjamin Lennon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2" w:name="page123"/>
    <w:bookmarkEnd w:id="122"/>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MORGAN STANLEY BANK, N.A.,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Michael King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3" w:name="page124"/>
    <w:bookmarkEnd w:id="123"/>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BANCO SANTANDER, S.A., NEW YORK BRANCH,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Andres Barbosa</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Andres Barbosa</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Rita Walz-Cuccioli</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Rita Walz-Cuccioli</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4" w:name="page125"/>
    <w:bookmarkEnd w:id="124"/>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SOCIETE GENERALE,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Richard Bernal</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Richard Bernal</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5" w:name="page126"/>
    <w:bookmarkEnd w:id="125"/>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Sumitomo Mitsui Banking Corporation,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Minxiao Tian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Minxiao Tian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6" w:name="page127"/>
    <w:bookmarkEnd w:id="126"/>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Bank of Nova Scotia,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Troy Washington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Troy Washington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7" w:name="page128"/>
    <w:bookmarkEnd w:id="127"/>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Toronto-Dominion Bank, New York Branch, as Lender</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Perlman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David Perlman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8" w:name="page129"/>
    <w:bookmarkEnd w:id="128"/>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LLOYDS BANK CORPORATE MARKETS PLC,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Tina Wong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Tina Wong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Catherine Lim</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Catherine Lim</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29" w:name="page130"/>
    <w:bookmarkEnd w:id="129"/>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Industrial and Commercial Bank of China Limited, New</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Christopher Samms</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Christopher Samms</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Yuanyuan Peng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Yuanyuan Peng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0" w:name="page131"/>
    <w:bookmarkEnd w:id="130"/>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Canadian Imperial Bank of Commerce, New York Branch,</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Farhad Merali</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Farhad Merali</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 &amp; Authorized Signatory</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1" w:name="page132"/>
    <w:bookmarkEnd w:id="13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UNICREDIT BANK AG, NEW YORK BRANCH,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Edward D. Herko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Edward D. Herko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Peter Daugavietis</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Peter Daugavietis</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2" w:name="page133"/>
    <w:bookmarkEnd w:id="132"/>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DBS BANK LTD.,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Kate Khoo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Kate Khoo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3" w:name="page134"/>
    <w:bookmarkEnd w:id="133"/>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MUFG Bank Ltd.,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Brett Parker</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Brett Parker</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Signature</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4" w:name="page135"/>
    <w:bookmarkEnd w:id="134"/>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U.S. BANK NATIONAL ASSOCIATION,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Jeffrey S. Johnson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Jeffrey S. Johnson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5" w:name="page136"/>
    <w:bookmarkEnd w:id="135"/>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Commerzbank AG, New York Branch,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Ravelo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Michael Ravelo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Mathew Ward</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Mathew Ward</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6" w:name="page137"/>
    <w:bookmarkEnd w:id="136"/>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Wells Fargo Bank, National Association,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Jonathan D. Beck</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Jonathan D. Beck</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7" w:name="page138"/>
    <w:bookmarkEnd w:id="137"/>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TRUIST BANK,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Madison Waterfield</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Madison Waterfield</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8" w:name="page139"/>
    <w:bookmarkEnd w:id="138"/>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BANK OF CHINA, NEW YORK BRANCH,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Raymond Qiao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Raymond Qiao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39" w:name="page140"/>
    <w:bookmarkEnd w:id="139"/>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Bank of Montreal,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Chris Clark</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Chris Clark</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0" w:name="page141"/>
    <w:bookmarkEnd w:id="140"/>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Agricultural Bank of China Limited, New York Branch,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Nelson Chou</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Nelson Chou</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SVP &amp; Head of Corporate Banking</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1" w:name="page142"/>
    <w:bookmarkEnd w:id="14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Banco Bradesco S.A., New York Branch,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Gabriela Da Silva</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rPr>
                <w:sz w:val="16"/>
                <w:szCs w:val="16"/>
                <w:color w:val="auto"/>
              </w:rPr>
            </w:pP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Fernanda Oliveira</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rPr>
                <w:sz w:val="16"/>
                <w:szCs w:val="16"/>
                <w:color w:val="auto"/>
              </w:rPr>
            </w:pP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2" w:name="page143"/>
    <w:bookmarkEnd w:id="142"/>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ING Bank N.V. Dublin Branch,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Cormac Langford</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Cormac Langford</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Sean Hassett</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Sean Hassett</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3" w:name="page144"/>
    <w:bookmarkEnd w:id="143"/>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Bank of New York Mellon,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Tak Cheng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Tak Cheng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4" w:name="page145"/>
    <w:bookmarkEnd w:id="144"/>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China CITIC Bank International Limited New York Branch,</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Kun Chen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Kun Chen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Deputy General Manager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5" w:name="page146"/>
    <w:bookmarkEnd w:id="145"/>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Mashreqbank psc,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Faizan A. Siddiqui</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Faizan A. Siddiqui</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Manager—MBNY</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6" w:name="page147"/>
    <w:bookmarkEnd w:id="146"/>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STATE STREET BANK AND TRUST COMPANY,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I. Cole</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Mark I. Cole</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7" w:name="page148"/>
    <w:bookmarkEnd w:id="147"/>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Citizens Bank, N.A.,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Jonathan Gleit</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Jonathan Gleit</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8" w:name="page149"/>
    <w:bookmarkEnd w:id="148"/>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Fifth Third Bank, National Association,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William Batchelor</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William Batchelor</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49" w:name="page150"/>
    <w:bookmarkEnd w:id="149"/>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[China Construction Bank Corporation, New York Branch_],</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Xue Lei Wang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Xue Lei Wang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Deputy General Manager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50" w:name="page151"/>
    <w:bookmarkEnd w:id="150"/>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First Abu Dhabi Bank USA N.V.,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Pamela Sigda</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Pamela Sigda</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Acting, Country CEO</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Young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David Young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 of Structured Finance, Americas</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51" w:name="page152"/>
    <w:bookmarkEnd w:id="15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United Overseas Bank Limited, New York Agency,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Eriberto de Guzman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Eriberto de Guzman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Brian Ike</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Brian Ike</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Vice President</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52" w:name="page153"/>
    <w:bookmarkEnd w:id="152"/>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BANGKOK BANK PUBLIC COMPANY LIMITED, NEW</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Thitipong Prasertsilp</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Thitipong Prasertsilp</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 &amp; Branch Manager</w:t>
            </w:r>
          </w:p>
        </w:tc>
      </w:tr>
    </w:tbl>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Page to Fourth Amended and Restated 5-Year Revolving Credit Agreement]</w:t>
      </w:r>
    </w:p>
    <w:p>
      <w:pPr>
        <w:sectPr>
          <w:pgSz w:w="11900" w:h="16838" w:orient="portrait"/>
          <w:cols w:equalWidth="0" w:num="1">
            <w:col w:w="9920"/>
          </w:cols>
          <w:pgMar w:left="1440" w:top="267" w:right="539" w:bottom="1440" w:gutter="0" w:footer="0" w:header="0"/>
        </w:sectPr>
      </w:pPr>
    </w:p>
    <w:bookmarkStart w:id="153" w:name="page154"/>
    <w:bookmarkEnd w:id="153"/>
    <w:p>
      <w:pPr>
        <w:jc w:val="center"/>
        <w:ind w:left="95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1.1A</w:t>
      </w:r>
    </w:p>
    <w:p>
      <w:pPr>
        <w:spacing w:after="0" w:line="36"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7"/>
          <w:szCs w:val="17"/>
          <w:color w:val="auto"/>
        </w:rPr>
        <w:t>Credit Agreement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OMMITMENTS</w:t>
      </w:r>
      <w:r>
        <w:rPr>
          <w:rFonts w:ascii="Times New Roman" w:cs="Times New Roman" w:eastAsia="Times New Roman" w:hAnsi="Times New Roman"/>
          <w:sz w:val="18"/>
          <w:szCs w:val="18"/>
          <w:b w:val="1"/>
          <w:bCs w:val="1"/>
          <w:u w:val="single" w:color="auto"/>
          <w:color w:val="auto"/>
        </w:rPr>
        <w:t>/DDTP I</w:t>
      </w:r>
      <w:r>
        <w:rPr>
          <w:rFonts w:ascii="Times New Roman" w:cs="Times New Roman" w:eastAsia="Times New Roman" w:hAnsi="Times New Roman"/>
          <w:sz w:val="14"/>
          <w:szCs w:val="14"/>
          <w:b w:val="1"/>
          <w:bCs w:val="1"/>
          <w:u w:val="single" w:color="auto"/>
          <w:color w:val="auto"/>
        </w:rPr>
        <w:t>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Domestic Commitment</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Commitment</w:t>
            </w:r>
          </w:p>
        </w:tc>
      </w:tr>
      <w:tr>
        <w:trPr>
          <w:trHeight w:val="212"/>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Bank of China Ltd., New York Branch</w:t>
            </w: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State Street Bank and Trust Company</w:t>
            </w: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Overseas Bank Limited, New York Agency</w:t>
            </w: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Bangkok Bank Public Company Limited, New York Branch</w:t>
            </w: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Mashreqbank psc</w:t>
            </w: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2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Multicurrency Commitment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960" w:type="dxa"/>
            <w:vAlign w:val="bottom"/>
          </w:tcPr>
          <w:p>
            <w:pPr>
              <w:jc w:val="right"/>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84"/>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0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9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13/M/0268710/DTTP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13/C/62301/DTTP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Commercial Bank of China Limited, New York Branch</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23/I/358686/DTTP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9/B/75354/DTTP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13/B/7418/DTTP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3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1.1A</w:t>
      </w:r>
    </w:p>
    <w:p>
      <w:pPr>
        <w:sectPr>
          <w:pgSz w:w="11900" w:h="16838" w:orient="portrait"/>
          <w:cols w:equalWidth="0" w:num="1">
            <w:col w:w="10820"/>
          </w:cols>
          <w:pgMar w:left="540" w:top="267" w:right="5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6"/>
        </w:trPr>
        <w:tc>
          <w:tcPr>
            <w:tcW w:w="5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of Tax</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40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9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5/B/255139/DTTP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5/C/0222082/DTTP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07/D/70006/DTTP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13/G/0351779/DTTP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43/M/274822/DTTP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3/R/70780/DTTP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Societe Generale</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5/S/70085/DTTP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43/S/274647/DTTP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003/T/0366714/DTTP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3/T/80000/DTTP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Intesa Sanpaolo S.p.A.—New York Branch</w:t>
            </w:r>
          </w:p>
        </w:tc>
        <w:tc>
          <w:tcPr>
            <w:tcW w:w="1680" w:type="dxa"/>
            <w:vAlign w:val="bottom"/>
            <w:shd w:val="clear" w:color="auto" w:fill="CCEEFF"/>
          </w:tcPr>
          <w:p>
            <w:pPr>
              <w:ind w:left="14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line="194" w:lineRule="exact"/>
              <w:rPr>
                <w:sz w:val="20"/>
                <w:szCs w:val="20"/>
                <w:color w:val="auto"/>
              </w:rPr>
            </w:pPr>
            <w:r>
              <w:rPr>
                <w:rFonts w:ascii="Times New Roman" w:cs="Times New Roman" w:eastAsia="Times New Roman" w:hAnsi="Times New Roman"/>
                <w:sz w:val="18"/>
                <w:szCs w:val="18"/>
                <w:color w:val="auto"/>
              </w:rPr>
              <w:t>N/A (with respect to</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Intesa Sanpaolo S.p.A.,</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London Branch as</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applicable lending</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office)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Banco Santander, S.A., New York Branch</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013/S/357603/DTTP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Lloyds Bank plc</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13/M/227953/DTTP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3/C/80001/DTTP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UniCredit Bank AG, New York Branch</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7/U/237605/DTTP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13S/67712/DTTP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Bank of China New York Branch</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23/B/368424/DTTP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13/W/61173/DTTP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67/D/363894/DTTP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bl>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Credit Agreement Schedule 1.1A</w:t>
      </w:r>
    </w:p>
    <w:p>
      <w:pPr>
        <w:sectPr>
          <w:pgSz w:w="11900" w:h="16838" w:orient="portrait"/>
          <w:cols w:equalWidth="0" w:num="1">
            <w:col w:w="10820"/>
          </w:cols>
          <w:pgMar w:left="540" w:top="246" w:right="5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6"/>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340" w:type="dxa"/>
            <w:vAlign w:val="bottom"/>
            <w:gridSpan w:val="3"/>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w w:val="98"/>
              </w:rPr>
              <w:t>Commitment</w:t>
            </w:r>
          </w:p>
        </w:tc>
        <w:tc>
          <w:tcPr>
            <w:tcW w:w="1960" w:type="dxa"/>
            <w:vAlign w:val="bottom"/>
            <w:vMerge w:val="continue"/>
          </w:tcPr>
          <w:p>
            <w:pPr>
              <w:spacing w:after="0"/>
              <w:rPr>
                <w:sz w:val="12"/>
                <w:szCs w:val="12"/>
                <w:color w:val="auto"/>
              </w:rPr>
            </w:pPr>
          </w:p>
        </w:tc>
        <w:tc>
          <w:tcPr>
            <w:tcW w:w="920" w:type="dxa"/>
            <w:vAlign w:val="bottom"/>
          </w:tcPr>
          <w:p>
            <w:pPr>
              <w:jc w:val="right"/>
              <w:ind w:right="156"/>
              <w:spacing w:after="0" w:line="146"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2340" w:type="dxa"/>
            <w:vAlign w:val="bottom"/>
            <w:gridSpan w:val="3"/>
            <w:vMerge w:val="continue"/>
          </w:tcPr>
          <w:p>
            <w:pPr>
              <w:spacing w:after="0"/>
              <w:rPr>
                <w:sz w:val="14"/>
                <w:szCs w:val="14"/>
                <w:color w:val="auto"/>
              </w:rPr>
            </w:pPr>
          </w:p>
        </w:tc>
        <w:tc>
          <w:tcPr>
            <w:tcW w:w="19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7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13/U/62184/DTTP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7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43/B/322072/DTTP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Bradesco S.A., New York Branch</w:t>
            </w:r>
          </w:p>
        </w:tc>
        <w:tc>
          <w:tcPr>
            <w:tcW w:w="17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Commerzbank AG New York Branch</w:t>
            </w:r>
          </w:p>
        </w:tc>
        <w:tc>
          <w:tcPr>
            <w:tcW w:w="17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7/C/25382/DTTP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7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3/M/270436/DTTP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17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13/B/357401/DTTP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CITIC Bank International Limited</w:t>
            </w:r>
          </w:p>
        </w:tc>
        <w:tc>
          <w:tcPr>
            <w:tcW w:w="17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ING Bank N.V., Dublin Branch</w:t>
            </w:r>
          </w:p>
        </w:tc>
        <w:tc>
          <w:tcPr>
            <w:tcW w:w="1780" w:type="dxa"/>
            <w:vAlign w:val="bottom"/>
            <w:gridSpan w:val="2"/>
          </w:tcPr>
          <w:p>
            <w:pPr>
              <w:ind w:left="15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4"/>
              <w:spacing w:after="0" w:line="194" w:lineRule="exact"/>
              <w:rPr>
                <w:sz w:val="20"/>
                <w:szCs w:val="20"/>
                <w:color w:val="auto"/>
              </w:rPr>
            </w:pPr>
            <w:r>
              <w:rPr>
                <w:rFonts w:ascii="Times New Roman" w:cs="Times New Roman" w:eastAsia="Times New Roman" w:hAnsi="Times New Roman"/>
                <w:sz w:val="18"/>
                <w:szCs w:val="18"/>
                <w:color w:val="auto"/>
              </w:rPr>
              <w:t>12-I-371270-DTTP</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(with respect to ING</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Ireland DAC as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applicable lending</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7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17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13/C/356159/DTTP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Construction Bank Corporation, New York Branch</w:t>
            </w:r>
          </w:p>
        </w:tc>
        <w:tc>
          <w:tcPr>
            <w:tcW w:w="17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Fifth Third Bank</w:t>
            </w:r>
          </w:p>
        </w:tc>
        <w:tc>
          <w:tcPr>
            <w:tcW w:w="17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13/F/24267/DTTP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Abu Dhabi Bank USA N.V.</w:t>
            </w:r>
          </w:p>
        </w:tc>
        <w:tc>
          <w:tcPr>
            <w:tcW w:w="17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Pr>
          <w:p>
            <w:pPr>
              <w:spacing w:after="0"/>
              <w:rPr>
                <w:sz w:val="21"/>
                <w:szCs w:val="21"/>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Credit Agreement Schedule 1.1A</w:t>
      </w:r>
    </w:p>
    <w:p>
      <w:pPr>
        <w:sectPr>
          <w:pgSz w:w="11900" w:h="16838" w:orient="portrait"/>
          <w:cols w:equalWidth="0" w:num="1">
            <w:col w:w="10820"/>
          </w:cols>
          <w:pgMar w:left="540" w:top="246" w:right="539" w:bottom="1440" w:gutter="0" w:footer="0" w:header="0"/>
        </w:sectPr>
      </w:pPr>
    </w:p>
    <w:bookmarkStart w:id="156" w:name="page157"/>
    <w:bookmarkEnd w:id="156"/>
    <w:p>
      <w:pPr>
        <w:ind w:left="95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1.1B</w:t>
      </w:r>
    </w:p>
    <w:p>
      <w:pPr>
        <w:spacing w:after="0" w:line="36"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INITIAL EXCLUDED SUBSIDIARIES</w:t>
            </w:r>
          </w:p>
        </w:tc>
      </w:tr>
      <w:tr>
        <w:trPr>
          <w:trHeight w:val="384"/>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5600" w:type="dxa"/>
            <w:vAlign w:val="bottom"/>
            <w:gridSpan w:val="2"/>
          </w:tcPr>
          <w:p>
            <w:pPr>
              <w:jc w:val="center"/>
              <w:ind w:left="380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87"/>
        </w:trPr>
        <w:tc>
          <w:tcPr>
            <w:tcW w:w="9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Cruise LLC</w:t>
            </w:r>
          </w:p>
        </w:tc>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2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Canada Holdings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GMGP Holdings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National Insurance Company</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Insurance Services, Inc.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r>
      <w:tr>
        <w:trPr>
          <w:trHeight w:val="22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Property and Casualty Insurance Company</w:t>
            </w:r>
          </w:p>
        </w:tc>
        <w:tc>
          <w:tcPr>
            <w:tcW w:w="38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Indemnity Company</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r>
      <w:tr>
        <w:trPr>
          <w:trHeight w:val="2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38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r>
      <w:tr>
        <w:trPr>
          <w:trHeight w:val="23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38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35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Schedule 1.1B</w:t>
            </w:r>
          </w:p>
        </w:tc>
        <w:tc>
          <w:tcPr>
            <w:tcW w:w="38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820"/>
          </w:cols>
          <w:pgMar w:left="540" w:top="267" w:right="539" w:bottom="1440" w:gutter="0" w:footer="0" w:header="0"/>
        </w:sectPr>
      </w:pPr>
    </w:p>
    <w:bookmarkStart w:id="157" w:name="page158"/>
    <w:bookmarkEnd w:id="1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SCHEDULE 1.1C</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2"/>
        </w:trPr>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424"/>
        </w:trPr>
        <w:tc>
          <w:tcPr>
            <w:tcW w:w="1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6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PRICING GRID</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All-in Spread</w:t>
            </w: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Margin for</w:t>
            </w: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for Daily</w:t>
            </w: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Daily Simple</w:t>
            </w: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gridSpan w:val="3"/>
          </w:tcPr>
          <w:p>
            <w:pPr>
              <w:jc w:val="right"/>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Simple SOFR</w:t>
            </w: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SOFR Loans</w:t>
            </w:r>
          </w:p>
        </w:tc>
        <w:tc>
          <w:tcPr>
            <w:tcW w:w="540" w:type="dxa"/>
            <w:vAlign w:val="bottom"/>
          </w:tcPr>
          <w:p>
            <w:pPr>
              <w:spacing w:after="0"/>
              <w:rPr>
                <w:sz w:val="12"/>
                <w:szCs w:val="12"/>
                <w:color w:val="auto"/>
              </w:rPr>
            </w:pPr>
          </w:p>
        </w:tc>
        <w:tc>
          <w:tcPr>
            <w:tcW w:w="100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540" w:type="dxa"/>
            <w:vAlign w:val="bottom"/>
          </w:tcPr>
          <w:p>
            <w:pPr>
              <w:spacing w:after="0"/>
              <w:rPr>
                <w:sz w:val="12"/>
                <w:szCs w:val="12"/>
                <w:color w:val="auto"/>
              </w:rPr>
            </w:pPr>
          </w:p>
        </w:tc>
        <w:tc>
          <w:tcPr>
            <w:tcW w:w="8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46"/>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and Term</w:t>
            </w:r>
          </w:p>
        </w:tc>
        <w:tc>
          <w:tcPr>
            <w:tcW w:w="5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44"/>
        </w:trPr>
        <w:tc>
          <w:tcPr>
            <w:tcW w:w="3160" w:type="dxa"/>
            <w:vAlign w:val="bottom"/>
            <w:gridSpan w:val="2"/>
            <w:vMerge w:val="continue"/>
          </w:tcPr>
          <w:p>
            <w:pPr>
              <w:spacing w:after="0"/>
              <w:rPr>
                <w:sz w:val="12"/>
                <w:szCs w:val="12"/>
                <w:color w:val="auto"/>
              </w:rPr>
            </w:pPr>
          </w:p>
        </w:tc>
        <w:tc>
          <w:tcPr>
            <w:tcW w:w="3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Facility Fee Rate</w:t>
            </w:r>
          </w:p>
        </w:tc>
        <w:tc>
          <w:tcPr>
            <w:tcW w:w="5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Benchmark</w:t>
            </w:r>
          </w:p>
        </w:tc>
        <w:tc>
          <w:tcPr>
            <w:tcW w:w="15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Margin for ABR</w:t>
            </w:r>
          </w:p>
        </w:tc>
        <w:tc>
          <w:tcPr>
            <w:tcW w:w="540" w:type="dxa"/>
            <w:vAlign w:val="bottom"/>
          </w:tcPr>
          <w:p>
            <w:pPr>
              <w:spacing w:after="0"/>
              <w:rPr>
                <w:sz w:val="12"/>
                <w:szCs w:val="12"/>
                <w:color w:val="auto"/>
              </w:rPr>
            </w:pPr>
          </w:p>
        </w:tc>
        <w:tc>
          <w:tcPr>
            <w:tcW w:w="88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Benchmark</w:t>
            </w:r>
          </w:p>
        </w:tc>
        <w:tc>
          <w:tcPr>
            <w:tcW w:w="0" w:type="dxa"/>
            <w:vAlign w:val="bottom"/>
          </w:tcPr>
          <w:p>
            <w:pPr>
              <w:spacing w:after="0"/>
              <w:rPr>
                <w:sz w:val="1"/>
                <w:szCs w:val="1"/>
                <w:color w:val="auto"/>
              </w:rPr>
            </w:pPr>
          </w:p>
        </w:tc>
      </w:tr>
      <w:tr>
        <w:trPr>
          <w:trHeight w:val="179"/>
        </w:trPr>
        <w:tc>
          <w:tcPr>
            <w:tcW w:w="110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99"/>
              </w:rPr>
              <w:t>Applicable Rating</w:t>
            </w:r>
          </w:p>
        </w:tc>
        <w:tc>
          <w:tcPr>
            <w:tcW w:w="2060" w:type="dxa"/>
            <w:vAlign w:val="bottom"/>
          </w:tcPr>
          <w:p>
            <w:pPr>
              <w:spacing w:after="0"/>
              <w:rPr>
                <w:sz w:val="15"/>
                <w:szCs w:val="15"/>
                <w:color w:val="auto"/>
              </w:rPr>
            </w:pPr>
          </w:p>
        </w:tc>
        <w:tc>
          <w:tcPr>
            <w:tcW w:w="33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Loans</w:t>
            </w:r>
          </w:p>
        </w:tc>
        <w:tc>
          <w:tcPr>
            <w:tcW w:w="540" w:type="dxa"/>
            <w:vAlign w:val="bottom"/>
          </w:tcPr>
          <w:p>
            <w:pPr>
              <w:spacing w:after="0"/>
              <w:rPr>
                <w:sz w:val="15"/>
                <w:szCs w:val="15"/>
                <w:color w:val="auto"/>
              </w:rPr>
            </w:pPr>
          </w:p>
        </w:tc>
        <w:tc>
          <w:tcPr>
            <w:tcW w:w="1000" w:type="dxa"/>
            <w:vAlign w:val="bottom"/>
          </w:tcPr>
          <w:p>
            <w:pPr>
              <w:jc w:val="right"/>
              <w:ind w:right="243"/>
              <w:spacing w:after="0" w:line="159" w:lineRule="exact"/>
              <w:rPr>
                <w:sz w:val="20"/>
                <w:szCs w:val="20"/>
                <w:color w:val="auto"/>
              </w:rPr>
            </w:pPr>
            <w:r>
              <w:rPr>
                <w:rFonts w:ascii="Times New Roman" w:cs="Times New Roman" w:eastAsia="Times New Roman" w:hAnsi="Times New Roman"/>
                <w:sz w:val="14"/>
                <w:szCs w:val="14"/>
                <w:b w:val="1"/>
                <w:bCs w:val="1"/>
                <w:color w:val="auto"/>
              </w:rPr>
              <w:t>Loans</w:t>
            </w:r>
          </w:p>
        </w:tc>
        <w:tc>
          <w:tcPr>
            <w:tcW w:w="540" w:type="dxa"/>
            <w:vAlign w:val="bottom"/>
          </w:tcPr>
          <w:p>
            <w:pPr>
              <w:spacing w:after="0"/>
              <w:rPr>
                <w:sz w:val="15"/>
                <w:szCs w:val="15"/>
                <w:color w:val="auto"/>
              </w:rPr>
            </w:pPr>
          </w:p>
        </w:tc>
        <w:tc>
          <w:tcPr>
            <w:tcW w:w="88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9"/>
        </w:trPr>
        <w:tc>
          <w:tcPr>
            <w:tcW w:w="3160" w:type="dxa"/>
            <w:vAlign w:val="bottom"/>
            <w:tcBorders>
              <w:top w:val="single" w:sz="8" w:color="CCEEFF"/>
            </w:tcBorders>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 A/A2/A</w:t>
            </w:r>
          </w:p>
        </w:tc>
        <w:tc>
          <w:tcPr>
            <w:tcW w:w="23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A-/A3/A-</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Baa2 / BBB</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Baa3 / BBB-</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 / Ba1 / BB+</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BB / Ba2 / BB</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firstLine="433"/>
        <w:spacing w:after="0" w:line="249" w:lineRule="auto"/>
        <w:rPr>
          <w:sz w:val="20"/>
          <w:szCs w:val="20"/>
          <w:color w:val="auto"/>
        </w:rPr>
      </w:pPr>
      <w:r>
        <w:rPr>
          <w:rFonts w:ascii="Times New Roman" w:cs="Times New Roman" w:eastAsia="Times New Roman" w:hAnsi="Times New Roman"/>
          <w:sz w:val="18"/>
          <w:szCs w:val="18"/>
          <w:color w:val="auto"/>
        </w:rPr>
        <w:t>Changes in the Applicable Margin and Facility Fee Rate set forth in the pricing grid above shall become effective on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1.1C</w:t>
      </w:r>
    </w:p>
    <w:p>
      <w:pPr>
        <w:sectPr>
          <w:pgSz w:w="11900" w:h="16838" w:orient="portrait"/>
          <w:cols w:equalWidth="0" w:num="1">
            <w:col w:w="10820"/>
          </w:cols>
          <w:pgMar w:left="540" w:top="267" w:right="539" w:bottom="1440" w:gutter="0" w:footer="0" w:header="0"/>
        </w:sectPr>
      </w:pPr>
    </w:p>
    <w:bookmarkStart w:id="158" w:name="page159"/>
    <w:bookmarkEnd w:id="158"/>
    <w:p>
      <w:pPr>
        <w:jc w:val="center"/>
        <w:ind w:left="9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1.1 D</w:t>
      </w:r>
    </w:p>
    <w:p>
      <w:pPr>
        <w:spacing w:after="0" w:line="36"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7"/>
          <w:szCs w:val="17"/>
          <w:color w:val="auto"/>
        </w:rPr>
        <w:t>Credit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EXISTING LIENS</w:t>
      </w:r>
    </w:p>
    <w:p>
      <w:pPr>
        <w:spacing w:after="0" w:line="218" w:lineRule="exact"/>
        <w:rPr>
          <w:sz w:val="20"/>
          <w:szCs w:val="20"/>
          <w:color w:val="auto"/>
        </w:rPr>
      </w:pPr>
    </w:p>
    <w:p>
      <w:pPr>
        <w:ind w:right="1420"/>
        <w:spacing w:after="0" w:line="443" w:lineRule="auto"/>
        <w:rPr>
          <w:sz w:val="20"/>
          <w:szCs w:val="20"/>
          <w:color w:val="auto"/>
        </w:rPr>
      </w:pPr>
      <w:r>
        <w:rPr>
          <w:rFonts w:ascii="Times New Roman" w:cs="Times New Roman" w:eastAsia="Times New Roman" w:hAnsi="Times New Roman"/>
          <w:sz w:val="18"/>
          <w:szCs w:val="18"/>
          <w:color w:val="auto"/>
        </w:rPr>
        <w:t>Liens reflected in the lien search results, dated as of March 29, 2023 delivered to the Administrative Agent prior to the Closing Date. Credit Agreement Schedule 1.1D</w:t>
      </w:r>
    </w:p>
    <w:p>
      <w:pPr>
        <w:sectPr>
          <w:pgSz w:w="11900" w:h="16838" w:orient="portrait"/>
          <w:cols w:equalWidth="0" w:num="1">
            <w:col w:w="10820"/>
          </w:cols>
          <w:pgMar w:left="540" w:top="267" w:right="539" w:bottom="1440" w:gutter="0" w:footer="0" w:header="0"/>
        </w:sectPr>
      </w:pPr>
    </w:p>
    <w:bookmarkStart w:id="159" w:name="page160"/>
    <w:bookmarkEnd w:id="159"/>
    <w:p>
      <w:pPr>
        <w:jc w:val="center"/>
        <w:ind w:left="94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1.1 E</w:t>
      </w:r>
    </w:p>
    <w:p>
      <w:pPr>
        <w:spacing w:after="0" w:line="36"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EXCLUDED SUBSIDIARY BUSINESSES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1.1E</w:t>
      </w:r>
    </w:p>
    <w:p>
      <w:pPr>
        <w:sectPr>
          <w:pgSz w:w="11900" w:h="16838" w:orient="portrait"/>
          <w:cols w:equalWidth="0" w:num="1">
            <w:col w:w="10820"/>
          </w:cols>
          <w:pgMar w:left="540" w:top="267" w:right="539" w:bottom="1440" w:gutter="0" w:footer="0" w:header="0"/>
        </w:sectPr>
      </w:pPr>
    </w:p>
    <w:bookmarkStart w:id="160" w:name="page161"/>
    <w:bookmarkEnd w:id="160"/>
    <w:p>
      <w:pPr>
        <w:ind w:left="9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4.6</w:t>
      </w:r>
    </w:p>
    <w:p>
      <w:pPr>
        <w:spacing w:after="0" w:line="36"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4.6</w:t>
      </w:r>
    </w:p>
    <w:p>
      <w:pPr>
        <w:sectPr>
          <w:pgSz w:w="11900" w:h="16838" w:orient="portrait"/>
          <w:cols w:equalWidth="0" w:num="1">
            <w:col w:w="10820"/>
          </w:cols>
          <w:pgMar w:left="540" w:top="267" w:right="5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Execution Version</w:t>
      </w:r>
    </w:p>
    <w:p>
      <w:pPr>
        <w:spacing w:after="0" w:line="11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170180</wp:posOffset>
            </wp:positionV>
            <wp:extent cx="68738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7387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212090</wp:posOffset>
            </wp:positionV>
            <wp:extent cx="68738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7387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FOURTH AMENDED AND RESTATED GUARANTEE AGREEMENT</w:t>
      </w:r>
    </w:p>
    <w:p>
      <w:pPr>
        <w:spacing w:after="0" w:line="21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made by</w:t>
      </w:r>
    </w:p>
    <w:p>
      <w:pPr>
        <w:spacing w:after="0" w:line="21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 xml:space="preserve">AND CERTAIN OTHER PERSONS FROM TIME TO TIME PARTIES HERETO, </w:t>
      </w:r>
      <w:r>
        <w:rPr>
          <w:rFonts w:ascii="Times New Roman" w:cs="Times New Roman" w:eastAsia="Times New Roman" w:hAnsi="Times New Roman"/>
          <w:sz w:val="17"/>
          <w:szCs w:val="17"/>
          <w:i w:val="1"/>
          <w:iCs w:val="1"/>
          <w:color w:val="auto"/>
        </w:rPr>
        <w:t>as the Guarantors</w:t>
      </w:r>
    </w:p>
    <w:p>
      <w:pPr>
        <w:spacing w:after="0" w:line="2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in favor of</w:t>
      </w:r>
    </w:p>
    <w:p>
      <w:pPr>
        <w:spacing w:after="0" w:line="21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Dated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183515</wp:posOffset>
            </wp:positionV>
            <wp:extent cx="68738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7387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225425</wp:posOffset>
            </wp:positionV>
            <wp:extent cx="68738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73875" cy="8255"/>
                    </a:xfrm>
                    <a:prstGeom prst="rect">
                      <a:avLst/>
                    </a:prstGeom>
                    <a:noFill/>
                  </pic:spPr>
                </pic:pic>
              </a:graphicData>
            </a:graphic>
          </wp:anchor>
        </w:drawing>
      </w:r>
    </w:p>
    <w:p>
      <w:pPr>
        <w:sectPr>
          <w:pgSz w:w="11900" w:h="16838" w:orient="portrait"/>
          <w:cols w:equalWidth="0" w:num="1">
            <w:col w:w="9920"/>
          </w:cols>
          <w:pgMar w:left="1440" w:top="263" w:right="5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2"/>
        </w:trPr>
        <w:tc>
          <w:tcPr>
            <w:tcW w:w="860" w:type="dxa"/>
            <w:vAlign w:val="bottom"/>
          </w:tcPr>
          <w:p>
            <w:pPr>
              <w:spacing w:after="0"/>
              <w:rPr>
                <w:sz w:val="20"/>
                <w:szCs w:val="20"/>
                <w:color w:val="auto"/>
              </w:rPr>
            </w:pPr>
          </w:p>
        </w:tc>
        <w:tc>
          <w:tcPr>
            <w:tcW w:w="75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TABLE OF CONTENTS</w:t>
            </w: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84"/>
        </w:trPr>
        <w:tc>
          <w:tcPr>
            <w:tcW w:w="8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7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DEFINED TERMS</w:t>
            </w:r>
          </w:p>
        </w:tc>
        <w:tc>
          <w:tcPr>
            <w:tcW w:w="21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9"/>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GUARANTEE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9"/>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Contribution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Subrogation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Reinstatement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MISCELLANEOUS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9"/>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in Writing</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Successors and Assigns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Headings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3.10</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Integration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3.13</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Judgment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3.14</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Guarantors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3.15</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3.16</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jc w:val="right"/>
        <w:spacing w:after="0"/>
        <w:rPr>
          <w:sz w:val="20"/>
          <w:szCs w:val="20"/>
          <w:color w:val="auto"/>
        </w:rPr>
        <w:sectPr>
          <w:pgSz w:w="11900" w:h="16838" w:orient="portrait"/>
          <w:cols w:equalWidth="0" w:num="1">
            <w:col w:w="10820"/>
          </w:cols>
          <w:pgMar w:left="540" w:top="267" w:right="53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w:t>
      </w:r>
    </w:p>
    <w:p>
      <w:pPr>
        <w:spacing w:after="0" w:line="24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Annex I</w:t>
      </w:r>
      <w:r>
        <w:rPr>
          <w:sz w:val="20"/>
          <w:szCs w:val="20"/>
          <w:color w:val="auto"/>
        </w:rPr>
        <w:tab/>
      </w:r>
      <w:r>
        <w:rPr>
          <w:rFonts w:ascii="Times New Roman" w:cs="Times New Roman" w:eastAsia="Times New Roman" w:hAnsi="Times New Roman"/>
          <w:sz w:val="17"/>
          <w:szCs w:val="17"/>
          <w:color w:val="auto"/>
        </w:rPr>
        <w:t>Form of Joinder Agreement</w:t>
      </w:r>
    </w:p>
    <w:p>
      <w:pPr>
        <w:spacing w:after="0" w:line="15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9919"/>
          </w:cols>
          <w:pgMar w:left="540" w:top="267" w:right="1440" w:bottom="1440" w:gutter="0" w:footer="0" w:header="0"/>
        </w:sectPr>
      </w:pPr>
    </w:p>
    <w:bookmarkStart w:id="164" w:name="page165"/>
    <w:bookmarkEnd w:id="164"/>
    <w:p>
      <w:pPr>
        <w:ind w:right="140" w:firstLine="97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FOURTH AMENDED AND RESTATED GUARANTEE AGREEMENT, dated as of March 31, 2023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by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Subsidiary Guarantors (such term and certain other capitalized terms used herein being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from time to time party hereto, and each of the Other Guarantors from time to time party hereto (together with the Company and the Subsidiary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party to the Fourth Amended and Restated Five Year Revolving Credit Agreement, dated as of the date hereof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other agents named therein.</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4" w:lineRule="exact"/>
        <w:rPr>
          <w:sz w:val="20"/>
          <w:szCs w:val="20"/>
          <w:color w:val="auto"/>
        </w:rPr>
      </w:pPr>
    </w:p>
    <w:p>
      <w:pPr>
        <w:ind w:right="320" w:firstLine="974"/>
        <w:spacing w:after="0" w:line="274" w:lineRule="auto"/>
        <w:rPr>
          <w:sz w:val="20"/>
          <w:szCs w:val="20"/>
          <w:color w:val="auto"/>
        </w:rPr>
      </w:pPr>
      <w:r>
        <w:rPr>
          <w:rFonts w:ascii="Times New Roman" w:cs="Times New Roman" w:eastAsia="Times New Roman" w:hAnsi="Times New Roman"/>
          <w:sz w:val="18"/>
          <w:szCs w:val="18"/>
          <w:color w:val="auto"/>
        </w:rPr>
        <w:t>WHEREAS, each of the Company, the Subsidiary Borrowers and any Applicable Account Party is a member of an affiliated group of companies that includes each other Guarantor;</w:t>
      </w:r>
    </w:p>
    <w:p>
      <w:pPr>
        <w:spacing w:after="0" w:line="164" w:lineRule="exact"/>
        <w:rPr>
          <w:sz w:val="20"/>
          <w:szCs w:val="20"/>
          <w:color w:val="auto"/>
        </w:rPr>
      </w:pPr>
    </w:p>
    <w:p>
      <w:pPr>
        <w:jc w:val="both"/>
        <w:ind w:right="180" w:firstLine="974"/>
        <w:spacing w:after="0" w:line="260"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to or for the account of the Company, any Subsidiary Borrower or any Applicable Account Party, as applicable, under the Credit Agreement; and</w:t>
      </w:r>
    </w:p>
    <w:p>
      <w:pPr>
        <w:spacing w:after="0" w:line="176" w:lineRule="exact"/>
        <w:rPr>
          <w:sz w:val="20"/>
          <w:szCs w:val="20"/>
          <w:color w:val="auto"/>
        </w:rPr>
      </w:pPr>
    </w:p>
    <w:p>
      <w:pPr>
        <w:jc w:val="both"/>
        <w:ind w:right="100" w:firstLine="974"/>
        <w:spacing w:after="0" w:line="260"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to make their respective extensions of credit to or for the account of the Company, any Subsidiary Borrower or any Applicable Account Party, as applicable, under the Credit Agreement that each Guarantor shall have executed and delivered this Agreement to the Administrative Agent;</w:t>
      </w:r>
    </w:p>
    <w:p>
      <w:pPr>
        <w:spacing w:after="0" w:line="176" w:lineRule="exact"/>
        <w:rPr>
          <w:sz w:val="20"/>
          <w:szCs w:val="20"/>
          <w:color w:val="auto"/>
        </w:rPr>
      </w:pPr>
    </w:p>
    <w:p>
      <w:pPr>
        <w:ind w:right="80" w:firstLine="974"/>
        <w:spacing w:after="0" w:line="255"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any Subsidiary Borrower or any Applicable Account Party, as applicable, under the Credit Agreement, each Guarantor hereby agrees with the Administrative Agent, for the benefit of the Guaranteed Parties, as follows:</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40"/>
          </w:cols>
          <w:pgMar w:left="540" w:top="267" w:right="619" w:bottom="1440" w:gutter="0" w:footer="0" w:header="0"/>
        </w:sectPr>
      </w:pPr>
    </w:p>
    <w:bookmarkStart w:id="165" w:name="page166"/>
    <w:bookmarkEnd w:id="16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1. DEFINED TERMS</w:t>
      </w:r>
    </w:p>
    <w:p>
      <w:pPr>
        <w:spacing w:after="0" w:line="218" w:lineRule="exact"/>
        <w:rPr>
          <w:sz w:val="20"/>
          <w:szCs w:val="20"/>
          <w:color w:val="auto"/>
        </w:rPr>
      </w:pPr>
    </w:p>
    <w:p>
      <w:pPr>
        <w:ind w:right="440" w:firstLine="974"/>
        <w:spacing w:after="0" w:line="27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 Unless otherwise defined herein, terms defined in the Credit Agreement and used herein shall have the meanings assigned to such terms in the Credit Agreement.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The following terms shall have the following meanings:</w:t>
      </w:r>
    </w:p>
    <w:p>
      <w:pPr>
        <w:spacing w:after="0" w:line="1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firstLine="97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Reimbursement Obligations and all other obligations and liabilities of the Company, the Subsidiary Borrowers and any Applicable Account Party (including interest on such other obligations or liabilities accruing at the then applicable rate provided in the Credit Agreement after the maturity of the Loans and Reimbursement Obligations, and interest accruing on the Loans, Reimbursement Obligations and such other obligations and liabilities at the then applicable rate provided in the Credit Agreement after the filing of any petition in bankruptcy, or the commencement of any insolvency, reorganization or like proceeding, relating to the Company, any Subsidiary Borrower or any Applicable Account Party, whether or not a claim for post-filing or post-petition interest is allowed in such proceeding) to the Administrative Agent, any Lender or any Issuing Lender thereunder, whether direct or indirect, absolute or contingent, due or to become due, or now existing or hereafter incurred, which may arise under, out of, or in connection with, the Loan Documents to which the Company, any Subsidiary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Lenders or the Issuing Lenders that are required to be paid by the Company, any Subsidiary Borrower or any Applicable Account Party pursuant to the terms of any of the Loan Documents).</w:t>
      </w:r>
    </w:p>
    <w:p>
      <w:pPr>
        <w:spacing w:after="0" w:line="193"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the Issuing Lenders and each other Person that holds a Guaranteed Obligation.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3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in each case, after or concurrently with termination of all commitments thereunder and payment in full in cash of all fees payable with respect to a Guaranteed Obligation at or prior to the time such principal and interest are paid.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540" w:top="267" w:right="579" w:bottom="1440" w:gutter="0" w:footer="0" w:header="0"/>
        </w:sectPr>
      </w:pPr>
    </w:p>
    <w:bookmarkStart w:id="166" w:name="page167"/>
    <w:bookmarkEnd w:id="166"/>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this Agreement pursuant to Section 6.6(a) or 10.1(b) of the Credit Agreement.</w:t>
      </w:r>
    </w:p>
    <w:p>
      <w:pPr>
        <w:spacing w:after="0" w:line="164"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(d) 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76" w:lineRule="exact"/>
        <w:rPr>
          <w:sz w:val="20"/>
          <w:szCs w:val="20"/>
          <w:color w:val="auto"/>
        </w:rPr>
      </w:pPr>
    </w:p>
    <w:p>
      <w:pPr>
        <w:ind w:left="1200" w:hanging="234"/>
        <w:spacing w:after="0"/>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17" w:lineRule="exact"/>
        <w:rPr>
          <w:rFonts w:ascii="Times New Roman" w:cs="Times New Roman" w:eastAsia="Times New Roman" w:hAnsi="Times New Roman"/>
          <w:sz w:val="18"/>
          <w:szCs w:val="18"/>
          <w:color w:val="auto"/>
        </w:rPr>
      </w:pPr>
    </w:p>
    <w:p>
      <w:pPr>
        <w:ind w:right="80" w:firstLine="966"/>
        <w:spacing w:after="0" w:line="253" w:lineRule="auto"/>
        <w:tabs>
          <w:tab w:leader="none" w:pos="12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18" w:lineRule="exact"/>
        <w:rPr>
          <w:sz w:val="20"/>
          <w:szCs w:val="20"/>
          <w:color w:val="auto"/>
        </w:rPr>
      </w:pPr>
    </w:p>
    <w:p>
      <w:pPr>
        <w:ind w:right="280" w:firstLine="974"/>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(e) 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and each Applicable Account Party, as applicable, when due (whether at the stated maturity, by acceleration or otherwise) and at all times thereafter, of all Guaranteed Obligations.</w:t>
      </w:r>
    </w:p>
    <w:p>
      <w:pPr>
        <w:spacing w:after="0" w:line="182" w:lineRule="exact"/>
        <w:rPr>
          <w:sz w:val="20"/>
          <w:szCs w:val="20"/>
          <w:color w:val="auto"/>
        </w:rPr>
      </w:pPr>
    </w:p>
    <w:p>
      <w:pPr>
        <w:ind w:right="180" w:firstLine="966"/>
        <w:spacing w:after="0" w:line="260" w:lineRule="auto"/>
        <w:tabs>
          <w:tab w:leader="none" w:pos="12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right="300" w:firstLine="966"/>
        <w:spacing w:after="0" w:line="260" w:lineRule="auto"/>
        <w:tabs>
          <w:tab w:leader="none" w:pos="12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176" w:lineRule="exact"/>
        <w:rPr>
          <w:rFonts w:ascii="Times New Roman" w:cs="Times New Roman" w:eastAsia="Times New Roman" w:hAnsi="Times New Roman"/>
          <w:sz w:val="18"/>
          <w:szCs w:val="18"/>
          <w:color w:val="auto"/>
        </w:rPr>
      </w:pPr>
    </w:p>
    <w:p>
      <w:pPr>
        <w:ind w:firstLine="966"/>
        <w:spacing w:after="0" w:line="260" w:lineRule="auto"/>
        <w:tabs>
          <w:tab w:leader="none" w:pos="12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or any Applicable Account Party may be free from any Guaranteed Obligations.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67" w:right="559" w:bottom="1440" w:gutter="0" w:footer="0" w:header="0"/>
        </w:sectPr>
      </w:pPr>
    </w:p>
    <w:bookmarkStart w:id="167" w:name="page168"/>
    <w:bookmarkEnd w:id="167"/>
    <w:p>
      <w:pPr>
        <w:ind w:right="60" w:firstLine="966"/>
        <w:spacing w:after="0" w:line="267" w:lineRule="auto"/>
        <w:tabs>
          <w:tab w:leader="none" w:pos="1224"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 payment made by the Company, any Subsidiary Borrower, any Applicable Account Party, any of the Guarantors, any other guarantor or any other Person or received or collected by any Guaranteed Party from the Company, any Subsidiary Borrower, any Applicable Account Party,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76"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82"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xml:space="preserve"> 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Applicable Account Party or any other Guarantor in respect of payments made by such Guarantor hereunder, until all amounts owing to the Guaranteed Parties by the Company, the Subsidiary Borrowers and any Applicable Account Party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93"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Amendments, etc. with respect to the Guaranteed Obligations</w:t>
      </w:r>
      <w:r>
        <w:rPr>
          <w:rFonts w:ascii="Times New Roman" w:cs="Times New Roman" w:eastAsia="Times New Roman" w:hAnsi="Times New Roman"/>
          <w:sz w:val="18"/>
          <w:szCs w:val="18"/>
          <w:color w:val="auto"/>
        </w:rPr>
        <w:t xml:space="preserve">. Other than as expressly contemplated by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7" w:right="559" w:bottom="1440" w:gutter="0" w:footer="0" w:header="0"/>
        </w:sectPr>
      </w:pPr>
    </w:p>
    <w:bookmarkStart w:id="168" w:name="page169"/>
    <w:bookmarkEnd w:id="168"/>
    <w:p>
      <w:pPr>
        <w:ind w:right="34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therefor or right of offset with respect thereto, may, from time to time, in whole or in part, be renewed, extended, amended, modified, accelerated, compromised, waived, surrendered or released by any Guaranteed Party, and the Credit Agreement and the other Loan Documents and any other documents executed and delivered in connection therewith may be amended, modified, supplemented or terminated, in whole or in part, as the Administrative Agent (or the Required Lenders, the Majority Facility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any property subject thereto.</w:t>
      </w:r>
    </w:p>
    <w:p>
      <w:pPr>
        <w:spacing w:after="0" w:line="185" w:lineRule="exact"/>
        <w:rPr>
          <w:sz w:val="20"/>
          <w:szCs w:val="20"/>
          <w:color w:val="auto"/>
        </w:rPr>
      </w:pPr>
    </w:p>
    <w:p>
      <w:pPr>
        <w:ind w:firstLine="974"/>
        <w:spacing w:after="0" w:line="261"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Guarantee Absolute and Unconditional</w:t>
      </w:r>
      <w:r>
        <w:rPr>
          <w:rFonts w:ascii="Times New Roman" w:cs="Times New Roman" w:eastAsia="Times New Roman" w:hAnsi="Times New Roman"/>
          <w:sz w:val="17"/>
          <w:szCs w:val="17"/>
          <w:color w:val="auto"/>
        </w:rPr>
        <w:t xml:space="preserve">. 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Applicable Account Party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Applicable Account Party or any other Person against any Guaranteed Party, (c) any law or regulation of any jurisdiction or any other event affecting any term of the Guaranteed Obligations or (d) any other circumstance whatsoever (with or without notice to or knowledge of the Company, any Subsidiary Borrower, any Applicable Account Party or such Guarantor) which constitutes, or might be construed to constitute, an equitable or legal discharge or defense of a surety or guarantor or any other obligor on any obligation of the Company, any Subsidiary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release of any Subsidiary Guarantor pursuant to </w:t>
      </w:r>
      <w:r>
        <w:rPr>
          <w:rFonts w:ascii="Times New Roman" w:cs="Times New Roman" w:eastAsia="Times New Roman" w:hAnsi="Times New Roman"/>
          <w:sz w:val="17"/>
          <w:szCs w:val="17"/>
          <w:u w:val="single" w:color="auto"/>
          <w:color w:val="auto"/>
        </w:rPr>
        <w:t>Section 3.15(b)</w:t>
      </w:r>
      <w:r>
        <w:rPr>
          <w:rFonts w:ascii="Times New Roman" w:cs="Times New Roman" w:eastAsia="Times New Roman" w:hAnsi="Times New Roman"/>
          <w:sz w:val="17"/>
          <w:szCs w:val="17"/>
          <w:color w:val="auto"/>
        </w:rPr>
        <w:t>, but subject to any release of such obligations hereunder to the extent provided in, and pursuant to the terms of,</w:t>
      </w:r>
    </w:p>
    <w:p>
      <w:pPr>
        <w:spacing w:after="0" w:line="1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and (y) each of the other Guarantors shall be released from its obligations hereunder to the extent provided in, and pursuant to the terms of,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When making any demand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540" w:top="267" w:right="559" w:bottom="1440" w:gutter="0" w:footer="0" w:header="0"/>
        </w:sectPr>
      </w:pPr>
    </w:p>
    <w:bookmarkStart w:id="169" w:name="page170"/>
    <w:bookmarkEnd w:id="169"/>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Applicable Account Party, any other Guarantor or any other Person or to realize upon any such collateral security or guarantee or to exercise any such right of offset, or any release of the Company, any Subsidiary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87" w:lineRule="exact"/>
        <w:rPr>
          <w:sz w:val="20"/>
          <w:szCs w:val="20"/>
          <w:color w:val="auto"/>
        </w:rPr>
      </w:pPr>
    </w:p>
    <w:p>
      <w:pPr>
        <w:ind w:right="20" w:firstLine="974"/>
        <w:spacing w:after="0" w:line="25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Applicable Account Party or any Guarantor, or upon or as a result of the appointment of a receiver, intervenor or conservator of, or trustee or similar officer for, the Company, any Subsidiary Borrower, any Applicable Account Party or any Guarantor or any substantial part of its property, or otherwise, all as though such payments had not been made.</w:t>
      </w:r>
    </w:p>
    <w:p>
      <w:pPr>
        <w:spacing w:after="0" w:line="187"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2.19 of the Credit Agreement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 MISCELLANEOUS</w:t>
      </w:r>
    </w:p>
    <w:p>
      <w:pPr>
        <w:spacing w:after="0" w:line="218" w:lineRule="exact"/>
        <w:rPr>
          <w:sz w:val="20"/>
          <w:szCs w:val="20"/>
          <w:color w:val="auto"/>
        </w:rPr>
      </w:pPr>
    </w:p>
    <w:p>
      <w:pPr>
        <w:ind w:right="140" w:firstLine="974"/>
        <w:spacing w:after="0" w:line="24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 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80"/>
          </w:cols>
          <w:pgMar w:left="540" w:top="267" w:right="579" w:bottom="1440" w:gutter="0" w:footer="0" w:header="0"/>
        </w:sectPr>
      </w:pPr>
    </w:p>
    <w:bookmarkStart w:id="170" w:name="page171"/>
    <w:bookmarkEnd w:id="170"/>
    <w:p>
      <w:pPr>
        <w:ind w:right="38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 xml:space="preserve">. 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w:t>
      </w:r>
    </w:p>
    <w:p>
      <w:pPr>
        <w:spacing w:after="0" w:line="164" w:lineRule="exact"/>
        <w:rPr>
          <w:sz w:val="20"/>
          <w:szCs w:val="20"/>
          <w:color w:val="auto"/>
        </w:rPr>
      </w:pPr>
    </w:p>
    <w:p>
      <w:pPr>
        <w:ind w:right="100" w:firstLine="974"/>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and demands to or upon the Administrative Agent or any Guarantor hereunder shall be effected in the manner provided for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request or demand to or upon any Guarantor shall be addressed to the Company at the addresses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(or such other address as the Company may at any time or from time to time provide for purposes of the Credit Agreement and this Agreement).</w:t>
      </w:r>
    </w:p>
    <w:p>
      <w:pPr>
        <w:spacing w:after="0" w:line="182" w:lineRule="exact"/>
        <w:rPr>
          <w:sz w:val="20"/>
          <w:szCs w:val="20"/>
          <w:color w:val="auto"/>
        </w:rPr>
      </w:pPr>
    </w:p>
    <w:p>
      <w:pPr>
        <w:ind w:right="60" w:firstLine="974"/>
        <w:spacing w:after="0" w:line="250"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Waiver by Course of Conduct; Cumulative Remedies</w:t>
      </w:r>
      <w:r>
        <w:rPr>
          <w:rFonts w:ascii="Times New Roman" w:cs="Times New Roman" w:eastAsia="Times New Roman" w:hAnsi="Times New Roman"/>
          <w:sz w:val="18"/>
          <w:szCs w:val="18"/>
          <w:color w:val="auto"/>
        </w:rPr>
        <w:t xml:space="preserve">. No Guaranteed Party shall by any act (except by a written instrument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85" w:lineRule="exact"/>
        <w:rPr>
          <w:sz w:val="20"/>
          <w:szCs w:val="20"/>
          <w:color w:val="auto"/>
        </w:rPr>
      </w:pPr>
    </w:p>
    <w:p>
      <w:pPr>
        <w:jc w:val="both"/>
        <w:ind w:right="80" w:firstLine="974"/>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Enforcement Expenses; Indemnification</w:t>
      </w:r>
      <w:r>
        <w:rPr>
          <w:rFonts w:ascii="Times New Roman" w:cs="Times New Roman" w:eastAsia="Times New Roman" w:hAnsi="Times New Roman"/>
          <w:sz w:val="18"/>
          <w:szCs w:val="18"/>
          <w:color w:val="auto"/>
        </w:rPr>
        <w:t xml:space="preserve">. (f) Without intending to duplicate the obligations of the Guarantors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and to the extent that the Company is required to pay or reimburse the Guaranteed Parties (or any of them), for various costs and expenses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or to indemnify the Indemnitees (or any of them) for the Indemnified Liabilities, in each case as and to the extent (and in the manner)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each Guarantor, jointly and severally, hereby agrees to make such payments or reimbursements and to provide such indemnification.</w:t>
      </w:r>
    </w:p>
    <w:p>
      <w:pPr>
        <w:spacing w:after="0" w:line="182" w:lineRule="exact"/>
        <w:rPr>
          <w:sz w:val="20"/>
          <w:szCs w:val="20"/>
          <w:color w:val="auto"/>
        </w:rPr>
      </w:pPr>
    </w:p>
    <w:p>
      <w:pPr>
        <w:ind w:right="360" w:firstLine="966"/>
        <w:spacing w:after="0" w:line="274" w:lineRule="auto"/>
        <w:tabs>
          <w:tab w:leader="none" w:pos="12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164"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the parties hereto and their respective successors and assigns and shall inure to the benefit of the Guaranteed Parties and their permitted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540" w:top="267" w:right="539" w:bottom="1440" w:gutter="0" w:footer="0" w:header="0"/>
        </w:sectPr>
      </w:pPr>
    </w:p>
    <w:bookmarkStart w:id="171" w:name="page172"/>
    <w:bookmarkEnd w:id="171"/>
    <w:p>
      <w:pPr>
        <w:ind w:right="24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provisions of Section 10.8 of the Credit Agreement are hereby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20" w:firstLine="974"/>
        <w:spacing w:after="0" w:line="260"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640" w:firstLine="974"/>
        <w:spacing w:after="0" w:line="274"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Section headings used in this Agreement are for convenience of reference only and are not to affect the construction hereof or be taken into consideration in the interpretation hereof.</w:t>
      </w:r>
    </w:p>
    <w:p>
      <w:pPr>
        <w:spacing w:after="0" w:line="164" w:lineRule="exact"/>
        <w:rPr>
          <w:sz w:val="20"/>
          <w:szCs w:val="20"/>
          <w:color w:val="auto"/>
        </w:rPr>
      </w:pPr>
    </w:p>
    <w:p>
      <w:pPr>
        <w:ind w:right="100" w:firstLine="974"/>
        <w:spacing w:after="0" w:line="282"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58" w:lineRule="exact"/>
        <w:rPr>
          <w:sz w:val="20"/>
          <w:szCs w:val="20"/>
          <w:color w:val="auto"/>
        </w:rPr>
      </w:pPr>
    </w:p>
    <w:p>
      <w:pPr>
        <w:jc w:val="both"/>
        <w:ind w:right="280" w:firstLine="974"/>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AND THE RIGHTS AND OBLIGATIONS OF THE PARTIES UNDER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SHALL BE GOVERNED BY, AND CONSTRUED AND INTERPRETED IN ACCORDANCE WITH, THE LAW OF THE STATE OF NEW YORK.</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Each Guarantor hereby irrevocably and unconditionally:</w:t>
      </w:r>
    </w:p>
    <w:p>
      <w:pPr>
        <w:spacing w:after="0" w:line="111" w:lineRule="exact"/>
        <w:rPr>
          <w:sz w:val="20"/>
          <w:szCs w:val="20"/>
          <w:color w:val="auto"/>
        </w:rPr>
      </w:pPr>
    </w:p>
    <w:p>
      <w:pPr>
        <w:ind w:right="40" w:firstLine="966"/>
        <w:spacing w:after="0" w:line="255" w:lineRule="auto"/>
        <w:tabs>
          <w:tab w:leader="none" w:pos="12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81" w:lineRule="exact"/>
        <w:rPr>
          <w:rFonts w:ascii="Times New Roman" w:cs="Times New Roman" w:eastAsia="Times New Roman" w:hAnsi="Times New Roman"/>
          <w:sz w:val="18"/>
          <w:szCs w:val="18"/>
          <w:color w:val="auto"/>
        </w:rPr>
      </w:pPr>
    </w:p>
    <w:p>
      <w:pPr>
        <w:jc w:val="both"/>
        <w:ind w:right="40" w:firstLine="966"/>
        <w:spacing w:after="0" w:line="260" w:lineRule="auto"/>
        <w:tabs>
          <w:tab w:leader="none" w:pos="12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6" w:lineRule="exact"/>
        <w:rPr>
          <w:rFonts w:ascii="Times New Roman" w:cs="Times New Roman" w:eastAsia="Times New Roman" w:hAnsi="Times New Roman"/>
          <w:sz w:val="18"/>
          <w:szCs w:val="18"/>
          <w:color w:val="auto"/>
        </w:rPr>
      </w:pPr>
    </w:p>
    <w:p>
      <w:pPr>
        <w:ind w:firstLine="966"/>
        <w:spacing w:after="0" w:line="260" w:lineRule="auto"/>
        <w:tabs>
          <w:tab w:leader="none" w:pos="12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76" w:lineRule="exact"/>
        <w:rPr>
          <w:rFonts w:ascii="Times New Roman" w:cs="Times New Roman" w:eastAsia="Times New Roman" w:hAnsi="Times New Roman"/>
          <w:sz w:val="18"/>
          <w:szCs w:val="18"/>
          <w:color w:val="auto"/>
        </w:rPr>
      </w:pPr>
    </w:p>
    <w:p>
      <w:pPr>
        <w:ind w:right="720" w:firstLine="966"/>
        <w:spacing w:after="0" w:line="274" w:lineRule="auto"/>
        <w:tabs>
          <w:tab w:leader="none" w:pos="12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540" w:top="267" w:right="559" w:bottom="1440" w:gutter="0" w:footer="0" w:header="0"/>
        </w:sectPr>
      </w:pPr>
    </w:p>
    <w:bookmarkStart w:id="172" w:name="page173"/>
    <w:bookmarkEnd w:id="172"/>
    <w:p>
      <w:pPr>
        <w:ind w:right="100" w:firstLine="966"/>
        <w:spacing w:after="0" w:line="274" w:lineRule="auto"/>
        <w:tabs>
          <w:tab w:leader="none" w:pos="12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agrees that nothing herein shall affect the right to effect service of process in any other manner permitted by law or shall limit the right to sue in any other jurisdiction; and</w:t>
      </w:r>
    </w:p>
    <w:p>
      <w:pPr>
        <w:spacing w:after="0" w:line="164" w:lineRule="exact"/>
        <w:rPr>
          <w:rFonts w:ascii="Times New Roman" w:cs="Times New Roman" w:eastAsia="Times New Roman" w:hAnsi="Times New Roman"/>
          <w:sz w:val="18"/>
          <w:szCs w:val="18"/>
          <w:color w:val="auto"/>
        </w:rPr>
      </w:pPr>
    </w:p>
    <w:p>
      <w:pPr>
        <w:ind w:right="520" w:firstLine="966"/>
        <w:spacing w:after="0" w:line="274" w:lineRule="auto"/>
        <w:tabs>
          <w:tab w:leader="none" w:pos="11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4" w:lineRule="exact"/>
        <w:rPr>
          <w:sz w:val="20"/>
          <w:szCs w:val="20"/>
          <w:color w:val="auto"/>
        </w:rPr>
      </w:pPr>
    </w:p>
    <w:p>
      <w:pPr>
        <w:ind w:right="560" w:firstLine="974"/>
        <w:spacing w:after="0" w:line="27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xml:space="preserve">. 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right="100" w:firstLine="974"/>
        <w:spacing w:after="0" w:line="255"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 xml:space="preserve">. Each Subsidiary of the Company that is required to become a party to this Agreement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Credit Agreement, and each other Person (whether or not a Subsidiary of the Company) that the Company desires to become a party to this Agreement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Credit Agreement or otherwise, shall become a Guarantor for all purposes of this Agreement upon execution and delivery by such Subsidiary or other Person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80" w:firstLine="974"/>
        <w:spacing w:after="0" w:line="260"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xml:space="preserve">. (g) Upon the satisfaction of the conditions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76" w:lineRule="exact"/>
        <w:rPr>
          <w:sz w:val="20"/>
          <w:szCs w:val="20"/>
          <w:color w:val="auto"/>
        </w:rPr>
      </w:pPr>
    </w:p>
    <w:p>
      <w:pPr>
        <w:jc w:val="both"/>
        <w:ind w:right="80" w:firstLine="425"/>
        <w:spacing w:after="0" w:line="260" w:lineRule="auto"/>
        <w:tabs>
          <w:tab w:leader="none" w:pos="68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176" w:lineRule="exact"/>
        <w:rPr>
          <w:rFonts w:ascii="Times New Roman" w:cs="Times New Roman" w:eastAsia="Times New Roman" w:hAnsi="Times New Roman"/>
          <w:sz w:val="18"/>
          <w:szCs w:val="18"/>
          <w:color w:val="auto"/>
        </w:rPr>
      </w:pPr>
    </w:p>
    <w:p>
      <w:pPr>
        <w:ind w:right="40" w:firstLine="966"/>
        <w:spacing w:after="0" w:line="260" w:lineRule="auto"/>
        <w:tabs>
          <w:tab w:leader="none" w:pos="122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firstLine="974"/>
        <w:spacing w:after="0" w:line="261"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GUARANTOR AND THE ADMINISTRATIVE AGENT HEREBY IRREVOCABLY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UNCONDITIONALLY WAIVE TRIAL BY JURY IN ANY LEGAL ACTION OR PROCEEDING RELATING TO THIS AGREEMENT OR ANY OTHER LOAN DOCUMENT AND FOR ANY COUNTERCLAIM THEREIN.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Remainder of this page intentionally left blank.]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40" w:top="267" w:right="539" w:bottom="1440" w:gutter="0" w:footer="0" w:header="0"/>
        </w:sectPr>
      </w:pPr>
    </w:p>
    <w:bookmarkStart w:id="173" w:name="page174"/>
    <w:bookmarkEnd w:id="173"/>
    <w:p>
      <w:pPr>
        <w:ind w:left="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 xml:space="preserve">GENERAL MOTORS COMPANY, </w:t>
      </w:r>
      <w:r>
        <w:rPr>
          <w:rFonts w:ascii="Times New Roman" w:cs="Times New Roman" w:eastAsia="Times New Roman" w:hAnsi="Times New Roman"/>
          <w:sz w:val="18"/>
          <w:szCs w:val="18"/>
          <w:i w:val="1"/>
          <w:iCs w:val="1"/>
          <w:color w:val="auto"/>
        </w:rPr>
        <w:t>as the Company</w:t>
      </w:r>
    </w:p>
    <w:p>
      <w:pPr>
        <w:spacing w:after="0" w:line="22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15240</wp:posOffset>
            </wp:positionV>
            <wp:extent cx="25609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11430</wp:posOffset>
            </wp:positionV>
            <wp:extent cx="21983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11430</wp:posOffset>
            </wp:positionV>
            <wp:extent cx="21983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to 5-Year Guarantee Agreement</w:t>
      </w:r>
    </w:p>
    <w:p>
      <w:pPr>
        <w:sectPr>
          <w:pgSz w:w="11900" w:h="16838" w:orient="portrait"/>
          <w:cols w:equalWidth="0" w:num="1">
            <w:col w:w="10760"/>
          </w:cols>
          <w:pgMar w:left="540" w:top="267" w:right="5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ACCEPTED AND AGREED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15240</wp:posOffset>
            </wp:positionV>
            <wp:extent cx="23920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920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82"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Signature Page to 5-Year Guarantee Agreement</w:t>
      </w:r>
    </w:p>
    <w:p>
      <w:pPr>
        <w:sectPr>
          <w:pgSz w:w="11900" w:h="16838" w:orient="portrait"/>
          <w:cols w:equalWidth="0" w:num="1">
            <w:col w:w="9919"/>
          </w:cols>
          <w:pgMar w:left="540" w:top="267" w:right="1440" w:bottom="1440" w:gutter="0" w:footer="0" w:header="0"/>
        </w:sectPr>
      </w:pPr>
    </w:p>
    <w:bookmarkStart w:id="175" w:name="page176"/>
    <w:bookmarkEnd w:id="175"/>
    <w:p>
      <w:pPr>
        <w:ind w:left="9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1</w:t>
      </w:r>
    </w:p>
    <w:p>
      <w:pPr>
        <w:spacing w:after="0" w:line="25"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198" w:lineRule="exact"/>
        <w:rPr>
          <w:sz w:val="20"/>
          <w:szCs w:val="20"/>
          <w:color w:val="auto"/>
        </w:rPr>
      </w:pPr>
    </w:p>
    <w:p>
      <w:pPr>
        <w:ind w:left="960"/>
        <w:spacing w:after="0"/>
        <w:tabs>
          <w:tab w:leader="none" w:pos="9680" w:val="left"/>
        </w:tabs>
        <w:rPr>
          <w:sz w:val="20"/>
          <w:szCs w:val="20"/>
          <w:color w:val="auto"/>
        </w:rPr>
      </w:pPr>
      <w:r>
        <w:rPr>
          <w:rFonts w:ascii="Times New Roman" w:cs="Times New Roman" w:eastAsia="Times New Roman" w:hAnsi="Times New Roman"/>
          <w:sz w:val="18"/>
          <w:szCs w:val="18"/>
          <w:color w:val="auto"/>
        </w:rPr>
        <w:t>JOINDER AGREEMENT, dated as of ________________, 20__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w:t>
      </w:r>
      <w:r>
        <w:rPr>
          <w:sz w:val="20"/>
          <w:szCs w:val="20"/>
          <w:color w:val="auto"/>
        </w:rPr>
        <w:tab/>
      </w:r>
      <w:r>
        <w:rPr>
          <w:rFonts w:ascii="Times New Roman" w:cs="Times New Roman" w:eastAsia="Times New Roman" w:hAnsi="Times New Roman"/>
          <w:sz w:val="18"/>
          <w:szCs w:val="18"/>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-9525</wp:posOffset>
            </wp:positionV>
            <wp:extent cx="9264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26465" cy="8255"/>
                    </a:xfrm>
                    <a:prstGeom prst="rect">
                      <a:avLst/>
                    </a:prstGeom>
                    <a:noFill/>
                  </pic:spPr>
                </pic:pic>
              </a:graphicData>
            </a:graphic>
          </wp:anchor>
        </w:drawing>
      </w:r>
    </w:p>
    <w:p>
      <w:pPr>
        <w:spacing w:after="0" w:line="5"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Guarantor</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18" w:lineRule="exact"/>
        <w:rPr>
          <w:sz w:val="20"/>
          <w:szCs w:val="20"/>
          <w:color w:val="auto"/>
        </w:rPr>
      </w:pPr>
    </w:p>
    <w:p>
      <w:pPr>
        <w:ind w:right="60" w:firstLine="974"/>
        <w:spacing w:after="0" w:line="249" w:lineRule="auto"/>
        <w:rPr>
          <w:sz w:val="20"/>
          <w:szCs w:val="20"/>
          <w:color w:val="auto"/>
        </w:rPr>
      </w:pPr>
      <w:r>
        <w:rPr>
          <w:rFonts w:ascii="Times New Roman" w:cs="Times New Roman" w:eastAsia="Times New Roman" w:hAnsi="Times New Roman"/>
          <w:sz w:val="18"/>
          <w:szCs w:val="18"/>
          <w:color w:val="auto"/>
        </w:rPr>
        <w:t>WHEREAS, pursuant to the terms of the certain Fourth Amended and Restated Five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from time to time parties thereto, the Lenders from time to time party thereto, the Administrative Agent, Citibank, N.A., as syndication agent, Bank of America, N.A., as co-syndication agent, and the other agents named therein, the Company [has][and certain of its Subsidiaries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together with the Company and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Fourth Amended and Restated Guarantee Agreement, dated as of March 31,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190" w:lineRule="exact"/>
        <w:rPr>
          <w:sz w:val="20"/>
          <w:szCs w:val="20"/>
          <w:color w:val="auto"/>
        </w:rPr>
      </w:pPr>
    </w:p>
    <w:p>
      <w:pPr>
        <w:ind w:right="500" w:firstLine="974"/>
        <w:spacing w:after="0" w:line="274"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111" w:lineRule="exact"/>
        <w:rPr>
          <w:sz w:val="20"/>
          <w:szCs w:val="20"/>
          <w:color w:val="auto"/>
        </w:rPr>
      </w:pPr>
    </w:p>
    <w:p>
      <w:pPr>
        <w:ind w:right="20" w:firstLine="966"/>
        <w:spacing w:after="0" w:line="255" w:lineRule="auto"/>
        <w:tabs>
          <w:tab w:leader="none" w:pos="11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9" w:lineRule="exact"/>
        <w:rPr>
          <w:rFonts w:ascii="Times New Roman" w:cs="Times New Roman" w:eastAsia="Times New Roman" w:hAnsi="Times New Roman"/>
          <w:sz w:val="18"/>
          <w:szCs w:val="18"/>
          <w:color w:val="auto"/>
        </w:rPr>
      </w:pPr>
    </w:p>
    <w:p>
      <w:pPr>
        <w:ind w:right="340" w:firstLine="966"/>
        <w:spacing w:after="0" w:line="261" w:lineRule="auto"/>
        <w:tabs>
          <w:tab w:leader="none" w:pos="11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0820"/>
          </w:cols>
          <w:pgMar w:left="540" w:top="267" w:right="539" w:bottom="1440" w:gutter="0" w:footer="0" w:header="0"/>
        </w:sectPr>
      </w:pPr>
    </w:p>
    <w:bookmarkStart w:id="176" w:name="page177"/>
    <w:bookmarkEnd w:id="176"/>
    <w:p>
      <w:pPr>
        <w:ind w:left="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60"/>
          </w:cols>
          <w:pgMar w:left="540" w:top="267" w:right="5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ACCEPTED AND AGREED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15240</wp:posOffset>
            </wp:positionV>
            <wp:extent cx="23920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920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919"/>
          </w:cols>
          <w:pgMar w:left="540" w:top="267" w:right="1440" w:bottom="1440" w:gutter="0" w:footer="0" w:header="0"/>
        </w:sectPr>
      </w:pPr>
    </w:p>
    <w:bookmarkStart w:id="178" w:name="page179"/>
    <w:bookmarkEnd w:id="178"/>
    <w:p>
      <w:pPr>
        <w:ind w:left="87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B</w:t>
      </w:r>
    </w:p>
    <w:p>
      <w:pPr>
        <w:spacing w:after="0" w:line="2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920"/>
          </w:cols>
          <w:pgMar w:left="1440" w:top="265" w:right="539" w:bottom="1440" w:gutter="0" w:footer="0" w:header="0"/>
        </w:sectPr>
      </w:pPr>
    </w:p>
    <w:bookmarkStart w:id="179" w:name="page180"/>
    <w:bookmarkEnd w:id="179"/>
    <w:p>
      <w:pPr>
        <w:ind w:left="8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C</w:t>
      </w:r>
    </w:p>
    <w:p>
      <w:pPr>
        <w:spacing w:after="0" w:line="2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920"/>
          </w:cols>
          <w:pgMar w:left="1440" w:top="265" w:right="539" w:bottom="1440" w:gutter="0" w:footer="0" w:header="0"/>
        </w:sectPr>
      </w:pPr>
    </w:p>
    <w:bookmarkStart w:id="180" w:name="page181"/>
    <w:bookmarkEnd w:id="180"/>
    <w:p>
      <w:pPr>
        <w:ind w:left="8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D</w:t>
      </w:r>
    </w:p>
    <w:p>
      <w:pPr>
        <w:spacing w:after="0" w:line="2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920"/>
          </w:cols>
          <w:pgMar w:left="1440" w:top="265" w:right="539" w:bottom="1440" w:gutter="0" w:footer="0" w:header="0"/>
        </w:sectPr>
      </w:pPr>
    </w:p>
    <w:bookmarkStart w:id="181" w:name="page182"/>
    <w:bookmarkEnd w:id="181"/>
    <w:p>
      <w:pPr>
        <w:ind w:left="9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E</w:t>
      </w:r>
    </w:p>
    <w:p>
      <w:pPr>
        <w:spacing w:after="0" w:line="27"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FORM OF INCREMENTAL LOAN ACTIVATION NOTICE</w:t>
      </w: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 referred to below</w:t>
      </w:r>
    </w:p>
    <w:p>
      <w:pPr>
        <w:spacing w:after="0" w:line="198" w:lineRule="exact"/>
        <w:rPr>
          <w:sz w:val="20"/>
          <w:szCs w:val="20"/>
          <w:color w:val="auto"/>
        </w:rPr>
      </w:pPr>
    </w:p>
    <w:p>
      <w:pPr>
        <w:ind w:right="40" w:firstLine="433"/>
        <w:spacing w:after="0" w:line="269" w:lineRule="auto"/>
        <w:rPr>
          <w:sz w:val="20"/>
          <w:szCs w:val="20"/>
          <w:color w:val="auto"/>
        </w:rPr>
      </w:pPr>
      <w:r>
        <w:rPr>
          <w:rFonts w:ascii="Times New Roman" w:cs="Times New Roman" w:eastAsia="Times New Roman" w:hAnsi="Times New Roman"/>
          <w:sz w:val="17"/>
          <w:szCs w:val="17"/>
          <w:color w:val="auto"/>
        </w:rPr>
        <w:t>Reference is made to the Fourth Amended and Restated Five Year Revolving Credit Agreement, dated as of March 31, 2023,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This notice is an Incremental Loan Activation Notice referred to in the Credit Agreement, and the Company and each of the lenders party hereto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hereby notify you that:</w:t>
      </w:r>
    </w:p>
    <w:p>
      <w:pPr>
        <w:spacing w:after="0" w:line="58" w:lineRule="exact"/>
        <w:rPr>
          <w:sz w:val="20"/>
          <w:szCs w:val="20"/>
          <w:color w:val="auto"/>
        </w:rPr>
      </w:pPr>
    </w:p>
    <w:p>
      <w:pPr>
        <w:ind w:right="380" w:firstLine="966"/>
        <w:spacing w:after="0" w:line="260" w:lineRule="auto"/>
        <w:tabs>
          <w:tab w:leader="none" w:pos="11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party hereto agrees to commit to an Incremental Facility or increase the amount of its existing [Domestic] [Multicurrency] Commitment in the amount set forth opposite such Incremental Lender’s name on the signature pages hereof under the caption “Incremental Commitment”.</w:t>
      </w:r>
    </w:p>
    <w:p>
      <w:pPr>
        <w:spacing w:after="0" w:line="176"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Facility Closing Date][Commitment Increase Date] is ___________________.</w:t>
      </w:r>
    </w:p>
    <w:p>
      <w:pPr>
        <w:spacing w:after="0" w:line="217"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Loan Maturity Date is _____________.]</w:t>
      </w:r>
    </w:p>
    <w:p>
      <w:pPr>
        <w:spacing w:after="0" w:line="217"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available under the Incremental Facility [is][are] _______________________.]</w:t>
      </w:r>
    </w:p>
    <w:p>
      <w:pPr>
        <w:spacing w:after="0" w:line="217"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under the Incremental Facility [is][are] ____________.]</w:t>
      </w:r>
    </w:p>
    <w:p>
      <w:pPr>
        <w:spacing w:after="0" w:line="217" w:lineRule="exact"/>
        <w:rPr>
          <w:rFonts w:ascii="Times New Roman" w:cs="Times New Roman" w:eastAsia="Times New Roman" w:hAnsi="Times New Roman"/>
          <w:sz w:val="18"/>
          <w:szCs w:val="18"/>
          <w:color w:val="auto"/>
        </w:rPr>
      </w:pPr>
    </w:p>
    <w:p>
      <w:pPr>
        <w:ind w:firstLine="966"/>
        <w:spacing w:after="0" w:line="274" w:lineRule="auto"/>
        <w:tabs>
          <w:tab w:leader="none" w:pos="11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 other fees applicable to the Incremental Loans and other extensions of credit to be made available under the Incremental Facility are: ______________________________________________________.]</w:t>
      </w:r>
    </w:p>
    <w:p>
      <w:pPr>
        <w:spacing w:after="0" w:line="164" w:lineRule="exact"/>
        <w:rPr>
          <w:rFonts w:ascii="Times New Roman" w:cs="Times New Roman" w:eastAsia="Times New Roman" w:hAnsi="Times New Roman"/>
          <w:sz w:val="18"/>
          <w:szCs w:val="18"/>
          <w:color w:val="auto"/>
        </w:rPr>
      </w:pPr>
    </w:p>
    <w:p>
      <w:pPr>
        <w:ind w:right="80" w:firstLine="966"/>
        <w:spacing w:after="0" w:line="274" w:lineRule="auto"/>
        <w:tabs>
          <w:tab w:leader="none" w:pos="11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ectPr>
          <w:pgSz w:w="11900" w:h="16838" w:orient="portrait"/>
          <w:cols w:equalWidth="0" w:num="1">
            <w:col w:w="10820"/>
          </w:cols>
          <w:pgMar w:left="540" w:top="265" w:right="539" w:bottom="1440" w:gutter="0" w:footer="0" w:header="0"/>
        </w:sectPr>
      </w:pPr>
    </w:p>
    <w:bookmarkStart w:id="182" w:name="page183"/>
    <w:bookmarkEnd w:id="182"/>
    <w:p>
      <w:pPr>
        <w:ind w:left="8" w:right="260" w:firstLine="966"/>
        <w:spacing w:after="0" w:line="260" w:lineRule="auto"/>
        <w:tabs>
          <w:tab w:leader="none" w:pos="11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70" w:lineRule="exact"/>
        <w:rPr>
          <w:rFonts w:ascii="Times New Roman" w:cs="Times New Roman" w:eastAsia="Times New Roman" w:hAnsi="Times New Roman"/>
          <w:sz w:val="18"/>
          <w:szCs w:val="18"/>
          <w:color w:val="auto"/>
        </w:rPr>
      </w:pPr>
    </w:p>
    <w:p>
      <w:pPr>
        <w:ind w:left="1608" w:hanging="240"/>
        <w:spacing w:after="0"/>
        <w:tabs>
          <w:tab w:leader="none" w:pos="1608"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this notice, executed and delivered by the Company and each Incremental Lender</w:t>
      </w:r>
    </w:p>
    <w:p>
      <w:pPr>
        <w:spacing w:after="0" w:line="36" w:lineRule="exact"/>
        <w:rPr>
          <w:rFonts w:ascii="Times New Roman" w:cs="Times New Roman" w:eastAsia="Times New Roman" w:hAnsi="Times New Roman"/>
          <w:sz w:val="17"/>
          <w:szCs w:val="17"/>
          <w:color w:val="auto"/>
        </w:rPr>
      </w:pPr>
    </w:p>
    <w:p>
      <w:pPr>
        <w:ind w:left="4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party hereto.</w:t>
      </w:r>
    </w:p>
    <w:p>
      <w:pPr>
        <w:spacing w:after="0" w:line="92" w:lineRule="exact"/>
        <w:rPr>
          <w:rFonts w:ascii="Times New Roman" w:cs="Times New Roman" w:eastAsia="Times New Roman" w:hAnsi="Times New Roman"/>
          <w:sz w:val="17"/>
          <w:szCs w:val="17"/>
          <w:color w:val="auto"/>
        </w:rPr>
      </w:pPr>
    </w:p>
    <w:p>
      <w:pPr>
        <w:ind w:left="428" w:firstLine="940"/>
        <w:spacing w:after="0" w:line="230" w:lineRule="auto"/>
        <w:tabs>
          <w:tab w:leader="none" w:pos="161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(ii) the sum of the Total Commitments in effect (including, for the avoidance of doubt, Incremental Commitments) and the 5-Year Total Commitments (including, for the avoidance of doubt, any commitments under incremental facilities under the 5-Year Revolving Credit Agreement in effect) shall not exceed $17 billion.</w:t>
      </w:r>
    </w:p>
    <w:p>
      <w:pPr>
        <w:spacing w:after="0" w:line="193" w:lineRule="exact"/>
        <w:rPr>
          <w:rFonts w:ascii="Times New Roman" w:cs="Times New Roman" w:eastAsia="Times New Roman" w:hAnsi="Times New Roman"/>
          <w:sz w:val="18"/>
          <w:szCs w:val="18"/>
          <w:color w:val="auto"/>
        </w:rPr>
      </w:pPr>
    </w:p>
    <w:p>
      <w:pPr>
        <w:ind w:left="8" w:right="620" w:firstLine="966"/>
        <w:spacing w:after="0" w:line="274" w:lineRule="auto"/>
        <w:tabs>
          <w:tab w:leader="none" w:pos="11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6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499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92" w:lineRule="exact"/>
        <w:rPr>
          <w:sz w:val="20"/>
          <w:szCs w:val="20"/>
          <w:color w:val="auto"/>
        </w:rPr>
      </w:pPr>
    </w:p>
    <w:p>
      <w:pPr>
        <w:ind w:left="428" w:hanging="428"/>
        <w:spacing w:after="0"/>
        <w:tabs>
          <w:tab w:leader="none" w:pos="428" w:val="left"/>
        </w:tabs>
        <w:numPr>
          <w:ilvl w:val="0"/>
          <w:numId w:val="1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deleted if agreed by the Lenders providing such Incremental Facility.</w:t>
      </w:r>
    </w:p>
    <w:p>
      <w:pPr>
        <w:sectPr>
          <w:pgSz w:w="11900" w:h="16838" w:orient="portrait"/>
          <w:cols w:equalWidth="0" w:num="1">
            <w:col w:w="10808"/>
          </w:cols>
          <w:pgMar w:left="532" w:top="267" w:right="55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Incremental Loan Commitment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-211455</wp:posOffset>
            </wp:positionV>
            <wp:extent cx="717677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15240</wp:posOffset>
            </wp:positionV>
            <wp:extent cx="3159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59125" cy="8255"/>
                    </a:xfrm>
                    <a:prstGeom prst="rect">
                      <a:avLst/>
                    </a:prstGeom>
                    <a:noFill/>
                  </pic:spPr>
                </pic:pic>
              </a:graphicData>
            </a:graphic>
          </wp:anchor>
        </w:drawing>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EACH INCREMENTAL 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15240</wp:posOffset>
            </wp:positionV>
            <wp:extent cx="31591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59125" cy="8255"/>
                    </a:xfrm>
                    <a:prstGeom prst="rect">
                      <a:avLst/>
                    </a:prstGeom>
                    <a:noFill/>
                  </pic:spPr>
                </pic:pic>
              </a:graphicData>
            </a:graphic>
          </wp:anchor>
        </w:drawing>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2">
            <w:col w:w="4800" w:space="720"/>
            <w:col w:w="4399"/>
          </w:cols>
          <w:pgMar w:left="540" w:top="267" w:right="1440" w:bottom="1440" w:gutter="0" w:footer="0" w:header="0"/>
        </w:sectPr>
      </w:pPr>
    </w:p>
    <w:bookmarkStart w:id="184" w:name="page185"/>
    <w:bookmarkEnd w:id="184"/>
    <w:p>
      <w:pPr>
        <w:ind w:left="964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F</w:t>
      </w:r>
    </w:p>
    <w:p>
      <w:pPr>
        <w:spacing w:after="0" w:line="27" w:lineRule="exact"/>
        <w:rPr>
          <w:sz w:val="20"/>
          <w:szCs w:val="20"/>
          <w:color w:val="auto"/>
        </w:rPr>
      </w:pPr>
    </w:p>
    <w:p>
      <w:pPr>
        <w:ind w:left="10068"/>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ind w:left="9468"/>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[NAME OF LOAN PARTY]</w:t>
      </w:r>
    </w:p>
    <w:p>
      <w:pPr>
        <w:spacing w:after="0" w:line="198" w:lineRule="exact"/>
        <w:rPr>
          <w:sz w:val="20"/>
          <w:szCs w:val="20"/>
          <w:color w:val="auto"/>
        </w:rPr>
      </w:pPr>
    </w:p>
    <w:p>
      <w:pPr>
        <w:ind w:left="9508"/>
        <w:spacing w:after="0"/>
        <w:rPr>
          <w:sz w:val="20"/>
          <w:szCs w:val="20"/>
          <w:color w:val="auto"/>
        </w:rPr>
      </w:pPr>
      <w:r>
        <w:rPr>
          <w:rFonts w:ascii="Times New Roman" w:cs="Times New Roman" w:eastAsia="Times New Roman" w:hAnsi="Times New Roman"/>
          <w:sz w:val="17"/>
          <w:szCs w:val="17"/>
          <w:color w:val="auto"/>
        </w:rPr>
        <w:t>__________, 20__</w:t>
      </w:r>
    </w:p>
    <w:p>
      <w:pPr>
        <w:spacing w:after="0" w:line="229" w:lineRule="exact"/>
        <w:rPr>
          <w:sz w:val="20"/>
          <w:szCs w:val="20"/>
          <w:color w:val="auto"/>
        </w:rPr>
      </w:pPr>
    </w:p>
    <w:p>
      <w:pPr>
        <w:ind w:left="8" w:right="160" w:firstLine="433"/>
        <w:spacing w:after="0" w:line="263" w:lineRule="auto"/>
        <w:rPr>
          <w:sz w:val="20"/>
          <w:szCs w:val="20"/>
          <w:color w:val="auto"/>
        </w:rPr>
      </w:pPr>
      <w:r>
        <w:rPr>
          <w:rFonts w:ascii="Times New Roman" w:cs="Times New Roman" w:eastAsia="Times New Roman" w:hAnsi="Times New Roman"/>
          <w:sz w:val="17"/>
          <w:szCs w:val="17"/>
          <w:color w:val="auto"/>
        </w:rPr>
        <w:t>This Certificate is furnished pursuant to (i) Section 5.1(c) of that certain Fifth Amended and Restated Three Year Revolving Credit Agreement, dated as of March 31, 2023 (as amended, restated, amended and restated, renewed, supplemented or modified from time to time, the “</w:t>
      </w:r>
      <w:r>
        <w:rPr>
          <w:rFonts w:ascii="Times New Roman" w:cs="Times New Roman" w:eastAsia="Times New Roman" w:hAnsi="Times New Roman"/>
          <w:sz w:val="17"/>
          <w:szCs w:val="17"/>
          <w:u w:val="single" w:color="auto"/>
          <w:color w:val="auto"/>
        </w:rPr>
        <w:t>3-Year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General Motors Company (together with its successors and permitted assigns,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w:t>
      </w:r>
      <w:r>
        <w:rPr>
          <w:rFonts w:ascii="Times New Roman" w:cs="Times New Roman" w:eastAsia="Times New Roman" w:hAnsi="Times New Roman"/>
          <w:sz w:val="17"/>
          <w:szCs w:val="17"/>
          <w:u w:val="single" w:color="auto"/>
          <w:color w:val="auto"/>
        </w:rPr>
        <w:t>GMF</w:t>
      </w:r>
      <w:r>
        <w:rPr>
          <w:rFonts w:ascii="Times New Roman" w:cs="Times New Roman" w:eastAsia="Times New Roman" w:hAnsi="Times New Roman"/>
          <w:sz w:val="17"/>
          <w:szCs w:val="17"/>
          <w:color w:val="auto"/>
        </w:rPr>
        <w:t>”), the Subsidiary Borrowers from time to time party thereto, the lenders from time to time party thereto, as lenders (the “</w:t>
      </w:r>
      <w:r>
        <w:rPr>
          <w:rFonts w:ascii="Times New Roman" w:cs="Times New Roman" w:eastAsia="Times New Roman" w:hAnsi="Times New Roman"/>
          <w:sz w:val="17"/>
          <w:szCs w:val="17"/>
          <w:u w:val="single" w:color="auto"/>
          <w:color w:val="auto"/>
        </w:rPr>
        <w:t>3-Year Lenders</w:t>
      </w:r>
      <w:r>
        <w:rPr>
          <w:rFonts w:ascii="Times New Roman" w:cs="Times New Roman" w:eastAsia="Times New Roman" w:hAnsi="Times New Roman"/>
          <w:sz w:val="17"/>
          <w:szCs w:val="17"/>
          <w:color w:val="auto"/>
        </w:rPr>
        <w:t>”), JPMorgan Chase Bank, N.A. (“</w:t>
      </w:r>
      <w:r>
        <w:rPr>
          <w:rFonts w:ascii="Times New Roman" w:cs="Times New Roman" w:eastAsia="Times New Roman" w:hAnsi="Times New Roman"/>
          <w:sz w:val="17"/>
          <w:szCs w:val="17"/>
          <w:u w:val="single" w:color="auto"/>
          <w:color w:val="auto"/>
        </w:rPr>
        <w:t>JPM</w:t>
      </w:r>
      <w:r>
        <w:rPr>
          <w:rFonts w:ascii="Times New Roman" w:cs="Times New Roman" w:eastAsia="Times New Roman" w:hAnsi="Times New Roman"/>
          <w:sz w:val="17"/>
          <w:szCs w:val="17"/>
          <w:color w:val="auto"/>
        </w:rPr>
        <w:t>”), as administrative agent for the 3-Year Lenders (in such capacity, together with any successor thereto in such capacity, the “</w:t>
      </w:r>
      <w:r>
        <w:rPr>
          <w:rFonts w:ascii="Times New Roman" w:cs="Times New Roman" w:eastAsia="Times New Roman" w:hAnsi="Times New Roman"/>
          <w:sz w:val="17"/>
          <w:szCs w:val="17"/>
          <w:u w:val="single" w:color="auto"/>
          <w:color w:val="auto"/>
        </w:rPr>
        <w:t>3-Year Administrative Agent</w:t>
      </w:r>
      <w:r>
        <w:rPr>
          <w:rFonts w:ascii="Times New Roman" w:cs="Times New Roman" w:eastAsia="Times New Roman" w:hAnsi="Times New Roman"/>
          <w:sz w:val="17"/>
          <w:szCs w:val="17"/>
          <w:color w:val="auto"/>
        </w:rPr>
        <w:t>”), Citibank, N.A., as syndication agent (in such capacity, the “</w:t>
      </w:r>
      <w:r>
        <w:rPr>
          <w:rFonts w:ascii="Times New Roman" w:cs="Times New Roman" w:eastAsia="Times New Roman" w:hAnsi="Times New Roman"/>
          <w:sz w:val="17"/>
          <w:szCs w:val="17"/>
          <w:u w:val="single" w:color="auto"/>
          <w:color w:val="auto"/>
        </w:rPr>
        <w:t>Syndication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Bank of America, N.A., as co-syndication agent (in such capacity, the “</w:t>
      </w:r>
      <w:r>
        <w:rPr>
          <w:rFonts w:ascii="Times New Roman" w:cs="Times New Roman" w:eastAsia="Times New Roman" w:hAnsi="Times New Roman"/>
          <w:sz w:val="17"/>
          <w:szCs w:val="17"/>
          <w:u w:val="single" w:color="auto"/>
          <w:color w:val="auto"/>
        </w:rPr>
        <w:t>Co-Syndication Agent</w:t>
      </w:r>
      <w:r>
        <w:rPr>
          <w:rFonts w:ascii="Times New Roman" w:cs="Times New Roman" w:eastAsia="Times New Roman" w:hAnsi="Times New Roman"/>
          <w:sz w:val="17"/>
          <w:szCs w:val="17"/>
          <w:color w:val="auto"/>
        </w:rPr>
        <w:t>”), and the other agents party thereto,</w:t>
      </w:r>
    </w:p>
    <w:p>
      <w:pPr>
        <w:spacing w:after="0" w:line="6" w:lineRule="exact"/>
        <w:rPr>
          <w:sz w:val="20"/>
          <w:szCs w:val="20"/>
          <w:color w:val="auto"/>
        </w:rPr>
      </w:pPr>
    </w:p>
    <w:p>
      <w:pPr>
        <w:ind w:left="8" w:right="60" w:hanging="8"/>
        <w:spacing w:after="0" w:line="246" w:lineRule="auto"/>
        <w:tabs>
          <w:tab w:leader="none" w:pos="26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5.1(c) of that certain Fourth Amended and Restated Five 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Section 5.1(c) of that certain 364-Day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 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 Unless otherwise defined herein, capitalized terms used in this Certificate have the meanings assigned to such terms in each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-1102995</wp:posOffset>
            </wp:positionV>
            <wp:extent cx="279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0828"/>
          </w:cols>
          <w:pgMar w:left="532" w:top="265" w:right="539" w:bottom="1440" w:gutter="0" w:footer="0" w:header="0"/>
        </w:sectPr>
      </w:pPr>
    </w:p>
    <w:bookmarkStart w:id="185" w:name="page186"/>
    <w:bookmarkEnd w:id="185"/>
    <w:p>
      <w:pPr>
        <w:ind w:right="520"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 the undersigned, [Assistant] Secretary of [the Company] [Name of Loan Party], a Delaware [corporation][limited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in the name and on behalf of the Company, and without assuming any personal liability, that:</w:t>
      </w:r>
    </w:p>
    <w:p>
      <w:pPr>
        <w:spacing w:after="0" w:line="58" w:lineRule="exact"/>
        <w:rPr>
          <w:sz w:val="20"/>
          <w:szCs w:val="20"/>
          <w:color w:val="auto"/>
        </w:rPr>
      </w:pPr>
    </w:p>
    <w:p>
      <w:pPr>
        <w:ind w:left="420" w:firstLine="420"/>
        <w:spacing w:after="0" w:line="255" w:lineRule="auto"/>
        <w:tabs>
          <w:tab w:leader="none" w:pos="10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75" w:lineRule="exact"/>
        <w:rPr>
          <w:rFonts w:ascii="Times New Roman" w:cs="Times New Roman" w:eastAsia="Times New Roman" w:hAnsi="Times New Roman"/>
          <w:sz w:val="18"/>
          <w:szCs w:val="18"/>
          <w:color w:val="auto"/>
        </w:rPr>
      </w:pPr>
    </w:p>
    <w:p>
      <w:pPr>
        <w:ind w:left="420" w:right="380" w:firstLine="420"/>
        <w:spacing w:after="0" w:line="274" w:lineRule="auto"/>
        <w:tabs>
          <w:tab w:leader="none" w:pos="10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[by-laws][Limited Liability Company Agreement][Operating Agreement] of the Company as in effect on the date hereof.</w:t>
      </w:r>
    </w:p>
    <w:p>
      <w:pPr>
        <w:spacing w:after="0" w:line="58" w:lineRule="exact"/>
        <w:rPr>
          <w:rFonts w:ascii="Times New Roman" w:cs="Times New Roman" w:eastAsia="Times New Roman" w:hAnsi="Times New Roman"/>
          <w:sz w:val="18"/>
          <w:szCs w:val="18"/>
          <w:color w:val="auto"/>
        </w:rPr>
      </w:pPr>
    </w:p>
    <w:p>
      <w:pPr>
        <w:ind w:left="420" w:right="100" w:firstLine="420"/>
        <w:spacing w:after="0" w:line="251" w:lineRule="auto"/>
        <w:tabs>
          <w:tab w:leader="none" w:pos="10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III is a true, correct and complete copy of resolutions duly adopted by the Board of [Directors] [Managers] of the Company [at a meeting thereof] [by written consent] as of the ___ day of 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80" w:lineRule="exact"/>
        <w:rPr>
          <w:rFonts w:ascii="Times New Roman" w:cs="Times New Roman" w:eastAsia="Times New Roman" w:hAnsi="Times New Roman"/>
          <w:sz w:val="18"/>
          <w:szCs w:val="18"/>
          <w:color w:val="auto"/>
        </w:rPr>
      </w:pPr>
    </w:p>
    <w:p>
      <w:pPr>
        <w:ind w:left="420" w:right="120" w:firstLine="420"/>
        <w:spacing w:after="0" w:line="274" w:lineRule="auto"/>
        <w:tabs>
          <w:tab w:leader="none" w:pos="10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780"/>
          </w:cols>
          <w:pgMar w:left="540" w:top="267" w:right="579" w:bottom="1440" w:gutter="0" w:footer="0" w:header="0"/>
        </w:sectPr>
      </w:pPr>
    </w:p>
    <w:bookmarkStart w:id="186" w:name="page187"/>
    <w:bookmarkEnd w:id="186"/>
    <w:p>
      <w:pPr>
        <w:ind w:left="42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Witness my hand as of the first date written above.</w:t>
      </w:r>
    </w:p>
    <w:p>
      <w:pPr>
        <w:spacing w:after="0" w:line="200" w:lineRule="exact"/>
        <w:rPr>
          <w:sz w:val="20"/>
          <w:szCs w:val="20"/>
          <w:color w:val="auto"/>
        </w:rPr>
      </w:pPr>
    </w:p>
    <w:p>
      <w:pPr>
        <w:spacing w:after="0" w:line="336"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-127635</wp:posOffset>
            </wp:positionV>
            <wp:extent cx="27463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317" w:lineRule="exact"/>
        <w:rPr>
          <w:sz w:val="20"/>
          <w:szCs w:val="20"/>
          <w:color w:val="auto"/>
        </w:rPr>
      </w:pPr>
    </w:p>
    <w:p>
      <w:pPr>
        <w:ind w:left="8" w:right="20" w:firstLine="433"/>
        <w:spacing w:after="0" w:line="274"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58" w:lineRule="exact"/>
        <w:rPr>
          <w:sz w:val="20"/>
          <w:szCs w:val="20"/>
          <w:color w:val="auto"/>
        </w:rPr>
      </w:pPr>
    </w:p>
    <w:p>
      <w:pPr>
        <w:ind w:left="8" w:right="580" w:firstLine="425"/>
        <w:spacing w:after="0" w:line="274" w:lineRule="auto"/>
        <w:tabs>
          <w:tab w:leader="none" w:pos="6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 is [a] [the] duly elected and qualified [Assistant] Secretary of the Company and the signature above is [his][her] genuine signature.</w:t>
      </w:r>
    </w:p>
    <w:p>
      <w:pPr>
        <w:spacing w:after="0" w:line="164" w:lineRule="exact"/>
        <w:rPr>
          <w:rFonts w:ascii="Times New Roman" w:cs="Times New Roman" w:eastAsia="Times New Roman" w:hAnsi="Times New Roman"/>
          <w:sz w:val="18"/>
          <w:szCs w:val="18"/>
          <w:color w:val="auto"/>
        </w:rPr>
      </w:pPr>
    </w:p>
    <w:p>
      <w:pPr>
        <w:jc w:val="both"/>
        <w:ind w:left="8" w:firstLine="425"/>
        <w:spacing w:after="0" w:line="264" w:lineRule="auto"/>
        <w:tabs>
          <w:tab w:leader="none" w:pos="6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Times New Roman" w:cs="Times New Roman" w:eastAsia="Times New Roman" w:hAnsi="Times New Roman"/>
          <w:sz w:val="26"/>
          <w:szCs w:val="26"/>
          <w:color w:val="auto"/>
          <w:vertAlign w:val="superscript"/>
        </w:rPr>
        <w:t>1</w:t>
      </w:r>
    </w:p>
    <w:p>
      <w:pPr>
        <w:spacing w:after="0" w:line="49" w:lineRule="exact"/>
        <w:rPr>
          <w:rFonts w:ascii="Times New Roman" w:cs="Times New Roman" w:eastAsia="Times New Roman" w:hAnsi="Times New Roman"/>
          <w:sz w:val="18"/>
          <w:szCs w:val="18"/>
          <w:color w:val="auto"/>
        </w:rPr>
      </w:pPr>
    </w:p>
    <w:p>
      <w:pPr>
        <w:ind w:left="608" w:hanging="175"/>
        <w:spacing w:after="0"/>
        <w:tabs>
          <w:tab w:leader="none" w:pos="60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has occurred and is continuing as of the date hereof.] </w:t>
      </w:r>
      <w:r>
        <w:rPr>
          <w:rFonts w:ascii="Times New Roman" w:cs="Times New Roman" w:eastAsia="Times New Roman" w:hAnsi="Times New Roman"/>
          <w:sz w:val="26"/>
          <w:szCs w:val="26"/>
          <w:color w:val="auto"/>
          <w:vertAlign w:val="superscript"/>
        </w:rPr>
        <w:t>2</w:t>
      </w:r>
    </w:p>
    <w:p>
      <w:pPr>
        <w:spacing w:after="0" w:line="200" w:lineRule="exact"/>
        <w:rPr>
          <w:sz w:val="20"/>
          <w:szCs w:val="20"/>
          <w:color w:val="auto"/>
        </w:rPr>
      </w:pPr>
    </w:p>
    <w:p>
      <w:pPr>
        <w:spacing w:after="0" w:line="244"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-127635</wp:posOffset>
            </wp:positionV>
            <wp:extent cx="27463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46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107950</wp:posOffset>
            </wp:positionV>
            <wp:extent cx="7499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92" w:lineRule="exact"/>
        <w:rPr>
          <w:sz w:val="20"/>
          <w:szCs w:val="20"/>
          <w:color w:val="auto"/>
        </w:rPr>
      </w:pPr>
    </w:p>
    <w:p>
      <w:pPr>
        <w:ind w:left="428" w:hanging="428"/>
        <w:spacing w:after="0"/>
        <w:tabs>
          <w:tab w:leader="none" w:pos="428" w:val="left"/>
        </w:tabs>
        <w:numPr>
          <w:ilvl w:val="0"/>
          <w:numId w:val="1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Certificate relating to General Motors Company only.</w:t>
      </w:r>
    </w:p>
    <w:p>
      <w:pPr>
        <w:ind w:left="428" w:hanging="428"/>
        <w:spacing w:after="0" w:line="184" w:lineRule="auto"/>
        <w:tabs>
          <w:tab w:leader="none" w:pos="428" w:val="left"/>
        </w:tabs>
        <w:numPr>
          <w:ilvl w:val="0"/>
          <w:numId w:val="1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To be included in Certificate relating to General Motors Company only.</w:t>
      </w:r>
    </w:p>
    <w:p>
      <w:pPr>
        <w:sectPr>
          <w:pgSz w:w="11900" w:h="16838" w:orient="portrait"/>
          <w:cols w:equalWidth="0" w:num="1">
            <w:col w:w="10828"/>
          </w:cols>
          <w:pgMar w:left="532" w:top="267" w:right="539" w:bottom="1440" w:gutter="0" w:footer="0" w:header="0"/>
        </w:sectPr>
      </w:pPr>
    </w:p>
    <w:bookmarkStart w:id="187" w:name="page188"/>
    <w:bookmarkEnd w:id="187"/>
    <w:p>
      <w:pPr>
        <w:jc w:val="center"/>
        <w:ind w:left="101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I</w:t>
      </w:r>
    </w:p>
    <w:p>
      <w:pPr>
        <w:spacing w:after="0" w:line="36" w:lineRule="exact"/>
        <w:rPr>
          <w:sz w:val="20"/>
          <w:szCs w:val="20"/>
          <w:color w:val="auto"/>
        </w:rPr>
      </w:pPr>
    </w:p>
    <w:p>
      <w:pPr>
        <w:jc w:val="center"/>
        <w:ind w:left="101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10080"/>
        <w:spacing w:after="0"/>
        <w:rPr>
          <w:sz w:val="20"/>
          <w:szCs w:val="20"/>
          <w:color w:val="auto"/>
        </w:rPr>
      </w:pPr>
      <w:r>
        <w:rPr>
          <w:rFonts w:ascii="Times New Roman" w:cs="Times New Roman" w:eastAsia="Times New Roman" w:hAnsi="Times New Roman"/>
          <w:sz w:val="17"/>
          <w:szCs w:val="17"/>
          <w:color w:val="auto"/>
        </w:rPr>
        <w:t>Certificate</w:t>
      </w:r>
    </w:p>
    <w:p>
      <w:pPr>
        <w:spacing w:after="0" w:line="21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[Copy of the Certificate of [Incorporation][Formation]]</w:t>
      </w:r>
    </w:p>
    <w:p>
      <w:pPr>
        <w:spacing w:after="0" w:line="3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920"/>
          </w:cols>
          <w:pgMar w:left="1440" w:top="267" w:right="539" w:bottom="1440" w:gutter="0" w:footer="0" w:header="0"/>
        </w:sectPr>
      </w:pPr>
    </w:p>
    <w:bookmarkStart w:id="188" w:name="page189"/>
    <w:bookmarkEnd w:id="188"/>
    <w:p>
      <w:pPr>
        <w:jc w:val="center"/>
        <w:ind w:left="100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II</w:t>
      </w:r>
    </w:p>
    <w:p>
      <w:pPr>
        <w:spacing w:after="0" w:line="36" w:lineRule="exact"/>
        <w:rPr>
          <w:sz w:val="20"/>
          <w:szCs w:val="20"/>
          <w:color w:val="auto"/>
        </w:rPr>
      </w:pPr>
    </w:p>
    <w:p>
      <w:pPr>
        <w:jc w:val="center"/>
        <w:ind w:left="101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10080"/>
        <w:spacing w:after="0"/>
        <w:rPr>
          <w:sz w:val="20"/>
          <w:szCs w:val="20"/>
          <w:color w:val="auto"/>
        </w:rPr>
      </w:pPr>
      <w:r>
        <w:rPr>
          <w:rFonts w:ascii="Times New Roman" w:cs="Times New Roman" w:eastAsia="Times New Roman" w:hAnsi="Times New Roman"/>
          <w:sz w:val="17"/>
          <w:szCs w:val="17"/>
          <w:color w:val="auto"/>
        </w:rPr>
        <w:t>Certificate</w:t>
      </w:r>
    </w:p>
    <w:p>
      <w:pPr>
        <w:spacing w:after="0" w:line="21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[Copy of the [by-laws] [Limited Liability Company Agreement][Operating Agreement]</w:t>
      </w:r>
    </w:p>
    <w:p>
      <w:pPr>
        <w:spacing w:after="0" w:line="3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920"/>
          </w:cols>
          <w:pgMar w:left="1440" w:top="267" w:right="539" w:bottom="1440" w:gutter="0" w:footer="0" w:header="0"/>
        </w:sectPr>
      </w:pPr>
    </w:p>
    <w:bookmarkStart w:id="189" w:name="page190"/>
    <w:bookmarkEnd w:id="189"/>
    <w:p>
      <w:pPr>
        <w:jc w:val="center"/>
        <w:ind w:left="9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III</w:t>
      </w:r>
    </w:p>
    <w:p>
      <w:pPr>
        <w:spacing w:after="0" w:line="36" w:lineRule="exact"/>
        <w:rPr>
          <w:sz w:val="20"/>
          <w:szCs w:val="20"/>
          <w:color w:val="auto"/>
        </w:rPr>
      </w:pPr>
    </w:p>
    <w:p>
      <w:pPr>
        <w:jc w:val="center"/>
        <w:ind w:left="101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10080"/>
        <w:spacing w:after="0"/>
        <w:rPr>
          <w:sz w:val="20"/>
          <w:szCs w:val="20"/>
          <w:color w:val="auto"/>
        </w:rPr>
      </w:pPr>
      <w:r>
        <w:rPr>
          <w:rFonts w:ascii="Times New Roman" w:cs="Times New Roman" w:eastAsia="Times New Roman" w:hAnsi="Times New Roman"/>
          <w:sz w:val="17"/>
          <w:szCs w:val="17"/>
          <w:color w:val="auto"/>
        </w:rPr>
        <w:t>Certificate</w:t>
      </w:r>
    </w:p>
    <w:p>
      <w:pPr>
        <w:spacing w:after="0" w:line="2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Resolutions of the Board of [Directors] [Managers] of [Name of Loan Party]</w:t>
      </w:r>
    </w:p>
    <w:p>
      <w:pPr>
        <w:sectPr>
          <w:pgSz w:w="11900" w:h="16838" w:orient="portrait"/>
          <w:cols w:equalWidth="0" w:num="1">
            <w:col w:w="9920"/>
          </w:cols>
          <w:pgMar w:left="1440" w:top="267" w:right="539" w:bottom="1440" w:gutter="0" w:footer="0" w:header="0"/>
        </w:sectPr>
      </w:pPr>
    </w:p>
    <w:bookmarkStart w:id="190" w:name="page191"/>
    <w:bookmarkEnd w:id="190"/>
    <w:p>
      <w:pPr>
        <w:jc w:val="center"/>
        <w:ind w:left="9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IV</w:t>
      </w:r>
    </w:p>
    <w:p>
      <w:pPr>
        <w:spacing w:after="0" w:line="36" w:lineRule="exact"/>
        <w:rPr>
          <w:sz w:val="20"/>
          <w:szCs w:val="20"/>
          <w:color w:val="auto"/>
        </w:rPr>
      </w:pPr>
    </w:p>
    <w:p>
      <w:pPr>
        <w:jc w:val="center"/>
        <w:ind w:left="101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10080"/>
        <w:spacing w:after="0"/>
        <w:rPr>
          <w:sz w:val="20"/>
          <w:szCs w:val="20"/>
          <w:color w:val="auto"/>
        </w:rPr>
      </w:pPr>
      <w:r>
        <w:rPr>
          <w:rFonts w:ascii="Times New Roman" w:cs="Times New Roman" w:eastAsia="Times New Roman" w:hAnsi="Times New Roman"/>
          <w:sz w:val="17"/>
          <w:szCs w:val="17"/>
          <w:color w:val="auto"/>
        </w:rPr>
        <w:t>Certificate</w:t>
      </w:r>
    </w:p>
    <w:p>
      <w:pPr>
        <w:spacing w:after="0" w:line="232" w:lineRule="exact"/>
        <w:rPr>
          <w:sz w:val="20"/>
          <w:szCs w:val="20"/>
          <w:color w:val="auto"/>
        </w:rPr>
      </w:pPr>
    </w:p>
    <w:p>
      <w:pPr>
        <w:ind w:left="520"/>
        <w:spacing w:after="0"/>
        <w:tabs>
          <w:tab w:leader="none" w:pos="4540" w:val="left"/>
          <w:tab w:leader="none" w:pos="7960" w:val="left"/>
        </w:tabs>
        <w:rPr>
          <w:sz w:val="20"/>
          <w:szCs w:val="20"/>
          <w:color w:val="auto"/>
        </w:rPr>
      </w:pPr>
      <w:r>
        <w:rPr>
          <w:rFonts w:ascii="Times New Roman" w:cs="Times New Roman" w:eastAsia="Times New Roman" w:hAnsi="Times New Roman"/>
          <w:sz w:val="14"/>
          <w:szCs w:val="14"/>
          <w:u w:val="single" w:color="auto"/>
          <w:color w:val="auto"/>
        </w:rPr>
        <w:t>Name of Officer</w:t>
      </w:r>
      <w:r>
        <w:rPr>
          <w:sz w:val="20"/>
          <w:szCs w:val="20"/>
          <w:color w:val="auto"/>
        </w:rPr>
        <w:tab/>
      </w:r>
      <w:r>
        <w:rPr>
          <w:rFonts w:ascii="Times New Roman" w:cs="Times New Roman" w:eastAsia="Times New Roman" w:hAnsi="Times New Roman"/>
          <w:sz w:val="14"/>
          <w:szCs w:val="14"/>
          <w:u w:val="single" w:color="auto"/>
          <w:color w:val="auto"/>
        </w:rPr>
        <w:t>Office</w:t>
      </w:r>
      <w:r>
        <w:rPr>
          <w:sz w:val="20"/>
          <w:szCs w:val="20"/>
          <w:color w:val="auto"/>
        </w:rPr>
        <w:tab/>
      </w:r>
      <w:r>
        <w:rPr>
          <w:rFonts w:ascii="Times New Roman" w:cs="Times New Roman" w:eastAsia="Times New Roman" w:hAnsi="Times New Roman"/>
          <w:sz w:val="14"/>
          <w:szCs w:val="14"/>
          <w:u w:val="single" w:color="auto"/>
          <w:color w:val="auto"/>
        </w:rPr>
        <w:t>Signature</w:t>
      </w:r>
    </w:p>
    <w:p>
      <w:pPr>
        <w:sectPr>
          <w:pgSz w:w="11900" w:h="16838" w:orient="portrait"/>
          <w:cols w:equalWidth="0" w:num="1">
            <w:col w:w="9920"/>
          </w:cols>
          <w:pgMar w:left="1440" w:top="267" w:right="539" w:bottom="1440" w:gutter="0" w:footer="0" w:header="0"/>
        </w:sectPr>
      </w:pPr>
    </w:p>
    <w:bookmarkStart w:id="191" w:name="page192"/>
    <w:bookmarkEnd w:id="191"/>
    <w:p>
      <w:pPr>
        <w:ind w:left="962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G</w:t>
      </w:r>
    </w:p>
    <w:p>
      <w:pPr>
        <w:spacing w:after="0" w:line="27" w:lineRule="exact"/>
        <w:rPr>
          <w:sz w:val="20"/>
          <w:szCs w:val="20"/>
          <w:color w:val="auto"/>
        </w:rPr>
      </w:pPr>
    </w:p>
    <w:p>
      <w:pPr>
        <w:ind w:left="10068"/>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18" w:lineRule="exact"/>
        <w:rPr>
          <w:sz w:val="20"/>
          <w:szCs w:val="20"/>
          <w:color w:val="auto"/>
        </w:rPr>
      </w:pPr>
    </w:p>
    <w:p>
      <w:pPr>
        <w:ind w:left="8" w:right="20" w:firstLine="433"/>
        <w:spacing w:after="0" w:line="252"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4" w:lineRule="exact"/>
        <w:rPr>
          <w:sz w:val="20"/>
          <w:szCs w:val="20"/>
          <w:color w:val="auto"/>
        </w:rPr>
      </w:pPr>
    </w:p>
    <w:p>
      <w:pPr>
        <w:ind w:left="8" w:firstLine="433"/>
        <w:spacing w:after="0" w:line="248"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219" w:lineRule="exact"/>
        <w:rPr>
          <w:sz w:val="20"/>
          <w:szCs w:val="20"/>
          <w:color w:val="auto"/>
        </w:rPr>
      </w:pPr>
    </w:p>
    <w:p>
      <w:pPr>
        <w:ind w:left="548" w:hanging="548"/>
        <w:spacing w:after="0"/>
        <w:tabs>
          <w:tab w:leader="none" w:pos="54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111" w:lineRule="exact"/>
        <w:rPr>
          <w:rFonts w:ascii="Times New Roman" w:cs="Times New Roman" w:eastAsia="Times New Roman" w:hAnsi="Times New Roman"/>
          <w:sz w:val="18"/>
          <w:szCs w:val="18"/>
          <w:color w:val="auto"/>
        </w:rPr>
      </w:pPr>
    </w:p>
    <w:p>
      <w:pPr>
        <w:ind w:left="548" w:hanging="548"/>
        <w:spacing w:after="0"/>
        <w:tabs>
          <w:tab w:leader="none" w:pos="54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-212090</wp:posOffset>
            </wp:positionV>
            <wp:extent cx="18243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2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1036320</wp:posOffset>
            </wp:positionH>
            <wp:positionV relativeFrom="paragraph">
              <wp:posOffset>-9525</wp:posOffset>
            </wp:positionV>
            <wp:extent cx="18243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5"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188595</wp:posOffset>
            </wp:positionV>
            <wp:extent cx="7499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220" w:lineRule="exact"/>
        <w:rPr>
          <w:sz w:val="20"/>
          <w:szCs w:val="20"/>
          <w:color w:val="auto"/>
        </w:rPr>
      </w:pPr>
    </w:p>
    <w:p>
      <w:pPr>
        <w:ind w:left="208" w:hanging="208"/>
        <w:spacing w:after="0"/>
        <w:tabs>
          <w:tab w:leader="none" w:pos="208" w:val="left"/>
        </w:tabs>
        <w:numPr>
          <w:ilvl w:val="0"/>
          <w:numId w:val="1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Select as applicable.</w:t>
      </w:r>
    </w:p>
    <w:p>
      <w:pPr>
        <w:sectPr>
          <w:pgSz w:w="11900" w:h="16838" w:orient="portrait"/>
          <w:cols w:equalWidth="0" w:num="1">
            <w:col w:w="10828"/>
          </w:cols>
          <w:pgMar w:left="532" w:top="265" w:right="539" w:bottom="1440" w:gutter="0" w:footer="0" w:header="0"/>
        </w:sectPr>
      </w:pPr>
    </w:p>
    <w:bookmarkStart w:id="192" w:name="page193"/>
    <w:bookmarkEnd w:id="192"/>
    <w:p>
      <w:pPr>
        <w:ind w:left="548" w:hanging="548"/>
        <w:spacing w:after="0"/>
        <w:tabs>
          <w:tab w:leader="none" w:pos="54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-9525</wp:posOffset>
            </wp:positionV>
            <wp:extent cx="19367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36750" cy="8255"/>
                    </a:xfrm>
                    <a:prstGeom prst="rect">
                      <a:avLst/>
                    </a:prstGeom>
                    <a:noFill/>
                  </pic:spPr>
                </pic:pic>
              </a:graphicData>
            </a:graphic>
          </wp:anchor>
        </w:drawing>
      </w:r>
    </w:p>
    <w:p>
      <w:pPr>
        <w:spacing w:after="0" w:line="91" w:lineRule="exact"/>
        <w:rPr>
          <w:sz w:val="20"/>
          <w:szCs w:val="20"/>
          <w:color w:val="auto"/>
        </w:rPr>
      </w:pPr>
    </w:p>
    <w:tbl>
      <w:tblPr>
        <w:tblLayout w:type="fixed"/>
        <w:tblInd w:w="8" w:type="dxa"/>
        <w:tblCellMar>
          <w:top w:w="0" w:type="dxa"/>
          <w:left w:w="0" w:type="dxa"/>
          <w:bottom w:w="0" w:type="dxa"/>
          <w:right w:w="0" w:type="dxa"/>
        </w:tblCellMar>
      </w:tblPr>
      <w:tr>
        <w:trPr>
          <w:trHeight w:val="232"/>
        </w:trPr>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73"/>
              </w:rPr>
              <w:t>4.</w:t>
            </w:r>
          </w:p>
        </w:tc>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Agent:</w:t>
            </w: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JPMorgan Chase Bank, N.A., as the administrative agent under the Credit Agreement</w:t>
            </w:r>
          </w:p>
        </w:tc>
      </w:tr>
      <w:tr>
        <w:trPr>
          <w:trHeight w:val="299"/>
        </w:trPr>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73"/>
              </w:rPr>
              <w:t>5.</w:t>
            </w:r>
          </w:p>
        </w:tc>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Agreement:</w:t>
            </w: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[The Fourth Amended and Restated Five Year Revolving Credit Agreement, dated as of March 31, 2023 (as</w:t>
            </w:r>
          </w:p>
        </w:tc>
      </w:tr>
      <w:tr>
        <w:trPr>
          <w:trHeight w:val="232"/>
        </w:trPr>
        <w:tc>
          <w:tcPr>
            <w:tcW w:w="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amended, restated, amended and restated, renewed, supplemented or modified from time to time, the “Credit</w:t>
            </w:r>
          </w:p>
        </w:tc>
      </w:tr>
    </w:tbl>
    <w:p>
      <w:pPr>
        <w:ind w:left="2828"/>
        <w:spacing w:after="0" w:line="247" w:lineRule="auto"/>
        <w:rPr>
          <w:sz w:val="20"/>
          <w:szCs w:val="20"/>
          <w:color w:val="auto"/>
        </w:rPr>
      </w:pPr>
      <w:r>
        <w:rPr>
          <w:rFonts w:ascii="Times New Roman" w:cs="Times New Roman" w:eastAsia="Times New Roman" w:hAnsi="Times New Roman"/>
          <w:sz w:val="18"/>
          <w:szCs w:val="18"/>
          <w:color w:val="auto"/>
        </w:rPr>
        <w:t>Agreement”), among General Motors Company, a Delaware corporation (together with its successors and permitted assigns, the “Company”), General Motors Financial Company, Inc., a Texas corporation, the Subsidiary Borrowers from time to time party thereto, the lenders from time to time party thereto (together with their respective successors and permitted assigns, collectively, the “Lenders”),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81" w:lineRule="exact"/>
        <w:rPr>
          <w:sz w:val="20"/>
          <w:szCs w:val="20"/>
          <w:color w:val="auto"/>
        </w:rPr>
      </w:pPr>
    </w:p>
    <w:p>
      <w:pPr>
        <w:ind w:left="548" w:hanging="548"/>
        <w:spacing w:after="0"/>
        <w:tabs>
          <w:tab w:leader="none" w:pos="54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25" w:lineRule="exact"/>
        <w:rPr>
          <w:sz w:val="20"/>
          <w:szCs w:val="20"/>
          <w:color w:val="auto"/>
        </w:rPr>
      </w:pPr>
    </w:p>
    <w:tbl>
      <w:tblPr>
        <w:tblLayout w:type="fixed"/>
        <w:tblInd w:w="868"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Aggregate Amount</w:t>
            </w:r>
          </w:p>
        </w:tc>
        <w:tc>
          <w:tcPr>
            <w:tcW w:w="1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Amount of</w:t>
            </w: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46"/>
        </w:trPr>
        <w:tc>
          <w:tcPr>
            <w:tcW w:w="10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0" w:type="dxa"/>
            <w:vAlign w:val="bottom"/>
            <w:gridSpan w:val="2"/>
          </w:tcPr>
          <w:p>
            <w:pPr>
              <w:jc w:val="center"/>
              <w:ind w:right="640"/>
              <w:spacing w:after="0" w:line="146" w:lineRule="exact"/>
              <w:rPr>
                <w:sz w:val="20"/>
                <w:szCs w:val="20"/>
                <w:color w:val="auto"/>
              </w:rPr>
            </w:pPr>
            <w:r>
              <w:rPr>
                <w:rFonts w:ascii="Times New Roman" w:cs="Times New Roman" w:eastAsia="Times New Roman" w:hAnsi="Times New Roman"/>
                <w:sz w:val="14"/>
                <w:szCs w:val="14"/>
                <w:color w:val="auto"/>
              </w:rPr>
              <w:t>of</w:t>
            </w:r>
          </w:p>
        </w:tc>
        <w:tc>
          <w:tcPr>
            <w:tcW w:w="18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Facility Assigned</w:t>
            </w:r>
            <w:r>
              <w:rPr>
                <w:rFonts w:ascii="Times New Roman" w:cs="Times New Roman" w:eastAsia="Times New Roman" w:hAnsi="Times New Roman"/>
                <w:sz w:val="10"/>
                <w:szCs w:val="10"/>
                <w:color w:val="auto"/>
                <w:w w:val="98"/>
              </w:rPr>
              <w:t>5</w:t>
            </w:r>
          </w:p>
        </w:tc>
        <w:tc>
          <w:tcPr>
            <w:tcW w:w="3200" w:type="dxa"/>
            <w:vAlign w:val="bottom"/>
          </w:tcPr>
          <w:p>
            <w:pPr>
              <w:spacing w:after="0"/>
              <w:rPr>
                <w:sz w:val="12"/>
                <w:szCs w:val="12"/>
                <w:color w:val="auto"/>
              </w:rPr>
            </w:pPr>
          </w:p>
        </w:tc>
        <w:tc>
          <w:tcPr>
            <w:tcW w:w="18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color w:val="auto"/>
              </w:rPr>
              <w:t>Commitment/Loans</w:t>
            </w:r>
          </w:p>
        </w:tc>
        <w:tc>
          <w:tcPr>
            <w:tcW w:w="18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Commitment/Loans</w:t>
            </w:r>
          </w:p>
        </w:tc>
        <w:tc>
          <w:tcPr>
            <w:tcW w:w="124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color w:val="auto"/>
              </w:rPr>
              <w:t>Assigned of</w:t>
            </w:r>
          </w:p>
        </w:tc>
        <w:tc>
          <w:tcPr>
            <w:tcW w:w="0" w:type="dxa"/>
            <w:vAlign w:val="bottom"/>
          </w:tcPr>
          <w:p>
            <w:pPr>
              <w:spacing w:after="0"/>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1800" w:type="dxa"/>
            <w:vAlign w:val="bottom"/>
            <w:gridSpan w:val="2"/>
          </w:tcPr>
          <w:p>
            <w:pPr>
              <w:jc w:val="center"/>
              <w:ind w:right="640"/>
              <w:spacing w:after="0" w:line="155" w:lineRule="exact"/>
              <w:rPr>
                <w:sz w:val="20"/>
                <w:szCs w:val="20"/>
                <w:color w:val="auto"/>
              </w:rPr>
            </w:pPr>
            <w:r>
              <w:rPr>
                <w:rFonts w:ascii="Times New Roman" w:cs="Times New Roman" w:eastAsia="Times New Roman" w:hAnsi="Times New Roman"/>
                <w:sz w:val="14"/>
                <w:szCs w:val="14"/>
                <w:color w:val="auto"/>
              </w:rPr>
              <w:t>for all Lenders</w:t>
            </w:r>
          </w:p>
        </w:tc>
        <w:tc>
          <w:tcPr>
            <w:tcW w:w="180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4"/>
                <w:szCs w:val="14"/>
                <w:color w:val="auto"/>
              </w:rPr>
              <w:t>Assigned</w:t>
            </w:r>
          </w:p>
        </w:tc>
        <w:tc>
          <w:tcPr>
            <w:tcW w:w="12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w w:val="99"/>
              </w:rPr>
              <w:t>Commitment/Loans</w:t>
            </w:r>
            <w:r>
              <w:rPr>
                <w:rFonts w:ascii="Times New Roman" w:cs="Times New Roman" w:eastAsia="Times New Roman" w:hAnsi="Times New Roman"/>
                <w:sz w:val="10"/>
                <w:szCs w:val="10"/>
                <w:color w:val="auto"/>
                <w:w w:val="99"/>
              </w:rPr>
              <w:t>6</w:t>
            </w:r>
          </w:p>
        </w:tc>
        <w:tc>
          <w:tcPr>
            <w:tcW w:w="0" w:type="dxa"/>
            <w:vAlign w:val="bottom"/>
          </w:tcPr>
          <w:p>
            <w:pPr>
              <w:spacing w:after="0"/>
              <w:rPr>
                <w:sz w:val="1"/>
                <w:szCs w:val="1"/>
                <w:color w:val="auto"/>
              </w:rPr>
            </w:pPr>
          </w:p>
        </w:tc>
      </w:tr>
      <w:tr>
        <w:trPr>
          <w:trHeight w:val="212"/>
        </w:trPr>
        <w:tc>
          <w:tcPr>
            <w:tcW w:w="1040" w:type="dxa"/>
            <w:vAlign w:val="bottom"/>
            <w:tcBorders>
              <w:top w:val="single" w:sz="8" w:color="auto"/>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434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104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 OF RECORDATION OF TRANSFER IN THE REGISTER THEREFOR.]</w:t>
      </w:r>
    </w:p>
    <w:p>
      <w:pPr>
        <w:spacing w:after="0" w:line="198" w:lineRule="exact"/>
        <w:rPr>
          <w:sz w:val="20"/>
          <w:szCs w:val="20"/>
          <w:color w:val="auto"/>
        </w:rPr>
      </w:pPr>
    </w:p>
    <w:p>
      <w:pPr>
        <w:ind w:left="8" w:right="240"/>
        <w:spacing w:after="0" w:line="255"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499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35" w:lineRule="exact"/>
        <w:rPr>
          <w:sz w:val="20"/>
          <w:szCs w:val="20"/>
          <w:color w:val="auto"/>
        </w:rPr>
      </w:pPr>
    </w:p>
    <w:p>
      <w:pPr>
        <w:ind w:left="428" w:right="480" w:hanging="428"/>
        <w:spacing w:after="0" w:line="205" w:lineRule="auto"/>
        <w:tabs>
          <w:tab w:leader="none" w:pos="428" w:val="left"/>
        </w:tabs>
        <w:numPr>
          <w:ilvl w:val="0"/>
          <w:numId w:val="1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Fill in the appropriate terminology for the types of facilities under the Credit Agreement that are being assigned under this Assignment (e.g. “Domestic Commitment,” “L/C Commitment,” or “Multicurrency Commitment,” etc.)</w:t>
      </w:r>
    </w:p>
    <w:p>
      <w:pPr>
        <w:ind w:left="428" w:hanging="428"/>
        <w:spacing w:after="0" w:line="186" w:lineRule="auto"/>
        <w:tabs>
          <w:tab w:leader="none" w:pos="428" w:val="left"/>
        </w:tabs>
        <w:numPr>
          <w:ilvl w:val="0"/>
          <w:numId w:val="1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Lenders thereunder.</w:t>
      </w:r>
    </w:p>
    <w:p>
      <w:pPr>
        <w:sectPr>
          <w:pgSz w:w="11900" w:h="16838" w:orient="portrait"/>
          <w:cols w:equalWidth="0" w:num="1">
            <w:col w:w="10788"/>
          </w:cols>
          <w:pgMar w:left="532" w:top="267" w:right="579" w:bottom="1440" w:gutter="0" w:footer="0" w:header="0"/>
        </w:sectPr>
      </w:pPr>
    </w:p>
    <w:bookmarkStart w:id="193" w:name="page194"/>
    <w:bookmarkEnd w:id="193"/>
    <w:p>
      <w:pPr>
        <w:ind w:left="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terms set forth in this Assignment and Assumption are hereby agreed to:</w:t>
      </w:r>
    </w:p>
    <w:p>
      <w:pPr>
        <w:spacing w:after="0" w:line="242"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27"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11"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15240</wp:posOffset>
            </wp:positionV>
            <wp:extent cx="25520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27"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11"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15240</wp:posOffset>
            </wp:positionV>
            <wp:extent cx="25520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[JPMORGAN CHASE BANK, N.A., as Administrative</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Agent</w:t>
      </w:r>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15240</wp:posOffset>
            </wp:positionV>
            <wp:extent cx="25520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6"/>
          <w:szCs w:val="26"/>
          <w:color w:val="auto"/>
          <w:vertAlign w:val="superscript"/>
        </w:rPr>
        <w:t>7</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Consented to:</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15240</wp:posOffset>
            </wp:positionV>
            <wp:extent cx="25520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7499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28" w:hanging="428"/>
        <w:spacing w:after="0" w:line="235" w:lineRule="auto"/>
        <w:tabs>
          <w:tab w:leader="none" w:pos="428" w:val="left"/>
        </w:tabs>
        <w:numPr>
          <w:ilvl w:val="0"/>
          <w:numId w:val="14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828"/>
          </w:cols>
          <w:pgMar w:left="532" w:top="267" w:right="539" w:bottom="1440" w:gutter="0" w:footer="0" w:header="0"/>
        </w:sectPr>
      </w:pPr>
    </w:p>
    <w:bookmarkStart w:id="194" w:name="page195"/>
    <w:bookmarkEnd w:id="194"/>
    <w:p>
      <w:pPr>
        <w:ind w:left="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[Each Material Issuing Lender]</w:t>
      </w:r>
      <w:r>
        <w:rPr>
          <w:rFonts w:ascii="Times New Roman" w:cs="Times New Roman" w:eastAsia="Times New Roman" w:hAnsi="Times New Roman"/>
          <w:sz w:val="26"/>
          <w:szCs w:val="26"/>
          <w:color w:val="auto"/>
          <w:vertAlign w:val="superscript"/>
        </w:rPr>
        <w:t>8</w:t>
      </w:r>
    </w:p>
    <w:p>
      <w:pPr>
        <w:spacing w:after="0" w:line="1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15240</wp:posOffset>
            </wp:positionV>
            <wp:extent cx="23920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92045" cy="825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247015</wp:posOffset>
            </wp:positionV>
            <wp:extent cx="7499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390" w:lineRule="exact"/>
        <w:rPr>
          <w:sz w:val="20"/>
          <w:szCs w:val="20"/>
          <w:color w:val="auto"/>
        </w:rPr>
      </w:pPr>
    </w:p>
    <w:p>
      <w:pPr>
        <w:ind w:left="208" w:hanging="208"/>
        <w:spacing w:after="0" w:line="205" w:lineRule="auto"/>
        <w:tabs>
          <w:tab w:leader="none" w:pos="208" w:val="left"/>
        </w:tabs>
        <w:numPr>
          <w:ilvl w:val="0"/>
          <w:numId w:val="1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the case of any assignment of any rights or interest under the Domestic Facility, unless such assignment is (x) to a Lender who has an investment grade rating from two of S&amp;P, Moody’s and Fitch or (y) to a Domestic Lender or an affiliate thereof).</w:t>
      </w:r>
    </w:p>
    <w:p>
      <w:pPr>
        <w:sectPr>
          <w:pgSz w:w="11900" w:h="16838" w:orient="portrait"/>
          <w:cols w:equalWidth="0" w:num="1">
            <w:col w:w="10708"/>
          </w:cols>
          <w:pgMar w:left="532" w:top="267" w:right="659" w:bottom="1440" w:gutter="0" w:footer="0" w:header="0"/>
        </w:sectPr>
      </w:pPr>
    </w:p>
    <w:bookmarkStart w:id="195" w:name="page196"/>
    <w:bookmarkEnd w:id="195"/>
    <w:p>
      <w:pPr>
        <w:jc w:val="center"/>
        <w:ind w:right="-2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STANDARD TERMS AND CONDITIONS FOR</w:t>
      </w:r>
    </w:p>
    <w:p>
      <w:pPr>
        <w:spacing w:after="0" w:line="2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196" w:lineRule="exact"/>
        <w:rPr>
          <w:sz w:val="20"/>
          <w:szCs w:val="20"/>
          <w:color w:val="auto"/>
        </w:rPr>
      </w:pPr>
    </w:p>
    <w:p>
      <w:pPr>
        <w:ind w:left="608" w:hanging="175"/>
        <w:spacing w:after="0"/>
        <w:tabs>
          <w:tab w:leader="none" w:pos="60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100" w:firstLine="433"/>
        <w:spacing w:after="0" w:line="267"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170" w:lineRule="exact"/>
        <w:rPr>
          <w:sz w:val="20"/>
          <w:szCs w:val="20"/>
          <w:color w:val="auto"/>
        </w:rPr>
      </w:pPr>
    </w:p>
    <w:p>
      <w:pPr>
        <w:ind w:left="8" w:right="20" w:firstLine="433"/>
        <w:spacing w:after="0" w:line="273"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8" w:hanging="8"/>
        <w:spacing w:after="0" w:line="262" w:lineRule="auto"/>
        <w:tabs>
          <w:tab w:leader="none" w:pos="26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thereof (or, if none of such financial statements shall have then been delivered or deemed delivered, then copies of the financial statements referred to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or Co-Syndication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ectPr>
          <w:pgSz w:w="11900" w:h="16838" w:orient="portrait"/>
          <w:cols w:equalWidth="0" w:num="1">
            <w:col w:w="10788"/>
          </w:cols>
          <w:pgMar w:left="532" w:top="267" w:right="579" w:bottom="1440" w:gutter="0" w:footer="0" w:header="0"/>
        </w:sectPr>
      </w:pPr>
    </w:p>
    <w:bookmarkStart w:id="196" w:name="page197"/>
    <w:bookmarkEnd w:id="196"/>
    <w:p>
      <w:pPr>
        <w:jc w:val="both"/>
        <w:ind w:left="-425" w:right="100" w:firstLine="425"/>
        <w:spacing w:after="0" w:line="261" w:lineRule="auto"/>
        <w:tabs>
          <w:tab w:leader="none" w:pos="1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pacing w:after="0" w:line="173" w:lineRule="exact"/>
        <w:rPr>
          <w:rFonts w:ascii="Times New Roman" w:cs="Times New Roman" w:eastAsia="Times New Roman" w:hAnsi="Times New Roman"/>
          <w:sz w:val="18"/>
          <w:szCs w:val="18"/>
          <w:color w:val="auto"/>
        </w:rPr>
      </w:pPr>
    </w:p>
    <w:p>
      <w:pPr>
        <w:ind w:left="-425" w:firstLine="425"/>
        <w:spacing w:after="0" w:line="252" w:lineRule="auto"/>
        <w:tabs>
          <w:tab w:leader="none" w:pos="1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335"/>
          </w:cols>
          <w:pgMar w:left="965" w:top="265" w:right="599" w:bottom="1440" w:gutter="0" w:footer="0" w:header="0"/>
        </w:sectPr>
      </w:pPr>
    </w:p>
    <w:bookmarkStart w:id="197" w:name="page198"/>
    <w:bookmarkEnd w:id="197"/>
    <w:p>
      <w:pPr>
        <w:ind w:left="9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H</w:t>
      </w:r>
    </w:p>
    <w:p>
      <w:pPr>
        <w:spacing w:after="0" w:line="27"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0" w:lineRule="exact"/>
        <w:rPr>
          <w:sz w:val="20"/>
          <w:szCs w:val="20"/>
          <w:color w:val="auto"/>
        </w:rPr>
      </w:pPr>
    </w:p>
    <w:p>
      <w:pPr>
        <w:ind w:right="60" w:firstLine="974"/>
        <w:spacing w:after="0" w:line="267" w:lineRule="auto"/>
        <w:rPr>
          <w:sz w:val="20"/>
          <w:szCs w:val="20"/>
          <w:color w:val="auto"/>
        </w:rPr>
      </w:pPr>
      <w:r>
        <w:rPr>
          <w:rFonts w:ascii="Times New Roman" w:cs="Times New Roman" w:eastAsia="Times New Roman" w:hAnsi="Times New Roman"/>
          <w:sz w:val="17"/>
          <w:szCs w:val="17"/>
          <w:color w:val="auto"/>
        </w:rPr>
        <w:t>JOINDER AGREEMENT, dated as of ___, 20__, made by each signatory hereto (each a “</w:t>
      </w:r>
      <w:r>
        <w:rPr>
          <w:rFonts w:ascii="Times New Roman" w:cs="Times New Roman" w:eastAsia="Times New Roman" w:hAnsi="Times New Roman"/>
          <w:sz w:val="17"/>
          <w:szCs w:val="17"/>
          <w:u w:val="single" w:color="auto"/>
          <w:color w:val="auto"/>
        </w:rPr>
        <w:t>Subsidiary Borrower</w:t>
      </w:r>
      <w:r>
        <w:rPr>
          <w:rFonts w:ascii="Times New Roman" w:cs="Times New Roman" w:eastAsia="Times New Roman" w:hAnsi="Times New Roman"/>
          <w:sz w:val="17"/>
          <w:szCs w:val="17"/>
          <w:color w:val="auto"/>
        </w:rPr>
        <w:t>”), in favor of JPMorgan Chase Bank, N.A., as administrative agent for the Lenders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referred to in the Fourth Amended and Restated Five Year Revolving Credit Agreement, dated as of March 31, 2023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WHEREAS, the parties to this Joinder Agreement wish to add the Subsidiary Borrower to the Credit Agreement in the manner hereinafter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and</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WHEREAS, this Joinder Agreement is entered into pursuant to Section 10.1(d)(i) of the Credit Agreement;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218" w:lineRule="exact"/>
        <w:rPr>
          <w:sz w:val="20"/>
          <w:szCs w:val="20"/>
          <w:color w:val="auto"/>
        </w:rPr>
      </w:pPr>
    </w:p>
    <w:p>
      <w:pPr>
        <w:jc w:val="both"/>
        <w:ind w:right="120" w:firstLine="966"/>
        <w:spacing w:after="0" w:line="255" w:lineRule="auto"/>
        <w:tabs>
          <w:tab w:leader="none" w:pos="11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1" w:lineRule="exact"/>
        <w:rPr>
          <w:rFonts w:ascii="Times New Roman" w:cs="Times New Roman" w:eastAsia="Times New Roman" w:hAnsi="Times New Roman"/>
          <w:sz w:val="18"/>
          <w:szCs w:val="18"/>
          <w:color w:val="auto"/>
        </w:rPr>
      </w:pPr>
    </w:p>
    <w:p>
      <w:pPr>
        <w:ind w:right="80" w:firstLine="966"/>
        <w:spacing w:after="0" w:line="274" w:lineRule="auto"/>
        <w:tabs>
          <w:tab w:leader="none" w:pos="11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taxpayer identification number (if any) and jurisdiction of organization of the Subsidiary Borrower is set forth in Annex I to this Joinder Agreement.</w:t>
      </w:r>
    </w:p>
    <w:p>
      <w:pPr>
        <w:spacing w:after="0" w:line="162" w:lineRule="exact"/>
        <w:rPr>
          <w:rFonts w:ascii="Times New Roman" w:cs="Times New Roman" w:eastAsia="Times New Roman" w:hAnsi="Times New Roman"/>
          <w:sz w:val="18"/>
          <w:szCs w:val="18"/>
          <w:color w:val="auto"/>
        </w:rPr>
      </w:pPr>
    </w:p>
    <w:p>
      <w:pPr>
        <w:ind w:right="80" w:firstLine="966"/>
        <w:spacing w:after="0" w:line="276" w:lineRule="auto"/>
        <w:tabs>
          <w:tab w:leader="none" w:pos="1151"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JOINDER AND THE RIGHTS AND OBLIGATIONS OF THE PARTIES HEREUNDER SHALL BE GOVERNED BY, AND CONSTRUED AND INTERPRETED IN ACCORDANCE WITH, THE LAW OF THE STATE OF NEW YORK.</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740"/>
          </w:cols>
          <w:pgMar w:left="540" w:top="265" w:right="619" w:bottom="1440" w:gutter="0" w:footer="0" w:header="0"/>
        </w:sectPr>
      </w:pPr>
    </w:p>
    <w:bookmarkStart w:id="198" w:name="page199"/>
    <w:bookmarkEnd w:id="198"/>
    <w:p>
      <w:pPr>
        <w:ind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[EACH SUBSIDIARY BORROWER],</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as a Subsidiary Borrower</w:t>
      </w:r>
    </w:p>
    <w:p>
      <w:pPr>
        <w:spacing w:after="0" w:line="2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AND AGREED TO:</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80"/>
          </w:cols>
          <w:pgMar w:left="540" w:top="267" w:right="579" w:bottom="1440" w:gutter="0" w:footer="0" w:header="0"/>
        </w:sectPr>
      </w:pPr>
    </w:p>
    <w:bookmarkStart w:id="199" w:name="page200"/>
    <w:bookmarkEnd w:id="199"/>
    <w:p>
      <w:pPr>
        <w:ind w:left="9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I-1</w:t>
      </w:r>
    </w:p>
    <w:p>
      <w:pPr>
        <w:spacing w:after="0" w:line="27"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18" w:lineRule="exact"/>
        <w:rPr>
          <w:sz w:val="20"/>
          <w:szCs w:val="20"/>
          <w:color w:val="auto"/>
        </w:rPr>
      </w:pPr>
    </w:p>
    <w:p>
      <w:pPr>
        <w:ind w:right="2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Fourth Amended and Restated Five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firstLine="433"/>
        <w:spacing w:after="0" w:line="266" w:lineRule="auto"/>
        <w:rPr>
          <w:sz w:val="20"/>
          <w:szCs w:val="20"/>
          <w:color w:val="auto"/>
        </w:rPr>
      </w:pPr>
      <w:r>
        <w:rPr>
          <w:rFonts w:ascii="Times New Roman" w:cs="Times New Roman" w:eastAsia="Times New Roman" w:hAnsi="Times New Roman"/>
          <w:sz w:val="17"/>
          <w:szCs w:val="17"/>
          <w:color w:val="auto"/>
        </w:rPr>
        <w:t>Pursuant to the provisions of Section 2.19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(3)(C) of the Code and (v) the interest payments in question are not effectively connected with the undersigned’s conduct of a U.S. trade or business.</w:t>
      </w:r>
    </w:p>
    <w:p>
      <w:pPr>
        <w:spacing w:after="0" w:line="198" w:lineRule="exact"/>
        <w:rPr>
          <w:sz w:val="20"/>
          <w:szCs w:val="20"/>
          <w:color w:val="auto"/>
        </w:rPr>
      </w:pPr>
    </w:p>
    <w:p>
      <w:pPr>
        <w:ind w:right="140" w:firstLine="433"/>
        <w:spacing w:after="0" w:line="251"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800"/>
          </w:cols>
          <w:pgMar w:left="540" w:top="265" w:right="559" w:bottom="1440" w:gutter="0" w:footer="0" w:header="0"/>
        </w:sectPr>
      </w:pPr>
    </w:p>
    <w:bookmarkStart w:id="200" w:name="page201"/>
    <w:bookmarkEnd w:id="200"/>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340"/>
          </w:cols>
          <w:pgMar w:left="540" w:top="267" w:right="1019" w:bottom="1440" w:gutter="0" w:footer="0" w:header="0"/>
        </w:sectPr>
      </w:pPr>
    </w:p>
    <w:bookmarkStart w:id="201" w:name="page202"/>
    <w:bookmarkEnd w:id="201"/>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I-2</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18" w:lineRule="exact"/>
        <w:rPr>
          <w:sz w:val="20"/>
          <w:szCs w:val="20"/>
          <w:color w:val="auto"/>
        </w:rPr>
      </w:pPr>
    </w:p>
    <w:p>
      <w:pPr>
        <w:ind w:right="2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Fourth Amended and Restated Five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firstLine="433"/>
        <w:spacing w:after="0" w:line="250" w:lineRule="auto"/>
        <w:rPr>
          <w:sz w:val="20"/>
          <w:szCs w:val="20"/>
          <w:color w:val="auto"/>
        </w:rPr>
      </w:pPr>
      <w:r>
        <w:rPr>
          <w:rFonts w:ascii="Times New Roman" w:cs="Times New Roman" w:eastAsia="Times New Roman" w:hAnsi="Times New Roman"/>
          <w:sz w:val="18"/>
          <w:szCs w:val="18"/>
          <w:color w:val="auto"/>
        </w:rPr>
        <w:t>Pursuant to the provisions of Section 2.19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85" w:lineRule="exact"/>
        <w:rPr>
          <w:sz w:val="20"/>
          <w:szCs w:val="20"/>
          <w:color w:val="auto"/>
        </w:rPr>
      </w:pPr>
    </w:p>
    <w:p>
      <w:pPr>
        <w:ind w:firstLine="433"/>
        <w:spacing w:after="0" w:line="249"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800"/>
          </w:cols>
          <w:pgMar w:left="540" w:top="265" w:right="559" w:bottom="1440" w:gutter="0" w:footer="0" w:header="0"/>
        </w:sectPr>
      </w:pPr>
    </w:p>
    <w:bookmarkStart w:id="202" w:name="page203"/>
    <w:bookmarkEnd w:id="202"/>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 20__</w:t>
      </w:r>
    </w:p>
    <w:p>
      <w:pPr>
        <w:sectPr>
          <w:pgSz w:w="11900" w:h="16838" w:orient="portrait"/>
          <w:cols w:equalWidth="0" w:num="1">
            <w:col w:w="10340"/>
          </w:cols>
          <w:pgMar w:left="540" w:top="267" w:right="1019" w:bottom="1440" w:gutter="0" w:footer="0" w:header="0"/>
        </w:sectPr>
      </w:pPr>
    </w:p>
    <w:bookmarkStart w:id="203" w:name="page204"/>
    <w:bookmarkEnd w:id="203"/>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I-3</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18"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Fourth Amended and Restated Five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320" w:firstLine="433"/>
        <w:spacing w:after="0" w:line="253" w:lineRule="auto"/>
        <w:rPr>
          <w:sz w:val="20"/>
          <w:szCs w:val="20"/>
          <w:color w:val="auto"/>
        </w:rPr>
      </w:pPr>
      <w:r>
        <w:rPr>
          <w:rFonts w:ascii="Times New Roman" w:cs="Times New Roman" w:eastAsia="Times New Roman" w:hAnsi="Times New Roman"/>
          <w:sz w:val="18"/>
          <w:szCs w:val="18"/>
          <w:color w:val="auto"/>
        </w:rPr>
        <w:t>Pursuant to the provisions of Section 2.19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2" w:lineRule="exact"/>
        <w:rPr>
          <w:sz w:val="20"/>
          <w:szCs w:val="20"/>
          <w:color w:val="auto"/>
        </w:rPr>
      </w:pPr>
    </w:p>
    <w:p>
      <w:pPr>
        <w:ind w:right="80" w:firstLine="433"/>
        <w:spacing w:after="0" w:line="271" w:lineRule="auto"/>
        <w:rPr>
          <w:sz w:val="20"/>
          <w:szCs w:val="20"/>
          <w:color w:val="auto"/>
        </w:rPr>
      </w:pPr>
      <w:r>
        <w:rPr>
          <w:rFonts w:ascii="Times New Roman" w:cs="Times New Roman" w:eastAsia="Times New Roman" w:hAnsi="Times New Roman"/>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780"/>
          </w:cols>
          <w:pgMar w:left="540" w:top="265" w:right="579" w:bottom="1440" w:gutter="0" w:footer="0" w:header="0"/>
        </w:sectPr>
      </w:pPr>
    </w:p>
    <w:bookmarkStart w:id="204" w:name="page205"/>
    <w:bookmarkEnd w:id="204"/>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20__</w:t>
      </w:r>
    </w:p>
    <w:p>
      <w:pPr>
        <w:sectPr>
          <w:pgSz w:w="11900" w:h="16838" w:orient="portrait"/>
          <w:cols w:equalWidth="0" w:num="1">
            <w:col w:w="10340"/>
          </w:cols>
          <w:pgMar w:left="540" w:top="267" w:right="1019" w:bottom="1440" w:gutter="0" w:footer="0" w:header="0"/>
        </w:sectPr>
      </w:pPr>
    </w:p>
    <w:bookmarkStart w:id="205" w:name="page206"/>
    <w:bookmarkEnd w:id="205"/>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I-4</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[FORM OF]</w:t>
      </w:r>
    </w:p>
    <w:p>
      <w:pPr>
        <w:spacing w:after="0" w:line="2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18" w:lineRule="exact"/>
        <w:rPr>
          <w:sz w:val="20"/>
          <w:szCs w:val="20"/>
          <w:color w:val="auto"/>
        </w:rPr>
      </w:pPr>
    </w:p>
    <w:p>
      <w:pPr>
        <w:ind w:left="8" w:right="2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Fourth Amended and Restated Five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left="8" w:right="60" w:firstLine="433"/>
        <w:spacing w:after="0" w:line="267" w:lineRule="auto"/>
        <w:rPr>
          <w:sz w:val="20"/>
          <w:szCs w:val="20"/>
          <w:color w:val="auto"/>
        </w:rPr>
      </w:pPr>
      <w:r>
        <w:rPr>
          <w:rFonts w:ascii="Times New Roman" w:cs="Times New Roman" w:eastAsia="Times New Roman" w:hAnsi="Times New Roman"/>
          <w:sz w:val="17"/>
          <w:szCs w:val="17"/>
          <w:color w:val="auto"/>
        </w:rPr>
        <w:t>Pursuant to the provisions of Section 2.19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17" w:lineRule="exact"/>
        <w:rPr>
          <w:sz w:val="20"/>
          <w:szCs w:val="20"/>
          <w:color w:val="auto"/>
        </w:rPr>
      </w:pPr>
    </w:p>
    <w:p>
      <w:pPr>
        <w:ind w:left="8" w:right="20" w:hanging="8"/>
        <w:spacing w:after="0" w:line="247" w:lineRule="auto"/>
        <w:tabs>
          <w:tab w:leader="none" w:pos="2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808"/>
          </w:cols>
          <w:pgMar w:left="532" w:top="265" w:right="559" w:bottom="1440" w:gutter="0" w:footer="0" w:header="0"/>
        </w:sectPr>
      </w:pPr>
    </w:p>
    <w:bookmarkStart w:id="206" w:name="page207"/>
    <w:bookmarkEnd w:id="206"/>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20__</w:t>
      </w:r>
    </w:p>
    <w:p>
      <w:pPr>
        <w:sectPr>
          <w:pgSz w:w="11900" w:h="16838" w:orient="portrait"/>
          <w:cols w:equalWidth="0" w:num="1">
            <w:col w:w="10340"/>
          </w:cols>
          <w:pgMar w:left="540" w:top="267" w:right="1019" w:bottom="1440" w:gutter="0" w:footer="0" w:header="0"/>
        </w:sectPr>
      </w:pPr>
    </w:p>
    <w:bookmarkStart w:id="207" w:name="page208"/>
    <w:bookmarkEnd w:id="207"/>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J</w:t>
      </w:r>
    </w:p>
    <w:p>
      <w:pPr>
        <w:spacing w:after="0" w:line="2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0"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 under the Credit Agreements referred to below</w:t>
      </w:r>
    </w:p>
    <w:p>
      <w:pPr>
        <w:spacing w:after="0" w:line="125" w:lineRule="exact"/>
        <w:rPr>
          <w:sz w:val="20"/>
          <w:szCs w:val="20"/>
          <w:color w:val="auto"/>
        </w:rPr>
      </w:pPr>
    </w:p>
    <w:p>
      <w:pPr>
        <w:ind w:left="420" w:hanging="419"/>
        <w:spacing w:after="0" w:line="247" w:lineRule="auto"/>
        <w:tabs>
          <w:tab w:leader="none" w:pos="400" w:val="left"/>
        </w:tabs>
        <w:rPr>
          <w:sz w:val="20"/>
          <w:szCs w:val="20"/>
          <w:color w:val="auto"/>
        </w:rPr>
      </w:pPr>
      <w:r>
        <w:rPr>
          <w:rFonts w:ascii="Times New Roman" w:cs="Times New Roman" w:eastAsia="Times New Roman" w:hAnsi="Times New Roman"/>
          <w:sz w:val="18"/>
          <w:szCs w:val="18"/>
          <w:color w:val="auto"/>
        </w:rPr>
        <w:t>Re:</w:t>
        <w:tab/>
        <w:t>(i) the Fifth Amended and Restated Three Year Revolving Credit Agreement, dated as of March 31, 2023 (as amended, restated, amended and restated, renewed, supplemented or modified from time to time, the “3</w:t>
      </w:r>
      <w:r>
        <w:rPr>
          <w:rFonts w:ascii="Times New Roman" w:cs="Times New Roman" w:eastAsia="Times New Roman" w:hAnsi="Times New Roman"/>
          <w:sz w:val="18"/>
          <w:szCs w:val="18"/>
          <w:u w:val="single" w:color="auto"/>
          <w:color w:val="auto"/>
        </w:rPr>
        <w:t>-Year 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3-Year Lenders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for the 3-Year Lenders (in such capacity, together with any successor thereto in such capacity, the “</w:t>
      </w:r>
      <w:r>
        <w:rPr>
          <w:rFonts w:ascii="Times New Roman" w:cs="Times New Roman" w:eastAsia="Times New Roman" w:hAnsi="Times New Roman"/>
          <w:sz w:val="18"/>
          <w:szCs w:val="18"/>
          <w:u w:val="single" w:color="auto"/>
          <w:color w:val="auto"/>
        </w:rPr>
        <w:t>3-Year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the Fourth Amended and Restated Five 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(in such capacity, together with any successor thereto in such capacity,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the Fifth Amended and Restated 364-Day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 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(in such capacity, together with any successor thereto in such capacity,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w:t>
      </w:r>
    </w:p>
    <w:p>
      <w:pPr>
        <w:sectPr>
          <w:pgSz w:w="11900" w:h="16838" w:orient="portrait"/>
          <w:cols w:equalWidth="0" w:num="1">
            <w:col w:w="10820"/>
          </w:cols>
          <w:pgMar w:left="540" w:top="265" w:right="539" w:bottom="1440" w:gutter="0" w:footer="0" w:header="0"/>
        </w:sectPr>
      </w:pPr>
    </w:p>
    <w:bookmarkStart w:id="208" w:name="page209"/>
    <w:bookmarkEnd w:id="208"/>
    <w:p>
      <w:pPr>
        <w:ind w:firstLine="433"/>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This Compliance Certificate (this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xml:space="preserve">”) is furnished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54" w:lineRule="exact"/>
        <w:rPr>
          <w:sz w:val="20"/>
          <w:szCs w:val="20"/>
          <w:color w:val="auto"/>
        </w:rPr>
      </w:pPr>
    </w:p>
    <w:p>
      <w:pPr>
        <w:ind w:left="600" w:hanging="175"/>
        <w:spacing w:after="0"/>
        <w:tabs>
          <w:tab w:leader="none" w:pos="6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[a] duly elected [insert title of Responsible Officer] of the Company;</w:t>
      </w:r>
    </w:p>
    <w:p>
      <w:pPr>
        <w:spacing w:after="0" w:line="217" w:lineRule="exact"/>
        <w:rPr>
          <w:rFonts w:ascii="Times New Roman" w:cs="Times New Roman" w:eastAsia="Times New Roman" w:hAnsi="Times New Roman"/>
          <w:sz w:val="18"/>
          <w:szCs w:val="18"/>
          <w:color w:val="auto"/>
        </w:rPr>
      </w:pPr>
    </w:p>
    <w:p>
      <w:pPr>
        <w:ind w:right="60" w:firstLine="425"/>
        <w:spacing w:after="0" w:line="274" w:lineRule="auto"/>
        <w:tabs>
          <w:tab w:leader="none" w:pos="61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my knowledge, no Default or Event of Default has occurredand is continuing as of the date hereof [, except as set forth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hereto];</w:t>
      </w:r>
    </w:p>
    <w:p>
      <w:pPr>
        <w:spacing w:after="0" w:line="164" w:lineRule="exact"/>
        <w:rPr>
          <w:rFonts w:ascii="Times New Roman" w:cs="Times New Roman" w:eastAsia="Times New Roman" w:hAnsi="Times New Roman"/>
          <w:sz w:val="18"/>
          <w:szCs w:val="18"/>
          <w:color w:val="auto"/>
        </w:rPr>
      </w:pPr>
    </w:p>
    <w:p>
      <w:pPr>
        <w:ind w:right="160" w:firstLine="425"/>
        <w:spacing w:after="0" w:line="274" w:lineRule="auto"/>
        <w:tabs>
          <w:tab w:leader="none" w:pos="61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 and</w:t>
      </w:r>
    </w:p>
    <w:p>
      <w:pPr>
        <w:spacing w:after="0" w:line="164" w:lineRule="exact"/>
        <w:rPr>
          <w:rFonts w:ascii="Times New Roman" w:cs="Times New Roman" w:eastAsia="Times New Roman" w:hAnsi="Times New Roman"/>
          <w:sz w:val="18"/>
          <w:szCs w:val="18"/>
          <w:color w:val="auto"/>
        </w:rPr>
      </w:pPr>
    </w:p>
    <w:p>
      <w:pPr>
        <w:ind w:right="80" w:firstLine="425"/>
        <w:spacing w:after="0" w:line="274" w:lineRule="auto"/>
        <w:tabs>
          <w:tab w:leader="none" w:pos="61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780"/>
          </w:cols>
          <w:pgMar w:left="540" w:top="267" w:right="579" w:bottom="1440" w:gutter="0" w:footer="0" w:header="0"/>
        </w:sectPr>
      </w:pPr>
    </w:p>
    <w:bookmarkStart w:id="209" w:name="page210"/>
    <w:bookmarkEnd w:id="209"/>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15240</wp:posOffset>
            </wp:positionV>
            <wp:extent cx="24174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19685</wp:posOffset>
            </wp:positionV>
            <wp:extent cx="24174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-123190</wp:posOffset>
            </wp:positionV>
            <wp:extent cx="24174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ectPr>
          <w:pgSz w:w="11900" w:h="16838" w:orient="portrait"/>
          <w:cols w:equalWidth="0" w:num="1">
            <w:col w:w="10740"/>
          </w:cols>
          <w:pgMar w:left="540" w:top="267" w:right="619" w:bottom="1440" w:gutter="0" w:footer="0" w:header="0"/>
        </w:sectPr>
      </w:pPr>
    </w:p>
    <w:bookmarkStart w:id="210" w:name="page211"/>
    <w:bookmarkEnd w:id="210"/>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I</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11" w:lineRule="exact"/>
        <w:rPr>
          <w:sz w:val="20"/>
          <w:szCs w:val="20"/>
          <w:color w:val="auto"/>
        </w:rPr>
      </w:pPr>
    </w:p>
    <w:p>
      <w:pPr>
        <w:ind w:left="2328"/>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52" w:lineRule="exact"/>
        <w:rPr>
          <w:sz w:val="20"/>
          <w:szCs w:val="20"/>
          <w:color w:val="auto"/>
        </w:rPr>
      </w:pPr>
    </w:p>
    <w:p>
      <w:pPr>
        <w:ind w:left="8" w:right="4060" w:hanging="8"/>
        <w:spacing w:after="0" w:line="274" w:lineRule="auto"/>
        <w:tabs>
          <w:tab w:leader="none" w:pos="29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1" w:lineRule="exact"/>
        <w:rPr>
          <w:sz w:val="20"/>
          <w:szCs w:val="20"/>
          <w:color w:val="auto"/>
        </w:rPr>
      </w:pPr>
    </w:p>
    <w:p>
      <w:pPr>
        <w:ind w:left="8" w:right="4060" w:hanging="8"/>
        <w:spacing w:after="0" w:line="274" w:lineRule="auto"/>
        <w:tabs>
          <w:tab w:leader="none" w:pos="28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PLUS</w:t>
      </w:r>
    </w:p>
    <w:p>
      <w:pPr>
        <w:spacing w:after="0" w:line="111" w:lineRule="exact"/>
        <w:rPr>
          <w:sz w:val="20"/>
          <w:szCs w:val="20"/>
          <w:color w:val="auto"/>
        </w:rPr>
      </w:pPr>
    </w:p>
    <w:p>
      <w:pPr>
        <w:ind w:left="8" w:right="3880" w:hanging="8"/>
        <w:spacing w:after="0" w:line="274" w:lineRule="auto"/>
        <w:tabs>
          <w:tab w:leader="none" w:pos="288" w:val="left"/>
        </w:tabs>
        <w:numPr>
          <w:ilvl w:val="0"/>
          <w:numId w:val="1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The Total Available Commitments Under the 364-Day Credit Agreement as of the Calculation Date</w:t>
      </w:r>
    </w:p>
    <w:p>
      <w:pPr>
        <w:spacing w:after="0" w:line="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1" w:lineRule="exact"/>
        <w:rPr>
          <w:sz w:val="20"/>
          <w:szCs w:val="20"/>
          <w:color w:val="auto"/>
        </w:rPr>
      </w:pPr>
    </w:p>
    <w:p>
      <w:pPr>
        <w:ind w:left="8" w:right="4200" w:hanging="8"/>
        <w:spacing w:after="0" w:line="260" w:lineRule="auto"/>
        <w:tabs>
          <w:tab w:leader="none" w:pos="29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Domestic Subsidiary as of the Calculation Date.</w:t>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1" w:lineRule="exact"/>
        <w:rPr>
          <w:sz w:val="20"/>
          <w:szCs w:val="20"/>
          <w:color w:val="auto"/>
        </w:rPr>
      </w:pPr>
    </w:p>
    <w:p>
      <w:pPr>
        <w:ind w:left="8" w:right="3780" w:hanging="8"/>
        <w:spacing w:after="0" w:line="251" w:lineRule="auto"/>
        <w:tabs>
          <w:tab w:leader="none" w:pos="27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65"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 of (A) plus (B) plus (C) plus (D) plus (E):</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192"/>
        </w:trPr>
        <w:tc>
          <w:tcPr>
            <w:tcW w:w="2400" w:type="dxa"/>
            <w:vAlign w:val="bottom"/>
            <w:tcBorders>
              <w:top w:val="single" w:sz="8" w:color="auto"/>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Consolidated Domestic Liquidity:</w:t>
            </w:r>
          </w:p>
        </w:tc>
        <w:tc>
          <w:tcPr>
            <w:tcW w:w="920" w:type="dxa"/>
            <w:vAlign w:val="bottom"/>
            <w:tcBorders>
              <w:top w:val="single" w:sz="8" w:color="auto"/>
            </w:tcBorders>
          </w:tcPr>
          <w:p>
            <w:pPr>
              <w:spacing w:after="0"/>
              <w:rPr>
                <w:sz w:val="16"/>
                <w:szCs w:val="16"/>
                <w:color w:val="auto"/>
              </w:rPr>
            </w:pPr>
          </w:p>
        </w:tc>
        <w:tc>
          <w:tcPr>
            <w:tcW w:w="2740" w:type="dxa"/>
            <w:vAlign w:val="bottom"/>
          </w:tcPr>
          <w:p>
            <w:pPr>
              <w:spacing w:after="0"/>
              <w:rPr>
                <w:sz w:val="16"/>
                <w:szCs w:val="16"/>
                <w:color w:val="auto"/>
              </w:rPr>
            </w:pPr>
          </w:p>
        </w:tc>
        <w:tc>
          <w:tcPr>
            <w:tcW w:w="47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252730</wp:posOffset>
            </wp:positionV>
            <wp:extent cx="7499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399" w:lineRule="exact"/>
        <w:rPr>
          <w:sz w:val="20"/>
          <w:szCs w:val="20"/>
          <w:color w:val="auto"/>
        </w:rPr>
      </w:pPr>
    </w:p>
    <w:p>
      <w:pPr>
        <w:ind w:left="428" w:right="560" w:hanging="428"/>
        <w:spacing w:after="0" w:line="205" w:lineRule="auto"/>
        <w:tabs>
          <w:tab w:leader="none" w:pos="428" w:val="left"/>
        </w:tabs>
        <w:numPr>
          <w:ilvl w:val="0"/>
          <w:numId w:val="1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ectPr>
          <w:pgSz w:w="11900" w:h="16838" w:orient="portrait"/>
          <w:cols w:equalWidth="0" w:num="1">
            <w:col w:w="10828"/>
          </w:cols>
          <w:pgMar w:left="532" w:top="265" w:right="539" w:bottom="1440" w:gutter="0" w:footer="0" w:header="0"/>
        </w:sectPr>
      </w:pPr>
    </w:p>
    <w:bookmarkStart w:id="211" w:name="page212"/>
    <w:bookmarkEnd w:id="211"/>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II</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23" w:lineRule="exact"/>
        <w:rPr>
          <w:sz w:val="20"/>
          <w:szCs w:val="20"/>
          <w:color w:val="auto"/>
        </w:rPr>
      </w:pPr>
    </w:p>
    <w:p>
      <w:pPr>
        <w:ind w:left="2428"/>
        <w:spacing w:after="0"/>
        <w:rPr>
          <w:sz w:val="20"/>
          <w:szCs w:val="20"/>
          <w:color w:val="auto"/>
        </w:rPr>
      </w:pPr>
      <w:r>
        <w:rPr>
          <w:rFonts w:ascii="Times New Roman" w:cs="Times New Roman" w:eastAsia="Times New Roman" w:hAnsi="Times New Roman"/>
          <w:sz w:val="18"/>
          <w:szCs w:val="18"/>
          <w:u w:val="single" w:color="auto"/>
          <w:color w:val="auto"/>
        </w:rPr>
        <w:t>Consolidated Global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258" w:lineRule="exact"/>
        <w:rPr>
          <w:sz w:val="20"/>
          <w:szCs w:val="20"/>
          <w:color w:val="auto"/>
        </w:rPr>
      </w:pPr>
    </w:p>
    <w:p>
      <w:pPr>
        <w:ind w:left="288" w:hanging="288"/>
        <w:spacing w:after="0"/>
        <w:tabs>
          <w:tab w:leader="none" w:pos="28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15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The Total Available Commitments Under the 364-Day Credit Agreement as of the Calculation Date</w:t>
      </w:r>
    </w:p>
    <w:p>
      <w:pPr>
        <w:spacing w:after="0" w:line="111" w:lineRule="exact"/>
        <w:rPr>
          <w:rFonts w:ascii="Times New Roman" w:cs="Times New Roman" w:eastAsia="Times New Roman" w:hAnsi="Times New Roman"/>
          <w:sz w:val="18"/>
          <w:szCs w:val="18"/>
          <w:u w:val="single" w:color="auto"/>
          <w:color w:val="auto"/>
        </w:rPr>
      </w:pPr>
    </w:p>
    <w:p>
      <w:pPr>
        <w:ind w:left="8"/>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u w:val="single" w:color="auto"/>
          <w:color w:val="auto"/>
        </w:rPr>
      </w:pPr>
    </w:p>
    <w:p>
      <w:pPr>
        <w:ind w:left="8" w:right="3120" w:hanging="8"/>
        <w:spacing w:after="0" w:line="260" w:lineRule="auto"/>
        <w:tabs>
          <w:tab w:leader="none" w:pos="29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of its Subsidiaries as of the Calculation Date.</w:t>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1" w:lineRule="exact"/>
        <w:rPr>
          <w:sz w:val="20"/>
          <w:szCs w:val="20"/>
          <w:color w:val="auto"/>
        </w:rPr>
      </w:pPr>
    </w:p>
    <w:p>
      <w:pPr>
        <w:ind w:left="8" w:right="2780" w:hanging="8"/>
        <w:spacing w:after="0" w:line="255" w:lineRule="auto"/>
        <w:tabs>
          <w:tab w:leader="none" w:pos="2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5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 of (A) plus (B) plus (C) plus (D) plus (E):</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192"/>
        </w:trPr>
        <w:tc>
          <w:tcPr>
            <w:tcW w:w="3320" w:type="dxa"/>
            <w:vAlign w:val="bottom"/>
            <w:tcBorders>
              <w:top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color w:val="auto"/>
              </w:rPr>
              <w:t>Consolidated Global Liquidity:</w:t>
            </w:r>
          </w:p>
        </w:tc>
        <w:tc>
          <w:tcPr>
            <w:tcW w:w="224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499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87" w:lineRule="exact"/>
        <w:rPr>
          <w:sz w:val="20"/>
          <w:szCs w:val="20"/>
          <w:color w:val="auto"/>
        </w:rPr>
      </w:pPr>
    </w:p>
    <w:p>
      <w:pPr>
        <w:ind w:left="428" w:right="80" w:hanging="428"/>
        <w:spacing w:after="0" w:line="205" w:lineRule="auto"/>
        <w:tabs>
          <w:tab w:leader="none" w:pos="428" w:val="left"/>
        </w:tabs>
        <w:numPr>
          <w:ilvl w:val="0"/>
          <w:numId w:val="1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ectPr>
          <w:pgSz w:w="11900" w:h="16838" w:orient="portrait"/>
          <w:cols w:equalWidth="0" w:num="1">
            <w:col w:w="10348"/>
          </w:cols>
          <w:pgMar w:left="532" w:top="265" w:right="1019" w:bottom="1440" w:gutter="0" w:footer="0" w:header="0"/>
        </w:sectPr>
      </w:pPr>
    </w:p>
    <w:bookmarkStart w:id="212" w:name="page213"/>
    <w:bookmarkEnd w:id="212"/>
    <w:p>
      <w:pPr>
        <w:ind w:left="8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1</w:t>
      </w:r>
    </w:p>
    <w:p>
      <w:pPr>
        <w:spacing w:after="0" w:line="2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9920"/>
          </w:cols>
          <w:pgMar w:left="1440" w:top="265" w:right="539" w:bottom="1440" w:gutter="0" w:footer="0" w:header="0"/>
        </w:sectPr>
      </w:pPr>
    </w:p>
    <w:bookmarkStart w:id="213" w:name="page214"/>
    <w:bookmarkEnd w:id="213"/>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K</w:t>
      </w:r>
    </w:p>
    <w:p>
      <w:pPr>
        <w:spacing w:after="0" w:line="2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0820"/>
          </w:cols>
          <w:pgMar w:left="540" w:top="265" w:right="539" w:bottom="1440" w:gutter="0" w:footer="0" w:header="0"/>
        </w:sect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 20__</w:t>
      </w:r>
    </w:p>
    <w:p>
      <w:pPr>
        <w:spacing w:after="0" w:line="200" w:lineRule="exact"/>
        <w:rPr>
          <w:sz w:val="20"/>
          <w:szCs w:val="20"/>
          <w:color w:val="auto"/>
        </w:rPr>
      </w:pPr>
    </w:p>
    <w:p>
      <w:pPr>
        <w:sectPr>
          <w:pgSz w:w="11900" w:h="16838" w:orient="portrait"/>
          <w:cols w:equalWidth="0" w:num="2">
            <w:col w:w="8420" w:space="720"/>
            <w:col w:w="1680"/>
          </w:cols>
          <w:pgMar w:left="540" w:top="265" w:right="539" w:bottom="1440" w:gutter="0" w:footer="0" w:header="0"/>
          <w:type w:val="continuous"/>
        </w:sectPr>
      </w:pPr>
    </w:p>
    <w:p>
      <w:pPr>
        <w:spacing w:after="0" w:line="10" w:lineRule="exact"/>
        <w:rPr>
          <w:sz w:val="20"/>
          <w:szCs w:val="20"/>
          <w:color w:val="auto"/>
        </w:rPr>
      </w:pPr>
    </w:p>
    <w:p>
      <w:pPr>
        <w:ind w:right="180" w:firstLine="433"/>
        <w:spacing w:after="0" w:line="257" w:lineRule="auto"/>
        <w:rPr>
          <w:sz w:val="20"/>
          <w:szCs w:val="20"/>
          <w:color w:val="auto"/>
        </w:rPr>
      </w:pPr>
      <w:r>
        <w:rPr>
          <w:rFonts w:ascii="Times New Roman" w:cs="Times New Roman" w:eastAsia="Times New Roman" w:hAnsi="Times New Roman"/>
          <w:sz w:val="18"/>
          <w:szCs w:val="18"/>
          <w:color w:val="auto"/>
        </w:rPr>
        <w:t>FOR VALUE RECEIVED, the undersigned, [NAME OF BORROWER], [JURISDICTION OF INCORPORATION/FORMATION], [TYPE OF ORGANIZATION] (together with its successors and permitted assigns,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hereby unconditionally promises to pay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on the Lender’s Termination Date specified in the Credit Agreement (as hereinafter defined) at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Funding Office specified in such Credit Agreement, in the currency of such Loans and in immediately available funds, the principal amount of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 (__________), or, if less, (b) the unpaid principal amount of the Loans of the Lender outstanding under the Credit Agreement.</w:t>
      </w:r>
    </w:p>
    <w:p>
      <w:pPr>
        <w:spacing w:after="0" w:line="17"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Credit Agreement.</w:t>
      </w:r>
    </w:p>
    <w:p>
      <w:pPr>
        <w:spacing w:after="0" w:line="183" w:lineRule="exact"/>
        <w:rPr>
          <w:sz w:val="20"/>
          <w:szCs w:val="20"/>
          <w:color w:val="auto"/>
        </w:rPr>
      </w:pPr>
    </w:p>
    <w:p>
      <w:pPr>
        <w:ind w:right="60" w:firstLine="433"/>
        <w:spacing w:after="0" w:line="250" w:lineRule="auto"/>
        <w:rPr>
          <w:sz w:val="20"/>
          <w:szCs w:val="20"/>
          <w:color w:val="auto"/>
        </w:rPr>
      </w:pPr>
      <w:r>
        <w:rPr>
          <w:rFonts w:ascii="Times New Roman" w:cs="Times New Roman" w:eastAsia="Times New Roman" w:hAnsi="Times New Roman"/>
          <w:sz w:val="18"/>
          <w:szCs w:val="18"/>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Term Benchmark Loans, the length of each Interest Period with respect thereto. Subject to the provisions of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of the Credit Agreement,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89" w:lineRule="exact"/>
        <w:rPr>
          <w:sz w:val="20"/>
          <w:szCs w:val="20"/>
          <w:color w:val="auto"/>
        </w:rPr>
      </w:pPr>
    </w:p>
    <w:p>
      <w:pPr>
        <w:jc w:val="both"/>
        <w:ind w:right="140" w:firstLine="433"/>
        <w:spacing w:after="0" w:line="275" w:lineRule="auto"/>
        <w:rPr>
          <w:sz w:val="20"/>
          <w:szCs w:val="20"/>
          <w:color w:val="auto"/>
        </w:rPr>
      </w:pPr>
      <w:r>
        <w:rPr>
          <w:rFonts w:ascii="Times New Roman" w:cs="Times New Roman" w:eastAsia="Times New Roman" w:hAnsi="Times New Roman"/>
          <w:sz w:val="17"/>
          <w:szCs w:val="17"/>
          <w:color w:val="auto"/>
        </w:rPr>
        <w:t>This Note (a) is one of the Notes referred to in the Fourth Amended and Restated Five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General Motors Financial Company, Inc., a Texas corporation, the Subsidiary Borrowers from time to time party thereto, the Lender, the other lenders from time to time party thereto, JPMorgan Chase Bank, N.A., as Administrative Agent,</w:t>
      </w:r>
    </w:p>
    <w:p>
      <w:pPr>
        <w:sectPr>
          <w:pgSz w:w="11900" w:h="16838" w:orient="portrait"/>
          <w:cols w:equalWidth="0" w:num="1">
            <w:col w:w="10820"/>
          </w:cols>
          <w:pgMar w:left="540" w:top="265" w:right="539" w:bottom="1440" w:gutter="0" w:footer="0" w:header="0"/>
          <w:type w:val="continuous"/>
        </w:sectPr>
      </w:pPr>
    </w:p>
    <w:bookmarkStart w:id="214" w:name="page215"/>
    <w:bookmarkEnd w:id="214"/>
    <w:p>
      <w:pPr>
        <w:jc w:val="both"/>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76" w:lineRule="exact"/>
        <w:rPr>
          <w:sz w:val="20"/>
          <w:szCs w:val="20"/>
          <w:color w:val="auto"/>
        </w:rPr>
      </w:pPr>
    </w:p>
    <w:p>
      <w:pPr>
        <w:ind w:right="60" w:firstLine="433"/>
        <w:spacing w:after="0" w:line="274"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18" w:lineRule="exact"/>
        <w:rPr>
          <w:sz w:val="20"/>
          <w:szCs w:val="20"/>
          <w:color w:val="auto"/>
        </w:rPr>
      </w:pPr>
    </w:p>
    <w:p>
      <w:pPr>
        <w:ind w:right="40" w:firstLine="433"/>
        <w:spacing w:after="0" w:line="260"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460" w:firstLine="433"/>
        <w:spacing w:after="0" w:line="274"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OF APPLICABLE BORROWER].</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15240</wp:posOffset>
            </wp:positionV>
            <wp:extent cx="24174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19685</wp:posOffset>
            </wp:positionV>
            <wp:extent cx="24174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-123190</wp:posOffset>
            </wp:positionV>
            <wp:extent cx="24174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ectPr>
          <w:pgSz w:w="11900" w:h="16838" w:orient="portrait"/>
          <w:cols w:equalWidth="0" w:num="1">
            <w:col w:w="10720"/>
          </w:cols>
          <w:pgMar w:left="540" w:top="267" w:right="639" w:bottom="1440" w:gutter="0" w:footer="0" w:header="0"/>
        </w:sectPr>
      </w:pPr>
    </w:p>
    <w:bookmarkStart w:id="215" w:name="page216"/>
    <w:bookmarkEnd w:id="215"/>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A</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3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4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ABR</w:t>
            </w:r>
          </w:p>
        </w:tc>
        <w:tc>
          <w:tcPr>
            <w:tcW w:w="17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Unpaid Principal</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Principal</w:t>
            </w:r>
          </w:p>
        </w:tc>
        <w:tc>
          <w:tcPr>
            <w:tcW w:w="1520" w:type="dxa"/>
            <w:vAlign w:val="bottom"/>
            <w:gridSpan w:val="2"/>
          </w:tcPr>
          <w:p>
            <w:pPr>
              <w:jc w:val="center"/>
              <w:ind w:left="309"/>
              <w:spacing w:after="0" w:line="146" w:lineRule="exact"/>
              <w:rPr>
                <w:sz w:val="20"/>
                <w:szCs w:val="20"/>
                <w:color w:val="auto"/>
              </w:rPr>
            </w:pPr>
            <w:r>
              <w:rPr>
                <w:rFonts w:ascii="Times New Roman" w:cs="Times New Roman" w:eastAsia="Times New Roman" w:hAnsi="Times New Roman"/>
                <w:sz w:val="14"/>
                <w:szCs w:val="14"/>
                <w:color w:val="auto"/>
                <w:w w:val="99"/>
              </w:rPr>
              <w:t>Loans Converted to</w:t>
            </w:r>
          </w:p>
        </w:tc>
        <w:tc>
          <w:tcPr>
            <w:tcW w:w="17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Date</w:t>
            </w:r>
          </w:p>
        </w:tc>
        <w:tc>
          <w:tcPr>
            <w:tcW w:w="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w w:val="98"/>
              </w:rPr>
              <w:t>Facility</w:t>
            </w:r>
          </w:p>
        </w:tc>
        <w:tc>
          <w:tcPr>
            <w:tcW w:w="9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w w:val="99"/>
              </w:rPr>
              <w:t>Currency</w:t>
            </w:r>
          </w:p>
        </w:tc>
        <w:tc>
          <w:tcPr>
            <w:tcW w:w="3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120" w:type="dxa"/>
            <w:vAlign w:val="bottom"/>
            <w:gridSpan w:val="2"/>
          </w:tcPr>
          <w:p>
            <w:pPr>
              <w:jc w:val="center"/>
              <w:ind w:left="309"/>
              <w:spacing w:after="0" w:line="146" w:lineRule="exact"/>
              <w:rPr>
                <w:sz w:val="20"/>
                <w:szCs w:val="20"/>
                <w:color w:val="auto"/>
              </w:rPr>
            </w:pPr>
            <w:r>
              <w:rPr>
                <w:rFonts w:ascii="Times New Roman" w:cs="Times New Roman" w:eastAsia="Times New Roman" w:hAnsi="Times New Roman"/>
                <w:sz w:val="14"/>
                <w:szCs w:val="14"/>
                <w:color w:val="auto"/>
              </w:rPr>
              <w:t>Converted to</w:t>
            </w:r>
          </w:p>
        </w:tc>
        <w:tc>
          <w:tcPr>
            <w:tcW w:w="1200" w:type="dxa"/>
            <w:vAlign w:val="bottom"/>
            <w:gridSpan w:val="2"/>
          </w:tcPr>
          <w:p>
            <w:pPr>
              <w:jc w:val="center"/>
              <w:ind w:left="309"/>
              <w:spacing w:after="0" w:line="146" w:lineRule="exact"/>
              <w:rPr>
                <w:sz w:val="20"/>
                <w:szCs w:val="20"/>
                <w:color w:val="auto"/>
              </w:rPr>
            </w:pPr>
            <w:r>
              <w:rPr>
                <w:rFonts w:ascii="Times New Roman" w:cs="Times New Roman" w:eastAsia="Times New Roman" w:hAnsi="Times New Roman"/>
                <w:sz w:val="14"/>
                <w:szCs w:val="14"/>
                <w:color w:val="auto"/>
              </w:rPr>
              <w:t>of ABR Loans</w:t>
            </w:r>
          </w:p>
        </w:tc>
        <w:tc>
          <w:tcPr>
            <w:tcW w:w="40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Term Benchmark</w:t>
            </w:r>
          </w:p>
        </w:tc>
        <w:tc>
          <w:tcPr>
            <w:tcW w:w="380" w:type="dxa"/>
            <w:vAlign w:val="bottom"/>
          </w:tcPr>
          <w:p>
            <w:pPr>
              <w:spacing w:after="0"/>
              <w:rPr>
                <w:sz w:val="12"/>
                <w:szCs w:val="12"/>
                <w:color w:val="auto"/>
              </w:rPr>
            </w:pPr>
          </w:p>
        </w:tc>
        <w:tc>
          <w:tcPr>
            <w:tcW w:w="136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color w:val="auto"/>
              </w:rPr>
              <w:t>Balance</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gridSpan w:val="2"/>
          </w:tcPr>
          <w:p>
            <w:pPr>
              <w:jc w:val="center"/>
              <w:ind w:left="289"/>
              <w:spacing w:after="0"/>
              <w:rPr>
                <w:sz w:val="20"/>
                <w:szCs w:val="20"/>
                <w:color w:val="auto"/>
              </w:rPr>
            </w:pPr>
            <w:r>
              <w:rPr>
                <w:rFonts w:ascii="Times New Roman" w:cs="Times New Roman" w:eastAsia="Times New Roman" w:hAnsi="Times New Roman"/>
                <w:sz w:val="14"/>
                <w:szCs w:val="14"/>
                <w:color w:val="auto"/>
                <w:w w:val="99"/>
              </w:rPr>
              <w:t>ABR Loans</w:t>
            </w:r>
          </w:p>
        </w:tc>
        <w:tc>
          <w:tcPr>
            <w:tcW w:w="3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3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of ABR Loans</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540" w:top="265" w:right="539" w:bottom="1440" w:gutter="0" w:footer="0" w:header="0"/>
        </w:sectPr>
      </w:pPr>
    </w:p>
    <w:bookmarkStart w:id="216" w:name="page217"/>
    <w:bookmarkEnd w:id="216"/>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B</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Unpaid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42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4"/>
                <w:szCs w:val="14"/>
                <w:color w:val="auto"/>
              </w:rPr>
              <w:t>Amount Converted</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Amount of Term</w:t>
            </w: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color w:val="auto"/>
                <w:w w:val="98"/>
              </w:rPr>
              <w:t>Principal</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Principal</w:t>
            </w: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color w:val="auto"/>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4"/>
                <w:szCs w:val="14"/>
                <w:color w:val="auto"/>
                <w:w w:val="99"/>
              </w:rPr>
              <w:t>Interest</w:t>
            </w:r>
          </w:p>
        </w:tc>
        <w:tc>
          <w:tcPr>
            <w:tcW w:w="3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Term</w:t>
            </w:r>
          </w:p>
        </w:tc>
        <w:tc>
          <w:tcPr>
            <w:tcW w:w="3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1"/>
              </w:rPr>
              <w:t>to</w:t>
            </w:r>
          </w:p>
        </w:tc>
        <w:tc>
          <w:tcPr>
            <w:tcW w:w="34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6"/>
              </w:rPr>
              <w:t>of Term</w:t>
            </w:r>
          </w:p>
        </w:tc>
        <w:tc>
          <w:tcPr>
            <w:tcW w:w="36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Benchmark</w:t>
            </w: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color w:val="auto"/>
              </w:rPr>
              <w:t>of Term</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Date</w:t>
            </w:r>
          </w:p>
        </w:tc>
        <w:tc>
          <w:tcPr>
            <w:tcW w:w="7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w w:val="98"/>
              </w:rPr>
              <w:t>Facility</w:t>
            </w:r>
          </w:p>
        </w:tc>
        <w:tc>
          <w:tcPr>
            <w:tcW w:w="8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w w:val="99"/>
              </w:rPr>
              <w:t>Currency</w:t>
            </w:r>
          </w:p>
        </w:tc>
        <w:tc>
          <w:tcPr>
            <w:tcW w:w="740" w:type="dxa"/>
            <w:vAlign w:val="bottom"/>
            <w:gridSpan w:val="2"/>
            <w:vMerge w:val="continue"/>
          </w:tcPr>
          <w:p>
            <w:pPr>
              <w:spacing w:after="0"/>
              <w:rPr>
                <w:sz w:val="12"/>
                <w:szCs w:val="12"/>
                <w:color w:val="auto"/>
              </w:rPr>
            </w:pPr>
          </w:p>
        </w:tc>
        <w:tc>
          <w:tcPr>
            <w:tcW w:w="1000" w:type="dxa"/>
            <w:vAlign w:val="bottom"/>
            <w:gridSpan w:val="2"/>
          </w:tcPr>
          <w:p>
            <w:pPr>
              <w:jc w:val="center"/>
              <w:ind w:left="249"/>
              <w:spacing w:after="0" w:line="146" w:lineRule="exact"/>
              <w:rPr>
                <w:sz w:val="20"/>
                <w:szCs w:val="20"/>
                <w:color w:val="auto"/>
              </w:rPr>
            </w:pPr>
            <w:r>
              <w:rPr>
                <w:rFonts w:ascii="Times New Roman" w:cs="Times New Roman" w:eastAsia="Times New Roman" w:hAnsi="Times New Roman"/>
                <w:sz w:val="14"/>
                <w:szCs w:val="14"/>
                <w:color w:val="auto"/>
                <w:w w:val="99"/>
              </w:rPr>
              <w:t>Benchmark</w:t>
            </w:r>
          </w:p>
        </w:tc>
        <w:tc>
          <w:tcPr>
            <w:tcW w:w="3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Term Benchmark</w:t>
            </w:r>
          </w:p>
        </w:tc>
        <w:tc>
          <w:tcPr>
            <w:tcW w:w="1360" w:type="dxa"/>
            <w:vAlign w:val="bottom"/>
            <w:gridSpan w:val="2"/>
          </w:tcPr>
          <w:p>
            <w:pPr>
              <w:jc w:val="center"/>
              <w:ind w:left="249"/>
              <w:spacing w:after="0" w:line="146" w:lineRule="exact"/>
              <w:rPr>
                <w:sz w:val="20"/>
                <w:szCs w:val="20"/>
                <w:color w:val="auto"/>
              </w:rPr>
            </w:pPr>
            <w:r>
              <w:rPr>
                <w:rFonts w:ascii="Times New Roman" w:cs="Times New Roman" w:eastAsia="Times New Roman" w:hAnsi="Times New Roman"/>
                <w:sz w:val="14"/>
                <w:szCs w:val="14"/>
                <w:color w:val="auto"/>
              </w:rPr>
              <w:t>Benchmark Loans</w:t>
            </w:r>
          </w:p>
        </w:tc>
        <w:tc>
          <w:tcPr>
            <w:tcW w:w="1480" w:type="dxa"/>
            <w:vAlign w:val="bottom"/>
            <w:gridSpan w:val="2"/>
          </w:tcPr>
          <w:p>
            <w:pPr>
              <w:jc w:val="center"/>
              <w:ind w:left="269"/>
              <w:spacing w:after="0" w:line="146" w:lineRule="exact"/>
              <w:rPr>
                <w:sz w:val="20"/>
                <w:szCs w:val="20"/>
                <w:color w:val="auto"/>
              </w:rPr>
            </w:pPr>
            <w:r>
              <w:rPr>
                <w:rFonts w:ascii="Times New Roman" w:cs="Times New Roman" w:eastAsia="Times New Roman" w:hAnsi="Times New Roman"/>
                <w:sz w:val="14"/>
                <w:szCs w:val="14"/>
                <w:color w:val="auto"/>
                <w:w w:val="99"/>
              </w:rPr>
              <w:t>Loans Converted to</w:t>
            </w:r>
          </w:p>
        </w:tc>
        <w:tc>
          <w:tcPr>
            <w:tcW w:w="13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color w:val="auto"/>
              </w:rPr>
              <w:t>Benchmark</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69"/>
        </w:trPr>
        <w:tc>
          <w:tcPr>
            <w:tcW w:w="13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3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3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ABR Loans</w:t>
            </w:r>
          </w:p>
        </w:tc>
        <w:tc>
          <w:tcPr>
            <w:tcW w:w="3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Loans</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540" w:top="265" w:right="539" w:bottom="1440" w:gutter="0" w:footer="0" w:header="0"/>
        </w:sectPr>
      </w:pPr>
    </w:p>
    <w:bookmarkStart w:id="217" w:name="page218"/>
    <w:bookmarkEnd w:id="217"/>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C</w:t>
      </w:r>
    </w:p>
    <w:p>
      <w:pPr>
        <w:spacing w:after="0" w:line="2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DAILY SIMPLE SOFR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3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Daily</w:t>
            </w: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Unpaid Principal</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Principal</w:t>
            </w:r>
          </w:p>
        </w:tc>
        <w:tc>
          <w:tcPr>
            <w:tcW w:w="3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Converted to</w:t>
            </w:r>
          </w:p>
        </w:tc>
        <w:tc>
          <w:tcPr>
            <w:tcW w:w="1280" w:type="dxa"/>
            <w:vAlign w:val="bottom"/>
            <w:gridSpan w:val="2"/>
          </w:tcPr>
          <w:p>
            <w:pPr>
              <w:jc w:val="center"/>
              <w:ind w:left="269"/>
              <w:spacing w:after="0" w:line="146" w:lineRule="exact"/>
              <w:rPr>
                <w:sz w:val="20"/>
                <w:szCs w:val="20"/>
                <w:color w:val="auto"/>
              </w:rPr>
            </w:pPr>
            <w:r>
              <w:rPr>
                <w:rFonts w:ascii="Times New Roman" w:cs="Times New Roman" w:eastAsia="Times New Roman" w:hAnsi="Times New Roman"/>
                <w:sz w:val="14"/>
                <w:szCs w:val="14"/>
                <w:color w:val="auto"/>
              </w:rPr>
              <w:t>of Daily Simple</w:t>
            </w: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Simple SOFR</w:t>
            </w:r>
          </w:p>
        </w:tc>
        <w:tc>
          <w:tcPr>
            <w:tcW w:w="380" w:type="dxa"/>
            <w:vAlign w:val="bottom"/>
          </w:tcPr>
          <w:p>
            <w:pPr>
              <w:spacing w:after="0"/>
              <w:rPr>
                <w:sz w:val="12"/>
                <w:szCs w:val="12"/>
                <w:color w:val="auto"/>
              </w:rPr>
            </w:pPr>
          </w:p>
        </w:tc>
        <w:tc>
          <w:tcPr>
            <w:tcW w:w="13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color w:val="auto"/>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Date</w:t>
            </w:r>
          </w:p>
        </w:tc>
        <w:tc>
          <w:tcPr>
            <w:tcW w:w="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w w:val="98"/>
              </w:rPr>
              <w:t>Facility</w:t>
            </w:r>
          </w:p>
        </w:tc>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w w:val="99"/>
              </w:rPr>
              <w:t>Currency</w:t>
            </w:r>
          </w:p>
        </w:tc>
        <w:tc>
          <w:tcPr>
            <w:tcW w:w="1120" w:type="dxa"/>
            <w:vAlign w:val="bottom"/>
            <w:gridSpan w:val="2"/>
          </w:tcPr>
          <w:p>
            <w:pPr>
              <w:jc w:val="center"/>
              <w:ind w:left="289"/>
              <w:spacing w:after="0" w:line="146" w:lineRule="exact"/>
              <w:rPr>
                <w:sz w:val="20"/>
                <w:szCs w:val="20"/>
                <w:color w:val="auto"/>
              </w:rPr>
            </w:pPr>
            <w:r>
              <w:rPr>
                <w:rFonts w:ascii="Times New Roman" w:cs="Times New Roman" w:eastAsia="Times New Roman" w:hAnsi="Times New Roman"/>
                <w:sz w:val="14"/>
                <w:szCs w:val="14"/>
                <w:color w:val="auto"/>
              </w:rPr>
              <w:t>Daily Simple</w:t>
            </w:r>
          </w:p>
        </w:tc>
        <w:tc>
          <w:tcPr>
            <w:tcW w:w="1140" w:type="dxa"/>
            <w:vAlign w:val="bottom"/>
            <w:gridSpan w:val="2"/>
          </w:tcPr>
          <w:p>
            <w:pPr>
              <w:jc w:val="center"/>
              <w:ind w:left="289"/>
              <w:spacing w:after="0" w:line="146" w:lineRule="exact"/>
              <w:rPr>
                <w:sz w:val="20"/>
                <w:szCs w:val="20"/>
                <w:color w:val="auto"/>
              </w:rPr>
            </w:pPr>
            <w:r>
              <w:rPr>
                <w:rFonts w:ascii="Times New Roman" w:cs="Times New Roman" w:eastAsia="Times New Roman" w:hAnsi="Times New Roman"/>
                <w:sz w:val="14"/>
                <w:szCs w:val="14"/>
                <w:color w:val="auto"/>
                <w:w w:val="99"/>
              </w:rPr>
              <w:t>Daily Simple</w:t>
            </w:r>
          </w:p>
        </w:tc>
        <w:tc>
          <w:tcPr>
            <w:tcW w:w="3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SOFR Loans</w:t>
            </w:r>
          </w:p>
        </w:tc>
        <w:tc>
          <w:tcPr>
            <w:tcW w:w="1500" w:type="dxa"/>
            <w:vAlign w:val="bottom"/>
            <w:gridSpan w:val="2"/>
          </w:tcPr>
          <w:p>
            <w:pPr>
              <w:jc w:val="center"/>
              <w:ind w:left="289"/>
              <w:spacing w:after="0" w:line="146" w:lineRule="exact"/>
              <w:rPr>
                <w:sz w:val="20"/>
                <w:szCs w:val="20"/>
                <w:color w:val="auto"/>
              </w:rPr>
            </w:pPr>
            <w:r>
              <w:rPr>
                <w:rFonts w:ascii="Times New Roman" w:cs="Times New Roman" w:eastAsia="Times New Roman" w:hAnsi="Times New Roman"/>
                <w:sz w:val="14"/>
                <w:szCs w:val="14"/>
                <w:color w:val="auto"/>
                <w:w w:val="99"/>
              </w:rPr>
              <w:t>Loans Converted to</w:t>
            </w:r>
          </w:p>
        </w:tc>
        <w:tc>
          <w:tcPr>
            <w:tcW w:w="380" w:type="dxa"/>
            <w:vAlign w:val="bottom"/>
          </w:tcPr>
          <w:p>
            <w:pPr>
              <w:spacing w:after="0"/>
              <w:rPr>
                <w:sz w:val="12"/>
                <w:szCs w:val="12"/>
                <w:color w:val="auto"/>
              </w:rPr>
            </w:pPr>
          </w:p>
        </w:tc>
        <w:tc>
          <w:tcPr>
            <w:tcW w:w="13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color w:val="auto"/>
              </w:rPr>
              <w:t>of Daily Simple</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69"/>
        </w:trPr>
        <w:tc>
          <w:tcPr>
            <w:tcW w:w="18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3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ABR Loans</w:t>
            </w:r>
          </w:p>
        </w:tc>
        <w:tc>
          <w:tcPr>
            <w:tcW w:w="3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SOFR Loans</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540" w:top="265" w:right="539" w:bottom="1440" w:gutter="0" w:footer="0" w:header="0"/>
        </w:sectPr>
      </w:pPr>
    </w:p>
    <w:bookmarkStart w:id="218" w:name="page219"/>
    <w:bookmarkEnd w:id="218"/>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L</w:t>
      </w:r>
    </w:p>
    <w:p>
      <w:pPr>
        <w:spacing w:after="0" w:line="2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9" w:lineRule="exact"/>
        <w:rPr>
          <w:sz w:val="20"/>
          <w:szCs w:val="20"/>
          <w:color w:val="auto"/>
        </w:rPr>
      </w:pPr>
    </w:p>
    <w:p>
      <w:pPr>
        <w:ind w:left="3948"/>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0" w:lineRule="exact"/>
        <w:rPr>
          <w:sz w:val="20"/>
          <w:szCs w:val="20"/>
          <w:color w:val="auto"/>
        </w:rPr>
      </w:pPr>
    </w:p>
    <w:p>
      <w:pPr>
        <w:ind w:left="8" w:right="4640"/>
        <w:spacing w:after="0" w:line="253" w:lineRule="auto"/>
        <w:rPr>
          <w:sz w:val="20"/>
          <w:szCs w:val="20"/>
          <w:color w:val="auto"/>
        </w:rPr>
      </w:pPr>
      <w:r>
        <w:rPr>
          <w:rFonts w:ascii="Times New Roman" w:cs="Times New Roman" w:eastAsia="Times New Roman" w:hAnsi="Times New Roman"/>
          <w:sz w:val="18"/>
          <w:szCs w:val="18"/>
          <w:color w:val="auto"/>
        </w:rPr>
        <w:t>JPMorgan Chase Bank, N.A., as Administrative Agent for the lenders referred to below Investment Bank Loan Operations North America 500 Stanton Christiana Road, NCC5, Floor 01</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Telephone: 302-634-3228</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198" w:lineRule="exact"/>
        <w:rPr>
          <w:sz w:val="20"/>
          <w:szCs w:val="20"/>
          <w:color w:val="auto"/>
        </w:rPr>
      </w:pPr>
    </w:p>
    <w:p>
      <w:pPr>
        <w:ind w:left="9588"/>
        <w:spacing w:after="0"/>
        <w:rPr>
          <w:sz w:val="20"/>
          <w:szCs w:val="20"/>
          <w:color w:val="auto"/>
        </w:rPr>
      </w:pPr>
      <w:r>
        <w:rPr>
          <w:rFonts w:ascii="Times New Roman" w:cs="Times New Roman" w:eastAsia="Times New Roman" w:hAnsi="Times New Roman"/>
          <w:sz w:val="17"/>
          <w:szCs w:val="17"/>
          <w:color w:val="auto"/>
        </w:rPr>
        <w:t>_________, 20__</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Ladies/Gentlemen:</w:t>
      </w:r>
    </w:p>
    <w:p>
      <w:pPr>
        <w:spacing w:after="0" w:line="111" w:lineRule="exact"/>
        <w:rPr>
          <w:sz w:val="20"/>
          <w:szCs w:val="20"/>
          <w:color w:val="auto"/>
        </w:rPr>
      </w:pPr>
    </w:p>
    <w:p>
      <w:pPr>
        <w:ind w:left="8" w:right="20" w:firstLine="974"/>
        <w:spacing w:after="0" w:line="224" w:lineRule="auto"/>
        <w:rPr>
          <w:sz w:val="20"/>
          <w:szCs w:val="20"/>
          <w:color w:val="auto"/>
        </w:rPr>
      </w:pPr>
      <w:r>
        <w:rPr>
          <w:rFonts w:ascii="Times New Roman" w:cs="Times New Roman" w:eastAsia="Times New Roman" w:hAnsi="Times New Roman"/>
          <w:sz w:val="18"/>
          <w:szCs w:val="18"/>
          <w:color w:val="auto"/>
        </w:rPr>
        <w:t>The undersigned, [INSERT NAME OF APPLICABLE BORROWER]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[and General Motors Company, a Delaware corporation (“</w:t>
      </w:r>
      <w:r>
        <w:rPr>
          <w:rFonts w:ascii="Times New Roman" w:cs="Times New Roman" w:eastAsia="Times New Roman" w:hAnsi="Times New Roman"/>
          <w:sz w:val="18"/>
          <w:szCs w:val="18"/>
          <w:u w:val="single" w:color="auto"/>
          <w:color w:val="auto"/>
        </w:rPr>
        <w:t>Company/Applicable Borrower”)]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refer[s] to the Fourth Amended and Restated Five 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Company/the Applicable Borrower]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499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68" w:lineRule="exact"/>
        <w:rPr>
          <w:sz w:val="20"/>
          <w:szCs w:val="20"/>
          <w:color w:val="auto"/>
        </w:rPr>
      </w:pPr>
    </w:p>
    <w:p>
      <w:pPr>
        <w:ind w:left="428" w:hanging="428"/>
        <w:spacing w:after="0"/>
        <w:tabs>
          <w:tab w:leader="none" w:pos="428" w:val="left"/>
        </w:tabs>
        <w:numPr>
          <w:ilvl w:val="0"/>
          <w:numId w:val="1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if the Company is not the Applicable Borrower.</w:t>
      </w:r>
    </w:p>
    <w:p>
      <w:pPr>
        <w:ind w:left="428" w:hanging="428"/>
        <w:spacing w:after="0" w:line="184" w:lineRule="auto"/>
        <w:tabs>
          <w:tab w:leader="none" w:pos="428" w:val="left"/>
        </w:tabs>
        <w:numPr>
          <w:ilvl w:val="0"/>
          <w:numId w:val="1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If Borrowing Request from the Company, it is the “Applicable Borrower”.</w:t>
      </w:r>
    </w:p>
    <w:p>
      <w:pPr>
        <w:sectPr>
          <w:pgSz w:w="11900" w:h="16838" w:orient="portrait"/>
          <w:cols w:equalWidth="0" w:num="1">
            <w:col w:w="10828"/>
          </w:cols>
          <w:pgMar w:left="532" w:top="265" w:right="539" w:bottom="1440" w:gutter="0" w:footer="0" w:header="0"/>
        </w:sectPr>
      </w:pPr>
    </w:p>
    <w:bookmarkStart w:id="219" w:name="page220"/>
    <w:bookmarkEnd w:id="219"/>
    <w:p>
      <w:pPr>
        <w:ind w:left="8" w:right="60"/>
        <w:spacing w:after="0" w:line="22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[and] [2.4]</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of the Credit Agreement that it requests an Extension of Credit under the Credit Agreement, and in connection sets forth below the terms on which such Extension of Credit is requested to be made[, to which the Company hereby consents]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w:t>
      </w:r>
    </w:p>
    <w:p>
      <w:pPr>
        <w:spacing w:after="0" w:line="98"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-9525</wp:posOffset>
            </wp:positionV>
            <wp:extent cx="30873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5" w:lineRule="exact"/>
        <w:rPr>
          <w:sz w:val="20"/>
          <w:szCs w:val="20"/>
          <w:color w:val="auto"/>
        </w:rPr>
      </w:pPr>
    </w:p>
    <w:p>
      <w:pPr>
        <w:ind w:left="768"/>
        <w:spacing w:after="0"/>
        <w:rPr>
          <w:sz w:val="20"/>
          <w:szCs w:val="20"/>
          <w:color w:val="auto"/>
        </w:rPr>
      </w:pPr>
      <w:r>
        <w:rPr>
          <w:rFonts w:ascii="Times New Roman" w:cs="Times New Roman" w:eastAsia="Times New Roman" w:hAnsi="Times New Roman"/>
          <w:sz w:val="18"/>
          <w:szCs w:val="18"/>
          <w:color w:val="auto"/>
        </w:rPr>
        <w:t>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-21590</wp:posOffset>
            </wp:positionV>
            <wp:extent cx="897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ind w:left="768"/>
        <w:spacing w:after="0"/>
        <w:rPr>
          <w:sz w:val="20"/>
          <w:szCs w:val="20"/>
          <w:color w:val="auto"/>
        </w:rPr>
      </w:pPr>
      <w:r>
        <w:rPr>
          <w:rFonts w:ascii="Times New Roman" w:cs="Times New Roman" w:eastAsia="Times New Roman" w:hAnsi="Times New Roman"/>
          <w:sz w:val="18"/>
          <w:szCs w:val="18"/>
          <w:color w:val="auto"/>
        </w:rPr>
        <w:t>(which is a Business Day)</w:t>
      </w:r>
      <w:r>
        <w:rPr>
          <w:rFonts w:ascii="Times New Roman" w:cs="Times New Roman" w:eastAsia="Times New Roman" w:hAnsi="Times New Roman"/>
          <w:sz w:val="26"/>
          <w:szCs w:val="26"/>
          <w:color w:val="auto"/>
          <w:vertAlign w:val="superscript"/>
        </w:rPr>
        <w:t>5</w:t>
      </w:r>
    </w:p>
    <w:p>
      <w:pPr>
        <w:spacing w:after="0" w:line="33"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-22225</wp:posOffset>
            </wp:positionV>
            <wp:extent cx="33959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95980" cy="8255"/>
                    </a:xfrm>
                    <a:prstGeom prst="rect">
                      <a:avLst/>
                    </a:prstGeom>
                    <a:noFill/>
                  </pic:spPr>
                </pic:pic>
              </a:graphicData>
            </a:graphic>
          </wp:anchor>
        </w:drawing>
      </w:r>
    </w:p>
    <w:p>
      <w:pPr>
        <w:ind w:left="768"/>
        <w:spacing w:after="0"/>
        <w:rPr>
          <w:sz w:val="20"/>
          <w:szCs w:val="20"/>
          <w:color w:val="auto"/>
        </w:rPr>
      </w:pPr>
      <w:r>
        <w:rPr>
          <w:rFonts w:ascii="Times New Roman" w:cs="Times New Roman" w:eastAsia="Times New Roman" w:hAnsi="Times New Roman"/>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-21590</wp:posOffset>
            </wp:positionV>
            <wp:extent cx="5892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9280" cy="8255"/>
                    </a:xfrm>
                    <a:prstGeom prst="rect">
                      <a:avLst/>
                    </a:prstGeom>
                    <a:noFill/>
                  </pic:spPr>
                </pic:pic>
              </a:graphicData>
            </a:graphic>
          </wp:anchor>
        </w:drawing>
      </w:r>
    </w:p>
    <w:p>
      <w:pPr>
        <w:spacing w:after="0" w:line="72"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-9525</wp:posOffset>
            </wp:positionV>
            <wp:extent cx="3395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95980" cy="8255"/>
                    </a:xfrm>
                    <a:prstGeom prst="rect">
                      <a:avLst/>
                    </a:prstGeom>
                    <a:noFill/>
                  </pic:spPr>
                </pic:pic>
              </a:graphicData>
            </a:graphic>
          </wp:anchor>
        </w:drawing>
      </w:r>
    </w:p>
    <w:p>
      <w:pPr>
        <w:spacing w:after="0" w:line="5" w:lineRule="exact"/>
        <w:rPr>
          <w:sz w:val="20"/>
          <w:szCs w:val="20"/>
          <w:color w:val="auto"/>
        </w:rPr>
      </w:pPr>
    </w:p>
    <w:p>
      <w:pPr>
        <w:ind w:left="768"/>
        <w:spacing w:after="0"/>
        <w:rPr>
          <w:sz w:val="20"/>
          <w:szCs w:val="20"/>
          <w:color w:val="auto"/>
        </w:rPr>
      </w:pPr>
      <w:r>
        <w:rPr>
          <w:rFonts w:ascii="Times New Roman" w:cs="Times New Roman" w:eastAsia="Times New Roman" w:hAnsi="Times New Roman"/>
          <w:sz w:val="18"/>
          <w:szCs w:val="18"/>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-21590</wp:posOffset>
            </wp:positionV>
            <wp:extent cx="5892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9280" cy="8255"/>
                    </a:xfrm>
                    <a:prstGeom prst="rect">
                      <a:avLst/>
                    </a:prstGeom>
                    <a:noFill/>
                  </pic:spPr>
                </pic:pic>
              </a:graphicData>
            </a:graphic>
          </wp:anchor>
        </w:drawing>
      </w:r>
    </w:p>
    <w:p>
      <w:pPr>
        <w:spacing w:after="0" w:line="72" w:lineRule="exact"/>
        <w:rPr>
          <w:sz w:val="20"/>
          <w:szCs w:val="20"/>
          <w:color w:val="auto"/>
        </w:rPr>
      </w:pPr>
    </w:p>
    <w:p>
      <w:pPr>
        <w:ind w:left="348"/>
        <w:spacing w:after="0"/>
        <w:tabs>
          <w:tab w:leader="none" w:pos="748"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 xml:space="preserve">Aggregate Amount of Extension of Credit </w:t>
      </w:r>
      <w:r>
        <w:rPr>
          <w:rFonts w:ascii="Times New Roman" w:cs="Times New Roman" w:eastAsia="Times New Roman" w:hAnsi="Times New Roman"/>
          <w:sz w:val="25"/>
          <w:szCs w:val="2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191135</wp:posOffset>
            </wp:positionV>
            <wp:extent cx="7499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49935" cy="8255"/>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-60960</wp:posOffset>
            </wp:positionV>
            <wp:extent cx="34239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3920" cy="8255"/>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73660</wp:posOffset>
            </wp:positionV>
            <wp:extent cx="5613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224" w:lineRule="exact"/>
        <w:rPr>
          <w:sz w:val="20"/>
          <w:szCs w:val="20"/>
          <w:color w:val="auto"/>
        </w:rPr>
      </w:pPr>
    </w:p>
    <w:p>
      <w:pPr>
        <w:ind w:left="428" w:hanging="428"/>
        <w:spacing w:after="0"/>
        <w:tabs>
          <w:tab w:leader="none" w:pos="428" w:val="left"/>
        </w:tabs>
        <w:numPr>
          <w:ilvl w:val="0"/>
          <w:numId w:val="1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2.2 describes the procedure for Domestic Commitments. Section 2.4 describes the procedure for Multicurrency Commitments.</w:t>
      </w:r>
    </w:p>
    <w:p>
      <w:pPr>
        <w:ind w:left="428" w:right="120" w:hanging="428"/>
        <w:spacing w:after="0" w:line="196" w:lineRule="auto"/>
        <w:tabs>
          <w:tab w:leader="none" w:pos="428" w:val="left"/>
        </w:tabs>
        <w:numPr>
          <w:ilvl w:val="0"/>
          <w:numId w:val="1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if the Applicable Borrower is, in the case of a Borrowing Request delivered pursuant to Section 2.2, a Domestic Subsidiary Borrower or, in the case of a Borrowing Request delivered pursuant to Section 2.4, a Subsidiary Borrower.</w:t>
      </w:r>
    </w:p>
    <w:p>
      <w:pPr>
        <w:spacing w:after="0" w:line="2" w:lineRule="exact"/>
        <w:rPr>
          <w:sz w:val="20"/>
          <w:szCs w:val="20"/>
          <w:color w:val="auto"/>
        </w:rPr>
      </w:pPr>
    </w:p>
    <w:p>
      <w:pPr>
        <w:ind w:left="428" w:hanging="428"/>
        <w:spacing w:after="0" w:line="221" w:lineRule="auto"/>
        <w:tabs>
          <w:tab w:leader="none" w:pos="428" w:val="left"/>
        </w:tabs>
        <w:numPr>
          <w:ilvl w:val="0"/>
          <w:numId w:val="1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Borrowing Request to be delivered to the Administrative Agent in the case of any Domestic Loan prior to (a) 1:00 p.m., New York City time, three U.S. Government Securities Business Days prior to the requested Borrowing Date, in the case of Term Benchmark Loans, (b) in the case of Daily Simple SOFR Loans, 11:00 a.m., New York City time, three U.S. Government Securities Business Days prior to the requested Borrowing Date or</w:t>
      </w:r>
    </w:p>
    <w:p>
      <w:pPr>
        <w:spacing w:after="0" w:line="1" w:lineRule="exact"/>
        <w:rPr>
          <w:rFonts w:ascii="Times New Roman" w:cs="Times New Roman" w:eastAsia="Times New Roman" w:hAnsi="Times New Roman"/>
          <w:sz w:val="26"/>
          <w:szCs w:val="26"/>
          <w:color w:val="auto"/>
          <w:vertAlign w:val="superscript"/>
        </w:rPr>
      </w:pPr>
    </w:p>
    <w:p>
      <w:pPr>
        <w:ind w:left="428" w:right="40"/>
        <w:spacing w:after="0" w:line="265"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(c) 1:00 P.M., New York City time, on the date of the proposed borrowing, in the case of ABR Loans. Borrowing Request to be delivered to the Administrative Agent (x) in the case of any Multicurrency Loan denominated in Dollars, written prior to (a) in the case of Term Benchmark Loans and Daily Simple SOFR Loans, or (b) 1:00 P.M., New York City time, on the date of the proposed borrowing, in the case of ABR Loans, (y) in the case of any Multicurrency Loan denominated in an Optional Currency (other than Japanese Yen), 1:00 P.M., London time, three Business Days prior to the requested Borrowing Date and (z) in the case of any Multicurrency Loan denominated in Japanese Yen, written prior to 1:00 p.m.</w:t>
      </w:r>
    </w:p>
    <w:p>
      <w:pPr>
        <w:spacing w:after="0" w:line="175" w:lineRule="exact"/>
        <w:rPr>
          <w:sz w:val="20"/>
          <w:szCs w:val="20"/>
          <w:color w:val="auto"/>
        </w:rPr>
      </w:pPr>
    </w:p>
    <w:p>
      <w:pPr>
        <w:ind w:left="428" w:right="20" w:hanging="428"/>
        <w:spacing w:after="0" w:line="227" w:lineRule="auto"/>
        <w:tabs>
          <w:tab w:leader="none" w:pos="428" w:val="left"/>
        </w:tabs>
        <w:numPr>
          <w:ilvl w:val="0"/>
          <w:numId w:val="1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borrowing under the Domestic Commitments shall be in an amount equal to $25 million (or, if the Total Available Domestic Commitments at such time are less than $25 million, such lesser amount) or a whole multiple of $5 million in excess thereof.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w:t>
      </w:r>
    </w:p>
    <w:p>
      <w:pPr>
        <w:sectPr>
          <w:pgSz w:w="11900" w:h="16838" w:orient="portrait"/>
          <w:cols w:equalWidth="0" w:num="1">
            <w:col w:w="10828"/>
          </w:cols>
          <w:pgMar w:left="532" w:top="267" w:right="539" w:bottom="1440" w:gutter="0" w:footer="0" w:header="0"/>
        </w:sectPr>
      </w:pPr>
    </w:p>
    <w:bookmarkStart w:id="220" w:name="page221"/>
    <w:bookmarkEnd w:id="220"/>
    <w:p>
      <w:pPr>
        <w:ind w:left="768" w:hanging="414"/>
        <w:spacing w:after="0"/>
        <w:tabs>
          <w:tab w:leader="none" w:pos="7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drawing>
          <wp:anchor simplePos="0" relativeHeight="251657728" behindDoc="1" locked="0" layoutInCell="0" allowOverlap="1">
            <wp:simplePos x="0" y="0"/>
            <wp:positionH relativeFrom="page">
              <wp:posOffset>3294380</wp:posOffset>
            </wp:positionH>
            <wp:positionV relativeFrom="page">
              <wp:posOffset>290830</wp:posOffset>
            </wp:positionV>
            <wp:extent cx="33959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95980" cy="8255"/>
                    </a:xfrm>
                    <a:prstGeom prst="rect">
                      <a:avLst/>
                    </a:prstGeom>
                    <a:noFill/>
                  </pic:spPr>
                </pic:pic>
              </a:graphicData>
            </a:graphic>
          </wp:anchor>
        </w:drawing>
        <w:t xml:space="preserve">Type of Extension of Credit </w:t>
      </w:r>
      <w:r>
        <w:rPr>
          <w:rFonts w:ascii="Times New Roman" w:cs="Times New Roman" w:eastAsia="Times New Roman" w:hAnsi="Times New Roman"/>
          <w:sz w:val="26"/>
          <w:szCs w:val="26"/>
          <w:color w:val="auto"/>
          <w:vertAlign w:val="superscript"/>
        </w:rPr>
        <w:t>7</w:t>
      </w:r>
    </w:p>
    <w:p>
      <w:pPr>
        <w:spacing w:after="0" w:line="231" w:lineRule="exact"/>
        <w:rPr>
          <w:rFonts w:ascii="Times New Roman" w:cs="Times New Roman" w:eastAsia="Times New Roman" w:hAnsi="Times New Roman"/>
          <w:sz w:val="18"/>
          <w:szCs w:val="18"/>
          <w:color w:val="auto"/>
        </w:rPr>
      </w:pPr>
    </w:p>
    <w:p>
      <w:pPr>
        <w:ind w:left="768" w:hanging="414"/>
        <w:spacing w:after="0"/>
        <w:tabs>
          <w:tab w:leader="none" w:pos="7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and the last day thereof</w:t>
      </w:r>
      <w:r>
        <w:rPr>
          <w:rFonts w:ascii="Times New Roman" w:cs="Times New Roman" w:eastAsia="Times New Roman" w:hAnsi="Times New Roman"/>
          <w:sz w:val="26"/>
          <w:szCs w:val="26"/>
          <w:color w:val="auto"/>
          <w:vertAlign w:val="superscript"/>
        </w:rPr>
        <w:t>8</w:t>
      </w:r>
    </w:p>
    <w:p>
      <w:pPr>
        <w:spacing w:after="0" w:line="39" w:lineRule="exact"/>
        <w:rPr>
          <w:rFonts w:ascii="Times New Roman" w:cs="Times New Roman" w:eastAsia="Times New Roman" w:hAnsi="Times New Roman"/>
          <w:sz w:val="18"/>
          <w:szCs w:val="18"/>
          <w:color w:val="auto"/>
        </w:rPr>
      </w:pPr>
    </w:p>
    <w:p>
      <w:pPr>
        <w:ind w:left="768" w:right="6360" w:hanging="414"/>
        <w:spacing w:after="0" w:line="248" w:lineRule="auto"/>
        <w:tabs>
          <w:tab w:leader="none" w:pos="7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are requested to be disbursed to the Borrower’s account with _____________ (Account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-837565</wp:posOffset>
            </wp:positionV>
            <wp:extent cx="5892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9280" cy="8255"/>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-635000</wp:posOffset>
            </wp:positionV>
            <wp:extent cx="3395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95980" cy="8255"/>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-500380</wp:posOffset>
            </wp:positionV>
            <wp:extent cx="5892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9280" cy="8255"/>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-163830</wp:posOffset>
            </wp:positionV>
            <wp:extent cx="3395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95980" cy="8255"/>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-28575</wp:posOffset>
            </wp:positionV>
            <wp:extent cx="5892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9280" cy="8255"/>
                    </a:xfrm>
                    <a:prstGeom prst="rect">
                      <a:avLst/>
                    </a:prstGeom>
                    <a:noFill/>
                  </pic:spPr>
                </pic:pic>
              </a:graphicData>
            </a:graphic>
          </wp:anchor>
        </w:drawing>
      </w:r>
    </w:p>
    <w:p>
      <w:pPr>
        <w:spacing w:after="0" w:line="16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499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331" w:lineRule="exact"/>
        <w:rPr>
          <w:sz w:val="20"/>
          <w:szCs w:val="20"/>
          <w:color w:val="auto"/>
        </w:rPr>
      </w:pPr>
    </w:p>
    <w:p>
      <w:pPr>
        <w:ind w:left="428" w:hanging="428"/>
        <w:spacing w:after="0"/>
        <w:tabs>
          <w:tab w:leader="none" w:pos="428" w:val="left"/>
        </w:tabs>
        <w:numPr>
          <w:ilvl w:val="0"/>
          <w:numId w:val="16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Specify Term Benchmark Borrowing, Daily Simple SOFR Borrowing or ABR Borrowing.</w:t>
      </w:r>
    </w:p>
    <w:p>
      <w:pPr>
        <w:ind w:left="428" w:hanging="428"/>
        <w:spacing w:after="0" w:line="184" w:lineRule="auto"/>
        <w:tabs>
          <w:tab w:leader="none" w:pos="428" w:val="left"/>
        </w:tabs>
        <w:numPr>
          <w:ilvl w:val="0"/>
          <w:numId w:val="1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Which shall be subject to the definition of “Interest Period” and end on or before the Termination Date applicable to such Facility for such Lender.</w:t>
      </w:r>
    </w:p>
    <w:p>
      <w:pPr>
        <w:sectPr>
          <w:pgSz w:w="11900" w:h="16838" w:orient="portrait"/>
          <w:cols w:equalWidth="0" w:num="1">
            <w:col w:w="10788"/>
          </w:cols>
          <w:pgMar w:left="532" w:top="479" w:right="579" w:bottom="1440" w:gutter="0" w:footer="0" w:header="0"/>
        </w:sectPr>
      </w:pPr>
    </w:p>
    <w:bookmarkStart w:id="221" w:name="page222"/>
    <w:bookmarkEnd w:id="221"/>
    <w:p>
      <w:pPr>
        <w:ind w:left="8" w:firstLine="974"/>
        <w:spacing w:after="0" w:line="28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of the Credit Agreement have been satisfied.</w:t>
      </w:r>
    </w:p>
    <w:p>
      <w:pPr>
        <w:spacing w:after="0" w:line="54"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[INSERT NAME OF APPLICABLE BORROWER]</w:t>
      </w:r>
      <w:r>
        <w:rPr>
          <w:rFonts w:ascii="Times New Roman" w:cs="Times New Roman" w:eastAsia="Times New Roman" w:hAnsi="Times New Roman"/>
          <w:sz w:val="26"/>
          <w:szCs w:val="26"/>
          <w:color w:val="auto"/>
          <w:vertAlign w:val="superscript"/>
        </w:rPr>
        <w:t>10</w:t>
      </w:r>
    </w:p>
    <w:p>
      <w:pPr>
        <w:spacing w:after="0" w:line="126"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15240</wp:posOffset>
            </wp:positionV>
            <wp:extent cx="25520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15240</wp:posOffset>
            </wp:positionV>
            <wp:extent cx="25520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7499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92" w:lineRule="exact"/>
        <w:rPr>
          <w:sz w:val="20"/>
          <w:szCs w:val="20"/>
          <w:color w:val="auto"/>
        </w:rPr>
      </w:pPr>
    </w:p>
    <w:p>
      <w:pPr>
        <w:ind w:left="428" w:hanging="428"/>
        <w:spacing w:after="0"/>
        <w:tabs>
          <w:tab w:leader="none" w:pos="428" w:val="left"/>
        </w:tabs>
        <w:numPr>
          <w:ilvl w:val="0"/>
          <w:numId w:val="1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Borrowing on the Closing Date.]</w:t>
      </w:r>
    </w:p>
    <w:p>
      <w:pPr>
        <w:ind w:left="428" w:hanging="428"/>
        <w:spacing w:after="0" w:line="184" w:lineRule="auto"/>
        <w:tabs>
          <w:tab w:leader="none" w:pos="428" w:val="left"/>
        </w:tabs>
        <w:numPr>
          <w:ilvl w:val="0"/>
          <w:numId w:val="17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[Insert for Borrowings by an Applicable Borrower other than the Company.]</w:t>
      </w:r>
    </w:p>
    <w:p>
      <w:pPr>
        <w:sectPr>
          <w:pgSz w:w="11900" w:h="16838" w:orient="portrait"/>
          <w:cols w:equalWidth="0" w:num="1">
            <w:col w:w="10568"/>
          </w:cols>
          <w:pgMar w:left="532" w:top="267" w:right="799" w:bottom="1440" w:gutter="0" w:footer="0" w:header="0"/>
        </w:sectPr>
      </w:pPr>
    </w:p>
    <w:bookmarkStart w:id="222" w:name="page223"/>
    <w:bookmarkEnd w:id="222"/>
    <w:p>
      <w:pPr>
        <w:ind w:left="970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2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FIFTH AMENDED AND RESTATED 3-YEAR REVOLVING CREDIT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Dated as of March 31, 2023</w:t>
            </w:r>
          </w:p>
        </w:tc>
        <w:tc>
          <w:tcPr>
            <w:tcW w:w="19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30"/>
        </w:trPr>
        <w:tc>
          <w:tcPr>
            <w:tcW w:w="4160" w:type="dxa"/>
            <w:vAlign w:val="bottom"/>
            <w:gridSpan w:val="4"/>
          </w:tcPr>
          <w:p>
            <w:pPr>
              <w:jc w:val="center"/>
              <w:ind w:left="1272"/>
              <w:spacing w:after="0"/>
              <w:rPr>
                <w:sz w:val="20"/>
                <w:szCs w:val="20"/>
                <w:color w:val="auto"/>
              </w:rPr>
            </w:pPr>
            <w:r>
              <w:rPr>
                <w:rFonts w:ascii="Times New Roman" w:cs="Times New Roman" w:eastAsia="Times New Roman" w:hAnsi="Times New Roman"/>
                <w:sz w:val="18"/>
                <w:szCs w:val="18"/>
                <w:color w:val="auto"/>
                <w:w w:val="98"/>
              </w:rPr>
              <w:t>JPMORGAN CHASE BANK, N.A.,</w:t>
            </w: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1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CITIBANK, N.A.,</w:t>
            </w:r>
          </w:p>
        </w:tc>
      </w:tr>
      <w:tr>
        <w:trPr>
          <w:trHeight w:val="212"/>
        </w:trPr>
        <w:tc>
          <w:tcPr>
            <w:tcW w:w="4900" w:type="dxa"/>
            <w:vAlign w:val="bottom"/>
            <w:gridSpan w:val="5"/>
          </w:tcPr>
          <w:p>
            <w:pPr>
              <w:jc w:val="center"/>
              <w:ind w:left="532"/>
              <w:spacing w:after="0"/>
              <w:rPr>
                <w:sz w:val="20"/>
                <w:szCs w:val="20"/>
                <w:color w:val="auto"/>
              </w:rPr>
            </w:pPr>
            <w:r>
              <w:rPr>
                <w:rFonts w:ascii="Times New Roman" w:cs="Times New Roman" w:eastAsia="Times New Roman" w:hAnsi="Times New Roman"/>
                <w:sz w:val="18"/>
                <w:szCs w:val="18"/>
                <w:i w:val="1"/>
                <w:iCs w:val="1"/>
                <w:color w:val="auto"/>
                <w:w w:val="97"/>
              </w:rPr>
              <w:t>as Administrative Agent, Global Coordinator,</w:t>
            </w:r>
          </w:p>
        </w:tc>
        <w:tc>
          <w:tcPr>
            <w:tcW w:w="1760" w:type="dxa"/>
            <w:vAlign w:val="bottom"/>
          </w:tcPr>
          <w:p>
            <w:pPr>
              <w:spacing w:after="0"/>
              <w:rPr>
                <w:sz w:val="18"/>
                <w:szCs w:val="18"/>
                <w:color w:val="auto"/>
              </w:rPr>
            </w:pPr>
          </w:p>
        </w:tc>
        <w:tc>
          <w:tcPr>
            <w:tcW w:w="416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as Syndication Agent, Global Coordinator,</w:t>
            </w:r>
          </w:p>
        </w:tc>
      </w:tr>
      <w:tr>
        <w:trPr>
          <w:trHeight w:val="234"/>
        </w:trPr>
        <w:tc>
          <w:tcPr>
            <w:tcW w:w="4900" w:type="dxa"/>
            <w:vAlign w:val="bottom"/>
            <w:gridSpan w:val="5"/>
          </w:tcPr>
          <w:p>
            <w:pPr>
              <w:jc w:val="center"/>
              <w:ind w:left="532"/>
              <w:spacing w:after="0"/>
              <w:rPr>
                <w:sz w:val="20"/>
                <w:szCs w:val="20"/>
                <w:color w:val="auto"/>
              </w:rPr>
            </w:pPr>
            <w:r>
              <w:rPr>
                <w:rFonts w:ascii="Times New Roman" w:cs="Times New Roman" w:eastAsia="Times New Roman" w:hAnsi="Times New Roman"/>
                <w:sz w:val="18"/>
                <w:szCs w:val="18"/>
                <w:i w:val="1"/>
                <w:iCs w:val="1"/>
                <w:color w:val="auto"/>
                <w:w w:val="97"/>
              </w:rPr>
              <w:t>Joint Lead Arranger and Joint Bookrunner</w:t>
            </w:r>
          </w:p>
        </w:tc>
        <w:tc>
          <w:tcPr>
            <w:tcW w:w="1760" w:type="dxa"/>
            <w:vAlign w:val="bottom"/>
          </w:tcPr>
          <w:p>
            <w:pPr>
              <w:spacing w:after="0"/>
              <w:rPr>
                <w:sz w:val="20"/>
                <w:szCs w:val="20"/>
                <w:color w:val="auto"/>
              </w:rPr>
            </w:pP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Joint Lead Arranger and Joint Bookrunner</w:t>
            </w:r>
          </w:p>
        </w:tc>
      </w:tr>
      <w:tr>
        <w:trPr>
          <w:trHeight w:val="264"/>
        </w:trPr>
        <w:tc>
          <w:tcPr>
            <w:tcW w:w="3640" w:type="dxa"/>
            <w:vAlign w:val="bottom"/>
            <w:tcBorders>
              <w:bottom w:val="single" w:sz="8" w:color="auto"/>
            </w:tcBorders>
            <w:gridSpan w:val="3"/>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2"/>
          </w:tcPr>
          <w:p>
            <w:pPr>
              <w:spacing w:after="0"/>
              <w:rPr>
                <w:sz w:val="22"/>
                <w:szCs w:val="22"/>
                <w:color w:val="auto"/>
              </w:rPr>
            </w:pPr>
          </w:p>
        </w:tc>
        <w:tc>
          <w:tcPr>
            <w:tcW w:w="4160" w:type="dxa"/>
            <w:vAlign w:val="bottom"/>
            <w:tcBorders>
              <w:bottom w:val="single" w:sz="8" w:color="auto"/>
            </w:tcBorders>
            <w:gridSpan w:val="2"/>
          </w:tcPr>
          <w:p>
            <w:pPr>
              <w:spacing w:after="0"/>
              <w:rPr>
                <w:sz w:val="22"/>
                <w:szCs w:val="22"/>
                <w:color w:val="auto"/>
              </w:rPr>
            </w:pPr>
          </w:p>
        </w:tc>
      </w:tr>
      <w:tr>
        <w:trPr>
          <w:trHeight w:val="466"/>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INDUSTRIAL AND</w:t>
            </w:r>
          </w:p>
        </w:tc>
        <w:tc>
          <w:tcPr>
            <w:tcW w:w="520" w:type="dxa"/>
            <w:vAlign w:val="bottom"/>
          </w:tcPr>
          <w:p>
            <w:pPr>
              <w:spacing w:after="0"/>
              <w:rPr>
                <w:sz w:val="24"/>
                <w:szCs w:val="24"/>
                <w:color w:val="auto"/>
              </w:rPr>
            </w:pPr>
          </w:p>
        </w:tc>
        <w:tc>
          <w:tcPr>
            <w:tcW w:w="250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w w:val="95"/>
              </w:rPr>
              <w:t>LLOYDS BANK PLC</w:t>
            </w:r>
            <w:r>
              <w:rPr>
                <w:rFonts w:ascii="Times New Roman" w:cs="Times New Roman" w:eastAsia="Times New Roman" w:hAnsi="Times New Roman"/>
                <w:sz w:val="26"/>
                <w:szCs w:val="26"/>
                <w:color w:val="auto"/>
                <w:w w:val="95"/>
                <w:vertAlign w:val="superscript"/>
              </w:rPr>
              <w:t>1,2</w:t>
            </w:r>
          </w:p>
        </w:tc>
        <w:tc>
          <w:tcPr>
            <w:tcW w:w="4160" w:type="dxa"/>
            <w:vAlign w:val="bottom"/>
            <w:gridSpan w:val="2"/>
          </w:tcPr>
          <w:p>
            <w:pPr>
              <w:jc w:val="center"/>
              <w:ind w:left="613"/>
              <w:spacing w:after="0"/>
              <w:rPr>
                <w:sz w:val="20"/>
                <w:szCs w:val="20"/>
                <w:color w:val="auto"/>
              </w:rPr>
            </w:pPr>
            <w:r>
              <w:rPr>
                <w:rFonts w:ascii="Times New Roman" w:cs="Times New Roman" w:eastAsia="Times New Roman" w:hAnsi="Times New Roman"/>
                <w:sz w:val="18"/>
                <w:szCs w:val="18"/>
                <w:color w:val="auto"/>
                <w:w w:val="97"/>
              </w:rPr>
              <w:t>THE TORONTO DOMINION</w:t>
            </w:r>
          </w:p>
        </w:tc>
      </w:tr>
      <w:tr>
        <w:trPr>
          <w:trHeight w:val="212"/>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COMMERCIAL BANK OF</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60" w:type="dxa"/>
            <w:vAlign w:val="bottom"/>
            <w:gridSpan w:val="2"/>
          </w:tcPr>
          <w:p>
            <w:pPr>
              <w:jc w:val="center"/>
              <w:ind w:left="613"/>
              <w:spacing w:after="0"/>
              <w:rPr>
                <w:sz w:val="20"/>
                <w:szCs w:val="20"/>
                <w:color w:val="auto"/>
              </w:rPr>
            </w:pPr>
            <w:r>
              <w:rPr>
                <w:rFonts w:ascii="Times New Roman" w:cs="Times New Roman" w:eastAsia="Times New Roman" w:hAnsi="Times New Roman"/>
                <w:sz w:val="18"/>
                <w:szCs w:val="18"/>
                <w:color w:val="auto"/>
                <w:w w:val="98"/>
              </w:rPr>
              <w:t>BANK, NEW YORK</w:t>
            </w:r>
          </w:p>
        </w:tc>
      </w:tr>
      <w:tr>
        <w:trPr>
          <w:trHeight w:val="212"/>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CHINA LIMITED NEW YORK</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0" w:type="dxa"/>
            <w:vAlign w:val="bottom"/>
          </w:tcPr>
          <w:p>
            <w:pPr>
              <w:jc w:val="center"/>
              <w:ind w:right="1175"/>
              <w:spacing w:after="0" w:line="212" w:lineRule="exact"/>
              <w:rPr>
                <w:sz w:val="20"/>
                <w:szCs w:val="20"/>
                <w:color w:val="auto"/>
              </w:rPr>
            </w:pPr>
            <w:r>
              <w:rPr>
                <w:rFonts w:ascii="Times New Roman" w:cs="Times New Roman" w:eastAsia="Times New Roman" w:hAnsi="Times New Roman"/>
                <w:sz w:val="17"/>
                <w:szCs w:val="17"/>
                <w:color w:val="auto"/>
                <w:w w:val="99"/>
              </w:rPr>
              <w:t>BRANCH</w:t>
            </w:r>
            <w:r>
              <w:rPr>
                <w:rFonts w:ascii="Times New Roman" w:cs="Times New Roman" w:eastAsia="Times New Roman" w:hAnsi="Times New Roman"/>
                <w:sz w:val="24"/>
                <w:szCs w:val="24"/>
                <w:color w:val="auto"/>
                <w:w w:val="99"/>
                <w:vertAlign w:val="superscript"/>
              </w:rPr>
              <w:t>1,2</w:t>
            </w:r>
          </w:p>
        </w:tc>
      </w:tr>
      <w:tr>
        <w:trPr>
          <w:trHeight w:val="355"/>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3"/>
              </w:rPr>
              <w:t>BRANCH</w:t>
            </w:r>
            <w:r>
              <w:rPr>
                <w:rFonts w:ascii="Times New Roman" w:cs="Times New Roman" w:eastAsia="Times New Roman" w:hAnsi="Times New Roman"/>
                <w:sz w:val="26"/>
                <w:szCs w:val="26"/>
                <w:color w:val="auto"/>
                <w:w w:val="93"/>
                <w:vertAlign w:val="superscript"/>
              </w:rPr>
              <w:t>1,2</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93"/>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as Asian Pacific Regional</w:t>
            </w:r>
          </w:p>
        </w:tc>
        <w:tc>
          <w:tcPr>
            <w:tcW w:w="520" w:type="dxa"/>
            <w:vAlign w:val="bottom"/>
          </w:tcPr>
          <w:p>
            <w:pPr>
              <w:spacing w:after="0"/>
              <w:rPr>
                <w:sz w:val="24"/>
                <w:szCs w:val="24"/>
                <w:color w:val="auto"/>
              </w:rPr>
            </w:pPr>
          </w:p>
        </w:tc>
        <w:tc>
          <w:tcPr>
            <w:tcW w:w="250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i w:val="1"/>
                <w:iCs w:val="1"/>
                <w:color w:val="auto"/>
                <w:w w:val="98"/>
              </w:rPr>
              <w:t>as European Regional</w:t>
            </w:r>
          </w:p>
        </w:tc>
        <w:tc>
          <w:tcPr>
            <w:tcW w:w="4160" w:type="dxa"/>
            <w:vAlign w:val="bottom"/>
            <w:gridSpan w:val="2"/>
          </w:tcPr>
          <w:p>
            <w:pPr>
              <w:jc w:val="center"/>
              <w:ind w:left="613"/>
              <w:spacing w:after="0"/>
              <w:rPr>
                <w:sz w:val="20"/>
                <w:szCs w:val="20"/>
                <w:color w:val="auto"/>
              </w:rPr>
            </w:pPr>
            <w:r>
              <w:rPr>
                <w:rFonts w:ascii="Times New Roman" w:cs="Times New Roman" w:eastAsia="Times New Roman" w:hAnsi="Times New Roman"/>
                <w:sz w:val="18"/>
                <w:szCs w:val="18"/>
                <w:i w:val="1"/>
                <w:iCs w:val="1"/>
                <w:color w:val="auto"/>
                <w:w w:val="97"/>
              </w:rPr>
              <w:t>as North American Regional</w:t>
            </w:r>
          </w:p>
        </w:tc>
      </w:tr>
      <w:tr>
        <w:trPr>
          <w:trHeight w:val="234"/>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Coordinator</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jc w:val="center"/>
              <w:ind w:right="433"/>
              <w:spacing w:after="0"/>
              <w:rPr>
                <w:sz w:val="20"/>
                <w:szCs w:val="20"/>
                <w:color w:val="auto"/>
              </w:rPr>
            </w:pPr>
            <w:r>
              <w:rPr>
                <w:rFonts w:ascii="Times New Roman" w:cs="Times New Roman" w:eastAsia="Times New Roman" w:hAnsi="Times New Roman"/>
                <w:sz w:val="18"/>
                <w:szCs w:val="18"/>
                <w:i w:val="1"/>
                <w:iCs w:val="1"/>
                <w:color w:val="auto"/>
                <w:w w:val="97"/>
              </w:rPr>
              <w:t>Coordinator</w:t>
            </w:r>
          </w:p>
        </w:tc>
        <w:tc>
          <w:tcPr>
            <w:tcW w:w="1960" w:type="dxa"/>
            <w:vAlign w:val="bottom"/>
          </w:tcPr>
          <w:p>
            <w:pPr>
              <w:spacing w:after="0"/>
              <w:rPr>
                <w:sz w:val="20"/>
                <w:szCs w:val="20"/>
                <w:color w:val="auto"/>
              </w:rPr>
            </w:pPr>
          </w:p>
        </w:tc>
        <w:tc>
          <w:tcPr>
            <w:tcW w:w="2200" w:type="dxa"/>
            <w:vAlign w:val="bottom"/>
          </w:tcPr>
          <w:p>
            <w:pPr>
              <w:jc w:val="center"/>
              <w:ind w:right="1195"/>
              <w:spacing w:after="0"/>
              <w:rPr>
                <w:sz w:val="20"/>
                <w:szCs w:val="20"/>
                <w:color w:val="auto"/>
              </w:rPr>
            </w:pPr>
            <w:r>
              <w:rPr>
                <w:rFonts w:ascii="Times New Roman" w:cs="Times New Roman" w:eastAsia="Times New Roman" w:hAnsi="Times New Roman"/>
                <w:sz w:val="18"/>
                <w:szCs w:val="18"/>
                <w:i w:val="1"/>
                <w:iCs w:val="1"/>
                <w:color w:val="auto"/>
                <w:w w:val="97"/>
              </w:rPr>
              <w:t>Coordinator</w:t>
            </w:r>
          </w:p>
        </w:tc>
      </w:tr>
      <w:tr>
        <w:trPr>
          <w:trHeight w:val="445"/>
        </w:trPr>
        <w:tc>
          <w:tcPr>
            <w:tcW w:w="15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5"/>
              </w:rPr>
              <w:t>BARCLAYS</w:t>
            </w:r>
          </w:p>
        </w:tc>
        <w:tc>
          <w:tcPr>
            <w:tcW w:w="200" w:type="dxa"/>
            <w:vAlign w:val="bottom"/>
          </w:tcPr>
          <w:p>
            <w:pPr>
              <w:spacing w:after="0"/>
              <w:rPr>
                <w:sz w:val="24"/>
                <w:szCs w:val="24"/>
                <w:color w:val="auto"/>
              </w:rPr>
            </w:pPr>
          </w:p>
        </w:tc>
        <w:tc>
          <w:tcPr>
            <w:tcW w:w="2420" w:type="dxa"/>
            <w:vAlign w:val="bottom"/>
            <w:gridSpan w:val="2"/>
          </w:tcPr>
          <w:p>
            <w:pPr>
              <w:jc w:val="center"/>
              <w:ind w:left="173"/>
              <w:spacing w:after="0"/>
              <w:rPr>
                <w:sz w:val="20"/>
                <w:szCs w:val="20"/>
                <w:color w:val="auto"/>
              </w:rPr>
            </w:pPr>
            <w:r>
              <w:rPr>
                <w:rFonts w:ascii="Times New Roman" w:cs="Times New Roman" w:eastAsia="Times New Roman" w:hAnsi="Times New Roman"/>
                <w:sz w:val="18"/>
                <w:szCs w:val="18"/>
                <w:color w:val="auto"/>
                <w:w w:val="98"/>
              </w:rPr>
              <w:t>BANCO BILBAO</w:t>
            </w:r>
          </w:p>
        </w:tc>
        <w:tc>
          <w:tcPr>
            <w:tcW w:w="2500" w:type="dxa"/>
            <w:vAlign w:val="bottom"/>
            <w:gridSpan w:val="2"/>
          </w:tcPr>
          <w:p>
            <w:pPr>
              <w:jc w:val="center"/>
              <w:ind w:right="133"/>
              <w:spacing w:after="0"/>
              <w:rPr>
                <w:sz w:val="20"/>
                <w:szCs w:val="20"/>
                <w:color w:val="auto"/>
              </w:rPr>
            </w:pPr>
            <w:r>
              <w:rPr>
                <w:rFonts w:ascii="Times New Roman" w:cs="Times New Roman" w:eastAsia="Times New Roman" w:hAnsi="Times New Roman"/>
                <w:sz w:val="18"/>
                <w:szCs w:val="18"/>
                <w:color w:val="auto"/>
                <w:w w:val="93"/>
              </w:rPr>
              <w:t>BNP PARIBAS</w:t>
            </w:r>
            <w:r>
              <w:rPr>
                <w:rFonts w:ascii="Times New Roman" w:cs="Times New Roman" w:eastAsia="Times New Roman" w:hAnsi="Times New Roman"/>
                <w:sz w:val="26"/>
                <w:szCs w:val="26"/>
                <w:color w:val="auto"/>
                <w:w w:val="93"/>
                <w:vertAlign w:val="superscript"/>
              </w:rPr>
              <w:t>1,2</w:t>
            </w:r>
          </w:p>
        </w:tc>
        <w:tc>
          <w:tcPr>
            <w:tcW w:w="4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CREDIT AGRICOLE CORPORATE</w:t>
            </w:r>
          </w:p>
        </w:tc>
      </w:tr>
      <w:tr>
        <w:trPr>
          <w:trHeight w:val="212"/>
        </w:trPr>
        <w:tc>
          <w:tcPr>
            <w:tcW w:w="1540" w:type="dxa"/>
            <w:vAlign w:val="bottom"/>
          </w:tcPr>
          <w:p>
            <w:pPr>
              <w:jc w:val="center"/>
              <w:ind w:left="292"/>
              <w:spacing w:after="0" w:line="212" w:lineRule="exact"/>
              <w:rPr>
                <w:sz w:val="20"/>
                <w:szCs w:val="20"/>
                <w:color w:val="auto"/>
              </w:rPr>
            </w:pPr>
            <w:r>
              <w:rPr>
                <w:rFonts w:ascii="Times New Roman" w:cs="Times New Roman" w:eastAsia="Times New Roman" w:hAnsi="Times New Roman"/>
                <w:sz w:val="17"/>
                <w:szCs w:val="17"/>
                <w:color w:val="auto"/>
              </w:rPr>
              <w:t>BANK PLC</w:t>
            </w:r>
            <w:r>
              <w:rPr>
                <w:rFonts w:ascii="Times New Roman" w:cs="Times New Roman" w:eastAsia="Times New Roman" w:hAnsi="Times New Roman"/>
                <w:sz w:val="24"/>
                <w:szCs w:val="24"/>
                <w:color w:val="auto"/>
                <w:vertAlign w:val="superscript"/>
              </w:rPr>
              <w:t>1,2</w:t>
            </w:r>
          </w:p>
        </w:tc>
        <w:tc>
          <w:tcPr>
            <w:tcW w:w="200" w:type="dxa"/>
            <w:vAlign w:val="bottom"/>
          </w:tcPr>
          <w:p>
            <w:pPr>
              <w:spacing w:after="0"/>
              <w:rPr>
                <w:sz w:val="18"/>
                <w:szCs w:val="18"/>
                <w:color w:val="auto"/>
              </w:rPr>
            </w:pPr>
          </w:p>
        </w:tc>
        <w:tc>
          <w:tcPr>
            <w:tcW w:w="1900" w:type="dxa"/>
            <w:vAlign w:val="bottom"/>
          </w:tcPr>
          <w:p>
            <w:pPr>
              <w:jc w:val="center"/>
              <w:ind w:left="693"/>
              <w:spacing w:after="0"/>
              <w:rPr>
                <w:sz w:val="20"/>
                <w:szCs w:val="20"/>
                <w:color w:val="auto"/>
              </w:rPr>
            </w:pPr>
            <w:r>
              <w:rPr>
                <w:rFonts w:ascii="Times New Roman" w:cs="Times New Roman" w:eastAsia="Times New Roman" w:hAnsi="Times New Roman"/>
                <w:sz w:val="18"/>
                <w:szCs w:val="18"/>
                <w:color w:val="auto"/>
                <w:w w:val="93"/>
              </w:rPr>
              <w:t>VIZCAYA</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60" w:type="dxa"/>
            <w:vAlign w:val="bottom"/>
            <w:gridSpan w:val="2"/>
          </w:tcPr>
          <w:p>
            <w:pPr>
              <w:ind w:left="840"/>
              <w:spacing w:after="0" w:line="212" w:lineRule="exact"/>
              <w:rPr>
                <w:sz w:val="20"/>
                <w:szCs w:val="20"/>
                <w:color w:val="auto"/>
              </w:rPr>
            </w:pPr>
            <w:r>
              <w:rPr>
                <w:rFonts w:ascii="Times New Roman" w:cs="Times New Roman" w:eastAsia="Times New Roman" w:hAnsi="Times New Roman"/>
                <w:sz w:val="17"/>
                <w:szCs w:val="17"/>
                <w:color w:val="auto"/>
              </w:rPr>
              <w:t xml:space="preserve">AND INVESTMENT BANK </w:t>
            </w:r>
            <w:r>
              <w:rPr>
                <w:rFonts w:ascii="Times New Roman" w:cs="Times New Roman" w:eastAsia="Times New Roman" w:hAnsi="Times New Roman"/>
                <w:sz w:val="24"/>
                <w:szCs w:val="24"/>
                <w:color w:val="auto"/>
                <w:vertAlign w:val="superscript"/>
              </w:rPr>
              <w:t>1,2</w:t>
            </w:r>
          </w:p>
        </w:tc>
      </w:tr>
      <w:tr>
        <w:trPr>
          <w:trHeight w:val="212"/>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97"/>
              </w:rPr>
              <w:t>ARGENTARIA,</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2"/>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97"/>
              </w:rPr>
              <w:t>S.A. NEW YORK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55"/>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jc w:val="center"/>
              <w:ind w:left="713"/>
              <w:spacing w:after="0"/>
              <w:rPr>
                <w:sz w:val="20"/>
                <w:szCs w:val="20"/>
                <w:color w:val="auto"/>
              </w:rPr>
            </w:pPr>
            <w:r>
              <w:rPr>
                <w:rFonts w:ascii="Times New Roman" w:cs="Times New Roman" w:eastAsia="Times New Roman" w:hAnsi="Times New Roman"/>
                <w:sz w:val="18"/>
                <w:szCs w:val="18"/>
                <w:color w:val="auto"/>
                <w:w w:val="93"/>
              </w:rPr>
              <w:t>BRANCH</w:t>
            </w:r>
            <w:r>
              <w:rPr>
                <w:rFonts w:ascii="Times New Roman" w:cs="Times New Roman" w:eastAsia="Times New Roman" w:hAnsi="Times New Roman"/>
                <w:sz w:val="26"/>
                <w:szCs w:val="26"/>
                <w:color w:val="auto"/>
                <w:w w:val="93"/>
                <w:vertAlign w:val="superscript"/>
              </w:rPr>
              <w:t>1,2</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95"/>
        </w:trPr>
        <w:tc>
          <w:tcPr>
            <w:tcW w:w="15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DEUTSCHE</w:t>
            </w:r>
          </w:p>
        </w:tc>
        <w:tc>
          <w:tcPr>
            <w:tcW w:w="200" w:type="dxa"/>
            <w:vAlign w:val="bottom"/>
          </w:tcPr>
          <w:p>
            <w:pPr>
              <w:spacing w:after="0"/>
              <w:rPr>
                <w:sz w:val="24"/>
                <w:szCs w:val="24"/>
                <w:color w:val="auto"/>
              </w:rPr>
            </w:pPr>
          </w:p>
        </w:tc>
        <w:tc>
          <w:tcPr>
            <w:tcW w:w="1900" w:type="dxa"/>
            <w:vAlign w:val="bottom"/>
          </w:tcPr>
          <w:p>
            <w:pPr>
              <w:jc w:val="center"/>
              <w:ind w:left="713"/>
              <w:spacing w:after="0"/>
              <w:rPr>
                <w:sz w:val="20"/>
                <w:szCs w:val="20"/>
                <w:color w:val="auto"/>
              </w:rPr>
            </w:pPr>
            <w:r>
              <w:rPr>
                <w:rFonts w:ascii="Times New Roman" w:cs="Times New Roman" w:eastAsia="Times New Roman" w:hAnsi="Times New Roman"/>
                <w:sz w:val="18"/>
                <w:szCs w:val="18"/>
                <w:color w:val="auto"/>
                <w:w w:val="97"/>
              </w:rPr>
              <w:t>GOLDMAN</w:t>
            </w:r>
          </w:p>
        </w:tc>
        <w:tc>
          <w:tcPr>
            <w:tcW w:w="520" w:type="dxa"/>
            <w:vAlign w:val="bottom"/>
          </w:tcPr>
          <w:p>
            <w:pPr>
              <w:spacing w:after="0"/>
              <w:rPr>
                <w:sz w:val="24"/>
                <w:szCs w:val="24"/>
                <w:color w:val="auto"/>
              </w:rPr>
            </w:pPr>
          </w:p>
        </w:tc>
        <w:tc>
          <w:tcPr>
            <w:tcW w:w="2500" w:type="dxa"/>
            <w:vAlign w:val="bottom"/>
            <w:gridSpan w:val="2"/>
          </w:tcPr>
          <w:p>
            <w:pPr>
              <w:jc w:val="center"/>
              <w:ind w:right="133"/>
              <w:spacing w:after="0"/>
              <w:rPr>
                <w:sz w:val="20"/>
                <w:szCs w:val="20"/>
                <w:color w:val="auto"/>
              </w:rPr>
            </w:pPr>
            <w:r>
              <w:rPr>
                <w:rFonts w:ascii="Times New Roman" w:cs="Times New Roman" w:eastAsia="Times New Roman" w:hAnsi="Times New Roman"/>
                <w:sz w:val="18"/>
                <w:szCs w:val="18"/>
                <w:color w:val="auto"/>
                <w:w w:val="96"/>
              </w:rPr>
              <w:t>INTESA SANPAOLO S.P.A.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BANK OF AMERICA,</w:t>
            </w:r>
          </w:p>
        </w:tc>
        <w:tc>
          <w:tcPr>
            <w:tcW w:w="22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8"/>
              </w:rPr>
              <w:t>MIZUHO BANK,</w:t>
            </w:r>
          </w:p>
        </w:tc>
      </w:tr>
      <w:tr>
        <w:trPr>
          <w:trHeight w:val="210"/>
        </w:trPr>
        <w:tc>
          <w:tcPr>
            <w:tcW w:w="15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rPr>
              <w:t>BANK</w:t>
            </w:r>
          </w:p>
        </w:tc>
        <w:tc>
          <w:tcPr>
            <w:tcW w:w="200" w:type="dxa"/>
            <w:vAlign w:val="bottom"/>
          </w:tcPr>
          <w:p>
            <w:pPr>
              <w:spacing w:after="0"/>
              <w:rPr>
                <w:sz w:val="18"/>
                <w:szCs w:val="18"/>
                <w:color w:val="auto"/>
              </w:rPr>
            </w:pPr>
          </w:p>
        </w:tc>
        <w:tc>
          <w:tcPr>
            <w:tcW w:w="1900" w:type="dxa"/>
            <w:vAlign w:val="bottom"/>
          </w:tcPr>
          <w:p>
            <w:pPr>
              <w:jc w:val="center"/>
              <w:ind w:left="713"/>
              <w:spacing w:after="0"/>
              <w:rPr>
                <w:sz w:val="20"/>
                <w:szCs w:val="20"/>
                <w:color w:val="auto"/>
              </w:rPr>
            </w:pPr>
            <w:r>
              <w:rPr>
                <w:rFonts w:ascii="Times New Roman" w:cs="Times New Roman" w:eastAsia="Times New Roman" w:hAnsi="Times New Roman"/>
                <w:sz w:val="18"/>
                <w:szCs w:val="18"/>
                <w:color w:val="auto"/>
                <w:w w:val="96"/>
              </w:rPr>
              <w:t>SACHS BANK</w:t>
            </w:r>
          </w:p>
        </w:tc>
        <w:tc>
          <w:tcPr>
            <w:tcW w:w="520" w:type="dxa"/>
            <w:vAlign w:val="bottom"/>
          </w:tcPr>
          <w:p>
            <w:pPr>
              <w:spacing w:after="0"/>
              <w:rPr>
                <w:sz w:val="18"/>
                <w:szCs w:val="18"/>
                <w:color w:val="auto"/>
              </w:rPr>
            </w:pPr>
          </w:p>
        </w:tc>
        <w:tc>
          <w:tcPr>
            <w:tcW w:w="2500" w:type="dxa"/>
            <w:vAlign w:val="bottom"/>
            <w:gridSpan w:val="2"/>
          </w:tcPr>
          <w:p>
            <w:pPr>
              <w:jc w:val="center"/>
              <w:ind w:right="133"/>
              <w:spacing w:after="0" w:line="210" w:lineRule="exact"/>
              <w:rPr>
                <w:sz w:val="20"/>
                <w:szCs w:val="20"/>
                <w:color w:val="auto"/>
              </w:rPr>
            </w:pPr>
            <w:r>
              <w:rPr>
                <w:rFonts w:ascii="Times New Roman" w:cs="Times New Roman" w:eastAsia="Times New Roman" w:hAnsi="Times New Roman"/>
                <w:sz w:val="17"/>
                <w:szCs w:val="17"/>
                <w:color w:val="auto"/>
              </w:rPr>
              <w:t>—NEW YORK BRANCH</w:t>
            </w:r>
            <w:r>
              <w:rPr>
                <w:rFonts w:ascii="Times New Roman" w:cs="Times New Roman" w:eastAsia="Times New Roman" w:hAnsi="Times New Roman"/>
                <w:sz w:val="24"/>
                <w:szCs w:val="24"/>
                <w:color w:val="auto"/>
                <w:vertAlign w:val="superscript"/>
              </w:rPr>
              <w:t>1,2</w:t>
            </w:r>
          </w:p>
        </w:tc>
        <w:tc>
          <w:tcPr>
            <w:tcW w:w="1960" w:type="dxa"/>
            <w:vAlign w:val="bottom"/>
          </w:tcPr>
          <w:p>
            <w:pPr>
              <w:ind w:left="700"/>
              <w:spacing w:after="0" w:line="210" w:lineRule="exact"/>
              <w:rPr>
                <w:sz w:val="20"/>
                <w:szCs w:val="20"/>
                <w:color w:val="auto"/>
              </w:rPr>
            </w:pPr>
            <w:r>
              <w:rPr>
                <w:rFonts w:ascii="Times New Roman" w:cs="Times New Roman" w:eastAsia="Times New Roman" w:hAnsi="Times New Roman"/>
                <w:sz w:val="17"/>
                <w:szCs w:val="17"/>
                <w:color w:val="auto"/>
              </w:rPr>
              <w:t>N.A.</w:t>
            </w:r>
            <w:r>
              <w:rPr>
                <w:rFonts w:ascii="Times New Roman" w:cs="Times New Roman" w:eastAsia="Times New Roman" w:hAnsi="Times New Roman"/>
                <w:sz w:val="24"/>
                <w:szCs w:val="24"/>
                <w:color w:val="auto"/>
                <w:vertAlign w:val="superscript"/>
              </w:rPr>
              <w:t>1</w:t>
            </w:r>
          </w:p>
        </w:tc>
        <w:tc>
          <w:tcPr>
            <w:tcW w:w="2200" w:type="dxa"/>
            <w:vAlign w:val="bottom"/>
          </w:tcPr>
          <w:p>
            <w:pPr>
              <w:jc w:val="center"/>
              <w:ind w:left="55"/>
              <w:spacing w:after="0" w:line="210" w:lineRule="exact"/>
              <w:rPr>
                <w:sz w:val="20"/>
                <w:szCs w:val="20"/>
                <w:color w:val="auto"/>
              </w:rPr>
            </w:pPr>
            <w:r>
              <w:rPr>
                <w:rFonts w:ascii="Times New Roman" w:cs="Times New Roman" w:eastAsia="Times New Roman" w:hAnsi="Times New Roman"/>
                <w:sz w:val="17"/>
                <w:szCs w:val="17"/>
                <w:color w:val="auto"/>
                <w:w w:val="94"/>
              </w:rPr>
              <w:t>LTD.</w:t>
            </w:r>
            <w:r>
              <w:rPr>
                <w:rFonts w:ascii="Times New Roman" w:cs="Times New Roman" w:eastAsia="Times New Roman" w:hAnsi="Times New Roman"/>
                <w:sz w:val="24"/>
                <w:szCs w:val="24"/>
                <w:color w:val="auto"/>
                <w:w w:val="94"/>
                <w:vertAlign w:val="superscript"/>
              </w:rPr>
              <w:t>1,2</w:t>
            </w:r>
          </w:p>
        </w:tc>
      </w:tr>
      <w:tr>
        <w:trPr>
          <w:trHeight w:val="357"/>
        </w:trPr>
        <w:tc>
          <w:tcPr>
            <w:tcW w:w="174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5"/>
              </w:rPr>
              <w:t>SECURITIES INC.</w:t>
            </w:r>
            <w:r>
              <w:rPr>
                <w:rFonts w:ascii="Times New Roman" w:cs="Times New Roman" w:eastAsia="Times New Roman" w:hAnsi="Times New Roman"/>
                <w:sz w:val="26"/>
                <w:szCs w:val="26"/>
                <w:color w:val="auto"/>
                <w:w w:val="95"/>
                <w:vertAlign w:val="superscript"/>
              </w:rPr>
              <w:t>1,2</w:t>
            </w:r>
          </w:p>
        </w:tc>
        <w:tc>
          <w:tcPr>
            <w:tcW w:w="1900" w:type="dxa"/>
            <w:vAlign w:val="bottom"/>
          </w:tcPr>
          <w:p>
            <w:pPr>
              <w:jc w:val="center"/>
              <w:ind w:left="693"/>
              <w:spacing w:after="0"/>
              <w:rPr>
                <w:sz w:val="20"/>
                <w:szCs w:val="20"/>
                <w:color w:val="auto"/>
              </w:rPr>
            </w:pPr>
            <w:r>
              <w:rPr>
                <w:rFonts w:ascii="Times New Roman" w:cs="Times New Roman" w:eastAsia="Times New Roman" w:hAnsi="Times New Roman"/>
                <w:sz w:val="18"/>
                <w:szCs w:val="18"/>
                <w:color w:val="auto"/>
                <w:w w:val="90"/>
              </w:rPr>
              <w:t>USA</w:t>
            </w:r>
            <w:r>
              <w:rPr>
                <w:rFonts w:ascii="Times New Roman" w:cs="Times New Roman" w:eastAsia="Times New Roman" w:hAnsi="Times New Roman"/>
                <w:sz w:val="26"/>
                <w:szCs w:val="26"/>
                <w:color w:val="auto"/>
                <w:w w:val="90"/>
                <w:vertAlign w:val="superscript"/>
              </w:rPr>
              <w:t>1,2</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as Co-Syndication Agent</w:t>
            </w:r>
          </w:p>
        </w:tc>
        <w:tc>
          <w:tcPr>
            <w:tcW w:w="2200" w:type="dxa"/>
            <w:vAlign w:val="bottom"/>
          </w:tcPr>
          <w:p>
            <w:pPr>
              <w:spacing w:after="0"/>
              <w:rPr>
                <w:sz w:val="24"/>
                <w:szCs w:val="24"/>
                <w:color w:val="auto"/>
              </w:rPr>
            </w:pPr>
          </w:p>
        </w:tc>
      </w:tr>
      <w:tr>
        <w:trPr>
          <w:trHeight w:val="321"/>
        </w:trPr>
        <w:tc>
          <w:tcPr>
            <w:tcW w:w="15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MORGAN</w:t>
            </w:r>
          </w:p>
        </w:tc>
        <w:tc>
          <w:tcPr>
            <w:tcW w:w="200" w:type="dxa"/>
            <w:vAlign w:val="bottom"/>
          </w:tcPr>
          <w:p>
            <w:pPr>
              <w:spacing w:after="0"/>
              <w:rPr>
                <w:sz w:val="24"/>
                <w:szCs w:val="24"/>
                <w:color w:val="auto"/>
              </w:rPr>
            </w:pPr>
          </w:p>
        </w:tc>
        <w:tc>
          <w:tcPr>
            <w:tcW w:w="1900" w:type="dxa"/>
            <w:vAlign w:val="bottom"/>
          </w:tcPr>
          <w:p>
            <w:pPr>
              <w:jc w:val="center"/>
              <w:ind w:right="673"/>
              <w:spacing w:after="0"/>
              <w:rPr>
                <w:sz w:val="20"/>
                <w:szCs w:val="20"/>
                <w:color w:val="auto"/>
              </w:rPr>
            </w:pPr>
            <w:r>
              <w:rPr>
                <w:rFonts w:ascii="Times New Roman" w:cs="Times New Roman" w:eastAsia="Times New Roman" w:hAnsi="Times New Roman"/>
                <w:sz w:val="18"/>
                <w:szCs w:val="18"/>
                <w:color w:val="auto"/>
                <w:w w:val="97"/>
              </w:rPr>
              <w:t>RBC CAPITAL</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SANTANDER</w:t>
            </w:r>
          </w:p>
        </w:tc>
        <w:tc>
          <w:tcPr>
            <w:tcW w:w="1760" w:type="dxa"/>
            <w:vAlign w:val="bottom"/>
          </w:tcPr>
          <w:p>
            <w:pPr>
              <w:jc w:val="center"/>
              <w:ind w:left="633"/>
              <w:spacing w:after="0"/>
              <w:rPr>
                <w:sz w:val="20"/>
                <w:szCs w:val="20"/>
                <w:color w:val="auto"/>
              </w:rPr>
            </w:pPr>
            <w:r>
              <w:rPr>
                <w:rFonts w:ascii="Times New Roman" w:cs="Times New Roman" w:eastAsia="Times New Roman" w:hAnsi="Times New Roman"/>
                <w:sz w:val="18"/>
                <w:szCs w:val="18"/>
                <w:color w:val="auto"/>
                <w:w w:val="97"/>
              </w:rPr>
              <w:t>SUMITOMO</w:t>
            </w:r>
          </w:p>
        </w:tc>
        <w:tc>
          <w:tcPr>
            <w:tcW w:w="1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SOCIÉTÉ</w:t>
            </w:r>
          </w:p>
        </w:tc>
        <w:tc>
          <w:tcPr>
            <w:tcW w:w="220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7"/>
              </w:rPr>
              <w:t>THE BANK OF NOVA</w:t>
            </w:r>
          </w:p>
        </w:tc>
      </w:tr>
      <w:tr>
        <w:trPr>
          <w:trHeight w:val="212"/>
        </w:trPr>
        <w:tc>
          <w:tcPr>
            <w:tcW w:w="15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STANLEY</w:t>
            </w:r>
          </w:p>
        </w:tc>
        <w:tc>
          <w:tcPr>
            <w:tcW w:w="200" w:type="dxa"/>
            <w:vAlign w:val="bottom"/>
          </w:tcPr>
          <w:p>
            <w:pPr>
              <w:spacing w:after="0"/>
              <w:rPr>
                <w:sz w:val="18"/>
                <w:szCs w:val="18"/>
                <w:color w:val="auto"/>
              </w:rPr>
            </w:pPr>
          </w:p>
        </w:tc>
        <w:tc>
          <w:tcPr>
            <w:tcW w:w="1900" w:type="dxa"/>
            <w:vAlign w:val="bottom"/>
          </w:tcPr>
          <w:p>
            <w:pPr>
              <w:jc w:val="center"/>
              <w:ind w:right="673"/>
              <w:spacing w:after="0" w:line="212"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4"/>
                <w:szCs w:val="24"/>
                <w:color w:val="auto"/>
                <w:vertAlign w:val="superscript"/>
              </w:rPr>
              <w:t>1</w:t>
            </w:r>
          </w:p>
        </w:tc>
        <w:tc>
          <w:tcPr>
            <w:tcW w:w="12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 BANK, N.A.</w:t>
            </w:r>
            <w:r>
              <w:rPr>
                <w:rFonts w:ascii="Times New Roman" w:cs="Times New Roman" w:eastAsia="Times New Roman" w:hAnsi="Times New Roman"/>
                <w:sz w:val="24"/>
                <w:szCs w:val="24"/>
                <w:color w:val="auto"/>
                <w:vertAlign w:val="superscript"/>
              </w:rPr>
              <w:t>1</w:t>
            </w:r>
          </w:p>
        </w:tc>
        <w:tc>
          <w:tcPr>
            <w:tcW w:w="176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9"/>
              </w:rPr>
              <w:t>MITSUI</w:t>
            </w:r>
          </w:p>
        </w:tc>
        <w:tc>
          <w:tcPr>
            <w:tcW w:w="1960" w:type="dxa"/>
            <w:vAlign w:val="bottom"/>
          </w:tcPr>
          <w:p>
            <w:pPr>
              <w:ind w:left="860"/>
              <w:spacing w:after="0" w:line="212" w:lineRule="exact"/>
              <w:rPr>
                <w:sz w:val="20"/>
                <w:szCs w:val="20"/>
                <w:color w:val="auto"/>
              </w:rPr>
            </w:pPr>
            <w:r>
              <w:rPr>
                <w:rFonts w:ascii="Times New Roman" w:cs="Times New Roman" w:eastAsia="Times New Roman" w:hAnsi="Times New Roman"/>
                <w:sz w:val="17"/>
                <w:szCs w:val="17"/>
                <w:color w:val="auto"/>
                <w:w w:val="98"/>
              </w:rPr>
              <w:t>GÉNÉRALE</w:t>
            </w:r>
            <w:r>
              <w:rPr>
                <w:rFonts w:ascii="Times New Roman" w:cs="Times New Roman" w:eastAsia="Times New Roman" w:hAnsi="Times New Roman"/>
                <w:sz w:val="24"/>
                <w:szCs w:val="24"/>
                <w:color w:val="auto"/>
                <w:w w:val="98"/>
                <w:vertAlign w:val="superscript"/>
              </w:rPr>
              <w:t>1,2</w:t>
            </w:r>
          </w:p>
        </w:tc>
        <w:tc>
          <w:tcPr>
            <w:tcW w:w="2200" w:type="dxa"/>
            <w:vAlign w:val="bottom"/>
          </w:tcPr>
          <w:p>
            <w:pPr>
              <w:jc w:val="center"/>
              <w:ind w:left="395"/>
              <w:spacing w:after="0" w:line="212" w:lineRule="exact"/>
              <w:rPr>
                <w:sz w:val="20"/>
                <w:szCs w:val="20"/>
                <w:color w:val="auto"/>
              </w:rPr>
            </w:pPr>
            <w:r>
              <w:rPr>
                <w:rFonts w:ascii="Times New Roman" w:cs="Times New Roman" w:eastAsia="Times New Roman" w:hAnsi="Times New Roman"/>
                <w:sz w:val="17"/>
                <w:szCs w:val="17"/>
                <w:color w:val="auto"/>
                <w:w w:val="98"/>
              </w:rPr>
              <w:t>SCOTIA</w:t>
            </w:r>
            <w:r>
              <w:rPr>
                <w:rFonts w:ascii="Times New Roman" w:cs="Times New Roman" w:eastAsia="Times New Roman" w:hAnsi="Times New Roman"/>
                <w:sz w:val="24"/>
                <w:szCs w:val="24"/>
                <w:color w:val="auto"/>
                <w:w w:val="98"/>
                <w:vertAlign w:val="superscript"/>
              </w:rPr>
              <w:t>1,2</w:t>
            </w:r>
          </w:p>
        </w:tc>
      </w:tr>
      <w:tr>
        <w:trPr>
          <w:trHeight w:val="212"/>
        </w:trPr>
        <w:tc>
          <w:tcPr>
            <w:tcW w:w="15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SENIOR</w:t>
            </w:r>
          </w:p>
        </w:tc>
        <w:tc>
          <w:tcPr>
            <w:tcW w:w="2100" w:type="dxa"/>
            <w:vAlign w:val="bottom"/>
            <w:gridSpan w:val="2"/>
          </w:tcPr>
          <w:p>
            <w:pPr>
              <w:jc w:val="center"/>
              <w:ind w:right="453"/>
              <w:spacing w:after="0"/>
              <w:rPr>
                <w:sz w:val="20"/>
                <w:szCs w:val="20"/>
                <w:color w:val="auto"/>
              </w:rPr>
            </w:pPr>
            <w:r>
              <w:rPr>
                <w:rFonts w:ascii="Times New Roman" w:cs="Times New Roman" w:eastAsia="Times New Roman" w:hAnsi="Times New Roman"/>
                <w:sz w:val="18"/>
                <w:szCs w:val="18"/>
                <w:color w:val="auto"/>
                <w:w w:val="96"/>
              </w:rPr>
              <w:t>ROYAL BANK OF</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8"/>
              </w:rPr>
              <w:t>BANKING</w:t>
            </w:r>
          </w:p>
        </w:tc>
        <w:tc>
          <w:tcPr>
            <w:tcW w:w="19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2"/>
        </w:trPr>
        <w:tc>
          <w:tcPr>
            <w:tcW w:w="15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FUNDING,</w:t>
            </w:r>
          </w:p>
        </w:tc>
        <w:tc>
          <w:tcPr>
            <w:tcW w:w="200" w:type="dxa"/>
            <w:vAlign w:val="bottom"/>
          </w:tcPr>
          <w:p>
            <w:pPr>
              <w:spacing w:after="0"/>
              <w:rPr>
                <w:sz w:val="18"/>
                <w:szCs w:val="18"/>
                <w:color w:val="auto"/>
              </w:rPr>
            </w:pPr>
          </w:p>
        </w:tc>
        <w:tc>
          <w:tcPr>
            <w:tcW w:w="1900" w:type="dxa"/>
            <w:vAlign w:val="bottom"/>
          </w:tcPr>
          <w:p>
            <w:pPr>
              <w:jc w:val="center"/>
              <w:ind w:right="673"/>
              <w:spacing w:after="0" w:line="212" w:lineRule="exact"/>
              <w:rPr>
                <w:sz w:val="20"/>
                <w:szCs w:val="20"/>
                <w:color w:val="auto"/>
              </w:rPr>
            </w:pPr>
            <w:r>
              <w:rPr>
                <w:rFonts w:ascii="Times New Roman" w:cs="Times New Roman" w:eastAsia="Times New Roman" w:hAnsi="Times New Roman"/>
                <w:sz w:val="17"/>
                <w:szCs w:val="17"/>
                <w:color w:val="auto"/>
              </w:rPr>
              <w:t>CANADA</w:t>
            </w:r>
            <w:r>
              <w:rPr>
                <w:rFonts w:ascii="Times New Roman" w:cs="Times New Roman" w:eastAsia="Times New Roman" w:hAnsi="Times New Roman"/>
                <w:sz w:val="24"/>
                <w:szCs w:val="24"/>
                <w:color w:val="auto"/>
                <w:vertAlign w:val="superscript"/>
              </w:rPr>
              <w:t>2</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20" w:type="dxa"/>
            <w:vAlign w:val="bottom"/>
            <w:gridSpan w:val="2"/>
          </w:tcPr>
          <w:p>
            <w:pPr>
              <w:jc w:val="center"/>
              <w:ind w:right="1153"/>
              <w:spacing w:after="0" w:line="212" w:lineRule="exact"/>
              <w:rPr>
                <w:sz w:val="20"/>
                <w:szCs w:val="20"/>
                <w:color w:val="auto"/>
              </w:rPr>
            </w:pPr>
            <w:r>
              <w:rPr>
                <w:rFonts w:ascii="Times New Roman" w:cs="Times New Roman" w:eastAsia="Times New Roman" w:hAnsi="Times New Roman"/>
                <w:sz w:val="17"/>
                <w:szCs w:val="17"/>
                <w:color w:val="auto"/>
                <w:w w:val="99"/>
              </w:rPr>
              <w:t>CORPORATION</w:t>
            </w:r>
            <w:r>
              <w:rPr>
                <w:rFonts w:ascii="Times New Roman" w:cs="Times New Roman" w:eastAsia="Times New Roman" w:hAnsi="Times New Roman"/>
                <w:sz w:val="24"/>
                <w:szCs w:val="24"/>
                <w:color w:val="auto"/>
                <w:w w:val="99"/>
                <w:vertAlign w:val="superscript"/>
              </w:rPr>
              <w:t>1,2</w:t>
            </w:r>
          </w:p>
        </w:tc>
        <w:tc>
          <w:tcPr>
            <w:tcW w:w="2200" w:type="dxa"/>
            <w:vAlign w:val="bottom"/>
          </w:tcPr>
          <w:p>
            <w:pPr>
              <w:spacing w:after="0"/>
              <w:rPr>
                <w:sz w:val="18"/>
                <w:szCs w:val="18"/>
                <w:color w:val="auto"/>
              </w:rPr>
            </w:pPr>
          </w:p>
        </w:tc>
      </w:tr>
      <w:tr>
        <w:trPr>
          <w:trHeight w:val="355"/>
        </w:trPr>
        <w:tc>
          <w:tcPr>
            <w:tcW w:w="15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0"/>
              </w:rPr>
              <w:t>INC.</w:t>
            </w:r>
            <w:r>
              <w:rPr>
                <w:rFonts w:ascii="Times New Roman" w:cs="Times New Roman" w:eastAsia="Times New Roman" w:hAnsi="Times New Roman"/>
                <w:sz w:val="26"/>
                <w:szCs w:val="26"/>
                <w:color w:val="auto"/>
                <w:w w:val="90"/>
                <w:vertAlign w:val="superscript"/>
              </w:rPr>
              <w:t>1,2</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Joint Bookrunners and Joint Lead Arrangers when noted (</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and as Documentation Agents when noted (</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w:t>
      </w:r>
    </w:p>
    <w:p>
      <w:pPr>
        <w:sectPr>
          <w:pgSz w:w="11900" w:h="16838" w:orient="portrait"/>
          <w:cols w:equalWidth="0" w:num="1">
            <w:col w:w="10820"/>
          </w:cols>
          <w:pgMar w:left="540" w:top="119" w:right="5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60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20" w:type="dxa"/>
            <w:vAlign w:val="bottom"/>
          </w:tcPr>
          <w:p>
            <w:pPr>
              <w:spacing w:after="0"/>
              <w:rPr>
                <w:sz w:val="20"/>
                <w:szCs w:val="20"/>
                <w:color w:val="auto"/>
              </w:rPr>
            </w:pPr>
          </w:p>
        </w:tc>
      </w:tr>
      <w:tr>
        <w:trPr>
          <w:trHeight w:val="365"/>
        </w:trPr>
        <w:tc>
          <w:tcPr>
            <w:tcW w:w="10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Commitments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 for Domestic Loan Borrowing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Multicurrency Commitments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 for Multicurrency Loan Borrowing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L/C Tranche Commitments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2.8</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 for L/C Tranche Loan Borrowing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Facility Fees,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Reduction and Reallocation of Commitments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Prepayments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Mandatory Prepayments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Term Benchmark Tranches and Daily Simple SOFR Borrowings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2.18</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Inability to Determine Interest Rate; Illegality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2.19</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2.20</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Requirements of Law</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Defaulting Lender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Local Facilities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2.28</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Incremental Commitments/Facilities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2.29</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Date Extension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2.30</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Ancillary Facilities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1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LETTERS OF CREDIT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L/C Commitment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 for Issuance of Letters of Credit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 and Other Charges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760"/>
          </w:cols>
          <w:pgMar w:left="540" w:top="265" w:right="59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L/C Participations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Reimbursement Obligation of the Company and the Applicable Account Party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Absolute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 of Credit 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3.10</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Issuing Lenders; L/C Commitments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Letters of Credit and Designated Letters of Credit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Conflicts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1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Condition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Change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Existence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Legal Bar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Default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4.8</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 of Property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4.9</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4.10</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Regulations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Company Act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 of the Subsidiary Borrowers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PRECEDENT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AFFIRMATIVE COVENANTS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Certificates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Guarantors,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Books and Records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NEGATIVE COVENANTS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Minimum Liquidity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Sale Restrictions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Fundamental Changes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60"/>
          </w:cols>
          <w:pgMar w:left="540" w:top="267" w:right="59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EVENTS OF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AGENTS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Delegation of Duties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9.3</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Exculpatory Provisions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9.4</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9.5</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9.6</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9.7</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9.8</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9.9</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9.10</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9.11</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Bookrunners, Lead Arrangers, Global and Regional Coordinators, Documentation Agents, Syndication Agent and Co-Syndication Agent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9.12</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ERISA Matters.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9.13</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Acknowledgements of Lenders and Issuing Lenders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10.</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99"/>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 and Waivers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Releases of Guarantees.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10.16</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10.17</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WAIVERS OF JURY TRIAL</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10.18</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Patriot Act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10.19</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Novation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10.20</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10.21</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2"/>
        </w:trPr>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10.22</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Limitations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jc w:val="center"/>
        <w:ind w:right="28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540" w:top="373" w:right="2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color w:val="auto"/>
        </w:rPr>
        <w:t>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Commitments; Scheme Reference Number and Jurisdiction of Tax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-490855</wp:posOffset>
            </wp:positionV>
            <wp:extent cx="717677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Excluded Subsidiaries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Pricing Grid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Subsidiary Businesses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Guarantee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Incremental Loan Activation Notice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Closing Certificate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Borrower Joinder Agreement</w:t>
      </w:r>
    </w:p>
    <w:p>
      <w:pPr>
        <w:spacing w:after="0" w:line="5" w:lineRule="exact"/>
        <w:rPr>
          <w:sz w:val="20"/>
          <w:szCs w:val="20"/>
          <w:color w:val="auto"/>
        </w:rPr>
      </w:pPr>
    </w:p>
    <w:p>
      <w:pPr>
        <w:ind w:right="3859"/>
        <w:spacing w:after="0" w:line="260" w:lineRule="auto"/>
        <w:rPr>
          <w:sz w:val="20"/>
          <w:szCs w:val="20"/>
          <w:color w:val="auto"/>
        </w:rPr>
      </w:pPr>
      <w:r>
        <w:rPr>
          <w:rFonts w:ascii="Times New Roman" w:cs="Times New Roman" w:eastAsia="Times New Roman" w:hAnsi="Times New Roman"/>
          <w:sz w:val="17"/>
          <w:szCs w:val="17"/>
          <w:color w:val="auto"/>
        </w:rPr>
        <w:t>Form of Exemption Certificate for Non-Partnership Non-U.S. Lenders Form of Exemption Certificate for Partnership Non-U.S.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Exemption Certificate for Non-Partnership Non-U.S. Participants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Exemption Certificate for Partnership Non-U.S. Participants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Company Consent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Letter of Credit Acknowledgment</w:t>
      </w:r>
    </w:p>
    <w:p>
      <w:pPr>
        <w:spacing w:after="0" w:line="1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2">
            <w:col w:w="1060" w:space="20"/>
            <w:col w:w="8839"/>
          </w:cols>
          <w:pgMar w:left="540" w:top="267" w:right="1440" w:bottom="1440" w:gutter="0" w:footer="0" w:header="0"/>
        </w:sectPr>
      </w:pPr>
    </w:p>
    <w:bookmarkStart w:id="227" w:name="page228"/>
    <w:bookmarkEnd w:id="227"/>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FIFTH AMENDED AND RESTATED THREE YEAR REVOLVING CREDIT AGREEMENT, dated as of March 31, 2023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(as defined herein) from time to time parties hereto, the several banks and other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institutions or entities from time to time parties hereto, as lenders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(and any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branches and affiliates acting on its behalf in such capacity), as administrative agent for the Lenders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 as syndication agent (in such capacity, the “</w:t>
      </w:r>
      <w:r>
        <w:rPr>
          <w:rFonts w:ascii="Times New Roman" w:cs="Times New Roman" w:eastAsia="Times New Roman" w:hAnsi="Times New Roman"/>
          <w:sz w:val="17"/>
          <w:szCs w:val="17"/>
          <w:u w:val="single" w:color="auto"/>
          <w:color w:val="auto"/>
        </w:rPr>
        <w:t>Syndication Agent</w:t>
      </w:r>
      <w:r>
        <w:rPr>
          <w:rFonts w:ascii="Times New Roman" w:cs="Times New Roman" w:eastAsia="Times New Roman" w:hAnsi="Times New Roman"/>
          <w:sz w:val="17"/>
          <w:szCs w:val="17"/>
          <w:color w:val="auto"/>
        </w:rPr>
        <w:t>”) and BANK OF AMERICA, N.A., as co-syndication agent (in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240" w:firstLine="974"/>
        <w:spacing w:after="0" w:line="260" w:lineRule="auto"/>
        <w:rPr>
          <w:sz w:val="20"/>
          <w:szCs w:val="20"/>
          <w:color w:val="auto"/>
        </w:rPr>
      </w:pPr>
      <w:r>
        <w:rPr>
          <w:rFonts w:ascii="Times New Roman" w:cs="Times New Roman" w:eastAsia="Times New Roman" w:hAnsi="Times New Roman"/>
          <w:sz w:val="18"/>
          <w:szCs w:val="18"/>
          <w:color w:val="auto"/>
        </w:rPr>
        <w:t>WHEREAS, the Company entered into that certain Fourth Amended and Restated Three Year Revolving Credit Agreement, dated as of April 7, 2021 (the “</w:t>
      </w:r>
      <w:r>
        <w:rPr>
          <w:rFonts w:ascii="Times New Roman" w:cs="Times New Roman" w:eastAsia="Times New Roman" w:hAnsi="Times New Roman"/>
          <w:sz w:val="18"/>
          <w:szCs w:val="18"/>
          <w:u w:val="single" w:color="auto"/>
          <w:color w:val="auto"/>
        </w:rPr>
        <w:t>Existing Three Year Credit Agreement</w:t>
      </w:r>
      <w:r>
        <w:rPr>
          <w:rFonts w:ascii="Times New Roman" w:cs="Times New Roman" w:eastAsia="Times New Roman" w:hAnsi="Times New Roman"/>
          <w:sz w:val="18"/>
          <w:szCs w:val="18"/>
          <w:color w:val="auto"/>
        </w:rPr>
        <w:t>”), with GMF, the other subsidiary borrowers from time to time party thereto, the several lenders from time to time party thereto, JPMorgan Chase Bank, N.A., as administrative agent and the other agents party thereto;</w:t>
      </w:r>
    </w:p>
    <w:p>
      <w:pPr>
        <w:spacing w:after="0" w:line="176" w:lineRule="exact"/>
        <w:rPr>
          <w:sz w:val="20"/>
          <w:szCs w:val="20"/>
          <w:color w:val="auto"/>
        </w:rPr>
      </w:pPr>
    </w:p>
    <w:p>
      <w:pPr>
        <w:ind w:right="40" w:firstLine="974"/>
        <w:spacing w:after="0" w:line="274" w:lineRule="auto"/>
        <w:rPr>
          <w:sz w:val="20"/>
          <w:szCs w:val="20"/>
          <w:color w:val="auto"/>
        </w:rPr>
      </w:pPr>
      <w:r>
        <w:rPr>
          <w:rFonts w:ascii="Times New Roman" w:cs="Times New Roman" w:eastAsia="Times New Roman" w:hAnsi="Times New Roman"/>
          <w:sz w:val="18"/>
          <w:szCs w:val="18"/>
          <w:color w:val="auto"/>
        </w:rPr>
        <w:t>WHEREAS, the parties have agreed to amend and restate the Existing Three Year Credit Agreement as provided in this Agreement, which Agreement shall become effective upon the satisfaction (or waiver pursuant to Section 10.1) of the conditions set forth in Section 5.1;</w:t>
      </w:r>
    </w:p>
    <w:p>
      <w:pPr>
        <w:spacing w:after="0" w:line="164"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7"/>
          <w:szCs w:val="17"/>
          <w:color w:val="auto"/>
        </w:rPr>
        <w:t>NOW, THEREFORE, in consideration of the premises and the agreements, provisions and covenants herein contained, the parties hereto hereby agree that on the Closing Date (as defined below), the Existing Three Year Credit Agreement shall be amended and restated in its entirety as follows: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2022 10-K</w:t>
      </w:r>
      <w:r>
        <w:rPr>
          <w:rFonts w:ascii="Times New Roman" w:cs="Times New Roman" w:eastAsia="Times New Roman" w:hAnsi="Times New Roman"/>
          <w:sz w:val="18"/>
          <w:szCs w:val="18"/>
          <w:color w:val="auto"/>
        </w:rPr>
        <w:t>” has the meaning assigned to such term in Section 4.1.</w:t>
      </w:r>
    </w:p>
    <w:p>
      <w:pPr>
        <w:spacing w:after="0" w:line="218"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364-Day Revolving Credit Agreement</w:t>
      </w:r>
      <w:r>
        <w:rPr>
          <w:rFonts w:ascii="Times New Roman" w:cs="Times New Roman" w:eastAsia="Times New Roman" w:hAnsi="Times New Roman"/>
          <w:sz w:val="18"/>
          <w:szCs w:val="18"/>
          <w:color w:val="auto"/>
        </w:rPr>
        <w:t>” means that certain Fifth Amended and Restated 364-Day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w:t>
      </w:r>
    </w:p>
    <w:p>
      <w:pPr>
        <w:spacing w:after="0" w:line="182" w:lineRule="exact"/>
        <w:rPr>
          <w:sz w:val="20"/>
          <w:szCs w:val="20"/>
          <w:color w:val="auto"/>
        </w:rPr>
      </w:pPr>
    </w:p>
    <w:p>
      <w:pPr>
        <w:ind w:right="80" w:firstLine="97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5-Year Revolving Credit Agreement</w:t>
      </w:r>
      <w:r>
        <w:rPr>
          <w:rFonts w:ascii="Times New Roman" w:cs="Times New Roman" w:eastAsia="Times New Roman" w:hAnsi="Times New Roman"/>
          <w:sz w:val="17"/>
          <w:szCs w:val="17"/>
          <w:color w:val="auto"/>
        </w:rPr>
        <w:t>” means (i) that certain Fourth Amended and Restated Five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Fourth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ectPr>
          <w:pgSz w:w="11900" w:h="16838" w:orient="portrait"/>
          <w:cols w:equalWidth="0" w:num="1">
            <w:col w:w="10800"/>
          </w:cols>
          <w:pgMar w:left="540" w:top="267" w:right="559" w:bottom="1440" w:gutter="0" w:footer="0" w:header="0"/>
        </w:sectPr>
      </w:pPr>
    </w:p>
    <w:bookmarkStart w:id="228" w:name="page229"/>
    <w:bookmarkEnd w:id="228"/>
    <w:p>
      <w:pPr>
        <w:ind w:right="22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5-Year Total Available Commitments</w:t>
      </w:r>
      <w:r>
        <w:rPr>
          <w:rFonts w:ascii="Times New Roman" w:cs="Times New Roman" w:eastAsia="Times New Roman" w:hAnsi="Times New Roman"/>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2" w:lineRule="exact"/>
        <w:rPr>
          <w:sz w:val="20"/>
          <w:szCs w:val="20"/>
          <w:color w:val="auto"/>
        </w:rPr>
      </w:pPr>
    </w:p>
    <w:p>
      <w:pPr>
        <w:jc w:val="both"/>
        <w:ind w:right="20" w:firstLine="974"/>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5-Year Total Commitments</w:t>
      </w:r>
      <w:r>
        <w:rPr>
          <w:rFonts w:ascii="Times New Roman" w:cs="Times New Roman" w:eastAsia="Times New Roman" w:hAnsi="Times New Roman"/>
          <w:sz w:val="17"/>
          <w:szCs w:val="17"/>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60" w:lineRule="exact"/>
        <w:rPr>
          <w:sz w:val="20"/>
          <w:szCs w:val="20"/>
          <w:color w:val="auto"/>
        </w:rPr>
      </w:pPr>
    </w:p>
    <w:p>
      <w:pPr>
        <w:ind w:right="8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Extensions of Credit</w:t>
      </w:r>
      <w:r>
        <w:rPr>
          <w:rFonts w:ascii="Times New Roman" w:cs="Times New Roman" w:eastAsia="Times New Roman" w:hAnsi="Times New Roman"/>
          <w:sz w:val="18"/>
          <w:szCs w:val="18"/>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82"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ABR</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18"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76" w:lineRule="exact"/>
        <w:rPr>
          <w:sz w:val="20"/>
          <w:szCs w:val="20"/>
          <w:color w:val="auto"/>
        </w:rPr>
      </w:pPr>
    </w:p>
    <w:p>
      <w:pPr>
        <w:ind w:right="3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0"/>
          </w:cols>
          <w:pgMar w:left="540" w:top="267" w:right="599" w:bottom="1440" w:gutter="0" w:footer="0" w:header="0"/>
        </w:sectPr>
      </w:pPr>
    </w:p>
    <w:bookmarkStart w:id="229" w:name="page230"/>
    <w:bookmarkEnd w:id="229"/>
    <w:p>
      <w:pPr>
        <w:ind w:right="4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TIBOR Rate</w:t>
      </w:r>
      <w:r>
        <w:rPr>
          <w:rFonts w:ascii="Times New Roman" w:cs="Times New Roman" w:eastAsia="Times New Roman" w:hAnsi="Times New Roman"/>
          <w:sz w:val="18"/>
          <w:szCs w:val="18"/>
          <w:color w:val="auto"/>
        </w:rPr>
        <w:t>” means, with respect to any Term Benchmark Borrowing denominated in Japanese Yen for any Interest Period, an interest rate per annum equal to (a) the TIBOR Rate for such Interest Period multiplied by (b) the Statutory Reserve Rate; provided that if the Adjusted TIBOR Rate as so determined would be less than the Floor, such rate shall be deemed to be equal to the Floor.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18" w:lineRule="exact"/>
        <w:rPr>
          <w:sz w:val="20"/>
          <w:szCs w:val="20"/>
          <w:color w:val="auto"/>
        </w:rPr>
      </w:pPr>
    </w:p>
    <w:p>
      <w:pPr>
        <w:ind w:right="5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9.7.</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Administrative Agent.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Borrower</w:t>
      </w:r>
      <w:r>
        <w:rPr>
          <w:rFonts w:ascii="Times New Roman" w:cs="Times New Roman" w:eastAsia="Times New Roman" w:hAnsi="Times New Roman"/>
          <w:sz w:val="18"/>
          <w:szCs w:val="18"/>
          <w:color w:val="auto"/>
        </w:rPr>
        <w:t>” has the meaning assigned to such term in Section 2.30(a).</w:t>
      </w:r>
    </w:p>
    <w:p>
      <w:pPr>
        <w:spacing w:after="0" w:line="218" w:lineRule="exact"/>
        <w:rPr>
          <w:sz w:val="20"/>
          <w:szCs w:val="20"/>
          <w:color w:val="auto"/>
        </w:rPr>
      </w:pPr>
    </w:p>
    <w:p>
      <w:pPr>
        <w:jc w:val="both"/>
        <w:ind w:right="4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Commencement Date</w:t>
      </w:r>
      <w:r>
        <w:rPr>
          <w:rFonts w:ascii="Times New Roman" w:cs="Times New Roman" w:eastAsia="Times New Roman" w:hAnsi="Times New Roman"/>
          <w:sz w:val="18"/>
          <w:szCs w:val="18"/>
          <w:color w:val="auto"/>
        </w:rPr>
        <w:t>” means, in relation to an Ancillary Facility, the date on which such Ancillary Facility is first made available, which date shall be a Business Day within the Commitment Period for the applicable Ancillary Lender in respect of the Multicurrency Facility.</w:t>
      </w:r>
    </w:p>
    <w:p>
      <w:pPr>
        <w:spacing w:after="0" w:line="176" w:lineRule="exact"/>
        <w:rPr>
          <w:sz w:val="20"/>
          <w:szCs w:val="20"/>
          <w:color w:val="auto"/>
        </w:rPr>
      </w:pPr>
    </w:p>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Commitment</w:t>
      </w:r>
      <w:r>
        <w:rPr>
          <w:rFonts w:ascii="Times New Roman" w:cs="Times New Roman" w:eastAsia="Times New Roman" w:hAnsi="Times New Roman"/>
          <w:sz w:val="18"/>
          <w:szCs w:val="18"/>
          <w:color w:val="auto"/>
        </w:rPr>
        <w:t xml:space="preserve">” means, with respect to any Ancillary Lender and Ancillary Facility, the maximum Dollar Equivalent of the amount that such Ancillary Lender has agreed to make available from time to time prior to the Termination Date under such Ancillary Facility pursuant to Section 2.30 (to the extent such amount is not cancelled or reduced under this Agreement or the Ancillary Facility Documents relating to that Ancillary Facility and, in each case, such Dollar Equivalent amount to be determined as of the applicable Ancillary Commencement Date, without giving effect to any currency fluctuations after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(a) the aggregate Ancillary Commitments of such Ancillary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Multicurrency Extensions of Credit of such Ancillary Lender exceed (b) the Multicurrency Commitment of such Ancillary Lender (determined without giving effect to any reduction of such Commitment pursuant to Section 2.30).</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w:t>
      </w:r>
    </w:p>
    <w:p>
      <w:pPr>
        <w:spacing w:after="0" w:line="218"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Facility</w:t>
      </w:r>
      <w:r>
        <w:rPr>
          <w:rFonts w:ascii="Times New Roman" w:cs="Times New Roman" w:eastAsia="Times New Roman" w:hAnsi="Times New Roman"/>
          <w:sz w:val="18"/>
          <w:szCs w:val="18"/>
          <w:color w:val="auto"/>
        </w:rPr>
        <w:t>” means (a) any overdraft, automated payment, check drawing and/or other current account facility, (b) any credit order or short term loan facility, (c) any foreign exchange or foreign currency facility, (d) any documentary or stand-by letter of credit facility, suretyship, guarantee and/or bonding facility or any other instrument to provide a contingent liability, (e) any derivatives or hedging facility and/or (f) any other facility or financial accommodation that may be entered into by any Ancillary Borrower in connection with the business of the Company and/or any of its Subsidiaries, in each case made available by an Ancillary Lender in accordance with Section 2.30.</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540" w:top="267" w:right="619" w:bottom="1440" w:gutter="0" w:footer="0" w:header="0"/>
        </w:sectPr>
      </w:pPr>
    </w:p>
    <w:bookmarkStart w:id="230" w:name="page231"/>
    <w:bookmarkEnd w:id="230"/>
    <w:p>
      <w:pPr>
        <w:ind w:right="64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Ancillary Facility Document</w:t>
      </w:r>
      <w:r>
        <w:rPr>
          <w:rFonts w:ascii="Times New Roman" w:cs="Times New Roman" w:eastAsia="Times New Roman" w:hAnsi="Times New Roman"/>
          <w:sz w:val="18"/>
          <w:szCs w:val="18"/>
          <w:color w:val="auto"/>
        </w:rPr>
        <w:t>” means, with respect to any Ancillary Facility, each document or instrument between any Ancillary Borrower and the applicable Ancillary Lender thereunder governing such Ancillary Facility.</w:t>
      </w:r>
    </w:p>
    <w:p>
      <w:pPr>
        <w:spacing w:after="0" w:line="164"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Facility Outstandings</w:t>
      </w:r>
      <w:r>
        <w:rPr>
          <w:rFonts w:ascii="Times New Roman" w:cs="Times New Roman" w:eastAsia="Times New Roman" w:hAnsi="Times New Roman"/>
          <w:sz w:val="18"/>
          <w:szCs w:val="18"/>
          <w:color w:val="auto"/>
        </w:rPr>
        <w:t>” means, at any time, with respect to any Ancillary Lender and any Ancillary Facility then in effect, the Dollar Equivalent of the sum of the following amounts outstanding under such Ancillary Facility: (a) the principal amount under each overdraft facility and on-demand short term loan facility (net of any credit balance on any account of any Ancillary Borrower under any Ancillary Facility with the relevant Ancillary Lender to the extent that such credit balance is freely available to be set-off by such Ancillary Lender against liabilities owing by such Ancillary Borrower under such Ancillary Facility); (b) the face amount of each guarantee, bond and letter of credit under such Ancillary Facility (net of any cash collateral and otherwise as the maximum liability thereunder is reduced in accordance with its terms and by calls thereon which have been satisfied, and excluding any liability in respect of amounts of interest, fees and similar charges); and (c) the amount fairly representing the aggregate exposure (excluding interest, fees and similar charges) of such Ancillary Lender under each other type of accommodation provided under such Ancillary Facility, in each case as determined by such Ancillary Lender, acting reasonably in accordance with its normal banking practice and in accordance with the relevant Ancillary Facility Document.</w:t>
      </w:r>
    </w:p>
    <w:p>
      <w:pPr>
        <w:spacing w:after="0" w:line="187" w:lineRule="exact"/>
        <w:rPr>
          <w:sz w:val="20"/>
          <w:szCs w:val="20"/>
          <w:color w:val="auto"/>
        </w:rPr>
      </w:pPr>
    </w:p>
    <w:p>
      <w:pPr>
        <w:ind w:right="4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Lender</w:t>
      </w:r>
      <w:r>
        <w:rPr>
          <w:rFonts w:ascii="Times New Roman" w:cs="Times New Roman" w:eastAsia="Times New Roman" w:hAnsi="Times New Roman"/>
          <w:sz w:val="18"/>
          <w:szCs w:val="18"/>
          <w:color w:val="auto"/>
        </w:rPr>
        <w:t>” means, with respect to any Ancillary Facility, the Lender (or an affiliate of such Lender) that has made (in its sole discretion) such Ancillary Facility available under Section 2.30.</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has the meaning assigned to such term in Section 3.1(a).</w:t>
      </w:r>
    </w:p>
    <w:p>
      <w:pPr>
        <w:spacing w:after="0" w:line="218" w:lineRule="exact"/>
        <w:rPr>
          <w:sz w:val="20"/>
          <w:szCs w:val="20"/>
          <w:color w:val="auto"/>
        </w:rPr>
      </w:pPr>
    </w:p>
    <w:p>
      <w:pPr>
        <w:ind w:right="4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denominated in the applicable Currency, Daily Simple SOFR Loans, ABR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Facility Rating</w:t>
      </w:r>
      <w:r>
        <w:rPr>
          <w:rFonts w:ascii="Times New Roman" w:cs="Times New Roman" w:eastAsia="Times New Roman" w:hAnsi="Times New Roman"/>
          <w:sz w:val="18"/>
          <w:szCs w:val="18"/>
          <w:color w:val="auto"/>
        </w:rPr>
        <w:t>” has the meaning set forth in the Applicable Pricing Grid.</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18" w:lineRule="exact"/>
        <w:rPr>
          <w:sz w:val="20"/>
          <w:szCs w:val="20"/>
          <w:color w:val="auto"/>
        </w:rPr>
      </w:pPr>
    </w:p>
    <w:p>
      <w:pPr>
        <w:jc w:val="both"/>
        <w:ind w:right="1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Daily Simple SOFR Loan, Term Benchmark Loan, as the case may be, the applicable rate per annum set forth under the relevant column heading in the Applicable Pricing Grid, based upon the Applicable Rating in effect on such day.</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means in the case of any Loan or Facility Fee, the table set forth on Schedule 1.1C.</w:t>
      </w:r>
    </w:p>
    <w:p>
      <w:pPr>
        <w:spacing w:after="0" w:line="1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7" w:right="559" w:bottom="1440" w:gutter="0" w:footer="0" w:header="0"/>
        </w:sectPr>
      </w:pPr>
    </w:p>
    <w:bookmarkStart w:id="231" w:name="page232"/>
    <w:bookmarkEnd w:id="231"/>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“Applicable Rating” means the Index Debt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Company has obtained or maintained an Applicable Facility Rating from at least two of Moody’s, S&amp;P or Fitch, the “Applicable Rating” shall be the Applicable Facility Rating in effect at any time of determination;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Applicable Rating that applied under the Existing Three Year Credit Agreement immediately prior to the Closing Date shall be deemed to continue to apply until (but not including) the earlier of (i) June 15, 2023 and (ii) the first date upon which at least two of S&amp;P, Moody’s and Fitch have issued an Index Debt Rating that is lower than the Index Debt Rating issued by such rating agency as of the Closing Date.</w:t>
      </w:r>
    </w:p>
    <w:p>
      <w:pPr>
        <w:spacing w:after="0" w:line="187"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18"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assigned to such term in Section 9.11.</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Multicurrency Commitment</w:t>
      </w:r>
      <w:r>
        <w:rPr>
          <w:rFonts w:ascii="Times New Roman" w:cs="Times New Roman" w:eastAsia="Times New Roman" w:hAnsi="Times New Roman"/>
          <w:sz w:val="18"/>
          <w:szCs w:val="18"/>
          <w:color w:val="auto"/>
        </w:rPr>
        <w:t xml:space="preserve">” means, on any date of determination with respect to any Lender, (a) such Lender’s Multicurrency Commitment in effect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its Multicurrency Extensions of Credit on such date.</w:t>
      </w:r>
    </w:p>
    <w:p>
      <w:pPr>
        <w:spacing w:after="0" w:line="164" w:lineRule="exact"/>
        <w:rPr>
          <w:sz w:val="20"/>
          <w:szCs w:val="20"/>
          <w:color w:val="auto"/>
        </w:rPr>
      </w:pPr>
    </w:p>
    <w:p>
      <w:pPr>
        <w:ind w:firstLine="97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Available Tenor</w:t>
      </w:r>
      <w:r>
        <w:rPr>
          <w:rFonts w:ascii="Times New Roman" w:cs="Times New Roman" w:eastAsia="Times New Roman" w:hAnsi="Times New Roman"/>
          <w:sz w:val="17"/>
          <w:szCs w:val="17"/>
          <w:color w:val="auto"/>
        </w:rPr>
        <w:t>” means, as of any date of determination and with respect to the then-current Benchmark for any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70"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4"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40"/>
          </w:cols>
          <w:pgMar w:left="540" w:top="267" w:right="619" w:bottom="1440" w:gutter="0" w:footer="0" w:header="0"/>
        </w:sectPr>
      </w:pPr>
    </w:p>
    <w:bookmarkStart w:id="232" w:name="page233"/>
    <w:bookmarkEnd w:id="232"/>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ind w:right="20" w:firstLine="9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means, initially, with respect to any (i) Daily Simple SOFR Loan, the Adjusted Daily Simple SOFR or (ii) Term Benchmark Loan, the Relevant Rate for such Currency; provided that if a Benchmark Transition Event, and the related Benchmark Replacement Date have occurred with respect to the applicable Relevant Rate or the then-current Benchmark for such Currency, then “Benchmark” means the applicable Benchmark Replacement to the extent that such Benchmark Replacement has replaced such prior benchmark rate pursuant to clause (b) of Section 2.18.</w:t>
      </w:r>
    </w:p>
    <w:p>
      <w:pPr>
        <w:spacing w:after="0" w:line="165" w:lineRule="exact"/>
        <w:rPr>
          <w:sz w:val="20"/>
          <w:szCs w:val="20"/>
          <w:color w:val="auto"/>
        </w:rPr>
      </w:pPr>
    </w:p>
    <w:p>
      <w:pPr>
        <w:ind w:right="22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in the United States and (b) the related Benchmark Replacement Adjustment;</w:t>
      </w:r>
    </w:p>
    <w:p>
      <w:pPr>
        <w:spacing w:after="0" w:line="187"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164" w:lineRule="exact"/>
        <w:rPr>
          <w:sz w:val="20"/>
          <w:szCs w:val="20"/>
          <w:color w:val="auto"/>
        </w:rPr>
      </w:pPr>
    </w:p>
    <w:p>
      <w:pPr>
        <w:ind w:right="4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90"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40" w:top="267" w:right="559" w:bottom="1440" w:gutter="0" w:footer="0" w:header="0"/>
        </w:sectPr>
      </w:pPr>
    </w:p>
    <w:bookmarkStart w:id="233" w:name="page234"/>
    <w:bookmarkEnd w:id="233"/>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4" w:lineRule="exact"/>
        <w:rPr>
          <w:sz w:val="20"/>
          <w:szCs w:val="20"/>
          <w:color w:val="auto"/>
        </w:rPr>
      </w:pPr>
    </w:p>
    <w:p>
      <w:pPr>
        <w:ind w:right="220" w:firstLine="966"/>
        <w:spacing w:after="0" w:line="260" w:lineRule="auto"/>
        <w:tabs>
          <w:tab w:leader="none" w:pos="12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18"/>
          <w:szCs w:val="18"/>
          <w:color w:val="auto"/>
        </w:rPr>
      </w:pPr>
    </w:p>
    <w:p>
      <w:pPr>
        <w:ind w:right="60" w:firstLine="966"/>
        <w:spacing w:after="0" w:line="253" w:lineRule="auto"/>
        <w:tabs>
          <w:tab w:leader="none" w:pos="12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2" w:lineRule="exact"/>
        <w:rPr>
          <w:sz w:val="20"/>
          <w:szCs w:val="20"/>
          <w:color w:val="auto"/>
        </w:rPr>
      </w:pPr>
    </w:p>
    <w:p>
      <w:pPr>
        <w:ind w:right="40" w:firstLine="974"/>
        <w:spacing w:after="0" w:line="253"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4" w:lineRule="exact"/>
        <w:rPr>
          <w:sz w:val="20"/>
          <w:szCs w:val="20"/>
          <w:color w:val="auto"/>
        </w:rPr>
      </w:pPr>
    </w:p>
    <w:p>
      <w:pPr>
        <w:jc w:val="both"/>
        <w:ind w:right="80" w:firstLine="966"/>
        <w:spacing w:after="0" w:line="255" w:lineRule="auto"/>
        <w:tabs>
          <w:tab w:leader="none" w:pos="122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18"/>
          <w:szCs w:val="18"/>
          <w:color w:val="auto"/>
        </w:rPr>
      </w:pPr>
    </w:p>
    <w:p>
      <w:pPr>
        <w:ind w:firstLine="966"/>
        <w:spacing w:after="0" w:line="250" w:lineRule="auto"/>
        <w:tabs>
          <w:tab w:leader="none" w:pos="122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540" w:top="267" w:right="559" w:bottom="1440" w:gutter="0" w:footer="0" w:header="0"/>
        </w:sectPr>
      </w:pPr>
    </w:p>
    <w:bookmarkStart w:id="234" w:name="page235"/>
    <w:bookmarkEnd w:id="234"/>
    <w:p>
      <w:pPr>
        <w:ind w:firstLine="966"/>
        <w:spacing w:after="0" w:line="260" w:lineRule="auto"/>
        <w:tabs>
          <w:tab w:leader="none" w:pos="122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18"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18"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GMF or any other Subsidiary Borrower designated from time to time by the Company until (in the case of any Subsidiary Borrower) such time as such Subsidiary Borrower is removed as a party hereto pursuant to Section 10.1(d).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means a joinder agreement substantially in the form of Exhibit H.</w:t>
      </w:r>
    </w:p>
    <w:p>
      <w:pPr>
        <w:spacing w:after="0" w:line="218" w:lineRule="exact"/>
        <w:rPr>
          <w:sz w:val="20"/>
          <w:szCs w:val="20"/>
          <w:color w:val="auto"/>
        </w:rPr>
      </w:pPr>
    </w:p>
    <w:p>
      <w:pPr>
        <w:ind w:right="5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and Currency, made, converted or continued on the same date and, in the case of Term Benchmark Loans, as to which a single Interest Period is in effect.</w:t>
      </w:r>
    </w:p>
    <w:p>
      <w:pPr>
        <w:spacing w:after="0" w:line="164" w:lineRule="exact"/>
        <w:rPr>
          <w:sz w:val="20"/>
          <w:szCs w:val="20"/>
          <w:color w:val="auto"/>
        </w:rPr>
      </w:pPr>
    </w:p>
    <w:p>
      <w:pPr>
        <w:ind w:right="2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any Business Day specified by the Company or any Subsidiary Borrower as a date on which the Company or such Subsidiary Borrower requests the relevant Lenders to make Loans hereunder.</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540" w:top="267" w:right="559" w:bottom="1440" w:gutter="0" w:footer="0" w:header="0"/>
        </w:sectPr>
      </w:pPr>
    </w:p>
    <w:bookmarkStart w:id="235" w:name="page236"/>
    <w:bookmarkEnd w:id="235"/>
    <w:p>
      <w:pPr>
        <w:ind w:right="20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Domestic Loan, L/C Tranche Loan or Multicurrency Loan, in substantially the form of Exhibit L.</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Brazilian Incremental Facility</w:t>
      </w:r>
      <w:r>
        <w:rPr>
          <w:rFonts w:ascii="Times New Roman" w:cs="Times New Roman" w:eastAsia="Times New Roman" w:hAnsi="Times New Roman"/>
          <w:sz w:val="18"/>
          <w:szCs w:val="18"/>
          <w:color w:val="auto"/>
        </w:rPr>
        <w:t>” has the meaning assigned to such term in Section 2.28(d).</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Brazilian New Local Facility</w:t>
      </w:r>
      <w:r>
        <w:rPr>
          <w:rFonts w:ascii="Times New Roman" w:cs="Times New Roman" w:eastAsia="Times New Roman" w:hAnsi="Times New Roman"/>
          <w:sz w:val="18"/>
          <w:szCs w:val="18"/>
          <w:color w:val="auto"/>
        </w:rPr>
        <w:t>” has the meaning assigned to such term in Section 2.27(c).</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Brazilian Reais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mean the lawful currency of the Federative Republic of Brazil.</w:t>
      </w:r>
    </w:p>
    <w:p>
      <w:pPr>
        <w:spacing w:after="0" w:line="218"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in addition to the foregoing, a Business Day shall be (a) in relation to Loans denominated in Yen and in relation to the calculation or computation of TIBOR or the Japanese Prime Rate, any day (other than a Saturday or a Sunday) on which banks are open for business in Japan, (b) in relation to Loans denominated in Euros and in relation to the calculation or computation of EURIBOR, any day which is a TARGET Day, (c)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(d) in relation to Daily Simple SOFR Loans and any interest rate settings, fundings, disbursements, settlements or payments of any such Daily Simple SOFR Loans or any other dealings of such Daily Simple SOFR Loans, any such day that is a U.S. Government Securities Business Day and (e) in relation to any Ancillary Facility, any day (other than a Saturday or Sunday) on which banks are open for dealings in deposits of the applicable currency in the interbank market.</w:t>
      </w:r>
    </w:p>
    <w:p>
      <w:pPr>
        <w:spacing w:after="0" w:line="187"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2" w:lineRule="exact"/>
        <w:rPr>
          <w:sz w:val="20"/>
          <w:szCs w:val="20"/>
          <w:color w:val="auto"/>
        </w:rPr>
      </w:pPr>
    </w:p>
    <w:p>
      <w:pPr>
        <w:ind w:right="1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 or the Japanese Prime Rate.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Margin, applicable to such Loan that is replaced by a CBR Loan.</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Optional Currency determined after the Closing Date, a central bank rate as determined by the Administrative Agent in its reasonable discretion; plus (B) the applicable Central Bank Rate Adjustment and (II) the Floor.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40" w:top="267" w:right="539" w:bottom="1440" w:gutter="0" w:footer="0" w:header="0"/>
        </w:sectPr>
      </w:pPr>
    </w:p>
    <w:bookmarkStart w:id="236" w:name="page237"/>
    <w:bookmarkEnd w:id="236"/>
    <w:p>
      <w:pPr>
        <w:ind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and (b) any other Optional Currency determined after the Closing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Optional Currency for a maturity of one month.</w:t>
      </w:r>
    </w:p>
    <w:p>
      <w:pPr>
        <w:spacing w:after="0" w:line="185" w:lineRule="exact"/>
        <w:rPr>
          <w:sz w:val="20"/>
          <w:szCs w:val="20"/>
          <w:color w:val="auto"/>
        </w:rPr>
      </w:pPr>
    </w:p>
    <w:p>
      <w:pPr>
        <w:ind w:right="4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2.20,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87" w:lineRule="exact"/>
        <w:rPr>
          <w:sz w:val="20"/>
          <w:szCs w:val="20"/>
          <w:color w:val="auto"/>
        </w:rPr>
      </w:pPr>
    </w:p>
    <w:p>
      <w:pPr>
        <w:ind w:right="60" w:firstLine="9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events: (a) any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(as such terms are used in Sections 13(d) and 14(d) of the Exchange Act) shall become, or obtain rights (whether by means of warrants, options or otherwise) to become,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65"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4" w:lineRule="exact"/>
        <w:rPr>
          <w:sz w:val="20"/>
          <w:szCs w:val="20"/>
          <w:color w:val="auto"/>
        </w:rPr>
      </w:pPr>
    </w:p>
    <w:p>
      <w:pPr>
        <w:ind w:right="7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set forth in Section 5.1 shall have been satisfied, which date is March 31, 2023.</w:t>
      </w:r>
    </w:p>
    <w:p>
      <w:pPr>
        <w:spacing w:after="0" w:line="164"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20"/>
          </w:cols>
          <w:pgMar w:left="540" w:top="267" w:right="539" w:bottom="1440" w:gutter="0" w:footer="0" w:header="0"/>
        </w:sectPr>
      </w:pPr>
    </w:p>
    <w:bookmarkStart w:id="237" w:name="page238"/>
    <w:bookmarkEnd w:id="237"/>
    <w:p>
      <w:pPr>
        <w:ind w:right="24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Collateralized</w:t>
      </w:r>
      <w:r>
        <w:rPr>
          <w:rFonts w:ascii="Times New Roman" w:cs="Times New Roman" w:eastAsia="Times New Roman" w:hAnsi="Times New Roman"/>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76" w:lineRule="exact"/>
        <w:rPr>
          <w:sz w:val="20"/>
          <w:szCs w:val="20"/>
          <w:color w:val="auto"/>
        </w:rPr>
      </w:pPr>
    </w:p>
    <w:p>
      <w:pPr>
        <w:jc w:val="both"/>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individually and collectively, the Domestic Commitments, the L/C Tranche Commitments and the Multicurrency Commitments. To the extent any Incremental Facility or New Local Facility is established, the “Commitments” shall, to the extent appropriate, include commitments under such Facilities.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has the meaning assigned to such term in Section 2.28(a).</w:t>
      </w:r>
    </w:p>
    <w:p>
      <w:pPr>
        <w:spacing w:after="0" w:line="218"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4"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76" w:lineRule="exact"/>
        <w:rPr>
          <w:sz w:val="20"/>
          <w:szCs w:val="20"/>
          <w:color w:val="auto"/>
        </w:rPr>
      </w:pPr>
    </w:p>
    <w:p>
      <w:pPr>
        <w:ind w:right="2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w:t>
      </w:r>
    </w:p>
    <w:p>
      <w:pPr>
        <w:spacing w:after="0" w:line="218" w:lineRule="exact"/>
        <w:rPr>
          <w:sz w:val="20"/>
          <w:szCs w:val="20"/>
          <w:color w:val="auto"/>
        </w:rPr>
      </w:pPr>
    </w:p>
    <w:p>
      <w:pPr>
        <w:ind w:right="80" w:firstLine="974"/>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Domestic Liquidity</w:t>
      </w:r>
      <w:r>
        <w:rPr>
          <w:rFonts w:ascii="Times New Roman" w:cs="Times New Roman" w:eastAsia="Times New Roman" w:hAnsi="Times New Roman"/>
          <w:sz w:val="17"/>
          <w:szCs w:val="17"/>
          <w:color w:val="auto"/>
        </w:rPr>
        <w:t xml:space="preserve">” means, as of any date of determination, the sum of (a) the Total Available Commitments as of such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5-Year Total Available Commitments at such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(c) the total available commitments (after giving effect to any applicable borrowing base limitations) under other then-effective committed credit facilities of the Company or any Domestic Subsidiary (including any Ancillary Commitments, which may at such time be reallocated to provide availability to the Company or any Domestic Subsidiary, but excluding any warehouse facility of GMF)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77" w:lineRule="exact"/>
        <w:rPr>
          <w:sz w:val="20"/>
          <w:szCs w:val="20"/>
          <w:color w:val="auto"/>
        </w:rPr>
      </w:pPr>
    </w:p>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(after giving effect to any applicable borrowing base limitations) under other then-effective committed credit facilities of the Company or any of its Subsidiaries (including any Ancillary Commitments available to the Company or any of its Subsidiaries, if applicable,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540" w:top="267" w:right="559" w:bottom="1440" w:gutter="0" w:footer="0" w:header="0"/>
        </w:sectPr>
      </w:pPr>
    </w:p>
    <w:bookmarkStart w:id="238" w:name="page239"/>
    <w:bookmarkEnd w:id="238"/>
    <w:p>
      <w:pPr>
        <w:jc w:val="both"/>
        <w:ind w:right="4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4"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76"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4" w:lineRule="exact"/>
        <w:rPr>
          <w:sz w:val="20"/>
          <w:szCs w:val="20"/>
          <w:color w:val="auto"/>
        </w:rPr>
      </w:pPr>
    </w:p>
    <w:p>
      <w:pPr>
        <w:ind w:right="3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right="5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18" w:lineRule="exact"/>
        <w:rPr>
          <w:sz w:val="20"/>
          <w:szCs w:val="20"/>
          <w:color w:val="auto"/>
        </w:rPr>
      </w:pPr>
    </w:p>
    <w:p>
      <w:pPr>
        <w:ind w:left="1060" w:hanging="220"/>
        <w:spacing w:after="0"/>
        <w:tabs>
          <w:tab w:leader="none" w:pos="1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17" w:lineRule="exact"/>
        <w:rPr>
          <w:rFonts w:ascii="Times New Roman" w:cs="Times New Roman" w:eastAsia="Times New Roman" w:hAnsi="Times New Roman"/>
          <w:sz w:val="18"/>
          <w:szCs w:val="18"/>
          <w:color w:val="auto"/>
        </w:rPr>
      </w:pPr>
    </w:p>
    <w:p>
      <w:pPr>
        <w:ind w:left="1100" w:hanging="260"/>
        <w:spacing w:after="0"/>
        <w:tabs>
          <w:tab w:leader="none" w:pos="11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17" w:lineRule="exact"/>
        <w:rPr>
          <w:rFonts w:ascii="Times New Roman" w:cs="Times New Roman" w:eastAsia="Times New Roman" w:hAnsi="Times New Roman"/>
          <w:sz w:val="18"/>
          <w:szCs w:val="18"/>
          <w:color w:val="auto"/>
        </w:rPr>
      </w:pPr>
    </w:p>
    <w:p>
      <w:pPr>
        <w:ind w:left="960" w:right="2600" w:hanging="120"/>
        <w:spacing w:after="0" w:line="492" w:lineRule="auto"/>
        <w:tabs>
          <w:tab w:leader="none" w:pos="114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10.21.</w:t>
      </w: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means Dollars or any Optional Currency.</w:t>
      </w:r>
    </w:p>
    <w:p>
      <w:pPr>
        <w:spacing w:after="0" w:line="218" w:lineRule="exact"/>
        <w:rPr>
          <w:sz w:val="20"/>
          <w:szCs w:val="20"/>
          <w:color w:val="auto"/>
        </w:rPr>
      </w:pPr>
    </w:p>
    <w:p>
      <w:pPr>
        <w:ind w:right="16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0"/>
          </w:cols>
          <w:pgMar w:left="540" w:top="267" w:right="559" w:bottom="1440" w:gutter="0" w:footer="0" w:header="0"/>
        </w:sectPr>
      </w:pPr>
    </w:p>
    <w:bookmarkStart w:id="239" w:name="page240"/>
    <w:bookmarkEnd w:id="239"/>
    <w:p>
      <w:pPr>
        <w:ind w:left="8" w:right="30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as applicable.</w:t>
      </w:r>
    </w:p>
    <w:p>
      <w:pPr>
        <w:spacing w:after="0" w:line="198" w:lineRule="exact"/>
        <w:rPr>
          <w:sz w:val="20"/>
          <w:szCs w:val="20"/>
          <w:color w:val="auto"/>
        </w:rPr>
      </w:pPr>
    </w:p>
    <w:p>
      <w:pPr>
        <w:ind w:left="8" w:right="2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85"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Letters of Credit</w:t>
      </w:r>
      <w:r>
        <w:rPr>
          <w:rFonts w:ascii="Times New Roman" w:cs="Times New Roman" w:eastAsia="Times New Roman" w:hAnsi="Times New Roman"/>
          <w:sz w:val="18"/>
          <w:szCs w:val="18"/>
          <w:color w:val="auto"/>
        </w:rPr>
        <w:t>” has the meaning assigned to such term in Section 3.11(b).</w:t>
      </w:r>
    </w:p>
    <w:p>
      <w:pPr>
        <w:spacing w:after="0" w:line="218" w:lineRule="exact"/>
        <w:rPr>
          <w:sz w:val="20"/>
          <w:szCs w:val="20"/>
          <w:color w:val="auto"/>
        </w:rPr>
      </w:pPr>
    </w:p>
    <w:p>
      <w:pPr>
        <w:ind w:left="8" w:right="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Principal Trade Name</w:t>
      </w:r>
      <w:r>
        <w:rPr>
          <w:rFonts w:ascii="Times New Roman" w:cs="Times New Roman" w:eastAsia="Times New Roman" w:hAnsi="Times New Roman"/>
          <w:sz w:val="18"/>
          <w:szCs w:val="18"/>
          <w:color w:val="auto"/>
        </w:rPr>
        <w:t xml:space="preserv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p>
    <w:p>
      <w:pPr>
        <w:spacing w:after="0" w:line="17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Date</w:t>
      </w:r>
      <w:r>
        <w:rPr>
          <w:rFonts w:ascii="Times New Roman" w:cs="Times New Roman" w:eastAsia="Times New Roman" w:hAnsi="Times New Roman"/>
          <w:sz w:val="18"/>
          <w:szCs w:val="18"/>
          <w:color w:val="auto"/>
        </w:rPr>
        <w:t>” has the meaning assigned to such term in Section 3.11(b).</w:t>
      </w:r>
    </w:p>
    <w:p>
      <w:pPr>
        <w:spacing w:after="0" w:line="218" w:lineRule="exact"/>
        <w:rPr>
          <w:sz w:val="20"/>
          <w:szCs w:val="20"/>
          <w:color w:val="auto"/>
        </w:rPr>
      </w:pPr>
    </w:p>
    <w:p>
      <w:pPr>
        <w:jc w:val="both"/>
        <w:ind w:left="8" w:right="1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5" w:lineRule="exact"/>
        <w:rPr>
          <w:sz w:val="20"/>
          <w:szCs w:val="20"/>
          <w:color w:val="auto"/>
        </w:rPr>
      </w:pPr>
    </w:p>
    <w:p>
      <w:pPr>
        <w:ind w:left="8" w:hanging="8"/>
        <w:spacing w:after="0" w:line="247" w:lineRule="auto"/>
        <w:tabs>
          <w:tab w:leader="none" w:pos="25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8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15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8"/>
          </w:cols>
          <w:pgMar w:left="532" w:top="267" w:right="599" w:bottom="1440" w:gutter="0" w:footer="0" w:header="0"/>
        </w:sectPr>
      </w:pPr>
    </w:p>
    <w:bookmarkStart w:id="240" w:name="page241"/>
    <w:bookmarkEnd w:id="240"/>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Domestic Commitment</w:t>
      </w:r>
      <w:r>
        <w:rPr>
          <w:rFonts w:ascii="Times New Roman" w:cs="Times New Roman" w:eastAsia="Times New Roman" w:hAnsi="Times New Roman"/>
          <w:sz w:val="18"/>
          <w:szCs w:val="18"/>
          <w:color w:val="auto"/>
        </w:rPr>
        <w:t>” means as to any Lender, the obligation of such Lender, if any, to make Domestic Loans in an aggregate principal amount not to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82"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Extensions of Credit</w:t>
      </w:r>
      <w:r>
        <w:rPr>
          <w:rFonts w:ascii="Times New Roman" w:cs="Times New Roman" w:eastAsia="Times New Roman" w:hAnsi="Times New Roman"/>
          <w:sz w:val="18"/>
          <w:szCs w:val="18"/>
          <w:color w:val="auto"/>
        </w:rPr>
        <w:t>” means, as to any Domestic Lender at any time, an amount equal to the aggregate principal amount of all Domestic Loans held by such Lender then outstanding.</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Facility</w:t>
      </w:r>
      <w:r>
        <w:rPr>
          <w:rFonts w:ascii="Times New Roman" w:cs="Times New Roman" w:eastAsia="Times New Roman" w:hAnsi="Times New Roman"/>
          <w:sz w:val="18"/>
          <w:szCs w:val="18"/>
          <w:color w:val="auto"/>
        </w:rPr>
        <w:t>” means the Domestic Commitments and the extensions of credit made thereunder.</w:t>
      </w:r>
    </w:p>
    <w:p>
      <w:pPr>
        <w:spacing w:after="0" w:line="218" w:lineRule="exact"/>
        <w:rPr>
          <w:sz w:val="20"/>
          <w:szCs w:val="20"/>
          <w:color w:val="auto"/>
        </w:rPr>
      </w:pPr>
    </w:p>
    <w:p>
      <w:pPr>
        <w:ind w:right="3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Lender</w:t>
      </w:r>
      <w:r>
        <w:rPr>
          <w:rFonts w:ascii="Times New Roman" w:cs="Times New Roman" w:eastAsia="Times New Roman" w:hAnsi="Times New Roman"/>
          <w:sz w:val="18"/>
          <w:szCs w:val="18"/>
          <w:color w:val="auto"/>
        </w:rPr>
        <w:t>” means each Lender that has a Domestic Commitment or that holds Domestic Loans or other Loans made under the Domestic Facility.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Loans</w:t>
      </w:r>
      <w:r>
        <w:rPr>
          <w:rFonts w:ascii="Times New Roman" w:cs="Times New Roman" w:eastAsia="Times New Roman" w:hAnsi="Times New Roman"/>
          <w:sz w:val="18"/>
          <w:szCs w:val="18"/>
          <w:color w:val="auto"/>
        </w:rPr>
        <w:t>” has the meaning assigned to such term in Section 2.1.</w:t>
      </w:r>
    </w:p>
    <w:p>
      <w:pPr>
        <w:spacing w:after="0" w:line="218" w:lineRule="exact"/>
        <w:rPr>
          <w:sz w:val="20"/>
          <w:szCs w:val="20"/>
          <w:color w:val="auto"/>
        </w:rPr>
      </w:pPr>
    </w:p>
    <w:p>
      <w:pPr>
        <w:ind w:right="1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Percentage</w:t>
      </w:r>
      <w:r>
        <w:rPr>
          <w:rFonts w:ascii="Times New Roman" w:cs="Times New Roman" w:eastAsia="Times New Roman" w:hAnsi="Times New Roman"/>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of such Lender then outstanding constitutes of the aggregate Outstanding Amount of Domestic Extensions of Credit of the Domestic Lenders then outstanding.</w:t>
      </w:r>
    </w:p>
    <w:p>
      <w:pPr>
        <w:spacing w:after="0" w:line="182" w:lineRule="exact"/>
        <w:rPr>
          <w:sz w:val="20"/>
          <w:szCs w:val="20"/>
          <w:color w:val="auto"/>
        </w:rPr>
      </w:pPr>
    </w:p>
    <w:p>
      <w:pPr>
        <w:jc w:val="both"/>
        <w:ind w:right="4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means any Subsidiary Borrower which is a Domestic Subsidiary.</w:t>
      </w:r>
    </w:p>
    <w:p>
      <w:pPr>
        <w:spacing w:after="0" w:line="218" w:lineRule="exact"/>
        <w:rPr>
          <w:sz w:val="20"/>
          <w:szCs w:val="20"/>
          <w:color w:val="auto"/>
        </w:rPr>
      </w:pPr>
    </w:p>
    <w:p>
      <w:pPr>
        <w:ind w:right="1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4" w:lineRule="exact"/>
        <w:rPr>
          <w:sz w:val="20"/>
          <w:szCs w:val="20"/>
          <w:color w:val="auto"/>
        </w:rPr>
      </w:pPr>
    </w:p>
    <w:p>
      <w:pPr>
        <w:ind w:right="6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20"/>
          </w:cols>
          <w:pgMar w:left="540" w:top="267" w:right="539" w:bottom="1440" w:gutter="0" w:footer="0" w:header="0"/>
        </w:sectPr>
      </w:pPr>
    </w:p>
    <w:bookmarkStart w:id="241" w:name="page242"/>
    <w:bookmarkEnd w:id="241"/>
    <w:p>
      <w:pPr>
        <w:ind w:left="8" w:right="10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18" w:lineRule="exact"/>
        <w:rPr>
          <w:sz w:val="20"/>
          <w:szCs w:val="20"/>
          <w:color w:val="auto"/>
        </w:rPr>
      </w:pPr>
    </w:p>
    <w:p>
      <w:pPr>
        <w:ind w:left="8" w:right="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ind w:left="8" w:firstLine="974"/>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Default</w:t>
      </w:r>
      <w:r>
        <w:rPr>
          <w:rFonts w:ascii="Times New Roman" w:cs="Times New Roman" w:eastAsia="Times New Roman" w:hAnsi="Times New Roman"/>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8" w:lineRule="exact"/>
        <w:rPr>
          <w:sz w:val="20"/>
          <w:szCs w:val="20"/>
          <w:color w:val="auto"/>
        </w:rPr>
      </w:pPr>
    </w:p>
    <w:p>
      <w:pPr>
        <w:ind w:left="8" w:right="280" w:hanging="8"/>
        <w:spacing w:after="0" w:line="249" w:lineRule="auto"/>
        <w:tabs>
          <w:tab w:leader="none" w:pos="30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85" w:lineRule="exact"/>
        <w:rPr>
          <w:sz w:val="20"/>
          <w:szCs w:val="20"/>
          <w:color w:val="auto"/>
        </w:rPr>
      </w:pPr>
    </w:p>
    <w:p>
      <w:pPr>
        <w:ind w:left="8" w:right="6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4" w:lineRule="exact"/>
        <w:rPr>
          <w:sz w:val="20"/>
          <w:szCs w:val="20"/>
          <w:color w:val="auto"/>
        </w:rPr>
      </w:pPr>
    </w:p>
    <w:p>
      <w:pPr>
        <w:ind w:left="8" w:right="70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EURIBOR Rate</w:t>
      </w:r>
      <w:r>
        <w:rPr>
          <w:rFonts w:ascii="Times New Roman" w:cs="Times New Roman" w:eastAsia="Times New Roman" w:hAnsi="Times New Roman"/>
          <w:sz w:val="17"/>
          <w:szCs w:val="17"/>
          <w:color w:val="auto"/>
        </w:rPr>
        <w:t>” means, with respect to any Term Benchmark Borrowing denominated in Euros and for any Interest Period, the EURIBOR Screen Rate at approximately 11:00 a.m., Brussels time, two TARGET Days prior to the commencement of such Interest Period.</w:t>
      </w:r>
    </w:p>
    <w:p>
      <w:pPr>
        <w:spacing w:after="0" w:line="142" w:lineRule="exact"/>
        <w:rPr>
          <w:sz w:val="20"/>
          <w:szCs w:val="20"/>
          <w:color w:val="auto"/>
        </w:rPr>
      </w:pPr>
    </w:p>
    <w:p>
      <w:pPr>
        <w:ind w:left="8" w:right="24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Company. If the EURIBOR Screen Rate shall be less than zero, the EURIBOR Screen Rate shall be deemed to be zero for purposes of this Agreement.</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Participating Member States.</w:t>
      </w:r>
    </w:p>
    <w:p>
      <w:pPr>
        <w:spacing w:after="0" w:line="15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08"/>
          </w:cols>
          <w:pgMar w:left="532" w:top="267" w:right="559" w:bottom="1440" w:gutter="0" w:footer="0" w:header="0"/>
        </w:sectPr>
      </w:pPr>
    </w:p>
    <w:bookmarkStart w:id="242" w:name="page243"/>
    <w:bookmarkEnd w:id="242"/>
    <w:p>
      <w:pPr>
        <w:ind w:left="8" w:right="36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218" w:lineRule="exact"/>
        <w:rPr>
          <w:sz w:val="20"/>
          <w:szCs w:val="20"/>
          <w:color w:val="auto"/>
        </w:rPr>
      </w:pPr>
    </w:p>
    <w:p>
      <w:pPr>
        <w:ind w:left="8"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90"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5" w:lineRule="exact"/>
        <w:rPr>
          <w:sz w:val="20"/>
          <w:szCs w:val="20"/>
          <w:color w:val="auto"/>
        </w:rPr>
      </w:pPr>
    </w:p>
    <w:p>
      <w:pPr>
        <w:ind w:left="8" w:right="80" w:hanging="8"/>
        <w:spacing w:after="0" w:line="260" w:lineRule="auto"/>
        <w:tabs>
          <w:tab w:leader="none" w:pos="219"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spacing w:after="0" w:line="3" w:lineRule="exact"/>
        <w:rPr>
          <w:rFonts w:ascii="Times New Roman" w:cs="Times New Roman" w:eastAsia="Times New Roman" w:hAnsi="Times New Roman"/>
          <w:sz w:val="17"/>
          <w:szCs w:val="17"/>
          <w:color w:val="auto"/>
        </w:rPr>
      </w:pPr>
    </w:p>
    <w:p>
      <w:pPr>
        <w:ind w:left="8" w:right="80" w:hanging="8"/>
        <w:spacing w:after="0" w:line="247" w:lineRule="auto"/>
        <w:tabs>
          <w:tab w:leader="none" w:pos="25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means the businesses and/or Subsidiaries indicated on Schedule 1.1E.</w:t>
      </w:r>
    </w:p>
    <w:p>
      <w:pPr>
        <w:spacing w:after="0" w:line="218" w:lineRule="exact"/>
        <w:rPr>
          <w:sz w:val="20"/>
          <w:szCs w:val="20"/>
          <w:color w:val="auto"/>
        </w:rPr>
      </w:pPr>
    </w:p>
    <w:p>
      <w:pPr>
        <w:ind w:left="8" w:right="20" w:firstLine="97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(b) any branch profit Taxes imposed by the United States or any similar Tax imposed by any other Governmental Authority in a jurisdiction described in clause</w:t>
      </w:r>
    </w:p>
    <w:p>
      <w:pPr>
        <w:spacing w:after="0" w:line="3" w:lineRule="exact"/>
        <w:rPr>
          <w:sz w:val="20"/>
          <w:szCs w:val="20"/>
          <w:color w:val="auto"/>
        </w:rPr>
      </w:pPr>
    </w:p>
    <w:p>
      <w:pPr>
        <w:ind w:left="5328" w:right="860" w:hanging="5328"/>
        <w:spacing w:after="0" w:line="421" w:lineRule="auto"/>
        <w:tabs>
          <w:tab w:leader="none" w:pos="24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(c) in the case of a Lender, withholding Taxes imposed on amounts payable to or for the account of such Lender with respect to an 16</w:t>
      </w:r>
    </w:p>
    <w:p>
      <w:pPr>
        <w:sectPr>
          <w:pgSz w:w="11900" w:h="16838" w:orient="portrait"/>
          <w:cols w:equalWidth="0" w:num="1">
            <w:col w:w="10828"/>
          </w:cols>
          <w:pgMar w:left="532" w:top="267" w:right="539" w:bottom="1440" w:gutter="0" w:footer="0" w:header="0"/>
        </w:sectPr>
      </w:pPr>
    </w:p>
    <w:bookmarkStart w:id="243" w:name="page244"/>
    <w:bookmarkEnd w:id="243"/>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applicable interest in a Loan or Commitment pursuant to a law in effect on the date on which (i) such Lender acquires such interest in the Loan or Commitment (other than pursuant to an assignment request by the Company under Section 2.24) or (ii) such Lender changes its Applicable Lending Office, except in each case to the extent that, pursuant to Section 2.21, amounts with respect to such Taxes were payable either to such Lender’s assignor immediately before such Lender became a party hereto or to such Lender immediately before it changed its lending office, (d) Taxes attributable to such Recipient’s failure to comply with Section 2.21(d) to the extent such Recipient is legally entitled to so comply and (e) any Taxes imposed under FATCA.</w:t>
      </w:r>
    </w:p>
    <w:p>
      <w:pPr>
        <w:spacing w:after="0" w:line="170" w:lineRule="exact"/>
        <w:rPr>
          <w:sz w:val="20"/>
          <w:szCs w:val="20"/>
          <w:color w:val="auto"/>
        </w:rPr>
      </w:pPr>
    </w:p>
    <w:p>
      <w:pPr>
        <w:ind w:right="10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Five Year Credit Agreement</w:t>
      </w:r>
      <w:r>
        <w:rPr>
          <w:rFonts w:ascii="Times New Roman" w:cs="Times New Roman" w:eastAsia="Times New Roman" w:hAnsi="Times New Roman"/>
          <w:sz w:val="18"/>
          <w:szCs w:val="18"/>
          <w:color w:val="auto"/>
        </w:rPr>
        <w:t>” means that certain Third Amended and Restated Five Year Revolving Credit Agreement, dated as of April 18, 2018, as amended by that certain Amendment No. 1 thereto, dated as of April 7, 2021, by and among GMF, GMB,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has the meaning assigned to such term in Section 3.11.</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means any “Loan” under and as defined in the Existing Three Year Credit Agreement.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Required Lenders</w:t>
      </w:r>
      <w:r>
        <w:rPr>
          <w:rFonts w:ascii="Times New Roman" w:cs="Times New Roman" w:eastAsia="Times New Roman" w:hAnsi="Times New Roman"/>
          <w:sz w:val="18"/>
          <w:szCs w:val="18"/>
          <w:color w:val="auto"/>
        </w:rPr>
        <w:t>” means the “Required Lenders” under and as defined in the Existing Three Year Credit Agreement.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Three Year Credit Agreement</w:t>
      </w:r>
      <w:r>
        <w:rPr>
          <w:rFonts w:ascii="Times New Roman" w:cs="Times New Roman" w:eastAsia="Times New Roman" w:hAnsi="Times New Roman"/>
          <w:sz w:val="18"/>
          <w:szCs w:val="18"/>
          <w:color w:val="auto"/>
        </w:rPr>
        <w:t>” has the meaning assigned to such term in the recitals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assigned to such term in Section 2.29(a).</w:t>
      </w:r>
    </w:p>
    <w:p>
      <w:pPr>
        <w:spacing w:after="0" w:line="218" w:lineRule="exact"/>
        <w:rPr>
          <w:sz w:val="20"/>
          <w:szCs w:val="20"/>
          <w:color w:val="auto"/>
        </w:rPr>
      </w:pPr>
    </w:p>
    <w:p>
      <w:pPr>
        <w:ind w:right="8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 as to any Domestic Lender, such Lender’s Domestic Extensions of Credit, (b) as to any L/C Tranche Lender, such Lender’s L/C Tranche Extensions of Credit and (c)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82" w:lineRule="exact"/>
        <w:rPr>
          <w:sz w:val="20"/>
          <w:szCs w:val="20"/>
          <w:color w:val="auto"/>
        </w:rPr>
      </w:pPr>
    </w:p>
    <w:p>
      <w:pPr>
        <w:ind w:right="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each of (a) the Domestic Facility, (b) the L/C Tranche Facility, (c) the Multicurrency Facility, (d) any New Local Facility and (e) any Incremental Facility.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assigned to such term in Section 2.10(a).</w:t>
      </w:r>
    </w:p>
    <w:p>
      <w:pPr>
        <w:spacing w:after="0" w:line="218" w:lineRule="exact"/>
        <w:rPr>
          <w:sz w:val="20"/>
          <w:szCs w:val="20"/>
          <w:color w:val="auto"/>
        </w:rPr>
      </w:pPr>
    </w:p>
    <w:p>
      <w:pPr>
        <w:ind w:right="1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 Rate</w:t>
      </w:r>
      <w:r>
        <w:rPr>
          <w:rFonts w:ascii="Times New Roman" w:cs="Times New Roman" w:eastAsia="Times New Roman" w:hAnsi="Times New Roman"/>
          <w:sz w:val="18"/>
          <w:szCs w:val="18"/>
          <w:color w:val="auto"/>
        </w:rPr>
        <w:t>” means, for any day relating to each of the Domestic Facility, the Multicurrency Facility and the L/C Tranche Facility, with respect to the Facility Fees payable hereunder, the applicable rate per annum set forth under the column heading “Facility Fee Rate” in the Applicable Pricing Grid, based upon the Applicable Rating in effect on such day.</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Rating</w:t>
      </w:r>
      <w:r>
        <w:rPr>
          <w:rFonts w:ascii="Times New Roman" w:cs="Times New Roman" w:eastAsia="Times New Roman" w:hAnsi="Times New Roman"/>
          <w:sz w:val="18"/>
          <w:szCs w:val="18"/>
          <w:color w:val="auto"/>
        </w:rPr>
        <w:t>” means, as of any date, the credit rating provided by Moody’s, S&amp;P or Fitch, as applicable, for the Facilities provided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540" w:top="267" w:right="559" w:bottom="1440" w:gutter="0" w:footer="0" w:header="0"/>
        </w:sectPr>
      </w:pPr>
    </w:p>
    <w:bookmarkStart w:id="244" w:name="page245"/>
    <w:bookmarkEnd w:id="244"/>
    <w:p>
      <w:pPr>
        <w:ind w:right="120" w:firstLine="974"/>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0" w:lineRule="exact"/>
        <w:rPr>
          <w:sz w:val="20"/>
          <w:szCs w:val="20"/>
          <w:color w:val="auto"/>
        </w:rPr>
      </w:pPr>
    </w:p>
    <w:p>
      <w:pPr>
        <w:ind w:right="2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shall be less than zero, such rate shall be deemed to be zero for purposes of this Agreement.</w:t>
      </w:r>
    </w:p>
    <w:p>
      <w:pPr>
        <w:spacing w:after="0" w:line="182" w:lineRule="exact"/>
        <w:rPr>
          <w:sz w:val="20"/>
          <w:szCs w:val="20"/>
          <w:color w:val="auto"/>
        </w:rPr>
      </w:pPr>
    </w:p>
    <w:p>
      <w:pPr>
        <w:ind w:right="2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means (a) the first day of each January, April, July and October (or, if any such day is not a Business Day, the next succeeding Business Day) and (b) the last day of the final Fee Payment Period.</w:t>
      </w:r>
    </w:p>
    <w:p>
      <w:pPr>
        <w:spacing w:after="0" w:line="164" w:lineRule="exact"/>
        <w:rPr>
          <w:sz w:val="20"/>
          <w:szCs w:val="20"/>
          <w:color w:val="auto"/>
        </w:rPr>
      </w:pPr>
    </w:p>
    <w:p>
      <w:pPr>
        <w:ind w:right="10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w:t>
      </w:r>
      <w:r>
        <w:rPr>
          <w:rFonts w:ascii="Times New Roman" w:cs="Times New Roman" w:eastAsia="Times New Roman" w:hAnsi="Times New Roman"/>
          <w:sz w:val="18"/>
          <w:szCs w:val="18"/>
          <w:color w:val="auto"/>
        </w:rPr>
        <w:t>”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 or Collateralized).</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 End Date</w:t>
      </w:r>
      <w:r>
        <w:rPr>
          <w:rFonts w:ascii="Times New Roman" w:cs="Times New Roman" w:eastAsia="Times New Roman" w:hAnsi="Times New Roman"/>
          <w:sz w:val="18"/>
          <w:szCs w:val="18"/>
          <w:color w:val="auto"/>
        </w:rPr>
        <w:t>” means the fifteenth day of each March, June, September and December of each year.</w:t>
      </w:r>
    </w:p>
    <w:p>
      <w:pPr>
        <w:spacing w:after="0" w:line="218"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Subsidiary</w:t>
      </w:r>
      <w:r>
        <w:rPr>
          <w:rFonts w:ascii="Times New Roman" w:cs="Times New Roman" w:eastAsia="Times New Roman" w:hAnsi="Times New Roman"/>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GMGTC shall not be considered a Finance Subsidiary.</w:t>
      </w:r>
    </w:p>
    <w:p>
      <w:pPr>
        <w:spacing w:after="0" w:line="182"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218"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Daily Simple SOFR, the Adjusted TIBOR Rate, the Adjusted EURIBOR Rate, the EURIBOR Rate, the Japanese Prime Rate or the Central Bank Rate, as applicable. For the avoidance of doubt the initial Floor for each of Adjusted Term SOFR Rate, the Adjusted Daily Simple SOFR, the Adjusted TIBOR Rate, the Adjusted EURIBOR Rate, the EURIBOR Rate, the Japanese Prime Rate or the Central Bank Rate shall be 0.00%.</w:t>
      </w:r>
    </w:p>
    <w:p>
      <w:pPr>
        <w:spacing w:after="0" w:line="182"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80"/>
          </w:cols>
          <w:pgMar w:left="540" w:top="267" w:right="579" w:bottom="1440" w:gutter="0" w:footer="0" w:header="0"/>
        </w:sectPr>
      </w:pPr>
    </w:p>
    <w:bookmarkStart w:id="245" w:name="page246"/>
    <w:bookmarkEnd w:id="245"/>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Subsidiary Borrower</w:t>
      </w:r>
      <w:r>
        <w:rPr>
          <w:rFonts w:ascii="Times New Roman" w:cs="Times New Roman" w:eastAsia="Times New Roman" w:hAnsi="Times New Roman"/>
          <w:sz w:val="18"/>
          <w:szCs w:val="18"/>
          <w:color w:val="auto"/>
        </w:rPr>
        <w:t>” means any Subsidiary Borrower that is not a Domestic Subsidiary.</w:t>
      </w:r>
    </w:p>
    <w:p>
      <w:pPr>
        <w:spacing w:after="0" w:line="218" w:lineRule="exact"/>
        <w:rPr>
          <w:sz w:val="20"/>
          <w:szCs w:val="20"/>
          <w:color w:val="auto"/>
        </w:rPr>
      </w:pPr>
    </w:p>
    <w:p>
      <w:pPr>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76" w:lineRule="exact"/>
        <w:rPr>
          <w:sz w:val="20"/>
          <w:szCs w:val="20"/>
          <w:color w:val="auto"/>
        </w:rPr>
      </w:pPr>
    </w:p>
    <w:p>
      <w:pPr>
        <w:jc w:val="both"/>
        <w:ind w:right="2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w:t>
      </w:r>
      <w:r>
        <w:rPr>
          <w:rFonts w:ascii="Times New Roman" w:cs="Times New Roman" w:eastAsia="Times New Roman" w:hAnsi="Times New Roman"/>
          <w:sz w:val="18"/>
          <w:szCs w:val="18"/>
          <w:color w:val="auto"/>
        </w:rPr>
        <w:t>” means General Motors do Brasil Ltda., a Brazilian limited liability company.</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GMGTC</w:t>
      </w:r>
      <w:r>
        <w:rPr>
          <w:rFonts w:ascii="Times New Roman" w:cs="Times New Roman" w:eastAsia="Times New Roman" w:hAnsi="Times New Roman"/>
          <w:sz w:val="18"/>
          <w:szCs w:val="18"/>
          <w:color w:val="auto"/>
        </w:rPr>
        <w:t>” means GM Global Treasury Centre Limited, a private limited company incorporated under the laws of England and Wales.</w:t>
      </w:r>
    </w:p>
    <w:p>
      <w:pPr>
        <w:spacing w:after="0" w:line="218" w:lineRule="exact"/>
        <w:rPr>
          <w:sz w:val="20"/>
          <w:szCs w:val="20"/>
          <w:color w:val="auto"/>
        </w:rPr>
      </w:pPr>
    </w:p>
    <w:p>
      <w:pPr>
        <w:ind w:right="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76"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Fifth Amended and Restated Guarantee Agreement to be executed and delivered by the Company, substantially in the form of Exhibit A.</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0"/>
          </w:cols>
          <w:pgMar w:left="540" w:top="267" w:right="579" w:bottom="1440" w:gutter="0" w:footer="0" w:header="0"/>
        </w:sectPr>
      </w:pPr>
    </w:p>
    <w:bookmarkStart w:id="246" w:name="page247"/>
    <w:bookmarkEnd w:id="24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87" w:lineRule="exact"/>
        <w:rPr>
          <w:sz w:val="20"/>
          <w:szCs w:val="20"/>
          <w:color w:val="auto"/>
        </w:rPr>
      </w:pPr>
    </w:p>
    <w:p>
      <w:pPr>
        <w:ind w:right="2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Company (with respect to the Obligations and Ancillary Facility Outstandings of any Subsidiary Borrower or Ancillary Borrower, as applicable) and the Subsidiary Guarantors (if applicable). For the avoidance of doubt, GM Holdings does not and shall not constitute a Guarantor.</w:t>
      </w:r>
    </w:p>
    <w:p>
      <w:pPr>
        <w:spacing w:after="0" w:line="176" w:lineRule="exact"/>
        <w:rPr>
          <w:sz w:val="20"/>
          <w:szCs w:val="20"/>
          <w:color w:val="auto"/>
        </w:rPr>
      </w:pPr>
    </w:p>
    <w:p>
      <w:pPr>
        <w:ind w:right="4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87"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2" w:lineRule="exact"/>
        <w:rPr>
          <w:sz w:val="20"/>
          <w:szCs w:val="20"/>
          <w:color w:val="auto"/>
        </w:rPr>
      </w:pPr>
    </w:p>
    <w:p>
      <w:pPr>
        <w:ind w:right="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means any series of Incremental Commitments (other than any Commitment Increase) and the extensions of credit thereunder as provided in any Incremental Loan Activation Notice.</w:t>
      </w:r>
    </w:p>
    <w:p>
      <w:pPr>
        <w:spacing w:after="0" w:line="164"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64" w:lineRule="exact"/>
        <w:rPr>
          <w:sz w:val="20"/>
          <w:szCs w:val="20"/>
          <w:color w:val="auto"/>
        </w:rPr>
      </w:pPr>
    </w:p>
    <w:p>
      <w:pPr>
        <w:jc w:val="both"/>
        <w:ind w:right="2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means (a) any Lender designated by the Company (in the case of a Commitment Increase with respect to the L/C Tranche Facility, with the consent of each Material Issuing Lender (unless such Lender is (A) an L/C Tranche Lender or (B) any other bank, financial institution or any other Person that has an investment grade rating from two of S&amp;P, Moody’s and Fitch at the time of such Commitment Increase, in each case, such consents not to be unreasonably withheld)), (b) any other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00"/>
          </w:cols>
          <w:pgMar w:left="540" w:top="267" w:right="559" w:bottom="1440" w:gutter="0" w:footer="0" w:header="0"/>
        </w:sectPr>
      </w:pPr>
    </w:p>
    <w:bookmarkStart w:id="247" w:name="page248"/>
    <w:bookmarkEnd w:id="247"/>
    <w:p>
      <w:pPr>
        <w:ind w:left="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L/C Tranche Facility, each Material Issuing Lender at such time (such consents not to be unreasonably withheld), and (c) each Lender which has made, or acquired pursuant to an assignment made in accordance with Section 10.6, an Incremental Commitment.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Activation Notice</w:t>
      </w:r>
      <w:r>
        <w:rPr>
          <w:rFonts w:ascii="Times New Roman" w:cs="Times New Roman" w:eastAsia="Times New Roman" w:hAnsi="Times New Roman"/>
          <w:sz w:val="18"/>
          <w:szCs w:val="18"/>
          <w:color w:val="auto"/>
        </w:rPr>
        <w:t>” means a notice substantially in the form of Exhibit E.</w:t>
      </w:r>
    </w:p>
    <w:p>
      <w:pPr>
        <w:spacing w:after="0" w:line="218" w:lineRule="exact"/>
        <w:rPr>
          <w:sz w:val="20"/>
          <w:szCs w:val="20"/>
          <w:color w:val="auto"/>
        </w:rPr>
      </w:pPr>
    </w:p>
    <w:p>
      <w:pPr>
        <w:ind w:left="8" w:right="2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Maturity Date</w:t>
      </w:r>
      <w:r>
        <w:rPr>
          <w:rFonts w:ascii="Times New Roman" w:cs="Times New Roman" w:eastAsia="Times New Roman" w:hAnsi="Times New Roman"/>
          <w:sz w:val="18"/>
          <w:szCs w:val="18"/>
          <w:color w:val="auto"/>
        </w:rPr>
        <w:t>” means, as to any Incremental Facility, the maturity date specified in the Incremental Loan Activation Notice relating thereto.</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has the meaning assigned to such term in Section 2.28(b).</w:t>
      </w:r>
    </w:p>
    <w:p>
      <w:pPr>
        <w:spacing w:after="0" w:line="218" w:lineRule="exact"/>
        <w:rPr>
          <w:sz w:val="20"/>
          <w:szCs w:val="20"/>
          <w:color w:val="auto"/>
        </w:rPr>
      </w:pPr>
    </w:p>
    <w:p>
      <w:pPr>
        <w:ind w:left="8" w:firstLine="974"/>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spacing w:after="0" w:line="4" w:lineRule="exact"/>
        <w:rPr>
          <w:sz w:val="20"/>
          <w:szCs w:val="20"/>
          <w:color w:val="auto"/>
        </w:rPr>
      </w:pPr>
    </w:p>
    <w:p>
      <w:pPr>
        <w:ind w:left="8" w:right="120" w:hanging="8"/>
        <w:spacing w:after="0" w:line="248" w:lineRule="auto"/>
        <w:tabs>
          <w:tab w:leader="none" w:pos="22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w:t>
      </w:r>
    </w:p>
    <w:p>
      <w:pPr>
        <w:spacing w:after="0" w:line="218" w:lineRule="exact"/>
        <w:rPr>
          <w:sz w:val="20"/>
          <w:szCs w:val="20"/>
          <w:color w:val="auto"/>
        </w:rPr>
      </w:pPr>
    </w:p>
    <w:p>
      <w:pPr>
        <w:ind w:left="8" w:right="20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4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w:t>
      </w:r>
    </w:p>
    <w:p>
      <w:pPr>
        <w:spacing w:after="0" w:line="218" w:lineRule="exact"/>
        <w:rPr>
          <w:sz w:val="20"/>
          <w:szCs w:val="20"/>
          <w:color w:val="auto"/>
        </w:rPr>
      </w:pPr>
    </w:p>
    <w:p>
      <w:pPr>
        <w:ind w:left="8" w:right="3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164"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1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88"/>
          </w:cols>
          <w:pgMar w:left="532" w:top="267" w:right="579" w:bottom="1440" w:gutter="0" w:footer="0" w:header="0"/>
        </w:sectPr>
      </w:pPr>
    </w:p>
    <w:bookmarkStart w:id="248" w:name="page249"/>
    <w:bookmarkEnd w:id="248"/>
    <w:p>
      <w:pPr>
        <w:ind w:right="20" w:firstLine="97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means each Subsidiary listed on Schedule 1.1B.</w:t>
      </w:r>
    </w:p>
    <w:p>
      <w:pPr>
        <w:spacing w:after="0" w:line="218" w:lineRule="exact"/>
        <w:rPr>
          <w:sz w:val="20"/>
          <w:szCs w:val="20"/>
          <w:color w:val="auto"/>
        </w:rPr>
      </w:pPr>
    </w:p>
    <w:p>
      <w:pPr>
        <w:ind w:right="20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2" w:lineRule="exact"/>
        <w:rPr>
          <w:sz w:val="20"/>
          <w:szCs w:val="20"/>
          <w:color w:val="auto"/>
        </w:rPr>
      </w:pPr>
    </w:p>
    <w:p>
      <w:pPr>
        <w:ind w:right="8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 Section 2.14, which shall be in a form approved by the Administrative Agent.</w:t>
      </w:r>
    </w:p>
    <w:p>
      <w:pPr>
        <w:spacing w:after="0" w:line="164" w:lineRule="exact"/>
        <w:rPr>
          <w:sz w:val="20"/>
          <w:szCs w:val="20"/>
          <w:color w:val="auto"/>
        </w:rPr>
      </w:pPr>
    </w:p>
    <w:p>
      <w:pPr>
        <w:ind w:right="10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and (2) the Termination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Termination Date and (d) as to any Loan, the date of any repayment or prepayment made in respect thereof (to the extent of such repayment or prepayment).</w:t>
      </w:r>
    </w:p>
    <w:p>
      <w:pPr>
        <w:spacing w:after="0" w:line="187"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for any Currency), as selected by the Company or relevant Subsidiary Borrower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for any Currency), as selected by the Company or relevant Subsidiary Borrower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00"/>
          </w:cols>
          <w:pgMar w:left="540" w:top="267" w:right="559" w:bottom="1440" w:gutter="0" w:footer="0" w:header="0"/>
        </w:sectPr>
      </w:pPr>
    </w:p>
    <w:bookmarkStart w:id="249" w:name="page250"/>
    <w:bookmarkEnd w:id="249"/>
    <w:p>
      <w:pPr>
        <w:ind w:left="1380" w:right="200" w:hanging="420"/>
        <w:spacing w:after="0" w:line="253" w:lineRule="auto"/>
        <w:tabs>
          <w:tab w:leader="none" w:pos="1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 w:lineRule="exact"/>
        <w:rPr>
          <w:rFonts w:ascii="Times New Roman" w:cs="Times New Roman" w:eastAsia="Times New Roman" w:hAnsi="Times New Roman"/>
          <w:sz w:val="18"/>
          <w:szCs w:val="18"/>
          <w:color w:val="auto"/>
        </w:rPr>
      </w:pPr>
    </w:p>
    <w:p>
      <w:pPr>
        <w:ind w:left="1380" w:right="40" w:hanging="420"/>
        <w:spacing w:after="0" w:line="252" w:lineRule="auto"/>
        <w:tabs>
          <w:tab w:leader="none" w:pos="1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relevant Subsidiary Borrower may not select an Interest Period under a particular Facility that would extend beyond the earliest Termination Date then in effect for such Facility;</w:t>
      </w:r>
    </w:p>
    <w:p>
      <w:pPr>
        <w:spacing w:after="0" w:line="209" w:lineRule="exact"/>
        <w:rPr>
          <w:rFonts w:ascii="Times New Roman" w:cs="Times New Roman" w:eastAsia="Times New Roman" w:hAnsi="Times New Roman"/>
          <w:sz w:val="18"/>
          <w:szCs w:val="18"/>
          <w:color w:val="auto"/>
        </w:rPr>
      </w:pPr>
    </w:p>
    <w:p>
      <w:pPr>
        <w:ind w:left="1380" w:right="140" w:hanging="420"/>
        <w:spacing w:after="0" w:line="260" w:lineRule="auto"/>
        <w:tabs>
          <w:tab w:leader="none" w:pos="1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202" w:lineRule="exact"/>
        <w:rPr>
          <w:rFonts w:ascii="Times New Roman" w:cs="Times New Roman" w:eastAsia="Times New Roman" w:hAnsi="Times New Roman"/>
          <w:sz w:val="18"/>
          <w:szCs w:val="18"/>
          <w:color w:val="auto"/>
        </w:rPr>
      </w:pPr>
    </w:p>
    <w:p>
      <w:pPr>
        <w:ind w:left="1380" w:hanging="420"/>
        <w:spacing w:after="0" w:line="282" w:lineRule="auto"/>
        <w:tabs>
          <w:tab w:leader="none" w:pos="138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18"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(1998), International Chamber of Commerce Publication No. 590 and any subsequent revision thereof adhered to by the Issuing Lenders.</w:t>
      </w:r>
    </w:p>
    <w:p>
      <w:pPr>
        <w:spacing w:after="0" w:line="164"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means, with respect to a Letter of Credit, the Lender or the Applicable Lending Office thereof that is requested to issue, or that issues, such Letter of Credit pursuant to an L/C Issuing Commitment.</w:t>
      </w:r>
    </w:p>
    <w:p>
      <w:pPr>
        <w:spacing w:after="0" w:line="160" w:lineRule="exact"/>
        <w:rPr>
          <w:sz w:val="20"/>
          <w:szCs w:val="20"/>
          <w:color w:val="auto"/>
        </w:rPr>
      </w:pPr>
    </w:p>
    <w:p>
      <w:pPr>
        <w:ind w:right="520" w:firstLine="974"/>
        <w:spacing w:after="0" w:line="27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means for any Loan denominated in Yen the greater of (a) (i) the Japanese local bank prime rate plus (ii) the Japanese Prime Rate Adjustment and (b) the Floor.</w:t>
      </w:r>
    </w:p>
    <w:p>
      <w:pPr>
        <w:spacing w:after="0" w:line="159"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 Adjustment</w:t>
      </w:r>
      <w:r>
        <w:rPr>
          <w:rFonts w:ascii="Times New Roman" w:cs="Times New Roman" w:eastAsia="Times New Roman" w:hAnsi="Times New Roman"/>
          <w:sz w:val="18"/>
          <w:szCs w:val="18"/>
          <w:color w:val="auto"/>
        </w:rPr>
        <w:t>” means, for any day, for any Loan denominated in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Japanese Prime Rate in effect on the last Business Day in such period. For purposes of this definition, the TIBOR Rate on any day shall be based on the TIBOR Screen Rate on such day at approximately the time referred to in the definition of such term for deposits in Yen for a maturity of one month.</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means the official currency of Japan.</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18"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Fee Letter</w:t>
      </w:r>
      <w:r>
        <w:rPr>
          <w:rFonts w:ascii="Times New Roman" w:cs="Times New Roman" w:eastAsia="Times New Roman" w:hAnsi="Times New Roman"/>
          <w:sz w:val="18"/>
          <w:szCs w:val="18"/>
          <w:color w:val="auto"/>
        </w:rPr>
        <w:t>” means that certain Fourth Amended and Restated L/C Fee Letter, dated as of the date hereof, among the Company, each L/C Tranche Lender and each Issuing Lender.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00"/>
          </w:cols>
          <w:pgMar w:left="540" w:top="267" w:right="559" w:bottom="1440" w:gutter="0" w:footer="0" w:header="0"/>
        </w:sectPr>
      </w:pPr>
    </w:p>
    <w:bookmarkStart w:id="250" w:name="page251"/>
    <w:bookmarkEnd w:id="250"/>
    <w:p>
      <w:pPr>
        <w:jc w:val="both"/>
        <w:ind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Issuing Commitment</w:t>
      </w:r>
      <w:r>
        <w:rPr>
          <w:rFonts w:ascii="Times New Roman" w:cs="Times New Roman" w:eastAsia="Times New Roman" w:hAnsi="Times New Roman"/>
          <w:sz w:val="18"/>
          <w:szCs w:val="18"/>
          <w:color w:val="auto"/>
        </w:rPr>
        <w:t>” means, as to any L/C Tranche Lender (or Applicable Lending Office thereof), the obligation of such Person to issue Letters of Credit pursuant to Section 3 (including any Existing Letters of Credit issued by such L/C Tranche Lender) in an aggregate Outstanding Amount at any time not to exceed the amount set forth under the heading “L/C Issuing Commitment” opposite such Person’s name on Schedule 1.1A or in the Assignment and Assumption pursuant to which such Lender becomes a party thereto, in each case, as the same may be changed from time to time pursuant to the terms hereof, including Section 3.10.</w:t>
      </w:r>
    </w:p>
    <w:p>
      <w:pPr>
        <w:spacing w:after="0" w:line="2" w:lineRule="exact"/>
        <w:rPr>
          <w:sz w:val="20"/>
          <w:szCs w:val="20"/>
          <w:color w:val="auto"/>
        </w:rPr>
      </w:pPr>
    </w:p>
    <w:p>
      <w:pPr>
        <w:ind w:right="260" w:firstLine="97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at any time, the Dollar Equivalent of the aggregate Outstanding Amount of all Letters of Credit, after giving effect to Section 3.9.</w:t>
      </w:r>
    </w:p>
    <w:p>
      <w:pPr>
        <w:spacing w:after="0" w:line="183" w:lineRule="exact"/>
        <w:rPr>
          <w:sz w:val="20"/>
          <w:szCs w:val="20"/>
          <w:color w:val="auto"/>
        </w:rPr>
      </w:pPr>
    </w:p>
    <w:p>
      <w:pPr>
        <w:ind w:right="5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Participants</w:t>
      </w:r>
      <w:r>
        <w:rPr>
          <w:rFonts w:ascii="Times New Roman" w:cs="Times New Roman" w:eastAsia="Times New Roman" w:hAnsi="Times New Roman"/>
          <w:sz w:val="18"/>
          <w:szCs w:val="18"/>
          <w:color w:val="auto"/>
        </w:rPr>
        <w:t>” means, with respect to any Letter of Credit issued by an Issuing Lender, the collective reference to all of the L/C Tranche Lenders (other than the Issuing Lender with respect to such Letter of Credit).</w:t>
      </w:r>
    </w:p>
    <w:p>
      <w:pPr>
        <w:spacing w:after="0" w:line="164" w:lineRule="exact"/>
        <w:rPr>
          <w:sz w:val="20"/>
          <w:szCs w:val="20"/>
          <w:color w:val="auto"/>
        </w:rPr>
      </w:pPr>
    </w:p>
    <w:p>
      <w:pPr>
        <w:ind w:right="8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Commitment</w:t>
      </w:r>
      <w:r>
        <w:rPr>
          <w:rFonts w:ascii="Times New Roman" w:cs="Times New Roman" w:eastAsia="Times New Roman" w:hAnsi="Times New Roman"/>
          <w:sz w:val="18"/>
          <w:szCs w:val="18"/>
          <w:color w:val="auto"/>
        </w:rPr>
        <w:t>” means as to any Lender, the obligation of such Lender, if any, to make L/C Tranche Loans and participate in Letters of Credit in an aggregate principal and/or face amount the Dollar Equivalent of which shall not exceed the amount set forth under the heading “L/C Tranche Commitment” opposite such Lender’s name on Schedule 1.1A or in the Assignment and Assumption pursuant to which such Lender became a party hereto, as the same may be changed from time to time pursuant to the terms hereof.</w:t>
      </w:r>
    </w:p>
    <w:p>
      <w:pPr>
        <w:spacing w:after="0" w:line="182" w:lineRule="exact"/>
        <w:rPr>
          <w:sz w:val="20"/>
          <w:szCs w:val="20"/>
          <w:color w:val="auto"/>
        </w:rPr>
      </w:pPr>
    </w:p>
    <w:p>
      <w:pPr>
        <w:ind w:right="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Extensions of Credit</w:t>
      </w:r>
      <w:r>
        <w:rPr>
          <w:rFonts w:ascii="Times New Roman" w:cs="Times New Roman" w:eastAsia="Times New Roman" w:hAnsi="Times New Roman"/>
          <w:sz w:val="18"/>
          <w:szCs w:val="18"/>
          <w:color w:val="auto"/>
        </w:rPr>
        <w:t>” means, as to any L/C Tranche Lender at any time, an amount equal to the sum of (a) the Dollar Equivalent of the aggregate principal amount of all L/C Tranche Loans held by such Lender then outstanding and (b) an amount equal to such Lender’s applicable L/C Tranche Percentage of the aggregate L/C Obligations then outstanding.</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Facility</w:t>
      </w:r>
      <w:r>
        <w:rPr>
          <w:rFonts w:ascii="Times New Roman" w:cs="Times New Roman" w:eastAsia="Times New Roman" w:hAnsi="Times New Roman"/>
          <w:sz w:val="18"/>
          <w:szCs w:val="18"/>
          <w:color w:val="auto"/>
        </w:rPr>
        <w:t>” means the L/C Tranche Commitments and the extensions of credit made thereunder.</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Lender</w:t>
      </w:r>
      <w:r>
        <w:rPr>
          <w:rFonts w:ascii="Times New Roman" w:cs="Times New Roman" w:eastAsia="Times New Roman" w:hAnsi="Times New Roman"/>
          <w:sz w:val="18"/>
          <w:szCs w:val="18"/>
          <w:color w:val="auto"/>
        </w:rPr>
        <w:t>” means each Lender that has a L/C Tranche Commitment or that holds L/C Tranche Loans.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Loans</w:t>
      </w:r>
      <w:r>
        <w:rPr>
          <w:rFonts w:ascii="Times New Roman" w:cs="Times New Roman" w:eastAsia="Times New Roman" w:hAnsi="Times New Roman"/>
          <w:sz w:val="18"/>
          <w:szCs w:val="18"/>
          <w:color w:val="auto"/>
        </w:rPr>
        <w:t>” has the meaning assigned to such term in Section 2.7(a).</w:t>
      </w:r>
    </w:p>
    <w:p>
      <w:pPr>
        <w:spacing w:after="0" w:line="218" w:lineRule="exact"/>
        <w:rPr>
          <w:sz w:val="20"/>
          <w:szCs w:val="20"/>
          <w:color w:val="auto"/>
        </w:rPr>
      </w:pPr>
    </w:p>
    <w:p>
      <w:pPr>
        <w:ind w:right="14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Tranche Percentage</w:t>
      </w:r>
      <w:r>
        <w:rPr>
          <w:rFonts w:ascii="Times New Roman" w:cs="Times New Roman" w:eastAsia="Times New Roman" w:hAnsi="Times New Roman"/>
          <w:sz w:val="18"/>
          <w:szCs w:val="18"/>
          <w:color w:val="auto"/>
        </w:rPr>
        <w:t>” means as to any L/C Tranche Lender at any time, the percentage which such Lender’s L/C Tranche Commitment then constitutes of the aggregate amount of the L/C Tranche Commitments then in effect or, at any time after all the L/C Tranche Commitments shall have expired or terminated, the percentage which the aggregate Outstanding Amount of L/C Tranche Extensions of Credit of such Lender then outstanding constitutes of the aggregate Outstanding Amount of L/C Tranche Extensions of Credit of the L/C Tranche Lenders then outstanding.</w:t>
      </w:r>
    </w:p>
    <w:p>
      <w:pPr>
        <w:spacing w:after="0" w:line="182" w:lineRule="exact"/>
        <w:rPr>
          <w:sz w:val="20"/>
          <w:szCs w:val="20"/>
          <w:color w:val="auto"/>
        </w:rPr>
      </w:pPr>
    </w:p>
    <w:p>
      <w:pPr>
        <w:ind w:right="2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60"/>
          </w:cols>
          <w:pgMar w:left="540" w:top="267" w:right="599" w:bottom="1440" w:gutter="0" w:footer="0" w:header="0"/>
        </w:sectPr>
      </w:pPr>
    </w:p>
    <w:bookmarkStart w:id="251" w:name="page252"/>
    <w:bookmarkEnd w:id="251"/>
    <w:p>
      <w:pPr>
        <w:ind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 and shall include, individually and in the aggregate, the Domestic Lenders, the L/C Tranche Lenders, the Issuing Lenders and the Multicurrency Lenders. To the extent any Incremental Facility or New Local Facility is established, “Lenders” shall, to the extent appropriate, include any Lender under such Facilities.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has the meaning assigned to such term in Section 3.1(a), after giving effect to Section 3.9.</w:t>
      </w:r>
    </w:p>
    <w:p>
      <w:pPr>
        <w:spacing w:after="0" w:line="218" w:lineRule="exact"/>
        <w:rPr>
          <w:sz w:val="20"/>
          <w:szCs w:val="20"/>
          <w:color w:val="auto"/>
        </w:rPr>
      </w:pPr>
    </w:p>
    <w:p>
      <w:pPr>
        <w:ind w:right="40" w:firstLine="974"/>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Acknowledgment</w:t>
      </w:r>
      <w:r>
        <w:rPr>
          <w:rFonts w:ascii="Times New Roman" w:cs="Times New Roman" w:eastAsia="Times New Roman" w:hAnsi="Times New Roman"/>
          <w:sz w:val="17"/>
          <w:szCs w:val="17"/>
          <w:color w:val="auto"/>
        </w:rPr>
        <w:t xml:space="preserve">” means an acknowledgment signed by any Applicable Lending Office of an Issuing Lender that issues a Letter of Credit, the Applicable Account Party and the Company pursuant to the terms of Section 3.10(b), substantially in the form of Exhibit N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only one such acknowledgment shall be required to be executed as between any Applicable Lending Office of an Issuing Lender, the Company and any Applicable Account Party (and shall be delivered in connection with the first issuance of a Letter of Credit by such Applicable Lending Office for the benefit of such Applicable Account Party), unless and until such Applicable Lending Office shall reasonably request an additional acknowledgment be executed to reflect changes to the terms of any Letter of Credit to the extent permitted pursuant to Section 3.12(a)(ii).</w:t>
      </w:r>
    </w:p>
    <w:p>
      <w:pPr>
        <w:spacing w:after="0" w:line="1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liabilities of any kind.</w:t>
      </w:r>
    </w:p>
    <w:p>
      <w:pPr>
        <w:spacing w:after="0" w:line="218" w:lineRule="exact"/>
        <w:rPr>
          <w:sz w:val="20"/>
          <w:szCs w:val="20"/>
          <w:color w:val="auto"/>
        </w:rPr>
      </w:pPr>
    </w:p>
    <w:p>
      <w:pPr>
        <w:ind w:right="4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164" w:lineRule="exact"/>
        <w:rPr>
          <w:sz w:val="20"/>
          <w:szCs w:val="20"/>
          <w:color w:val="auto"/>
        </w:rPr>
      </w:pPr>
    </w:p>
    <w:p>
      <w:pPr>
        <w:ind w:right="6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L/C Fee Letter, the Guarantee, the Notes, each Borrower Joinder Agreement, each Guarantee Joinder and any amendment, waiver, supplement or other modification to any of the foregoing.</w:t>
      </w:r>
    </w:p>
    <w:p>
      <w:pPr>
        <w:spacing w:after="0" w:line="164"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Company, each Subsidiary Borrower and each Subsidiary Guarantor (if any); provided, however,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76" w:lineRule="exact"/>
        <w:rPr>
          <w:sz w:val="20"/>
          <w:szCs w:val="20"/>
          <w:color w:val="auto"/>
        </w:rPr>
      </w:pPr>
    </w:p>
    <w:p>
      <w:pPr>
        <w:jc w:val="both"/>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 including Domestic Loans, L/C Tranche Loans, and Multicurrency Loans. To the extent any Incremental Facility or New Local Facility is established, “Loans” shall, to the extent appropriate, include Loans made under such Facilities.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Facility Amendment</w:t>
      </w:r>
      <w:r>
        <w:rPr>
          <w:rFonts w:ascii="Times New Roman" w:cs="Times New Roman" w:eastAsia="Times New Roman" w:hAnsi="Times New Roman"/>
          <w:sz w:val="18"/>
          <w:szCs w:val="18"/>
          <w:color w:val="auto"/>
        </w:rPr>
        <w:t>” has the meaning assigned to such term in Section 2.27(a).</w:t>
      </w:r>
    </w:p>
    <w:p>
      <w:pPr>
        <w:spacing w:after="0" w:line="218" w:lineRule="exact"/>
        <w:rPr>
          <w:sz w:val="20"/>
          <w:szCs w:val="20"/>
          <w:color w:val="auto"/>
        </w:rPr>
      </w:pPr>
    </w:p>
    <w:p>
      <w:pPr>
        <w:jc w:val="both"/>
        <w:ind w:right="1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New York City time in the case of a Loan or other disbursement denominated in Dollars and (ii) London time in the case of a Loan or other disbursement denominated in an Optional Currency (or any such other local time as otherwise notified to or communicated by the Administrative Agent).</w:t>
      </w:r>
    </w:p>
    <w:p>
      <w:pPr>
        <w:spacing w:after="0" w:line="176" w:lineRule="exact"/>
        <w:rPr>
          <w:sz w:val="20"/>
          <w:szCs w:val="20"/>
          <w:color w:val="auto"/>
        </w:rPr>
      </w:pPr>
    </w:p>
    <w:p>
      <w:pPr>
        <w:ind w:right="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thereunder).</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80"/>
          </w:cols>
          <w:pgMar w:left="540" w:top="267" w:right="579" w:bottom="1440" w:gutter="0" w:footer="0" w:header="0"/>
        </w:sectPr>
      </w:pPr>
    </w:p>
    <w:bookmarkStart w:id="252" w:name="page253"/>
    <w:bookmarkEnd w:id="252"/>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right="4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Indebtedness</w:t>
      </w:r>
      <w:r>
        <w:rPr>
          <w:rFonts w:ascii="Times New Roman" w:cs="Times New Roman" w:eastAsia="Times New Roman" w:hAnsi="Times New Roman"/>
          <w:sz w:val="17"/>
          <w:szCs w:val="17"/>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Issuing Lender</w:t>
      </w:r>
      <w:r>
        <w:rPr>
          <w:rFonts w:ascii="Times New Roman" w:cs="Times New Roman" w:eastAsia="Times New Roman" w:hAnsi="Times New Roman"/>
          <w:sz w:val="18"/>
          <w:szCs w:val="18"/>
          <w:color w:val="auto"/>
        </w:rPr>
        <w:t>” means any Issuing Lender with an L/C Issuing Commitment of $200 million or more.</w:t>
      </w:r>
    </w:p>
    <w:p>
      <w:pPr>
        <w:spacing w:after="0" w:line="218"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the Company and (b) any Subsidiary Guarantor (if any) that, at the time of determination, has Consolidated Total Assets equal to at least 10% of the Consolidated Total Assets of the Company at such time, as reflected initially in the 2022 10-K and thereafter in the most recent annual consolidated financial statements of the Company delivered or deemed delivered pursuant to Section 6.1.</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10.22.</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18" w:lineRule="exact"/>
        <w:rPr>
          <w:sz w:val="20"/>
          <w:szCs w:val="20"/>
          <w:color w:val="auto"/>
        </w:rPr>
      </w:pPr>
    </w:p>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Commitment</w:t>
      </w:r>
      <w:r>
        <w:rPr>
          <w:rFonts w:ascii="Times New Roman" w:cs="Times New Roman" w:eastAsia="Times New Roman" w:hAnsi="Times New Roman"/>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 (including, with respect to any Lender that has utilized its Multicurrency Commitment to provide any Ancillary Facility, other than for purposes of determining the Required Lenders, the Majority Facility Lenders or Sections 9.7 or 10.6, (x) as reduced by such Ancillary Commitment of such Lender then in effect and (y) as increased by any such Ancillary Commitment to the extent such Ancillary Commitment is reduced or cancelled).</w:t>
      </w:r>
    </w:p>
    <w:p>
      <w:pPr>
        <w:spacing w:after="0" w:line="189"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Extensions of Credit</w:t>
      </w:r>
      <w:r>
        <w:rPr>
          <w:rFonts w:ascii="Times New Roman" w:cs="Times New Roman" w:eastAsia="Times New Roman" w:hAnsi="Times New Roman"/>
          <w:sz w:val="18"/>
          <w:szCs w:val="18"/>
          <w:color w:val="auto"/>
        </w:rPr>
        <w:t>” means, as to any Multicurrency Lender at any time, an amount equal to the Dollar Equivalent of the aggregate principal amount of all Multicurrency Loans held by such Lender then outstanding.</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Facility</w:t>
      </w:r>
      <w:r>
        <w:rPr>
          <w:rFonts w:ascii="Times New Roman" w:cs="Times New Roman" w:eastAsia="Times New Roman" w:hAnsi="Times New Roman"/>
          <w:sz w:val="18"/>
          <w:szCs w:val="18"/>
          <w:color w:val="auto"/>
        </w:rPr>
        <w:t>” means the Multicurrency Commitments and the extensions of credit made thereunder.</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20"/>
          </w:cols>
          <w:pgMar w:left="540" w:top="267" w:right="539" w:bottom="1440" w:gutter="0" w:footer="0" w:header="0"/>
        </w:sectPr>
      </w:pPr>
    </w:p>
    <w:bookmarkStart w:id="253" w:name="page254"/>
    <w:bookmarkEnd w:id="253"/>
    <w:p>
      <w:pPr>
        <w:ind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Multicurrency Lender</w:t>
      </w:r>
      <w:r>
        <w:rPr>
          <w:rFonts w:ascii="Times New Roman" w:cs="Times New Roman" w:eastAsia="Times New Roman" w:hAnsi="Times New Roman"/>
          <w:sz w:val="18"/>
          <w:szCs w:val="18"/>
          <w:color w:val="auto"/>
        </w:rPr>
        <w:t>” means each Lender that has a Multicurrency Commitment or that holds Multicurrency Loans or other Loans made under the Multicurrency Facility.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Loans</w:t>
      </w:r>
      <w:r>
        <w:rPr>
          <w:rFonts w:ascii="Times New Roman" w:cs="Times New Roman" w:eastAsia="Times New Roman" w:hAnsi="Times New Roman"/>
          <w:sz w:val="18"/>
          <w:szCs w:val="18"/>
          <w:color w:val="auto"/>
        </w:rPr>
        <w:t>” has the meaning assigned to such term in Section 2.3.</w:t>
      </w:r>
    </w:p>
    <w:p>
      <w:pPr>
        <w:spacing w:after="0" w:line="218"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Percentage</w:t>
      </w:r>
      <w:r>
        <w:rPr>
          <w:rFonts w:ascii="Times New Roman" w:cs="Times New Roman" w:eastAsia="Times New Roman" w:hAnsi="Times New Roman"/>
          <w:sz w:val="18"/>
          <w:szCs w:val="18"/>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of such Lender then outstanding constitutes of the aggregate Outstanding Amount of Multicurrency Extensions of Credit of the Multicurrency Lenders then outstanding.</w:t>
      </w:r>
    </w:p>
    <w:p>
      <w:pPr>
        <w:spacing w:after="0" w:line="182" w:lineRule="exact"/>
        <w:rPr>
          <w:sz w:val="20"/>
          <w:szCs w:val="20"/>
          <w:color w:val="auto"/>
        </w:rPr>
      </w:pPr>
    </w:p>
    <w:p>
      <w:pPr>
        <w:ind w:right="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right="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Local Facility</w:t>
      </w:r>
      <w:r>
        <w:rPr>
          <w:rFonts w:ascii="Times New Roman" w:cs="Times New Roman" w:eastAsia="Times New Roman" w:hAnsi="Times New Roman"/>
          <w:sz w:val="18"/>
          <w:szCs w:val="18"/>
          <w:color w:val="auto"/>
        </w:rPr>
        <w:t>” has the meaning assigned to such term in Section 2.27(a).</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Local Facility Lender</w:t>
      </w:r>
      <w:r>
        <w:rPr>
          <w:rFonts w:ascii="Times New Roman" w:cs="Times New Roman" w:eastAsia="Times New Roman" w:hAnsi="Times New Roman"/>
          <w:sz w:val="18"/>
          <w:szCs w:val="18"/>
          <w:color w:val="auto"/>
        </w:rPr>
        <w:t>” has the meaning assigned to such term in Section 2.27(a).</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assigned to such term in Section 2.29(b).</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that is not a U.S. Person.</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Section 2.19(g).</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18"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00"/>
          </w:cols>
          <w:pgMar w:left="540" w:top="267" w:right="559" w:bottom="1440" w:gutter="0" w:footer="0" w:header="0"/>
        </w:sectPr>
      </w:pPr>
    </w:p>
    <w:bookmarkStart w:id="254" w:name="page255"/>
    <w:bookmarkEnd w:id="254"/>
    <w:p>
      <w:pPr>
        <w:ind w:left="8" w:right="100" w:firstLine="97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7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18" w:lineRule="exact"/>
        <w:rPr>
          <w:sz w:val="20"/>
          <w:szCs w:val="20"/>
          <w:color w:val="auto"/>
        </w:rPr>
      </w:pPr>
    </w:p>
    <w:p>
      <w:pPr>
        <w:ind w:left="8"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Currency</w:t>
      </w:r>
      <w:r>
        <w:rPr>
          <w:rFonts w:ascii="Times New Roman" w:cs="Times New Roman" w:eastAsia="Times New Roman" w:hAnsi="Times New Roman"/>
          <w:sz w:val="18"/>
          <w:szCs w:val="18"/>
          <w:color w:val="auto"/>
        </w:rPr>
        <w:t>” means, (i) with respect to Loans made under each Facility (other than the Domestic Facility), at any time, Euro, Japanese Yen and such other lawful currencies which are not restricted and freely convertible into Dollars and are freely traded and readily available with the consent of the Administrative Agent and the Lenders under the applicable Facility and (ii) with respect to Letters of Credit issued under the L/C Tranche Facility, the currencies specified in the L/C Fee Letter).</w:t>
      </w:r>
    </w:p>
    <w:p>
      <w:pPr>
        <w:spacing w:after="0" w:line="182" w:lineRule="exact"/>
        <w:rPr>
          <w:sz w:val="20"/>
          <w:szCs w:val="20"/>
          <w:color w:val="auto"/>
        </w:rPr>
      </w:pPr>
    </w:p>
    <w:p>
      <w:pPr>
        <w:ind w:left="8" w:firstLine="974"/>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Optional Currency Equivalent</w:t>
      </w:r>
      <w:r>
        <w:rPr>
          <w:rFonts w:ascii="Times New Roman" w:cs="Times New Roman" w:eastAsia="Times New Roman" w:hAnsi="Times New Roman"/>
          <w:sz w:val="17"/>
          <w:szCs w:val="17"/>
          <w:color w:val="auto"/>
        </w:rPr>
        <w:t>” means, for any amount of any Optional Currency, at the time of determination thereof, (a) if such amount is expressed in such Optional Currency, such amount and (b) if such amount is expressed in Dollars, the equivalent of such amount in such Optional Currency determined by using the rate of exchange for the purchase of such Optional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Optional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7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18" w:lineRule="exact"/>
        <w:rPr>
          <w:sz w:val="20"/>
          <w:szCs w:val="20"/>
          <w:color w:val="auto"/>
        </w:rPr>
      </w:pPr>
    </w:p>
    <w:p>
      <w:pPr>
        <w:ind w:left="8" w:right="20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5" w:lineRule="exact"/>
        <w:rPr>
          <w:sz w:val="20"/>
          <w:szCs w:val="20"/>
          <w:color w:val="auto"/>
        </w:rPr>
      </w:pPr>
    </w:p>
    <w:p>
      <w:pPr>
        <w:ind w:left="8" w:right="120" w:hanging="8"/>
        <w:spacing w:after="0" w:line="249" w:lineRule="auto"/>
        <w:tabs>
          <w:tab w:leader="none" w:pos="25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banker’s acceptances, letters of credit or letters of guarantee, the aggregate undrawn, unexpired face amount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85" w:lineRule="exact"/>
        <w:rPr>
          <w:sz w:val="20"/>
          <w:szCs w:val="20"/>
          <w:color w:val="auto"/>
        </w:rPr>
      </w:pPr>
    </w:p>
    <w:p>
      <w:pPr>
        <w:ind w:left="8" w:right="24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provided, that if the Overnight Bank Funding Rate shall be less than zero, such rate shall be deemed to be zero for purposes of this Agreement.</w:t>
      </w:r>
    </w:p>
    <w:p>
      <w:pPr>
        <w:spacing w:after="0" w:line="11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08"/>
          </w:cols>
          <w:pgMar w:left="532" w:top="267" w:right="559" w:bottom="1440" w:gutter="0" w:footer="0" w:header="0"/>
        </w:sectPr>
      </w:pPr>
    </w:p>
    <w:bookmarkStart w:id="255" w:name="page256"/>
    <w:bookmarkEnd w:id="255"/>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218"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9.13(c).</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9.13(c).</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18" w:lineRule="exact"/>
        <w:rPr>
          <w:sz w:val="20"/>
          <w:szCs w:val="20"/>
          <w:color w:val="auto"/>
        </w:rPr>
      </w:pPr>
    </w:p>
    <w:p>
      <w:pPr>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the applicable Domestic Percentage of such Lender, the applicable L/C Tranche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18" w:lineRule="exact"/>
        <w:rPr>
          <w:sz w:val="20"/>
          <w:szCs w:val="20"/>
          <w:color w:val="auto"/>
        </w:rPr>
      </w:pPr>
    </w:p>
    <w:p>
      <w:pPr>
        <w:ind w:left="960" w:firstLine="400"/>
        <w:spacing w:after="0" w:line="255" w:lineRule="auto"/>
        <w:tabs>
          <w:tab w:leader="none" w:pos="159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and to the extent required by GAAP, adequate reserves with respect thereto are maintained on the books of the relevant Person in conformity with GAAP;</w:t>
      </w:r>
    </w:p>
    <w:p>
      <w:pPr>
        <w:spacing w:after="0" w:line="181" w:lineRule="exact"/>
        <w:rPr>
          <w:rFonts w:ascii="Times New Roman" w:cs="Times New Roman" w:eastAsia="Times New Roman" w:hAnsi="Times New Roman"/>
          <w:sz w:val="18"/>
          <w:szCs w:val="18"/>
          <w:color w:val="auto"/>
        </w:rPr>
      </w:pPr>
    </w:p>
    <w:p>
      <w:pPr>
        <w:ind w:left="960" w:right="100" w:firstLine="400"/>
        <w:spacing w:after="0" w:line="260" w:lineRule="auto"/>
        <w:tabs>
          <w:tab w:leader="none" w:pos="160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76" w:lineRule="exact"/>
        <w:rPr>
          <w:rFonts w:ascii="Times New Roman" w:cs="Times New Roman" w:eastAsia="Times New Roman" w:hAnsi="Times New Roman"/>
          <w:sz w:val="18"/>
          <w:szCs w:val="18"/>
          <w:color w:val="auto"/>
        </w:rPr>
      </w:pPr>
    </w:p>
    <w:p>
      <w:pPr>
        <w:ind w:left="1600" w:hanging="240"/>
        <w:spacing w:after="0"/>
        <w:tabs>
          <w:tab w:leader="none" w:pos="16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217" w:lineRule="exact"/>
        <w:rPr>
          <w:rFonts w:ascii="Times New Roman" w:cs="Times New Roman" w:eastAsia="Times New Roman" w:hAnsi="Times New Roman"/>
          <w:sz w:val="18"/>
          <w:szCs w:val="18"/>
          <w:color w:val="auto"/>
        </w:rPr>
      </w:pPr>
    </w:p>
    <w:p>
      <w:pPr>
        <w:jc w:val="both"/>
        <w:ind w:left="960" w:right="140" w:firstLine="400"/>
        <w:spacing w:after="0" w:line="260" w:lineRule="auto"/>
        <w:tabs>
          <w:tab w:leader="none" w:pos="160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20"/>
          </w:cols>
          <w:pgMar w:left="540" w:top="267" w:right="539" w:bottom="1440" w:gutter="0" w:footer="0" w:header="0"/>
        </w:sectPr>
      </w:pPr>
    </w:p>
    <w:bookmarkStart w:id="256" w:name="page257"/>
    <w:bookmarkEnd w:id="256"/>
    <w:p>
      <w:pPr>
        <w:ind w:left="60" w:firstLine="400"/>
        <w:spacing w:after="0" w:line="253" w:lineRule="auto"/>
        <w:tabs>
          <w:tab w:leader="none" w:pos="69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82" w:lineRule="exact"/>
        <w:rPr>
          <w:rFonts w:ascii="Times New Roman" w:cs="Times New Roman" w:eastAsia="Times New Roman" w:hAnsi="Times New Roman"/>
          <w:sz w:val="18"/>
          <w:szCs w:val="18"/>
          <w:color w:val="auto"/>
        </w:rPr>
      </w:pPr>
    </w:p>
    <w:p>
      <w:pPr>
        <w:ind w:left="60" w:right="620" w:firstLine="400"/>
        <w:spacing w:after="0" w:line="304" w:lineRule="auto"/>
        <w:tabs>
          <w:tab w:leader="none" w:pos="67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41" w:lineRule="exact"/>
        <w:rPr>
          <w:rFonts w:ascii="Times New Roman" w:cs="Times New Roman" w:eastAsia="Times New Roman" w:hAnsi="Times New Roman"/>
          <w:sz w:val="17"/>
          <w:szCs w:val="17"/>
          <w:color w:val="auto"/>
        </w:rPr>
      </w:pPr>
    </w:p>
    <w:p>
      <w:pPr>
        <w:ind w:left="60" w:right="20" w:firstLine="400"/>
        <w:spacing w:after="0" w:line="251" w:lineRule="auto"/>
        <w:tabs>
          <w:tab w:leader="none" w:pos="70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86" w:lineRule="exact"/>
        <w:rPr>
          <w:rFonts w:ascii="Times New Roman" w:cs="Times New Roman" w:eastAsia="Times New Roman" w:hAnsi="Times New Roman"/>
          <w:sz w:val="18"/>
          <w:szCs w:val="18"/>
          <w:color w:val="auto"/>
        </w:rPr>
      </w:pPr>
    </w:p>
    <w:p>
      <w:pPr>
        <w:ind w:left="60" w:right="40" w:firstLine="400"/>
        <w:spacing w:after="0" w:line="260" w:lineRule="auto"/>
        <w:tabs>
          <w:tab w:leader="none" w:pos="70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176" w:lineRule="exact"/>
        <w:rPr>
          <w:rFonts w:ascii="Times New Roman" w:cs="Times New Roman" w:eastAsia="Times New Roman" w:hAnsi="Times New Roman"/>
          <w:sz w:val="18"/>
          <w:szCs w:val="18"/>
          <w:color w:val="auto"/>
        </w:rPr>
      </w:pPr>
    </w:p>
    <w:p>
      <w:pPr>
        <w:ind w:left="60" w:right="300" w:firstLine="400"/>
        <w:spacing w:after="0" w:line="250" w:lineRule="auto"/>
        <w:tabs>
          <w:tab w:leader="none" w:pos="66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88" w:lineRule="exact"/>
        <w:rPr>
          <w:rFonts w:ascii="Times New Roman" w:cs="Times New Roman" w:eastAsia="Times New Roman" w:hAnsi="Times New Roman"/>
          <w:sz w:val="18"/>
          <w:szCs w:val="18"/>
          <w:color w:val="auto"/>
        </w:rPr>
      </w:pPr>
    </w:p>
    <w:p>
      <w:pPr>
        <w:ind w:left="60" w:right="180" w:firstLine="400"/>
        <w:spacing w:after="0" w:line="260" w:lineRule="auto"/>
        <w:tabs>
          <w:tab w:leader="none" w:pos="66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listed on Schedule 1.1D,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76" w:lineRule="exact"/>
        <w:rPr>
          <w:rFonts w:ascii="Times New Roman" w:cs="Times New Roman" w:eastAsia="Times New Roman" w:hAnsi="Times New Roman"/>
          <w:sz w:val="18"/>
          <w:szCs w:val="18"/>
          <w:color w:val="auto"/>
        </w:rPr>
      </w:pPr>
    </w:p>
    <w:p>
      <w:pPr>
        <w:ind w:left="60" w:right="80" w:firstLine="400"/>
        <w:spacing w:after="0" w:line="282" w:lineRule="auto"/>
        <w:tabs>
          <w:tab w:leader="none" w:pos="704"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property or Capital Stock of a Person at the time such Person becomes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Liens are not created, incurred or assumed in connection with, or in contemplation of, such other Person becoming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Lien may not extend to any other property owned by the Company or any Principal Domestic Subsidiary;</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920"/>
          </w:cols>
          <w:pgMar w:left="1440" w:top="267" w:right="539" w:bottom="1440" w:gutter="0" w:footer="0" w:header="0"/>
        </w:sectPr>
      </w:pPr>
    </w:p>
    <w:bookmarkStart w:id="257" w:name="page258"/>
    <w:bookmarkEnd w:id="257"/>
    <w:p>
      <w:pPr>
        <w:ind w:left="60" w:right="100" w:firstLine="400"/>
        <w:spacing w:after="0" w:line="255" w:lineRule="auto"/>
        <w:tabs>
          <w:tab w:leader="none" w:pos="66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Liens on property at the time the Company or any Principal Domestic Subsidiary acquires the property, including any acquisition by means of a merger or consolidation with or into the Company or such Principal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the Company or any Principal Domestic Subsidiary;</w:t>
      </w:r>
    </w:p>
    <w:p>
      <w:pPr>
        <w:spacing w:after="0" w:line="181" w:lineRule="exact"/>
        <w:rPr>
          <w:rFonts w:ascii="Times New Roman" w:cs="Times New Roman" w:eastAsia="Times New Roman" w:hAnsi="Times New Roman"/>
          <w:sz w:val="18"/>
          <w:szCs w:val="18"/>
          <w:color w:val="auto"/>
        </w:rPr>
      </w:pPr>
    </w:p>
    <w:p>
      <w:pPr>
        <w:ind w:left="60" w:firstLine="400"/>
        <w:spacing w:after="0" w:line="260" w:lineRule="auto"/>
        <w:tabs>
          <w:tab w:leader="none" w:pos="753"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76" w:lineRule="exact"/>
        <w:rPr>
          <w:rFonts w:ascii="Times New Roman" w:cs="Times New Roman" w:eastAsia="Times New Roman" w:hAnsi="Times New Roman"/>
          <w:sz w:val="18"/>
          <w:szCs w:val="18"/>
          <w:color w:val="auto"/>
        </w:rPr>
      </w:pPr>
    </w:p>
    <w:p>
      <w:pPr>
        <w:ind w:left="60" w:right="140" w:firstLine="400"/>
        <w:spacing w:after="0" w:line="274" w:lineRule="auto"/>
        <w:tabs>
          <w:tab w:leader="none" w:pos="70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out of claims under a judgment rendered, decree or claim filed so long as such judgments, decrees or claims do not constitute an Event of Default;</w:t>
      </w:r>
    </w:p>
    <w:p>
      <w:pPr>
        <w:spacing w:after="0" w:line="164"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217"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217" w:lineRule="exact"/>
        <w:rPr>
          <w:rFonts w:ascii="Times New Roman" w:cs="Times New Roman" w:eastAsia="Times New Roman" w:hAnsi="Times New Roman"/>
          <w:sz w:val="18"/>
          <w:szCs w:val="18"/>
          <w:color w:val="auto"/>
        </w:rPr>
      </w:pPr>
    </w:p>
    <w:p>
      <w:pPr>
        <w:ind w:left="60" w:right="120" w:firstLine="400"/>
        <w:spacing w:after="0" w:line="264" w:lineRule="auto"/>
        <w:tabs>
          <w:tab w:leader="none" w:pos="704"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w:t>
      </w:r>
    </w:p>
    <w:p>
      <w:pPr>
        <w:spacing w:after="0" w:line="2" w:lineRule="exact"/>
        <w:rPr>
          <w:rFonts w:ascii="Times New Roman" w:cs="Times New Roman" w:eastAsia="Times New Roman" w:hAnsi="Times New Roman"/>
          <w:sz w:val="17"/>
          <w:szCs w:val="17"/>
          <w:color w:val="auto"/>
        </w:rPr>
      </w:pPr>
    </w:p>
    <w:p>
      <w:pPr>
        <w:ind w:left="460" w:hanging="394"/>
        <w:spacing w:after="0"/>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deposits, (ix) judicial appeals and (x) service contracts;</w:t>
      </w:r>
    </w:p>
    <w:p>
      <w:pPr>
        <w:spacing w:after="0" w:line="198" w:lineRule="exact"/>
        <w:rPr>
          <w:rFonts w:ascii="Times New Roman" w:cs="Times New Roman" w:eastAsia="Times New Roman" w:hAnsi="Times New Roman"/>
          <w:sz w:val="18"/>
          <w:szCs w:val="18"/>
          <w:color w:val="auto"/>
        </w:rPr>
      </w:pPr>
    </w:p>
    <w:p>
      <w:pPr>
        <w:ind w:left="680" w:hanging="220"/>
        <w:spacing w:after="0"/>
        <w:tabs>
          <w:tab w:leader="none" w:pos="68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Subsidiary owing to the Company or any Principal Domestic Subsidiary;</w:t>
      </w:r>
    </w:p>
    <w:p>
      <w:pPr>
        <w:spacing w:after="0" w:line="217" w:lineRule="exact"/>
        <w:rPr>
          <w:rFonts w:ascii="Times New Roman" w:cs="Times New Roman" w:eastAsia="Times New Roman" w:hAnsi="Times New Roman"/>
          <w:sz w:val="18"/>
          <w:szCs w:val="18"/>
          <w:color w:val="auto"/>
        </w:rPr>
      </w:pPr>
    </w:p>
    <w:p>
      <w:pPr>
        <w:ind w:left="60" w:right="20" w:firstLine="400"/>
        <w:spacing w:after="0" w:line="260" w:lineRule="auto"/>
        <w:tabs>
          <w:tab w:leader="none" w:pos="68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76" w:lineRule="exact"/>
        <w:rPr>
          <w:rFonts w:ascii="Times New Roman" w:cs="Times New Roman" w:eastAsia="Times New Roman" w:hAnsi="Times New Roman"/>
          <w:sz w:val="18"/>
          <w:szCs w:val="18"/>
          <w:color w:val="auto"/>
        </w:rPr>
      </w:pPr>
    </w:p>
    <w:p>
      <w:pPr>
        <w:ind w:left="60" w:right="200" w:firstLine="400"/>
        <w:spacing w:after="0" w:line="255" w:lineRule="auto"/>
        <w:tabs>
          <w:tab w:leader="none" w:pos="665"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81"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217" w:lineRule="exact"/>
        <w:rPr>
          <w:rFonts w:ascii="Times New Roman" w:cs="Times New Roman" w:eastAsia="Times New Roman" w:hAnsi="Times New Roman"/>
          <w:sz w:val="18"/>
          <w:szCs w:val="18"/>
          <w:color w:val="auto"/>
        </w:rPr>
      </w:pPr>
    </w:p>
    <w:p>
      <w:pPr>
        <w:ind w:left="60" w:right="160" w:firstLine="400"/>
        <w:spacing w:after="0" w:line="260" w:lineRule="auto"/>
        <w:tabs>
          <w:tab w:leader="none" w:pos="70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900"/>
          </w:cols>
          <w:pgMar w:left="1440" w:top="267" w:right="559" w:bottom="1440" w:gutter="0" w:footer="0" w:header="0"/>
        </w:sectPr>
      </w:pPr>
    </w:p>
    <w:bookmarkStart w:id="258" w:name="page259"/>
    <w:bookmarkEnd w:id="258"/>
    <w:p>
      <w:pPr>
        <w:ind w:left="960" w:right="40" w:firstLine="400"/>
        <w:spacing w:after="0" w:line="274" w:lineRule="auto"/>
        <w:tabs>
          <w:tab w:leader="none" w:pos="164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64" w:lineRule="exact"/>
        <w:rPr>
          <w:rFonts w:ascii="Times New Roman" w:cs="Times New Roman" w:eastAsia="Times New Roman" w:hAnsi="Times New Roman"/>
          <w:sz w:val="18"/>
          <w:szCs w:val="18"/>
          <w:color w:val="auto"/>
        </w:rPr>
      </w:pPr>
    </w:p>
    <w:p>
      <w:pPr>
        <w:ind w:left="960" w:right="120" w:firstLine="400"/>
        <w:spacing w:after="0" w:line="274" w:lineRule="auto"/>
        <w:tabs>
          <w:tab w:leader="none" w:pos="160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licensing agreements for use of Intellectual Property or licenses or sublicenses of Intellectual Property, in each case, entered into in the ordinary course of business;</w:t>
      </w:r>
    </w:p>
    <w:p>
      <w:pPr>
        <w:spacing w:after="0" w:line="164" w:lineRule="exact"/>
        <w:rPr>
          <w:rFonts w:ascii="Times New Roman" w:cs="Times New Roman" w:eastAsia="Times New Roman" w:hAnsi="Times New Roman"/>
          <w:sz w:val="18"/>
          <w:szCs w:val="18"/>
          <w:color w:val="auto"/>
        </w:rPr>
      </w:pPr>
    </w:p>
    <w:p>
      <w:pPr>
        <w:ind w:left="960" w:right="460" w:firstLine="400"/>
        <w:spacing w:after="0" w:line="274" w:lineRule="auto"/>
        <w:tabs>
          <w:tab w:leader="none" w:pos="160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arising under Article 2 of the UCC or similar provisions of applicable law in the ordinary course of business; and</w:t>
      </w:r>
    </w:p>
    <w:p>
      <w:pPr>
        <w:spacing w:after="0" w:line="164" w:lineRule="exact"/>
        <w:rPr>
          <w:rFonts w:ascii="Times New Roman" w:cs="Times New Roman" w:eastAsia="Times New Roman" w:hAnsi="Times New Roman"/>
          <w:sz w:val="18"/>
          <w:szCs w:val="18"/>
          <w:color w:val="auto"/>
        </w:rPr>
      </w:pPr>
    </w:p>
    <w:p>
      <w:pPr>
        <w:ind w:left="960" w:firstLine="400"/>
        <w:spacing w:after="0" w:line="255" w:lineRule="auto"/>
        <w:tabs>
          <w:tab w:leader="none" w:pos="159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2" w:lineRule="exact"/>
        <w:rPr>
          <w:sz w:val="20"/>
          <w:szCs w:val="20"/>
          <w:color w:val="auto"/>
        </w:rPr>
      </w:pPr>
    </w:p>
    <w:p>
      <w:pPr>
        <w:ind w:right="8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Principal Trade Name Transfer</w:t>
      </w:r>
      <w:r>
        <w:rPr>
          <w:rFonts w:ascii="Times New Roman" w:cs="Times New Roman" w:eastAsia="Times New Roman" w:hAnsi="Times New Roman"/>
          <w:sz w:val="17"/>
          <w:szCs w:val="17"/>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42" w:lineRule="exact"/>
        <w:rPr>
          <w:sz w:val="20"/>
          <w:szCs w:val="20"/>
          <w:color w:val="auto"/>
        </w:rPr>
      </w:pPr>
    </w:p>
    <w:p>
      <w:pPr>
        <w:ind w:right="1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303 of ERISA, but excluding any Multiemployer Plan, (a) which is sponsored, established, contributed to or maintained by the Company or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Affiliate, (b) for which the Company or any ERISA Affiliate could have any liability, whether actual or contingent (whether pursuant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4069 of ERISA or otherwise) or (c) for which the Company or any ERISA Affiliate is (or, if such Plan were terminated, would under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4062 or Section 4069 of ERISA be deemed to be) an “employer” as defined in Section 3(5) of ERISA.</w:t>
      </w:r>
    </w:p>
    <w:p>
      <w:pPr>
        <w:spacing w:after="0" w:line="19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 Asset Regulations</w:t>
      </w:r>
      <w:r>
        <w:rPr>
          <w:rFonts w:ascii="Times New Roman" w:cs="Times New Roman" w:eastAsia="Times New Roman" w:hAnsi="Times New Roman"/>
          <w:sz w:val="17"/>
          <w:szCs w:val="17"/>
          <w:color w:val="auto"/>
        </w:rPr>
        <w:t xml:space="preserve">” means of 29 CFR § 2510.3-101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as modified by Section 3(42) of ERISA, as amended from time to time.</w:t>
      </w:r>
    </w:p>
    <w:p>
      <w:pPr>
        <w:spacing w:after="0" w:line="231"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76"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20"/>
          </w:cols>
          <w:pgMar w:left="540" w:top="267" w:right="539" w:bottom="1440" w:gutter="0" w:footer="0" w:header="0"/>
        </w:sectPr>
      </w:pPr>
    </w:p>
    <w:bookmarkStart w:id="259" w:name="page260"/>
    <w:bookmarkEnd w:id="259"/>
    <w:p>
      <w:pPr>
        <w:ind w:firstLine="97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Domestic Subsidiary</w:t>
      </w:r>
      <w:r>
        <w:rPr>
          <w:rFonts w:ascii="Times New Roman" w:cs="Times New Roman" w:eastAsia="Times New Roman" w:hAnsi="Times New Roman"/>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2022 10-K), (B) at least 80% or more of the Capital Stock or Voting Stock of such Domestic Subsidiary is owned, directly or indirectly, by the Company and (C) none of the Capital Stock of such Domestic Subsidiary is publicly held.</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18" w:lineRule="exact"/>
        <w:rPr>
          <w:sz w:val="20"/>
          <w:szCs w:val="20"/>
          <w:color w:val="auto"/>
        </w:rPr>
      </w:pPr>
    </w:p>
    <w:p>
      <w:pPr>
        <w:ind w:right="180" w:firstLine="97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10.21.</w:t>
      </w:r>
    </w:p>
    <w:p>
      <w:pPr>
        <w:spacing w:after="0" w:line="218"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or (c) any Issuing Lender, as applicable.</w:t>
      </w:r>
    </w:p>
    <w:p>
      <w:pPr>
        <w:spacing w:after="0" w:line="218" w:lineRule="exact"/>
        <w:rPr>
          <w:sz w:val="20"/>
          <w:szCs w:val="20"/>
          <w:color w:val="auto"/>
        </w:rPr>
      </w:pPr>
    </w:p>
    <w:p>
      <w:pPr>
        <w:ind w:right="12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such Benchmark is TIBOR Rate, 11:00 a.m. Japan time two Business Days preceding the date of such setting, (4) if such Benchmark is Daily Simple SOFR, then two Business Days prior to such setting or (5) if such Benchmark is none of the Term SOFR Rate, Daily Simple SOFR, the EURIBOR Rate or the TIBOR Rate, the time determined by the Administrative Agent in its reasonable discretion.</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has the meaning assigned to such term in Section 3.5.</w:t>
      </w:r>
    </w:p>
    <w:p>
      <w:pPr>
        <w:spacing w:after="0" w:line="218" w:lineRule="exact"/>
        <w:rPr>
          <w:sz w:val="20"/>
          <w:szCs w:val="20"/>
          <w:color w:val="auto"/>
        </w:rPr>
      </w:pPr>
    </w:p>
    <w:p>
      <w:pPr>
        <w:ind w:right="4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means the obligation of the Company or the Applicable Account Party to reimburse an Issuing Lender pursuant to Section 3.5 for amounts drawn under Letters of Credit.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00"/>
          </w:cols>
          <w:pgMar w:left="540" w:top="267" w:right="559" w:bottom="1440" w:gutter="0" w:footer="0" w:header="0"/>
        </w:sectPr>
      </w:pPr>
    </w:p>
    <w:bookmarkStart w:id="260" w:name="page261"/>
    <w:bookmarkEnd w:id="260"/>
    <w:p>
      <w:pPr>
        <w:ind w:left="8" w:right="22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4" w:lineRule="exact"/>
        <w:rPr>
          <w:sz w:val="20"/>
          <w:szCs w:val="20"/>
          <w:color w:val="auto"/>
        </w:rPr>
      </w:pPr>
    </w:p>
    <w:p>
      <w:pPr>
        <w:ind w:left="8" w:right="20" w:firstLine="97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Japanese Yen, the Bank of Japan, or a committee officially endorsed or convened by the Bank of Japan or, in each case, any successor thereto and (iv) with respect to a Benchmark Replacement in respect of Loans denominated in any other Optional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3"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Adjusted Term SOFR Rate,</w:t>
      </w:r>
    </w:p>
    <w:p>
      <w:pPr>
        <w:spacing w:after="0" w:line="25" w:lineRule="exact"/>
        <w:rPr>
          <w:sz w:val="20"/>
          <w:szCs w:val="20"/>
          <w:color w:val="auto"/>
        </w:rPr>
      </w:pPr>
    </w:p>
    <w:p>
      <w:pPr>
        <w:ind w:left="8" w:right="200" w:hanging="8"/>
        <w:spacing w:after="0" w:line="249" w:lineRule="auto"/>
        <w:tabs>
          <w:tab w:leader="none" w:pos="26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Borrowing denominated in Euros, the Adjusted EURIBOR Rate, as applicable, (iii) with respect to any Term Benchmark Borrowing denominated in Japanese Yen, the Adjusted TIBOR Rate, as applicable and (iv) with respect to any Daily Simple SOFR Borrowing, the Adjusted Daily Simple SOFR.</w:t>
      </w:r>
    </w:p>
    <w:p>
      <w:pPr>
        <w:spacing w:after="0" w:line="185" w:lineRule="exact"/>
        <w:rPr>
          <w:sz w:val="20"/>
          <w:szCs w:val="20"/>
          <w:color w:val="auto"/>
        </w:rPr>
      </w:pPr>
    </w:p>
    <w:p>
      <w:pPr>
        <w:ind w:left="8" w:right="3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(ii) with respect to any Term Benchmark Borrowing denominated in Euros, the EURIBOR Screen Rate or (iii) with respect to any Term Benchmark Borrowing denominated in Japanese Yen, the TIBOR Screen Rate, as applicable.</w:t>
      </w:r>
    </w:p>
    <w:p>
      <w:pPr>
        <w:spacing w:after="0" w:line="176" w:lineRule="exact"/>
        <w:rPr>
          <w:sz w:val="20"/>
          <w:szCs w:val="20"/>
          <w:color w:val="auto"/>
        </w:rPr>
      </w:pPr>
    </w:p>
    <w:p>
      <w:pPr>
        <w:ind w:left="8" w:right="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 plus the aggregate Ancillary Facility Outstandings).</w:t>
      </w:r>
    </w:p>
    <w:p>
      <w:pPr>
        <w:spacing w:after="0" w:line="176" w:lineRule="exact"/>
        <w:rPr>
          <w:sz w:val="20"/>
          <w:szCs w:val="20"/>
          <w:color w:val="auto"/>
        </w:rPr>
      </w:pPr>
    </w:p>
    <w:p>
      <w:pPr>
        <w:jc w:val="both"/>
        <w:ind w:left="8"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Resolution Authority</w:t>
      </w:r>
      <w:r>
        <w:rPr>
          <w:rFonts w:ascii="Times New Roman" w:cs="Times New Roman" w:eastAsia="Times New Roman" w:hAnsi="Times New Roman"/>
          <w:sz w:val="17"/>
          <w:szCs w:val="17"/>
          <w:color w:val="auto"/>
        </w:rPr>
        <w:t>” means an EEA Resolution Authority or, with respect to any UK Financial Institution, a UK Resolution Authority.</w:t>
      </w:r>
    </w:p>
    <w:p>
      <w:pPr>
        <w:spacing w:after="0" w:line="229" w:lineRule="exact"/>
        <w:rPr>
          <w:sz w:val="20"/>
          <w:szCs w:val="20"/>
          <w:color w:val="auto"/>
        </w:rPr>
      </w:pPr>
    </w:p>
    <w:p>
      <w:pPr>
        <w:ind w:left="8" w:right="3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15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08"/>
          </w:cols>
          <w:pgMar w:left="532" w:top="267" w:right="559" w:bottom="1440" w:gutter="0" w:footer="0" w:header="0"/>
        </w:sectPr>
      </w:pPr>
    </w:p>
    <w:bookmarkStart w:id="261" w:name="page262"/>
    <w:bookmarkEnd w:id="261"/>
    <w:p>
      <w:pPr>
        <w:jc w:val="both"/>
        <w:ind w:right="2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18" w:lineRule="exact"/>
        <w:rPr>
          <w:sz w:val="20"/>
          <w:szCs w:val="20"/>
          <w:color w:val="auto"/>
        </w:rPr>
      </w:pPr>
    </w:p>
    <w:p>
      <w:pPr>
        <w:ind w:right="14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18" w:lineRule="exact"/>
        <w:rPr>
          <w:sz w:val="20"/>
          <w:szCs w:val="20"/>
          <w:color w:val="auto"/>
        </w:rPr>
      </w:pPr>
    </w:p>
    <w:p>
      <w:pPr>
        <w:ind w:right="2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18"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or Adjusted TIBOR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20"/>
          </w:cols>
          <w:pgMar w:left="540" w:top="267" w:right="539" w:bottom="1440" w:gutter="0" w:footer="0" w:header="0"/>
        </w:sectPr>
      </w:pPr>
    </w:p>
    <w:bookmarkStart w:id="262" w:name="page263"/>
    <w:bookmarkEnd w:id="262"/>
    <w:p>
      <w:pPr>
        <w:ind w:right="80"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right="2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means GMF and any other Subsidiary that becomes a party hereto pursuant to Section 10.1(d) until such time as such Subsidiary Borrower is removed as a party hereto pursuant to Section 10.1(d).</w:t>
      </w:r>
    </w:p>
    <w:p>
      <w:pPr>
        <w:spacing w:after="0" w:line="164" w:lineRule="exact"/>
        <w:rPr>
          <w:sz w:val="20"/>
          <w:szCs w:val="20"/>
          <w:color w:val="auto"/>
        </w:rPr>
      </w:pPr>
    </w:p>
    <w:p>
      <w:pPr>
        <w:ind w:right="380" w:firstLine="97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the Guarantee pursuant to Section 6.6(a) or Section 10.1(b).</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4" w:lineRule="exact"/>
        <w:rPr>
          <w:sz w:val="20"/>
          <w:szCs w:val="20"/>
          <w:color w:val="auto"/>
        </w:rPr>
      </w:pPr>
    </w:p>
    <w:p>
      <w:pPr>
        <w:ind w:right="2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64"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ind w:right="5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the Adjusted EURIBOR Rate or the Adjusted TIBOR Rate.</w:t>
      </w:r>
    </w:p>
    <w:p>
      <w:pPr>
        <w:spacing w:after="0" w:line="176" w:lineRule="exact"/>
        <w:rPr>
          <w:sz w:val="20"/>
          <w:szCs w:val="20"/>
          <w:color w:val="auto"/>
        </w:rPr>
      </w:pPr>
    </w:p>
    <w:p>
      <w:pPr>
        <w:jc w:val="both"/>
        <w:ind w:right="60" w:firstLine="9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Benchmark Tranche</w:t>
      </w:r>
      <w:r>
        <w:rPr>
          <w:rFonts w:ascii="Times New Roman" w:cs="Times New Roman" w:eastAsia="Times New Roman" w:hAnsi="Times New Roman"/>
          <w:sz w:val="17"/>
          <w:szCs w:val="17"/>
          <w:color w:val="auto"/>
        </w:rPr>
        <w:t>” means the collective reference to Term Benchmark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18" w:lineRule="exact"/>
        <w:rPr>
          <w:sz w:val="20"/>
          <w:szCs w:val="20"/>
          <w:color w:val="auto"/>
        </w:rPr>
      </w:pPr>
    </w:p>
    <w:p>
      <w:pPr>
        <w:ind w:right="20" w:firstLine="974"/>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80"/>
          </w:cols>
          <w:pgMar w:left="540" w:top="267" w:right="579" w:bottom="1440" w:gutter="0" w:footer="0" w:header="0"/>
        </w:sectPr>
      </w:pPr>
    </w:p>
    <w:bookmarkStart w:id="263" w:name="page264"/>
    <w:bookmarkEnd w:id="263"/>
    <w:p>
      <w:pPr>
        <w:ind w:firstLine="974"/>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Term SOFR Reference Rate</w:t>
      </w:r>
      <w:r>
        <w:rPr>
          <w:rFonts w:ascii="Times New Roman" w:cs="Times New Roman" w:eastAsia="Times New Roman" w:hAnsi="Times New Roman"/>
          <w:sz w:val="17"/>
          <w:szCs w:val="17"/>
          <w:color w:val="auto"/>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U.S. Government Securities Business Days prior to such Term SOFR Determination Day.</w:t>
      </w:r>
    </w:p>
    <w:p>
      <w:pPr>
        <w:spacing w:after="0" w:line="198" w:lineRule="exact"/>
        <w:rPr>
          <w:sz w:val="20"/>
          <w:szCs w:val="20"/>
          <w:color w:val="auto"/>
        </w:rPr>
      </w:pPr>
    </w:p>
    <w:p>
      <w:pPr>
        <w:ind w:right="4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as to any Lender, initially, the third anniversary of the Closing Date, as such date for such Lender may be extended from time to time pursuant to Section 2.29.</w:t>
      </w:r>
    </w:p>
    <w:p>
      <w:pPr>
        <w:spacing w:after="0" w:line="164" w:lineRule="exact"/>
        <w:rPr>
          <w:sz w:val="20"/>
          <w:szCs w:val="20"/>
          <w:color w:val="auto"/>
        </w:rPr>
      </w:pPr>
    </w:p>
    <w:p>
      <w:pPr>
        <w:ind w:right="3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means, with respect to any Term Benchmark Borrowing denominated in Japanese Yen and for any Interest Period, the TIBOR Screen Rate, two Business Days prior to the commencement of such Interest Period.</w:t>
      </w:r>
    </w:p>
    <w:p>
      <w:pPr>
        <w:spacing w:after="0" w:line="164" w:lineRule="exact"/>
        <w:rPr>
          <w:sz w:val="20"/>
          <w:szCs w:val="20"/>
          <w:color w:val="auto"/>
        </w:rPr>
      </w:pPr>
    </w:p>
    <w:p>
      <w:pPr>
        <w:ind w:right="100" w:firstLine="974"/>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TIBOR Screen Rate</w:t>
      </w:r>
      <w:r>
        <w:rPr>
          <w:rFonts w:ascii="Times New Roman" w:cs="Times New Roman" w:eastAsia="Times New Roman" w:hAnsi="Times New Roman"/>
          <w:sz w:val="17"/>
          <w:szCs w:val="17"/>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Business Days prior to the commencement of such Interest Period. If the TIBOR Screen Rate shall be less than 0.0%, the TIBOR Screen Rate shall be deemed to be 0.0% for purposes of this Agreement.</w:t>
      </w:r>
    </w:p>
    <w:p>
      <w:pPr>
        <w:spacing w:after="0" w:line="171" w:lineRule="exact"/>
        <w:rPr>
          <w:sz w:val="20"/>
          <w:szCs w:val="20"/>
          <w:color w:val="auto"/>
        </w:rPr>
      </w:pPr>
    </w:p>
    <w:p>
      <w:pPr>
        <w:ind w:right="2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Commitments</w:t>
      </w:r>
      <w:r>
        <w:rPr>
          <w:rFonts w:ascii="Times New Roman" w:cs="Times New Roman" w:eastAsia="Times New Roman" w:hAnsi="Times New Roman"/>
          <w:sz w:val="18"/>
          <w:szCs w:val="18"/>
          <w:color w:val="auto"/>
        </w:rPr>
        <w:t xml:space="preserve">” means, at any time, an amount equal to the excess, if any, of (a) the Total Commitments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Total Extensions of Credit then outstanding.</w:t>
      </w:r>
    </w:p>
    <w:p>
      <w:pPr>
        <w:spacing w:after="0" w:line="164" w:lineRule="exact"/>
        <w:rPr>
          <w:sz w:val="20"/>
          <w:szCs w:val="20"/>
          <w:color w:val="auto"/>
        </w:rPr>
      </w:pPr>
    </w:p>
    <w:p>
      <w:pPr>
        <w:ind w:right="8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Domestic Commitments</w:t>
      </w:r>
      <w:r>
        <w:rPr>
          <w:rFonts w:ascii="Times New Roman" w:cs="Times New Roman" w:eastAsia="Times New Roman" w:hAnsi="Times New Roman"/>
          <w:sz w:val="18"/>
          <w:szCs w:val="18"/>
          <w:color w:val="auto"/>
        </w:rPr>
        <w:t>” means, at any time, an amount equal to the excess, if any, of (a) the Total Domestic Commitments then in effect, over (b) the Total Domestic Extensions of Credit then outstanding.</w:t>
      </w:r>
    </w:p>
    <w:p>
      <w:pPr>
        <w:spacing w:after="0" w:line="164" w:lineRule="exact"/>
        <w:rPr>
          <w:sz w:val="20"/>
          <w:szCs w:val="20"/>
          <w:color w:val="auto"/>
        </w:rPr>
      </w:pPr>
    </w:p>
    <w:p>
      <w:pPr>
        <w:ind w:right="4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L/C Tranche Commitments</w:t>
      </w:r>
      <w:r>
        <w:rPr>
          <w:rFonts w:ascii="Times New Roman" w:cs="Times New Roman" w:eastAsia="Times New Roman" w:hAnsi="Times New Roman"/>
          <w:sz w:val="18"/>
          <w:szCs w:val="18"/>
          <w:color w:val="auto"/>
        </w:rPr>
        <w:t>” means, at any time, an amount equal to the excess, if any, of (a) the Total L/C Tranche Commitments then in effect, over (b) the Total L/C Tranche Extensions of Credit then outstanding.</w:t>
      </w:r>
    </w:p>
    <w:p>
      <w:pPr>
        <w:spacing w:after="0" w:line="164" w:lineRule="exact"/>
        <w:rPr>
          <w:sz w:val="20"/>
          <w:szCs w:val="20"/>
          <w:color w:val="auto"/>
        </w:rPr>
      </w:pPr>
    </w:p>
    <w:p>
      <w:pPr>
        <w:ind w:right="2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Multicurrency Commitments</w:t>
      </w:r>
      <w:r>
        <w:rPr>
          <w:rFonts w:ascii="Times New Roman" w:cs="Times New Roman" w:eastAsia="Times New Roman" w:hAnsi="Times New Roman"/>
          <w:sz w:val="18"/>
          <w:szCs w:val="18"/>
          <w:color w:val="auto"/>
        </w:rPr>
        <w:t>” means, at any time, an amount equal to the excess, if any, of (a) the Total Multicurrency Commitments then in effect, over (b) the Total Multicurrency Extensions of Credit then outstanding.</w:t>
      </w:r>
    </w:p>
    <w:p>
      <w:pPr>
        <w:spacing w:after="0" w:line="164" w:lineRule="exact"/>
        <w:rPr>
          <w:sz w:val="20"/>
          <w:szCs w:val="20"/>
          <w:color w:val="auto"/>
        </w:rPr>
      </w:pPr>
    </w:p>
    <w:p>
      <w:pPr>
        <w:ind w:right="4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$4,100,000,000.</w:t>
      </w:r>
    </w:p>
    <w:p>
      <w:pPr>
        <w:spacing w:after="0" w:line="164" w:lineRule="exact"/>
        <w:rPr>
          <w:sz w:val="20"/>
          <w:szCs w:val="20"/>
          <w:color w:val="auto"/>
        </w:rPr>
      </w:pPr>
    </w:p>
    <w:p>
      <w:pPr>
        <w:ind w:right="4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Domestic Commitment</w:t>
      </w:r>
      <w:r>
        <w:rPr>
          <w:rFonts w:ascii="Times New Roman" w:cs="Times New Roman" w:eastAsia="Times New Roman" w:hAnsi="Times New Roman"/>
          <w:sz w:val="18"/>
          <w:szCs w:val="18"/>
          <w:color w:val="auto"/>
        </w:rPr>
        <w:t>” means, at any time, the aggregate amount of the Domestic Commitments then in effect. The original amount of the Total Domestic Commitment is $167,000,000.</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80"/>
          </w:cols>
          <w:pgMar w:left="540" w:top="267" w:right="579" w:bottom="1440" w:gutter="0" w:footer="0" w:header="0"/>
        </w:sectPr>
      </w:pPr>
    </w:p>
    <w:bookmarkStart w:id="264" w:name="page265"/>
    <w:bookmarkEnd w:id="264"/>
    <w:p>
      <w:pPr>
        <w:ind w:right="2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Domestic Extensions of Credit</w:t>
      </w:r>
      <w:r>
        <w:rPr>
          <w:rFonts w:ascii="Times New Roman" w:cs="Times New Roman" w:eastAsia="Times New Roman" w:hAnsi="Times New Roman"/>
          <w:sz w:val="18"/>
          <w:szCs w:val="18"/>
          <w:color w:val="auto"/>
        </w:rPr>
        <w:t>” means, at any time, the aggregate Outstanding Amount of the Domestic Extensions of Credit of the Domestic Lenders at such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means, at any time, the aggregate Outstanding Amount of the Extensions of Credit of the Lenders at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98" w:lineRule="exact"/>
        <w:rPr>
          <w:sz w:val="20"/>
          <w:szCs w:val="20"/>
          <w:color w:val="auto"/>
        </w:rPr>
      </w:pPr>
    </w:p>
    <w:p>
      <w:pPr>
        <w:ind w:right="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L/C Tranche Commitment</w:t>
      </w:r>
      <w:r>
        <w:rPr>
          <w:rFonts w:ascii="Times New Roman" w:cs="Times New Roman" w:eastAsia="Times New Roman" w:hAnsi="Times New Roman"/>
          <w:sz w:val="18"/>
          <w:szCs w:val="18"/>
          <w:color w:val="auto"/>
        </w:rPr>
        <w:t>” means, at any time, the aggregate amount of the L/C Tranche Commitments then in effect. The original amount of the Total L/C Tranche Commitment is $1,145,000,000.</w:t>
      </w:r>
    </w:p>
    <w:p>
      <w:pPr>
        <w:spacing w:after="0" w:line="164" w:lineRule="exact"/>
        <w:rPr>
          <w:sz w:val="20"/>
          <w:szCs w:val="20"/>
          <w:color w:val="auto"/>
        </w:rPr>
      </w:pPr>
    </w:p>
    <w:p>
      <w:pPr>
        <w:ind w:right="40" w:firstLine="97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L/C Tranche Extensions of Credit</w:t>
      </w:r>
      <w:r>
        <w:rPr>
          <w:rFonts w:ascii="Times New Roman" w:cs="Times New Roman" w:eastAsia="Times New Roman" w:hAnsi="Times New Roman"/>
          <w:sz w:val="18"/>
          <w:szCs w:val="18"/>
          <w:color w:val="auto"/>
        </w:rPr>
        <w:t>” means, at any time, the aggregate Outstanding Amount of the L/C Tranche Extensions of Credit of the L/C Tranche Lenders at such time.</w:t>
      </w:r>
    </w:p>
    <w:p>
      <w:pPr>
        <w:spacing w:after="0" w:line="1" w:lineRule="exact"/>
        <w:rPr>
          <w:sz w:val="20"/>
          <w:szCs w:val="20"/>
          <w:color w:val="auto"/>
        </w:rPr>
      </w:pPr>
    </w:p>
    <w:p>
      <w:pPr>
        <w:ind w:right="400" w:firstLine="97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Commitment</w:t>
      </w:r>
      <w:r>
        <w:rPr>
          <w:rFonts w:ascii="Times New Roman" w:cs="Times New Roman" w:eastAsia="Times New Roman" w:hAnsi="Times New Roman"/>
          <w:sz w:val="18"/>
          <w:szCs w:val="18"/>
          <w:color w:val="auto"/>
        </w:rPr>
        <w:t>” means, at any time, the aggregate amount of the Multicurrency Commitments then in effect. The original amount of the Total Multicurrency Commitment is $2,788,000,000.</w:t>
      </w:r>
    </w:p>
    <w:p>
      <w:pPr>
        <w:spacing w:after="0" w:line="183" w:lineRule="exact"/>
        <w:rPr>
          <w:sz w:val="20"/>
          <w:szCs w:val="20"/>
          <w:color w:val="auto"/>
        </w:rPr>
      </w:pPr>
    </w:p>
    <w:p>
      <w:pPr>
        <w:ind w:right="2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Multicurrency Extensions of Credit</w:t>
      </w:r>
      <w:r>
        <w:rPr>
          <w:rFonts w:ascii="Times New Roman" w:cs="Times New Roman" w:eastAsia="Times New Roman" w:hAnsi="Times New Roman"/>
          <w:sz w:val="18"/>
          <w:szCs w:val="18"/>
          <w:color w:val="auto"/>
        </w:rPr>
        <w:t>” means, at any time, the aggregate Outstanding Amount of the Multicurrency Extensions of Credit of the Multicurrency Lenders at such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18"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or Borrowing, refers to whether the rate of interest on such Loan, or on the Loans comprising such Borrowing, is determined by reference to the Adjusted Term SOFR Rate, the Adjusted EURIBOR Rate, the Adjusted TIBOR Rate, the Alternate Base Rate or the Adjusted Daily Simple SOFR.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18" w:lineRule="exact"/>
        <w:rPr>
          <w:sz w:val="20"/>
          <w:szCs w:val="20"/>
          <w:color w:val="auto"/>
        </w:rPr>
      </w:pPr>
    </w:p>
    <w:p>
      <w:pPr>
        <w:ind w:right="6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64"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2" w:lineRule="exact"/>
        <w:rPr>
          <w:sz w:val="20"/>
          <w:szCs w:val="20"/>
          <w:color w:val="auto"/>
        </w:rPr>
      </w:pPr>
    </w:p>
    <w:p>
      <w:pPr>
        <w:ind w:right="7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198" w:lineRule="exact"/>
        <w:rPr>
          <w:sz w:val="20"/>
          <w:szCs w:val="20"/>
          <w:color w:val="auto"/>
        </w:rPr>
      </w:pPr>
    </w:p>
    <w:p>
      <w:pPr>
        <w:jc w:val="both"/>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80"/>
          </w:cols>
          <w:pgMar w:left="540" w:top="267" w:right="579" w:bottom="1440" w:gutter="0" w:footer="0" w:header="0"/>
        </w:sectPr>
      </w:pPr>
    </w:p>
    <w:bookmarkStart w:id="265" w:name="page266"/>
    <w:bookmarkEnd w:id="265"/>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18" w:lineRule="exact"/>
        <w:rPr>
          <w:sz w:val="20"/>
          <w:szCs w:val="20"/>
          <w:color w:val="auto"/>
        </w:rPr>
      </w:pPr>
    </w:p>
    <w:p>
      <w:pPr>
        <w:ind w:left="8" w:right="3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5" w:lineRule="exact"/>
        <w:rPr>
          <w:sz w:val="20"/>
          <w:szCs w:val="20"/>
          <w:color w:val="auto"/>
        </w:rPr>
      </w:pPr>
    </w:p>
    <w:p>
      <w:pPr>
        <w:ind w:left="8" w:right="40" w:firstLine="97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URDG</w:t>
      </w:r>
      <w:r>
        <w:rPr>
          <w:rFonts w:ascii="Times New Roman" w:cs="Times New Roman" w:eastAsia="Times New Roman" w:hAnsi="Times New Roman"/>
          <w:sz w:val="18"/>
          <w:szCs w:val="18"/>
          <w:color w:val="auto"/>
        </w:rPr>
        <w:t>” means the Uniform Rules for Demand Guarantees, ICC Publication 758, and any subsequent revision thereof adhered to by the Issuing Lenders.</w:t>
      </w:r>
    </w:p>
    <w:p>
      <w:pPr>
        <w:spacing w:after="0" w:line="183"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218" w:lineRule="exact"/>
        <w:rPr>
          <w:sz w:val="20"/>
          <w:szCs w:val="20"/>
          <w:color w:val="auto"/>
        </w:rPr>
      </w:pPr>
    </w:p>
    <w:p>
      <w:pPr>
        <w:ind w:left="8" w:right="2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164" w:lineRule="exact"/>
        <w:rPr>
          <w:sz w:val="20"/>
          <w:szCs w:val="20"/>
          <w:color w:val="auto"/>
        </w:rPr>
      </w:pPr>
    </w:p>
    <w:p>
      <w:pPr>
        <w:ind w:left="8" w:right="40" w:firstLine="974"/>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Write-Down and Conversion Powers</w:t>
      </w:r>
      <w:r>
        <w:rPr>
          <w:rFonts w:ascii="Times New Roman" w:cs="Times New Roman" w:eastAsia="Times New Roman" w:hAnsi="Times New Roman"/>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ind w:left="8" w:right="440" w:firstLine="974"/>
        <w:spacing w:after="0" w:line="27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64" w:lineRule="exact"/>
        <w:rPr>
          <w:sz w:val="20"/>
          <w:szCs w:val="20"/>
          <w:color w:val="auto"/>
        </w:rPr>
      </w:pPr>
    </w:p>
    <w:p>
      <w:pPr>
        <w:ind w:left="1228" w:hanging="254"/>
        <w:spacing w:after="0"/>
        <w:tabs>
          <w:tab w:leader="none" w:pos="1228"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and in the other Loan Documents, and any certificate or other document made or delivered pursuant hereto or thereto,</w:t>
      </w:r>
    </w:p>
    <w:p>
      <w:pPr>
        <w:spacing w:after="0" w:line="36" w:lineRule="exact"/>
        <w:rPr>
          <w:rFonts w:ascii="Times New Roman" w:cs="Times New Roman" w:eastAsia="Times New Roman" w:hAnsi="Times New Roman"/>
          <w:sz w:val="17"/>
          <w:szCs w:val="17"/>
          <w:color w:val="auto"/>
        </w:rPr>
      </w:pPr>
    </w:p>
    <w:p>
      <w:pPr>
        <w:ind w:left="8" w:hanging="8"/>
        <w:spacing w:after="0" w:line="246" w:lineRule="auto"/>
        <w:tabs>
          <w:tab w:leader="none" w:pos="21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28"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08"/>
          </w:cols>
          <w:pgMar w:left="532" w:top="267" w:right="659" w:bottom="1440" w:gutter="0" w:footer="0" w:header="0"/>
        </w:sectPr>
      </w:pPr>
    </w:p>
    <w:bookmarkStart w:id="266" w:name="page267"/>
    <w:bookmarkEnd w:id="266"/>
    <w:p>
      <w:pPr>
        <w:ind w:firstLine="966"/>
        <w:spacing w:after="0" w:line="260" w:lineRule="auto"/>
        <w:tabs>
          <w:tab w:leader="none" w:pos="121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76"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right="40" w:firstLine="966"/>
        <w:spacing w:after="0" w:line="255" w:lineRule="auto"/>
        <w:tabs>
          <w:tab w:leader="none" w:pos="12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1" w:lineRule="exact"/>
        <w:rPr>
          <w:rFonts w:ascii="Times New Roman" w:cs="Times New Roman" w:eastAsia="Times New Roman" w:hAnsi="Times New Roman"/>
          <w:sz w:val="18"/>
          <w:szCs w:val="18"/>
          <w:color w:val="auto"/>
        </w:rPr>
      </w:pPr>
    </w:p>
    <w:p>
      <w:pPr>
        <w:ind w:right="80" w:firstLine="966"/>
        <w:spacing w:after="0" w:line="275" w:lineRule="auto"/>
        <w:tabs>
          <w:tab w:leader="none" w:pos="1224"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65" w:lineRule="exact"/>
        <w:rPr>
          <w:rFonts w:ascii="Times New Roman" w:cs="Times New Roman" w:eastAsia="Times New Roman" w:hAnsi="Times New Roman"/>
          <w:sz w:val="17"/>
          <w:szCs w:val="17"/>
          <w:color w:val="auto"/>
        </w:rPr>
      </w:pPr>
    </w:p>
    <w:p>
      <w:pPr>
        <w:jc w:val="both"/>
        <w:ind w:right="180" w:firstLine="966"/>
        <w:spacing w:after="0" w:line="260" w:lineRule="auto"/>
        <w:tabs>
          <w:tab w:leader="none" w:pos="12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6" w:lineRule="exact"/>
        <w:rPr>
          <w:sz w:val="20"/>
          <w:szCs w:val="20"/>
          <w:color w:val="auto"/>
        </w:rPr>
      </w:pPr>
    </w:p>
    <w:p>
      <w:pPr>
        <w:ind w:right="14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76" w:lineRule="exact"/>
        <w:rPr>
          <w:sz w:val="20"/>
          <w:szCs w:val="20"/>
          <w:color w:val="auto"/>
        </w:rPr>
      </w:pPr>
    </w:p>
    <w:p>
      <w:pPr>
        <w:ind w:right="40" w:firstLine="974"/>
        <w:spacing w:after="0" w:line="265"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Interest Rates; Benchmark Notification.</w:t>
      </w:r>
      <w:r>
        <w:rPr>
          <w:rFonts w:ascii="Times New Roman" w:cs="Times New Roman" w:eastAsia="Times New Roman" w:hAnsi="Times New Roman"/>
          <w:sz w:val="17"/>
          <w:szCs w:val="17"/>
          <w:color w:val="auto"/>
        </w:rPr>
        <w:t xml:space="preserve"> The interest rate on a Loan denominated in Dollars or an Optional Currency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80"/>
          </w:cols>
          <w:pgMar w:left="540" w:top="267" w:right="579" w:bottom="1440" w:gutter="0" w:footer="0" w:header="0"/>
        </w:sectPr>
      </w:pPr>
    </w:p>
    <w:bookmarkStart w:id="267" w:name="page268"/>
    <w:bookmarkEnd w:id="267"/>
    <w:p>
      <w:pPr>
        <w:ind w:left="8"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2" w:lineRule="exact"/>
        <w:rPr>
          <w:sz w:val="20"/>
          <w:szCs w:val="20"/>
          <w:color w:val="auto"/>
        </w:rPr>
      </w:pPr>
    </w:p>
    <w:p>
      <w:pPr>
        <w:ind w:left="8" w:firstLine="974"/>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SECTION 2. AMOUNT AND TERMS OF COMMITMENTS</w:t>
      </w:r>
    </w:p>
    <w:p>
      <w:pPr>
        <w:spacing w:after="0" w:line="218" w:lineRule="exact"/>
        <w:rPr>
          <w:sz w:val="20"/>
          <w:szCs w:val="20"/>
          <w:color w:val="auto"/>
        </w:rPr>
      </w:pPr>
    </w:p>
    <w:p>
      <w:pPr>
        <w:ind w:left="8" w:right="20" w:firstLine="974"/>
        <w:spacing w:after="0" w:line="268"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Domestic Commitments</w:t>
      </w:r>
      <w:r>
        <w:rPr>
          <w:rFonts w:ascii="Times New Roman" w:cs="Times New Roman" w:eastAsia="Times New Roman" w:hAnsi="Times New Roman"/>
          <w:sz w:val="17"/>
          <w:szCs w:val="17"/>
          <w:color w:val="auto"/>
        </w:rPr>
        <w:t>. (a) Subject to the terms and conditions hereof, each Domestic Lender severally agrees to make (or cause its Applicable Lending Office to make) revolving loans (“</w:t>
      </w:r>
      <w:r>
        <w:rPr>
          <w:rFonts w:ascii="Times New Roman" w:cs="Times New Roman" w:eastAsia="Times New Roman" w:hAnsi="Times New Roman"/>
          <w:sz w:val="17"/>
          <w:szCs w:val="17"/>
          <w:u w:val="single" w:color="auto"/>
          <w:color w:val="auto"/>
        </w:rPr>
        <w:t>Domestic Loans</w:t>
      </w:r>
      <w:r>
        <w:rPr>
          <w:rFonts w:ascii="Times New Roman" w:cs="Times New Roman" w:eastAsia="Times New Roman" w:hAnsi="Times New Roman"/>
          <w:sz w:val="17"/>
          <w:szCs w:val="17"/>
          <w:color w:val="auto"/>
        </w:rPr>
        <w:t xml:space="preserve">”) in Dollars to the Company or any Domestic Subsidiary Borrower from time to time during the Commitment Period of such Domestic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after giving effect to such borrowing and the use of proceeds thereof,</w:t>
      </w:r>
    </w:p>
    <w:p>
      <w:pPr>
        <w:spacing w:after="0" w:line="1" w:lineRule="exact"/>
        <w:rPr>
          <w:sz w:val="20"/>
          <w:szCs w:val="20"/>
          <w:color w:val="auto"/>
        </w:rPr>
      </w:pPr>
    </w:p>
    <w:p>
      <w:pPr>
        <w:ind w:left="8" w:hanging="8"/>
        <w:spacing w:after="0" w:line="247" w:lineRule="auto"/>
        <w:tabs>
          <w:tab w:leader="none" w:pos="21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Domestic Extensions of Credit do not exceed the amount of such Lender’s Domestic Commitments, (ii) the Total Domestic Extensions of Credit shall not exceed the Total Domestic Commitments then in effect and (iii)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Term Benchmark Loans, Daily Simple SOFR Loans or ABR Loans or any combination of the foregoing, as determined by the Company or the relevant Domestic Subsidiary Borrower and notified to the Administrative Agent in accordance with Section 2.2 and 2.14.</w:t>
      </w:r>
    </w:p>
    <w:p>
      <w:pPr>
        <w:spacing w:after="0" w:line="187" w:lineRule="exact"/>
        <w:rPr>
          <w:rFonts w:ascii="Times New Roman" w:cs="Times New Roman" w:eastAsia="Times New Roman" w:hAnsi="Times New Roman"/>
          <w:sz w:val="18"/>
          <w:szCs w:val="18"/>
          <w:color w:val="auto"/>
        </w:rPr>
      </w:pPr>
    </w:p>
    <w:p>
      <w:pPr>
        <w:ind w:left="8" w:right="220" w:firstLine="966"/>
        <w:spacing w:after="0" w:line="274" w:lineRule="auto"/>
        <w:tabs>
          <w:tab w:leader="none" w:pos="1233"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64" w:lineRule="exact"/>
        <w:rPr>
          <w:sz w:val="20"/>
          <w:szCs w:val="20"/>
          <w:color w:val="auto"/>
        </w:rPr>
      </w:pPr>
    </w:p>
    <w:p>
      <w:pPr>
        <w:ind w:left="8" w:right="220" w:firstLine="974"/>
        <w:spacing w:after="0" w:line="264"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Procedure for Domestic Loan Borrowing</w:t>
      </w:r>
      <w:r>
        <w:rPr>
          <w:rFonts w:ascii="Times New Roman" w:cs="Times New Roman" w:eastAsia="Times New Roman" w:hAnsi="Times New Roman"/>
          <w:sz w:val="17"/>
          <w:szCs w:val="17"/>
          <w:color w:val="auto"/>
        </w:rPr>
        <w:t xml:space="preserve">. The Company and any Domestic Subsidiary Borrower may borrow under the Domestic Commitments during the applicable Commitment Period on any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or the relevant Domestic Subsidiary Borrower shall give the Administrative Agent a written Borrowing Request prior to (a) 1:00 p.m., New York City time, three U.S. Government Securities Business Days prior to the requested Borrowing Date, in the case of Term Benchmark Loans, (b) in the case of Daily Simple SOFR Loans, 11:00 a.m., New York City time, three U.S. Government Securities Business Days prior to the requested Borrowing Date or (c) 1:00 p.m., New York City time, on the date of the proposed borrowing, in the case of ABR Loans, specifying (i) the amount and Type of Domestic Loans to be borrowed,</w:t>
      </w:r>
    </w:p>
    <w:p>
      <w:pPr>
        <w:spacing w:after="0" w:line="3" w:lineRule="exact"/>
        <w:rPr>
          <w:sz w:val="20"/>
          <w:szCs w:val="20"/>
          <w:color w:val="auto"/>
        </w:rPr>
      </w:pPr>
    </w:p>
    <w:p>
      <w:pPr>
        <w:ind w:left="8" w:right="80" w:hanging="8"/>
        <w:spacing w:after="0" w:line="247" w:lineRule="auto"/>
        <w:tabs>
          <w:tab w:leader="none" w:pos="26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requested Borrowing Date and (iii) in the case of Term Benchmark Loans, the respective lengths of the initial Interest Period(s)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Term Benchmark Loan is specified in any such notice, then the Company or the relevant Domestic Subsidiary Borrower shall be deemed to have selected an Interest Period of one month’s duration. Each borrowing under the Domestic</w:t>
      </w:r>
    </w:p>
    <w:p>
      <w:pPr>
        <w:spacing w:after="0" w:line="12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88"/>
          </w:cols>
          <w:pgMar w:left="532" w:top="267" w:right="579" w:bottom="1440" w:gutter="0" w:footer="0" w:header="0"/>
        </w:sectPr>
      </w:pPr>
    </w:p>
    <w:bookmarkStart w:id="268" w:name="page269"/>
    <w:bookmarkEnd w:id="268"/>
    <w:p>
      <w:pPr>
        <w:ind w:left="8"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Commitments shall be in an amount equal to $25 million (or, if the Total Available Domestic Commitments at such time are less than $25 million, such lesser amount) or a whole multiple of $5 million in excess thereof. Upon receipt of any such notice from the Company or the relevant Domestic Subsidiary Borrower, the Administrative Agent shall promptly notify each Domestic Lender thereof. Each Domestic Lender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94" w:lineRule="exact"/>
        <w:rPr>
          <w:sz w:val="20"/>
          <w:szCs w:val="20"/>
          <w:color w:val="auto"/>
        </w:rPr>
      </w:pPr>
    </w:p>
    <w:p>
      <w:pPr>
        <w:ind w:left="8" w:right="20" w:firstLine="974"/>
        <w:spacing w:after="0" w:line="265"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Multicurrency Commitments.</w:t>
      </w:r>
      <w:r>
        <w:rPr>
          <w:rFonts w:ascii="Times New Roman" w:cs="Times New Roman" w:eastAsia="Times New Roman" w:hAnsi="Times New Roman"/>
          <w:sz w:val="17"/>
          <w:szCs w:val="17"/>
          <w:color w:val="auto"/>
        </w:rPr>
        <w:t xml:space="preserve"> (a) Subject to the terms and conditions hereof, each Multicurrency Lender severally agrees to make (or cause its Applicable Lending Office to make) revolving loans (“</w:t>
      </w:r>
      <w:r>
        <w:rPr>
          <w:rFonts w:ascii="Times New Roman" w:cs="Times New Roman" w:eastAsia="Times New Roman" w:hAnsi="Times New Roman"/>
          <w:sz w:val="17"/>
          <w:szCs w:val="17"/>
          <w:u w:val="single" w:color="auto"/>
          <w:color w:val="auto"/>
        </w:rPr>
        <w:t>Multicurrency Loans</w:t>
      </w:r>
      <w:r>
        <w:rPr>
          <w:rFonts w:ascii="Times New Roman" w:cs="Times New Roman" w:eastAsia="Times New Roman" w:hAnsi="Times New Roman"/>
          <w:sz w:val="17"/>
          <w:szCs w:val="17"/>
          <w:color w:val="auto"/>
        </w:rPr>
        <w:t xml:space="preserve">”) in Dollars or any Optional Currency to the Company, GMF or any Foreign Subsidiary Borrower from time to time during the Commitment Period of such Multicurrency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after giving effect to such borrowing and the use of proceeds thereof, (i) such Lender’s Multicurrency Extensions of Credit do not exceed the amount of such Lender’s Multicurrency Commitments, (ii) the Total Multicurrency Extensions of Credit shall not exceed the Total Multicurrency Commitments then in effect and</w:t>
      </w:r>
    </w:p>
    <w:p>
      <w:pPr>
        <w:spacing w:after="0" w:line="1" w:lineRule="exact"/>
        <w:rPr>
          <w:sz w:val="20"/>
          <w:szCs w:val="20"/>
          <w:color w:val="auto"/>
        </w:rPr>
      </w:pPr>
    </w:p>
    <w:p>
      <w:pPr>
        <w:ind w:left="8" w:right="80" w:hanging="8"/>
        <w:spacing w:after="0" w:line="247" w:lineRule="auto"/>
        <w:tabs>
          <w:tab w:leader="none" w:pos="31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Extensions of Credit shall not exceed the Total Commitments then in effect. During the 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Term Benchmark Loans or (if made to the Company and denominated in Dollars), Daily Simple SOFR Loans or ABR Loans, in each case, as notified to the Administrative Agent in accordance with Section 2.4 and 2.14.</w:t>
      </w:r>
    </w:p>
    <w:p>
      <w:pPr>
        <w:spacing w:after="0" w:line="189" w:lineRule="exact"/>
        <w:rPr>
          <w:rFonts w:ascii="Times New Roman" w:cs="Times New Roman" w:eastAsia="Times New Roman" w:hAnsi="Times New Roman"/>
          <w:sz w:val="18"/>
          <w:szCs w:val="18"/>
          <w:color w:val="auto"/>
        </w:rPr>
      </w:pPr>
    </w:p>
    <w:p>
      <w:pPr>
        <w:ind w:left="8" w:right="160" w:firstLine="966"/>
        <w:spacing w:after="0" w:line="274" w:lineRule="auto"/>
        <w:tabs>
          <w:tab w:leader="none" w:pos="123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64" w:lineRule="exact"/>
        <w:rPr>
          <w:rFonts w:ascii="Times New Roman" w:cs="Times New Roman" w:eastAsia="Times New Roman" w:hAnsi="Times New Roman"/>
          <w:sz w:val="18"/>
          <w:szCs w:val="18"/>
          <w:color w:val="auto"/>
        </w:rPr>
      </w:pPr>
    </w:p>
    <w:p>
      <w:pPr>
        <w:ind w:left="8" w:right="160" w:firstLine="966"/>
        <w:spacing w:after="0" w:line="260" w:lineRule="auto"/>
        <w:tabs>
          <w:tab w:leader="none" w:pos="122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the relevant Ancillary Facility Document(s), any Lender may make all or part of its Multicurrency Commitment available to any Ancillary Borrower as an Ancillary Facility. For the avoidance of doubt, any reference to a Multicurrency Loan, Loan or Letter of Credit shall not include any utilization of any Ancillary Facility.</w:t>
      </w:r>
    </w:p>
    <w:p>
      <w:pPr>
        <w:spacing w:after="0" w:line="176"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Procedure for Multicurrency Loan Borrowing</w:t>
      </w:r>
      <w:r>
        <w:rPr>
          <w:rFonts w:ascii="Times New Roman" w:cs="Times New Roman" w:eastAsia="Times New Roman" w:hAnsi="Times New Roman"/>
          <w:sz w:val="18"/>
          <w:szCs w:val="18"/>
          <w:color w:val="auto"/>
        </w:rPr>
        <w:t xml:space="preserve">. The Company and any relevant Subsidiary Borrower may borrow under the Multicurrency Commitments during the applicable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or the relevant Subsidiary Borrower shall deliver to the Administrative Agent (x) in the case of any Multicurrency Loan denominated in Dollars, a written Borrowing Request prior to (a) in the case of Term Benchmark Loans and Daily Simple SOFR Loans, 1:00 P.M., New York City time, three Business Days prior to the requested Borrowing Date or (b) 1:00 P.M., New York City time, on the date of the proposed borrowing, in the case of ABR Loans requested by the Company, (y) in the case of any Multicurrency Loan denominated in an Optional Currency (other than Japanese Yen), a written Borrowing Request prior to 1:00 P.M., London time, three Business Days prior to the requested Borrowing Date and (z) in the case of any Multicurrency Loan denominated in Japanese Yen, a written Borrowing Request prior to 1:00 P.M., London time, four Business Days prior to</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28"/>
          </w:cols>
          <w:pgMar w:left="532" w:top="267" w:right="5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requested Borrowing Date, in each case, specifying (a) the amount, Type and Currency of Multicurrency Loans to be borrowed, (b) the requested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Borrowing Date and (c) the respective lengths of the initial Interest Period(s) therefor, if applicable;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any such Borrowing Request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a Subsidiary Borrower shall include the written consent of the Company. If no election as to the Type of a Multicurrency Loan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in Dollars and requested by the Company is specified in any such notice, then the requested borrowing shall be a Daily Simple SOFR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If no Interest Period with respect to any Term Benchmark Loan is specified in any such notice, then the Company or the relevant Subsidiary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 shall be deemed to have selected an Interest Period of one month’s duration. Each borrowing under the Multicurrency Commitments shall 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amount that is an integral multiple of 5 million of the relevant Currency and no less than an amount which is equal to the Dollar Equivalent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million (or, if the Total Available Multicurrency Commitments are less than $25 million at such time, such lesser amount). Upon receipt of any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from the Company or the relevant Subsidiary Borrower, the Administrative Agent shall promptly notify each Multicurrency Lender holding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Multicurrency Commitments of such notice. Each Multicurrency Lender holding Multicurrency Commitments will make (or cause its Applicable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Lending Office to make) the amount of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each borrowing available to the Administrative Agent for the account of the Company 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relevant Subsidiary Borrower at the Funding Office prior to (x) in the case of any Multicurrency Loan denominated in Dollars, 1:00 P.M. (or, in the case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 ABR Loan requested on the proposed Borrowing Date, 3:00 P.M.), New York City time, on the Borrowing Date requested by the Company 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Subsidiary Borrower and (y) in the case of any Multicurrency Loan denominated in an Optional Currency, 2:00 P.M., London time, 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 Date requested by the Company or such Subsidiary Borrower in funds immediately available to the Administrative Agent. Such borrowing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then be made available to the Company or the relevant Subsidiary Borrower by the Administrative Agent crediting the account of the Company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relevant Subsidiary Borrower on the books of such office or such other account as the Company or relevant Subsidiary Borrower may specify to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with the aggregate of the amounts made available to the Administrative Agent by the applicable Multicurrency Lenders and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 funds as received by the Administrative Agent.</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L/C Tranche Commitments</w:t>
      </w:r>
      <w:r>
        <w:rPr>
          <w:rFonts w:ascii="Times New Roman" w:cs="Times New Roman" w:eastAsia="Times New Roman" w:hAnsi="Times New Roman"/>
          <w:sz w:val="18"/>
          <w:szCs w:val="18"/>
          <w:color w:val="auto"/>
        </w:rPr>
        <w:t>. (a) Subject to the terms and conditions hereof, each L/C Tranche Lender severally agrees to make (or cause its Applicable Lending Office to make) revolving loans (“</w:t>
      </w:r>
      <w:r>
        <w:rPr>
          <w:rFonts w:ascii="Times New Roman" w:cs="Times New Roman" w:eastAsia="Times New Roman" w:hAnsi="Times New Roman"/>
          <w:sz w:val="18"/>
          <w:szCs w:val="18"/>
          <w:u w:val="single" w:color="auto"/>
          <w:color w:val="auto"/>
        </w:rPr>
        <w:t>L/C Tranche Loans</w:t>
      </w:r>
      <w:r>
        <w:rPr>
          <w:rFonts w:ascii="Times New Roman" w:cs="Times New Roman" w:eastAsia="Times New Roman" w:hAnsi="Times New Roman"/>
          <w:sz w:val="18"/>
          <w:szCs w:val="18"/>
          <w:color w:val="auto"/>
        </w:rPr>
        <w:t xml:space="preserve">”) in Dollars or any Optional Currency to the Company or any Foreign Subsidiary Borrower from time to time during the Commitment Period of such L/C Tranche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 (i) such Lender’s L/C Tranche Extensions of Credit do not exceed the amount of such Lender’s L/C Tranche Commitments and (ii) the Total Extensions of Credit shall not exceed the Total Commitments then in effect. During the Commitment Period for the applicable L/C Tranche Lenders for the L/C Tranche Facility, the Company and any relevant Subsidiary Borrower may use the L/C Tranche Commitments by borrowing, prepaying the L/C Tranche Loans in whole or in part, and reborrowing, all in accordance with the terms and conditions hereof. The L/C Tranche Loans shall be Term Benchmark Loans or (if made to the Company and denominated in Dollars), Daily Simple SOFR Loans or ABR Loans, in each case, as notified to the Administrative Agent in accordance with Section 2.8 and 2.14.</w:t>
      </w:r>
    </w:p>
    <w:p>
      <w:pPr>
        <w:spacing w:after="0" w:line="190" w:lineRule="exact"/>
        <w:rPr>
          <w:sz w:val="20"/>
          <w:szCs w:val="20"/>
          <w:color w:val="auto"/>
        </w:rPr>
      </w:pPr>
    </w:p>
    <w:p>
      <w:pPr>
        <w:ind w:right="80" w:firstLine="966"/>
        <w:spacing w:after="0" w:line="274" w:lineRule="auto"/>
        <w:tabs>
          <w:tab w:leader="none" w:pos="12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L/C Tranche Loans of a Lender on the Termination Date for such Lender under the L/C Tranche Facility.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00"/>
          </w:cols>
          <w:pgMar w:left="540" w:top="267" w:right="559" w:bottom="1440" w:gutter="0" w:footer="0" w:header="0"/>
        </w:sectPr>
      </w:pPr>
    </w:p>
    <w:bookmarkStart w:id="270" w:name="page271"/>
    <w:bookmarkEnd w:id="270"/>
    <w:p>
      <w:pPr>
        <w:ind w:left="8" w:right="80" w:firstLine="97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2.8 </w:t>
      </w:r>
      <w:r>
        <w:rPr>
          <w:rFonts w:ascii="Times New Roman" w:cs="Times New Roman" w:eastAsia="Times New Roman" w:hAnsi="Times New Roman"/>
          <w:sz w:val="17"/>
          <w:szCs w:val="17"/>
          <w:u w:val="single" w:color="auto"/>
          <w:color w:val="auto"/>
        </w:rPr>
        <w:t>Procedure for L/C Tranche Loan Borrowing</w:t>
      </w:r>
      <w:r>
        <w:rPr>
          <w:rFonts w:ascii="Times New Roman" w:cs="Times New Roman" w:eastAsia="Times New Roman" w:hAnsi="Times New Roman"/>
          <w:sz w:val="17"/>
          <w:szCs w:val="17"/>
          <w:color w:val="auto"/>
        </w:rPr>
        <w:t xml:space="preserve">. The Company and any relevant Subsidiary Borrower may borrow under the L/C Tranche Commitments during the applicable Commitment Period on any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except in the case of a deemed request for an ABR Loan</w:t>
      </w:r>
    </w:p>
    <w:p>
      <w:pPr>
        <w:spacing w:after="0" w:line="1" w:lineRule="exact"/>
        <w:rPr>
          <w:sz w:val="20"/>
          <w:szCs w:val="20"/>
          <w:color w:val="auto"/>
        </w:rPr>
      </w:pPr>
    </w:p>
    <w:p>
      <w:pPr>
        <w:ind w:left="8" w:right="20" w:hanging="8"/>
        <w:spacing w:after="0" w:line="260" w:lineRule="auto"/>
        <w:tabs>
          <w:tab w:leader="none" w:pos="219"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the Reimbursement Date of a Reimbursement Obligation as contemplated by Section 3.5 and (ii) for payment of fees due pursuant to the L/C Fee Letter as contemplated by Section 3.3, the Company or the relevant Subsidiary Borrower shall deliver to the Administrative Agent (x) in the case of any L/C Tranche Loan denominated in Dollars, a written Borrowing Request prior to (a) in the case of Term Benchmark Loans and Daily Simple SOFR Loans, 1:00 P.M., New York City time, three Business Days prior to the requested Borrowing Date or (b) 1:00 P.M., New York City time, on the date of the proposed borrowing, in the case of ABR Loans requested by the Company, (y) in the case of any L/C Tranche Loan denominated in an Optional Currency (other than Japanese Yen), a written Borrowing Request prior to 1:00 P.M., London time, three Business Days prior to the requested Borrowing Date, and (z) in the case of any L/C Tranche Loan denominated in Japanese Yen, a written Borrowing Request prior to 1:00 P.M., London time, four Business Days prior to the requested Borrowing Date, in each case, specifying (a) the amount, Type and Currency of L/C Tranche Loans to be borrowed, (b) the requested Borrowing Date and (c) the respective lengths of the initial Interest Period(s) therefor, if applicable;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such Borrowing Request submitted by a Subsidiary Borrower shall include the written consent of the Company. If no election as to the Type of an L/C Tranche Loan denominated in Dollars and requested by the Company is specified in any such notice, then the requested borrowing shall be a Daily Simple SOFR Loan. If no Interest Period with respect to any Term Benchmark Loan is specified in any such notice, then the Company or the relevant Subsidiary Borrower shall be deemed to have selected an Interest Period of one month’s duration. Except as otherwise contemplated by Sections 3.3 and 3.5,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w:t>
      </w:r>
    </w:p>
    <w:p>
      <w:pPr>
        <w:spacing w:after="0" w:line="7" w:lineRule="exact"/>
        <w:rPr>
          <w:rFonts w:ascii="Times New Roman" w:cs="Times New Roman" w:eastAsia="Times New Roman" w:hAnsi="Times New Roman"/>
          <w:sz w:val="17"/>
          <w:szCs w:val="17"/>
          <w:color w:val="auto"/>
        </w:rPr>
      </w:pPr>
    </w:p>
    <w:p>
      <w:pPr>
        <w:ind w:left="8"/>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$50 million at such time, such lesser amount). Upon receipt of any such notice from the Company or the relevant Subsidiary Borrower (or, as provided in Sections 3.3 and 3.5, deemed notice), the Administrative Agent shall promptly notify each L/C Tranche Lender holding L/C Tranche Commitments of such notice. Each L/C Tranche Lender holding L/C Tranche Commitments will make (or cause its Applicable Lending Office to make) the amount of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each borrowing available to the Administrative Agent for the account of the Company or the relevant Subsidiary Borrower at the Funding Office prior to (x) in the case of any L/C Tranche Loan denominated in Dollars, 1:00 P.M. (or, in the case of an ABR Loan requested by the Company on the proposed Borrowing Date, 3:00 P.M.), New York City time, on the Borrowing Date requested by the Company or the relevant Subsidiary Borrower and (y) in the case of any L/C Tranche Loan denominated in an Optional Currency, 2:00 P.M., London time, on the Borrowing Date requested by the Company or such Subsidiary Borrower in funds immediately available to the Administrative Agent. Subject to Sections 3.3 and</w:t>
      </w:r>
    </w:p>
    <w:p>
      <w:pPr>
        <w:spacing w:after="0" w:line="3" w:lineRule="exact"/>
        <w:rPr>
          <w:rFonts w:ascii="Times New Roman" w:cs="Times New Roman" w:eastAsia="Times New Roman" w:hAnsi="Times New Roman"/>
          <w:sz w:val="17"/>
          <w:szCs w:val="17"/>
          <w:color w:val="auto"/>
        </w:rPr>
      </w:pPr>
    </w:p>
    <w:p>
      <w:pPr>
        <w:ind w:left="8" w:right="2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3.5 (where the proceeds of such borrowing shall be applied to repay fees due pursuant to the L/C Fee Letter or the related Reimbursement Obligation, as applicable),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L/C Tranche Lenders and in like funds as received by the Administrative Agent.</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80" w:firstLine="974"/>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Facility Fees, etc.</w:t>
      </w:r>
      <w:r>
        <w:rPr>
          <w:rFonts w:ascii="Times New Roman" w:cs="Times New Roman" w:eastAsia="Times New Roman" w:hAnsi="Times New Roman"/>
          <w:sz w:val="18"/>
          <w:szCs w:val="18"/>
          <w:color w:val="auto"/>
        </w:rPr>
        <w:t>. (a) The Company agrees to pay to the Administrative Agent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for the account of each Domestic Lender, Multicurrency Lender and L/C Tranche Lender (for the period from and including the Closing Date (or such later date as of which such Lender shall become a Lender under the Domestic Facility, the Multicurrency Facility or the L/C Tranche Facility, as applicable) to the date on which all Extensions of Credit of such Lender under such Facility</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08"/>
          </w:cols>
          <w:pgMar w:left="532" w:top="267" w:right="559" w:bottom="1440" w:gutter="0" w:footer="0" w:header="0"/>
        </w:sectPr>
      </w:pPr>
    </w:p>
    <w:bookmarkStart w:id="271" w:name="page272"/>
    <w:bookmarkEnd w:id="271"/>
    <w:p>
      <w:pPr>
        <w:ind w:right="1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have been paid in full (or Collateralized) and the Commitments of such Lender under such Facility have been terminated, computed at the Facility Fee Rate on the average daily amount of the Commitments of such Domestic Lender, Multicurrency Lender or L/C Tranche Lender, as applicable (whether used or unused) under such Facility, or, if such Commitments have been terminated, on the daily average Extensions of Credit of such Lender under such Facility during the related Fee Payment Period for which payment is made, payable in arrears on each Fee Payment Date (or, with respect to any such Facility Fee paid in respect of the L/C Tranche Facility, the later of (x) the related Fee Payment Date and (y) the date that is ten days after the Administrative Agent has provided the Company an invoice relating to such Fee Payment Period for such fees), commencing on the first such date to occur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any such Facility Fee paid in respect of the L/C Tranche Facility for any period shall be paid without duplication of any “Facility Fees” owing under the L/C Fee Letter with respect to such period.</w:t>
      </w:r>
    </w:p>
    <w:p>
      <w:pPr>
        <w:spacing w:after="0" w:line="185" w:lineRule="exact"/>
        <w:rPr>
          <w:sz w:val="20"/>
          <w:szCs w:val="20"/>
          <w:color w:val="auto"/>
        </w:rPr>
      </w:pPr>
    </w:p>
    <w:p>
      <w:pPr>
        <w:ind w:right="420" w:firstLine="966"/>
        <w:spacing w:after="0" w:line="274" w:lineRule="auto"/>
        <w:tabs>
          <w:tab w:leader="none" w:pos="12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or cause the Applicable Account Party to pay to the L/C Tranche Lenders, the Issuing Lenders or the Administrative Agent, as applicable, the fees in the amounts and on the dates as set forth in the L/C Fee Letter.</w:t>
      </w:r>
    </w:p>
    <w:p>
      <w:pPr>
        <w:spacing w:after="0" w:line="164" w:lineRule="exact"/>
        <w:rPr>
          <w:rFonts w:ascii="Times New Roman" w:cs="Times New Roman" w:eastAsia="Times New Roman" w:hAnsi="Times New Roman"/>
          <w:sz w:val="18"/>
          <w:szCs w:val="18"/>
          <w:color w:val="auto"/>
        </w:rPr>
      </w:pPr>
    </w:p>
    <w:p>
      <w:pPr>
        <w:ind w:left="1200" w:hanging="234"/>
        <w:spacing w:after="0"/>
        <w:tabs>
          <w:tab w:leader="none" w:pos="12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7" w:lineRule="exact"/>
        <w:rPr>
          <w:rFonts w:ascii="Times New Roman" w:cs="Times New Roman" w:eastAsia="Times New Roman" w:hAnsi="Times New Roman"/>
          <w:sz w:val="18"/>
          <w:szCs w:val="18"/>
          <w:color w:val="auto"/>
        </w:rPr>
      </w:pPr>
    </w:p>
    <w:p>
      <w:pPr>
        <w:ind w:right="320" w:firstLine="966"/>
        <w:spacing w:after="0" w:line="274" w:lineRule="auto"/>
        <w:tabs>
          <w:tab w:leader="none" w:pos="12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Administrative Agent the fees in the amounts and on the dates as set forth in the Administrative Agent Fee Letter, dated as of January 25, 2023 between the Company and the Administrative Agent.</w:t>
      </w:r>
    </w:p>
    <w:p>
      <w:pPr>
        <w:spacing w:after="0" w:line="164" w:lineRule="exact"/>
        <w:rPr>
          <w:rFonts w:ascii="Times New Roman" w:cs="Times New Roman" w:eastAsia="Times New Roman" w:hAnsi="Times New Roman"/>
          <w:sz w:val="18"/>
          <w:szCs w:val="18"/>
          <w:color w:val="auto"/>
        </w:rPr>
      </w:pPr>
    </w:p>
    <w:p>
      <w:pPr>
        <w:ind w:right="20" w:firstLine="966"/>
        <w:spacing w:after="0" w:line="274" w:lineRule="auto"/>
        <w:tabs>
          <w:tab w:leader="none" w:pos="121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payments of fees in respect of any Ancillary Facility will be agreed by the relevant Ancillary Lender and the applicable Foreign Subsidiary under such Ancillary Facility.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Termination, Reduction and Reallocation of Commitments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66"/>
        <w:spacing w:after="0" w:line="248" w:lineRule="auto"/>
        <w:tabs>
          <w:tab w:leader="none" w:pos="121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upon not less than three Business Days’ notice to the Administrative Agent, to terminate the Commitments under any Facility or, from time to time, to reduce the amount of Commitments under any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such Commitments shall be permitted if, after giving effect thereto and to any prepayments of the Loans (if applicable) made on the effective date thereof, (w) the Total Domestic Extensions of Credit would exceed the Total Domestic Commitments then in effect, (x) the Domestic Extensions of Credit of any Lender would exceed such Lender’s Domestic Commitment then in effect, (y) the Total L/C Tranche Extensions of Credit would exceed the Total L/C Tranche Commitments then in effect, or (z) the Total Multicurrency Extensions of Credit would exceed the Total Multicurrency Commitments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2.11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80"/>
          </w:cols>
          <w:pgMar w:left="540" w:top="267" w:right="579" w:bottom="1440" w:gutter="0" w:footer="0" w:header="0"/>
        </w:sectPr>
      </w:pPr>
    </w:p>
    <w:bookmarkStart w:id="272" w:name="page273"/>
    <w:bookmarkEnd w:id="272"/>
    <w:p>
      <w:pPr>
        <w:ind w:left="8" w:firstLine="966"/>
        <w:spacing w:after="0" w:line="247" w:lineRule="auto"/>
        <w:tabs>
          <w:tab w:leader="none" w:pos="1233"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The Company shall have the right, upon not less than three Business Days’ notice to the Administrative Agent, to require the Lenders under the Multicurrency Facility or L/C Tranche Facility, as applicable, to reallocate the Multicurrency Commitments or L/C Tranche Commitments, as applicable, to the Domestic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(y) in the case of a reallocation of L/C Tranche Commitments, the Total L/C Tranche Extensions of Credit shall not exceed the Total L/C Tranche Commitments then in effect. Except as provided in Section 2.24, any such reallocation shall be in an amount equal to $25 million or a whole multiple of $1 million in excess thereof. Any such reallocation shall reduce the Multicurrency Commitments or L/C Tranche Commitments, as applicable, of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their existing Multicurrency Commitments or L/C Tranche Commitments, as applicable, at such time and increase such Lender’s Domestic Commitment by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reallocation would result in amounts being payable by the Company or any Subsidiary Borrower to any Lender under Section 2.20 or 2.21, such Lender shall use reasonable efforts (subject to Section 2.23)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2.22 as a result of such prepayment.</w:t>
      </w:r>
    </w:p>
    <w:p>
      <w:pPr>
        <w:spacing w:after="0" w:line="198" w:lineRule="exact"/>
        <w:rPr>
          <w:rFonts w:ascii="Times New Roman" w:cs="Times New Roman" w:eastAsia="Times New Roman" w:hAnsi="Times New Roman"/>
          <w:sz w:val="18"/>
          <w:szCs w:val="18"/>
          <w:color w:val="auto"/>
        </w:rPr>
      </w:pPr>
    </w:p>
    <w:p>
      <w:pPr>
        <w:ind w:left="8" w:firstLine="966"/>
        <w:spacing w:after="0" w:line="265" w:lineRule="auto"/>
        <w:tabs>
          <w:tab w:leader="none" w:pos="1223"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may at any time or from time to time after the Closing Date, by notice to the Administrative Agent and the Lenders, request that one or more of the Lenders under the Domestic Facility or L/C Tranche Facility, as applicable, reallocate a portion of their respective Domestic Commitments or L/C Tranche Commitments, as applicable, to the Multicurrency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giving effect to any such reallocation and any prepayment of the Domestic Loans or L/C Tranche Loans, as applicable (which, notwithstanding anything to the contrary contained herein, may include a non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prepayment of the Lenders agreeing to such reallocation), (i) in the case of a reallocation of Domestic Commitments,</w:t>
      </w:r>
    </w:p>
    <w:p>
      <w:pPr>
        <w:spacing w:after="0" w:line="1" w:lineRule="exact"/>
        <w:rPr>
          <w:rFonts w:ascii="Times New Roman" w:cs="Times New Roman" w:eastAsia="Times New Roman" w:hAnsi="Times New Roman"/>
          <w:sz w:val="17"/>
          <w:szCs w:val="17"/>
          <w:color w:val="auto"/>
        </w:rPr>
      </w:pPr>
    </w:p>
    <w:p>
      <w:pPr>
        <w:ind w:left="8" w:right="20" w:hanging="8"/>
        <w:spacing w:after="0" w:line="246" w:lineRule="auto"/>
        <w:tabs>
          <w:tab w:leader="none" w:pos="29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Domestic Extensions of Credit shall not exceed the Total Domestic Commitments then in effect and (B) the Domestic Extensions of Credit of any Lender shall not exceed the amount of such Lender’s Domestic Commitments then in effect and (ii) in the case of a reallocation of L/C Tranche Commitments, the Total L/C Tranche Extensions of Credit shall not exceed the Total L/C Tranche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or the L/C Tranche Lenders, as applicable, to such reallocation. The relevant Lenders agreeing to reallocate a portion of their Domestic Commitments or L/C Tranche Commitments, as applicable, to the Multicurrency Facility shall have such portion of their Domestic Commitment or L/C Tranche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2.22 as a result of such prepayment(s). Notwithstanding anything in this clause (c) to the contrary, no Domestic Lender or L/C Tranche Lender, as applicable, shall be obligated to reallocate any portion of its Domestic Commitments or L/C Tranche Commitments, as applicable, to the Multicurrency Facility unless such Lender agrees.</w:t>
      </w:r>
    </w:p>
    <w:p>
      <w:pPr>
        <w:spacing w:after="0" w:line="1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08"/>
          </w:cols>
          <w:pgMar w:left="532" w:top="267" w:right="559" w:bottom="1440" w:gutter="0" w:footer="0" w:header="0"/>
        </w:sectPr>
      </w:pPr>
    </w:p>
    <w:bookmarkStart w:id="273" w:name="page274"/>
    <w:bookmarkEnd w:id="273"/>
    <w:p>
      <w:pPr>
        <w:ind w:firstLine="966"/>
        <w:spacing w:after="0" w:line="262" w:lineRule="auto"/>
        <w:tabs>
          <w:tab w:leader="none" w:pos="1224"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The Company may at any time or from time to time after the Closing Date, by notice to the Administrative Agent and the Lenders, request that one or more of the Lenders under the Domestic Facility or Multicurrency Facility, as applicable, reallocate a portion of their respective Domestic Commitments or Multicurrency Commitments, as applicable, to the L/C Tranche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after giving effect to any such reallocation and any prepayment of the Domestic Loans or Multicurrency Loans, as applicable (which, notwithstanding anything to the contrary contained herein, may include a non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prepayment of the Lenders agreeing to such reallocation), (x)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and (y)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(ii) such reallocation shall have been consented to by each Material Issuing Lender to the extent such consent would be required for an assignment to such Lender pursuant to Section 10.6(b). Each notice from the Company pursuant to this paragraph (d) shall set forth the requested amount of such reallocation and date of such reallocation (which shall be at least three Business Days after the date of such request) and shall also set forth the agreement of the relevant Domestic Lenders or the Multicurrency Lenders, as applicable, to such reallocation. The relevant Lenders agreeing to reallocate a portion of their Domestic Commitments or Multicurrency Commitments, as applicable, to the L/C Tranche Facility shall have such portion of their Domestic Commitments or Multicurrency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L/C Tranche Loans of the other L/C Tranche Lenders, the L/C Tranche Loans to be held ratably by all L/C Tranche Lenders in accordance with their respective L/C Tranche Commitments after giving effect to such reallocation, (ii) the Company and any relevant Subsidiary Borrower shall be deemed to have prepaid and reborrowed all outstanding L/C Tranche Loans and (iii) the Company and any relevant Subsidiary Borrower shall pay to the relevant Lenders the amounts, if any, payable under Section 2.22 as a result of such prepayment(s). Notwithstanding anything in this clause (d) to the contrary, no Domestic Lender or Multicurrency Lender, as applicable, shall be obligated to reallocate any portion of its Domestic Commitments or Multicurrency Commitments, as applicable, to the L/C Tranche Facility unless such Lender agrees.</w:t>
      </w:r>
    </w:p>
    <w:p>
      <w:pPr>
        <w:spacing w:after="0" w:line="399" w:lineRule="exact"/>
        <w:rPr>
          <w:sz w:val="20"/>
          <w:szCs w:val="20"/>
          <w:color w:val="auto"/>
        </w:rPr>
      </w:pPr>
    </w:p>
    <w:p>
      <w:pPr>
        <w:ind w:firstLine="974"/>
        <w:spacing w:after="0" w:line="265"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Optional Prepayments</w:t>
      </w:r>
      <w:r>
        <w:rPr>
          <w:rFonts w:ascii="Times New Roman" w:cs="Times New Roman" w:eastAsia="Times New Roman" w:hAnsi="Times New Roman"/>
          <w:sz w:val="17"/>
          <w:szCs w:val="17"/>
          <w:color w:val="auto"/>
        </w:rPr>
        <w:t xml:space="preserve">. The Company and any relevant Subsidiary Borrower may at any time and from time to time prepay the Loans, in whole or in part, without premium or penalty, upon irrevocable notice delivered to the Administrative Agent no later than (x) with respect to Domestic Loans, (i) 1:00 p.m., New York City time, three Business Days prior thereto, in the case of Term Benchmark Loans and Daily Simple SOFR Loans and (ii) 1:00 P.M., New York City time, on the day of such prepayment, in the case of ABR Loans, (y) with respect to L/C Tranche Loans and Multicurrency Loans (other than L/C Tranche Loans and Multicurrency Loans denominated in Japanese Yen), 11:00 A.M., London time, three Business Days prior thereto and (z) respect to L/C Tranche Loans and Multicurrency Loans denominated in Japanese Yen, 11:00 A.M., London time, four Business Days prior thereto, in each case which notice shall specify the applicable Facility, the date and amount of prepayment and whether the prepayment is of Term Benchmark Loans, ABR Loans or Daily Simple SOFR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Term Benchmark Loan is prepaid on any day other than the last day of the Interest Period applicable thereto, the Company or the relevant Subsidiary Borrower shall also pay any amounts owing pursuant to Section 2.22;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notice to prepay the Loans delivered by the Company may state that such notice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-869950</wp:posOffset>
            </wp:positionV>
            <wp:extent cx="209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955"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00"/>
          </w:cols>
          <w:pgMar w:left="540" w:top="267" w:right="559" w:bottom="1440" w:gutter="0" w:footer="0" w:header="0"/>
        </w:sectPr>
      </w:pPr>
    </w:p>
    <w:bookmarkStart w:id="274" w:name="page275"/>
    <w:bookmarkEnd w:id="274"/>
    <w:p>
      <w:pPr>
        <w:ind w:right="10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units of the Currency of such Loan and no less than the Dollar Equivalent of $25 million.</w:t>
      </w:r>
    </w:p>
    <w:p>
      <w:pPr>
        <w:spacing w:after="0" w:line="185" w:lineRule="exact"/>
        <w:rPr>
          <w:sz w:val="20"/>
          <w:szCs w:val="20"/>
          <w:color w:val="auto"/>
        </w:rPr>
      </w:pPr>
    </w:p>
    <w:p>
      <w:pPr>
        <w:ind w:right="320" w:firstLine="974"/>
        <w:spacing w:after="0" w:line="269" w:lineRule="auto"/>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u w:val="single" w:color="auto"/>
          <w:color w:val="auto"/>
        </w:rPr>
        <w:t>Mandatory Prepayments</w:t>
      </w:r>
      <w:r>
        <w:rPr>
          <w:rFonts w:ascii="Times New Roman" w:cs="Times New Roman" w:eastAsia="Times New Roman" w:hAnsi="Times New Roman"/>
          <w:sz w:val="17"/>
          <w:szCs w:val="17"/>
          <w:color w:val="auto"/>
        </w:rPr>
        <w:t xml:space="preserve">. (a) 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failure of the Administrative Agent to determine the Total Multicurrency Extensions of Credit as provided in this Section 2.13(a) shall not subject the Administrative Agent to any liability hereunder.</w:t>
      </w:r>
    </w:p>
    <w:p>
      <w:pPr>
        <w:spacing w:after="0" w:line="171" w:lineRule="exact"/>
        <w:rPr>
          <w:sz w:val="20"/>
          <w:szCs w:val="20"/>
          <w:color w:val="auto"/>
        </w:rPr>
      </w:pPr>
    </w:p>
    <w:p>
      <w:pPr>
        <w:ind w:right="100" w:firstLine="966"/>
        <w:spacing w:after="0" w:line="251" w:lineRule="auto"/>
        <w:tabs>
          <w:tab w:leader="none" w:pos="12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Fee Payment Date, the Administrative Agent shall determine the Total L/C Tranche Extensions of Credit as of the last day of the related Fee Payment Period. If, as of the last day of any Fee Payment Period, the Total L/C Tranche Extensions of Credit exceeds the Total L/C Tranche Commitments then in effect by 5% or more, then the Administrative Agent shall notify the Company and, within five Business Days of such notice, the Company or the relevant Subsidiary Borrower shall prepay L/C Tranche Loans or Collateralize outstanding Letters of Credit in an aggregate principal or face amount at least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the Administrative Agent to determine the Total L/C Tranche Extensions of Credit as provided in this Section 2.13(b) shall not subject the Administrative Agent to any liability hereunder.</w:t>
      </w:r>
    </w:p>
    <w:p>
      <w:pPr>
        <w:spacing w:after="0" w:line="187"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Conversion and Continuation Options(a)</w:t>
      </w:r>
      <w:r>
        <w:rPr>
          <w:rFonts w:ascii="Times New Roman" w:cs="Times New Roman" w:eastAsia="Times New Roman" w:hAnsi="Times New Roman"/>
          <w:sz w:val="18"/>
          <w:szCs w:val="18"/>
          <w:color w:val="auto"/>
        </w:rPr>
        <w:t xml:space="preserve"> . (a) The Company or any Subsidiary Borrower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Benchmark Loans that is not made on the last day of an Interest Period with respect thereto shall be subject to Section 2.20. The Company or any Subsidiary Borrower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or any Subsidiary Borrower may elect from time to time to convert ABR Loans or Daily Simple SOFR Loans to Term Benchmark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ABR Loan may be converted into a Term Benchmark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00"/>
          </w:cols>
          <w:pgMar w:left="540" w:top="267" w:right="559" w:bottom="1440" w:gutter="0" w:footer="0" w:header="0"/>
        </w:sectPr>
      </w:pPr>
    </w:p>
    <w:bookmarkStart w:id="275" w:name="page276"/>
    <w:bookmarkEnd w:id="275"/>
    <w:p>
      <w:pPr>
        <w:ind w:firstLine="966"/>
        <w:spacing w:after="0" w:line="248" w:lineRule="auto"/>
        <w:tabs>
          <w:tab w:leader="none" w:pos="122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Any Term Benchmark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Term Benchmark Loan denominated in Dollars under the relevant Facility shall be converted to an ABR Loan at the end of the Interest Period applicable thereto and (ii) each Term Benchmark Loan denominated in an Optional Currency under the applicable Facility shall be converted at the end of the Interest Period applicable thereto to a Term Benchmark Loan with an Interest Period of one month;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or such Subsidiary Borrower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91"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Limitations on Term Benchmark Tranches and Daily Simple SOFR Borrowings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no more than 30 Term Benchmark Tranches shall be outstanding at any one time. Notwithstanding anything to the contrary in this Agreement, all borrowings, conversions and continuations of Daily Simple SOFR Loans shall be in such amounts and be made pursuant to such elections so that no more than 10 Daily Simple SOFR Borrowings shall be outstanding at any one time.</w:t>
      </w:r>
    </w:p>
    <w:p>
      <w:pPr>
        <w:spacing w:after="0" w:line="182"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 xml:space="preserve">. (a) Each (w) Term Benchmark Loan denominated in Dollars shall bear interest for each day during each Interest Period with respect thereto at a rate per annum equal to the Adjusted Term SOFR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(x) Term Benchmark Loan denominated in Euro shall bear interest for each day during each Interest Period with respect thereto at a rate per annum equal to the Adjusted EURIBOR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(y) Term Benchmark Loan denominated in Japanese Yen shall bear interest for each day during each Interest Period with respect thereto at a rate per annum equal to the Adjusted TIBOR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 (z) Daily Simple SOFR Loan shall bear interest for each day at a rate per annum equal to the Adjusted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87" w:lineRule="exact"/>
        <w:rPr>
          <w:sz w:val="20"/>
          <w:szCs w:val="20"/>
          <w:color w:val="auto"/>
        </w:rPr>
      </w:pPr>
    </w:p>
    <w:p>
      <w:pPr>
        <w:ind w:left="1220" w:hanging="254"/>
        <w:spacing w:after="0"/>
        <w:tabs>
          <w:tab w:leader="none" w:pos="12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ABR Loan shall bear interest at a rate per annum equal to the ABR plus the Applicable Margin.</w:t>
      </w:r>
    </w:p>
    <w:p>
      <w:pPr>
        <w:spacing w:after="0" w:line="217" w:lineRule="exact"/>
        <w:rPr>
          <w:rFonts w:ascii="Times New Roman" w:cs="Times New Roman" w:eastAsia="Times New Roman" w:hAnsi="Times New Roman"/>
          <w:sz w:val="18"/>
          <w:szCs w:val="18"/>
          <w:color w:val="auto"/>
        </w:rPr>
      </w:pPr>
    </w:p>
    <w:p>
      <w:pPr>
        <w:ind w:firstLine="966"/>
        <w:spacing w:after="0" w:line="249" w:lineRule="auto"/>
        <w:tabs>
          <w:tab w:leader="none" w:pos="121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2.16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or (y) in the case of Reimbursement Obligations, the rate applicable to ABR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Reimbursement Obligation or any Facility Fee payable hereunder or any fees payable pursuant to the L/C Fee Letter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(after as well as before judgment).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00"/>
          </w:cols>
          <w:pgMar w:left="540" w:top="267" w:right="559" w:bottom="1440" w:gutter="0" w:footer="0" w:header="0"/>
        </w:sectPr>
      </w:pPr>
    </w:p>
    <w:bookmarkStart w:id="276" w:name="page277"/>
    <w:bookmarkEnd w:id="276"/>
    <w:p>
      <w:pPr>
        <w:ind w:right="120" w:firstLine="966"/>
        <w:spacing w:after="0" w:line="274" w:lineRule="auto"/>
        <w:tabs>
          <w:tab w:leader="none" w:pos="12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2.16(c) shall be payable from time to time on demand.</w:t>
      </w:r>
    </w:p>
    <w:p>
      <w:pPr>
        <w:spacing w:after="0" w:line="164" w:lineRule="exact"/>
        <w:rPr>
          <w:rFonts w:ascii="Times New Roman" w:cs="Times New Roman" w:eastAsia="Times New Roman" w:hAnsi="Times New Roman"/>
          <w:sz w:val="18"/>
          <w:szCs w:val="18"/>
          <w:color w:val="auto"/>
        </w:rPr>
      </w:pPr>
    </w:p>
    <w:p>
      <w:pPr>
        <w:ind w:right="60" w:firstLine="966"/>
        <w:spacing w:after="0" w:line="274" w:lineRule="auto"/>
        <w:tabs>
          <w:tab w:leader="none" w:pos="12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payments of interest in respect of any Ancillary Facility will be agreed by the relevant Ancillary Lender and the applicable Ancillary Borrower under such Ancillary Facility.</w:t>
      </w:r>
    </w:p>
    <w:p>
      <w:pPr>
        <w:spacing w:after="0" w:line="164" w:lineRule="exact"/>
        <w:rPr>
          <w:rFonts w:ascii="Times New Roman" w:cs="Times New Roman" w:eastAsia="Times New Roman" w:hAnsi="Times New Roman"/>
          <w:sz w:val="18"/>
          <w:szCs w:val="18"/>
          <w:color w:val="auto"/>
        </w:rPr>
      </w:pPr>
    </w:p>
    <w:p>
      <w:pPr>
        <w:ind w:left="1180" w:hanging="214"/>
        <w:spacing w:after="0"/>
        <w:tabs>
          <w:tab w:leader="none" w:pos="11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paid in the Currency in which the Loan giving rise to such interest is denominated.</w:t>
      </w:r>
    </w:p>
    <w:p>
      <w:pPr>
        <w:spacing w:after="0" w:line="218"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(a) Interest and fees payable pursuant hereto shall be calculated on the basis of a 360-day year for the actual days elapsed, except that interest computed by reference to (x) ABR at times when ABR is based on the Prime Rate and (y) the TIBOR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EURIBOR Rate, EURIBOR Rate, Adjusted TIBOR Rate, TIBOR Rate, Adjusted Daily Simple SOFR Rate or Daily Simple SOFR shall be determined by the Administrative Agent, and such determination shall be conclusive absent manifest error. The Administrative Agent shall as soon as practicable notify the Company or relevant Subsidiary Borrower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Lenders of each determination of a Relevant Rate. Any change in the interest rate resulting from a change in the ABR or the Statutory Reserve Rate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191" w:lineRule="exact"/>
        <w:rPr>
          <w:sz w:val="20"/>
          <w:szCs w:val="20"/>
          <w:color w:val="auto"/>
        </w:rPr>
      </w:pPr>
    </w:p>
    <w:p>
      <w:pPr>
        <w:ind w:right="20" w:firstLine="966"/>
        <w:spacing w:after="0" w:line="304" w:lineRule="auto"/>
        <w:tabs>
          <w:tab w:leader="none" w:pos="1224"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at the request of the Company or any Subsidiary Borrower, deliver to the Company or such Subsidiary Borrower a statement showing the quotations used by the Administrative Agent in determining any interest rate pursuant to this Section 2.17.</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Inability to Determine Interest Rate; Illegality</w:t>
      </w:r>
      <w:r>
        <w:rPr>
          <w:rFonts w:ascii="Times New Roman" w:cs="Times New Roman" w:eastAsia="Times New Roman" w:hAnsi="Times New Roman"/>
          <w:sz w:val="18"/>
          <w:szCs w:val="18"/>
          <w:color w:val="auto"/>
        </w:rPr>
        <w:t>. (a) Subject to clauses (b), (c), (d), (e) and (f) of this Section 2.18, if:</w:t>
      </w:r>
    </w:p>
    <w:p>
      <w:pPr>
        <w:spacing w:after="0" w:line="218" w:lineRule="exact"/>
        <w:rPr>
          <w:sz w:val="20"/>
          <w:szCs w:val="20"/>
          <w:color w:val="auto"/>
        </w:rPr>
      </w:pPr>
    </w:p>
    <w:p>
      <w:pPr>
        <w:ind w:left="960" w:right="20" w:firstLine="400"/>
        <w:spacing w:after="0" w:line="251" w:lineRule="auto"/>
        <w:tabs>
          <w:tab w:leader="none" w:pos="156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EURIBOR Rate, the EURIBOR Rate, the Adjusted TIBOR Rate or the TIBOR Rate, as applicable (including because the Relevant Screen Rate is not available or published on a current basis), for the applicable Optional Currency and such Interest Period or (B) at any time, that adequate and reasonable means do not exist for ascertaining the applicable Adjusted Daily Simple SOFR or Daily Simple SOFR;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00"/>
          </w:cols>
          <w:pgMar w:left="540" w:top="267" w:right="559" w:bottom="1440" w:gutter="0" w:footer="0" w:header="0"/>
        </w:sectPr>
      </w:pPr>
    </w:p>
    <w:bookmarkStart w:id="277" w:name="page278"/>
    <w:bookmarkEnd w:id="277"/>
    <w:p>
      <w:pPr>
        <w:ind w:left="968" w:right="20" w:firstLine="400"/>
        <w:spacing w:after="0" w:line="251" w:lineRule="auto"/>
        <w:tabs>
          <w:tab w:leader="none" w:pos="162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Administrative Agent is advised by the Required Lenders that (A) prior to the commencement of any Interest Period for a Term Benchmark Borrowing, the Adjusted Term SOFR Rate, Term SOFR Rate, the Adjusted EURIBOR Rate, the EURIBOR Rate, the Adjusted TIBOR Rate or the TIBOR Rate, as applicable, for the applicable Optional Currency and such Interest Period will not adequately and fairly reflect the cost to such Lenders of making or maintaining their Loans included in such Borrowing for the applicable Optional Currency and such Interest Period or (B) at any time, Adjusted Daily Simple SOFR will not adequately and fairly reflect the cost to such Lenders (or Lender) of making or maintaining their Loans (or its Loan) included in such Borrowing;</w:t>
      </w:r>
    </w:p>
    <w:p>
      <w:pPr>
        <w:spacing w:after="0" w:line="187" w:lineRule="exact"/>
        <w:rPr>
          <w:sz w:val="20"/>
          <w:szCs w:val="20"/>
          <w:color w:val="auto"/>
        </w:rPr>
      </w:pPr>
    </w:p>
    <w:p>
      <w:pPr>
        <w:ind w:left="8"/>
        <w:spacing w:after="0" w:line="262" w:lineRule="auto"/>
        <w:rPr>
          <w:sz w:val="20"/>
          <w:szCs w:val="20"/>
          <w:color w:val="auto"/>
        </w:rPr>
      </w:pPr>
      <w:r>
        <w:rPr>
          <w:rFonts w:ascii="Times New Roman" w:cs="Times New Roman" w:eastAsia="Times New Roman" w:hAnsi="Times New Roman"/>
          <w:sz w:val="17"/>
          <w:szCs w:val="17"/>
          <w:color w:val="auto"/>
        </w:rPr>
        <w:t>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relevant Borrower delivers a new Interest Election Request in accordance with the terms of Section 2.14 or a new Borrowing Request in accordance with the terms of Section 2.2,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2.18(a)(i) or (ii) above or (y) an ABR Borrowing if the Adjusted Daily Simple SOFR also is the subject of Section 2.18(a)(i) or (ii) above and (2) any Borrowing Request that requests a Daily Simple SOFR Borrowing shall instead be deemed to be a Borrowing Request for an ABR Borrowing and (B) for Loans denominated in an Optional Currency, any Interest Election Request that requests the conversion of any Borrowing to, or continuation of any Borrowing as, a Term Benchmark Borrowing and any Borrowing Request that requests a Term Benchmark Borrowing for the relevant Benchmark, shall be ineffective; provided that if the circumstances giving rise to such notice affect only one Type of Borrowings, then all other Types of Borrowings shall be permitted. Furthermore, if any Term Benchmark Loan in any Optional Currency is outstanding on the date of the Company’s receipt of the notice from the Administrative Agent referred to in this Section 2.18(a) with respect to a Relevant Rate applicable to such Term Benchmark Loan, then until (x) the Administrative Agent notifies the Company and the Lenders that the circumstances giving rise to such notice no longer exist with respect to the relevant Benchmark and (y) the relevant Borrower delivers a new Interest Election Request in accordance with the terms of Section 2.16 or a new Borrowing Request in accordance with the terms of Section 2.2, (A) for Loans denominated in Dollars, (1) any Term Benchmark Loan shall on the last day of the Interest Period applicable to such Loan, be converted by the Administrative Agent to, and shall constitute, (x) a Daily Simple SOFR Borrowing so long as the Adjusted Daily Simple SOFR is not also the subject of Section 2.18(a)(i) or (ii) above or (y) an ABR Loan if the Adjusted Daily Simple SOFR also is the subject of Section 2.18(a)(i) or (ii) above, on such day and (2) any Daily Simple SOFR Loans shall on and from such day be converted by the Administrative Agent to, and shall constitute an, ABR Loan and (B) for Loans denominated in an Optional Currency, any Term Benchmark Loan shall, on the last day of the Interest Period applicable to such Loan bear interest at the Central Bank Rate (or in the case of Japanese Yen, the Japanese Prime Rate) for the applicable Optional Currency plus the CBR Spread; provided that, if the Administrative Agent determines (which determination shall be conclusive and binding absent manifest error) that the Central Bank Rate (or in the case of Japanese Yen, the Japanese Prime Rate) for the applicable Optional Currency cannot be determined, any outstanding affected Term Benchmark Loans denominated in any Optional Currency shall, at the applicable Borrower’s election prior to such day:</w:t>
      </w:r>
    </w:p>
    <w:p>
      <w:pPr>
        <w:spacing w:after="0" w:line="203" w:lineRule="exact"/>
        <w:rPr>
          <w:sz w:val="20"/>
          <w:szCs w:val="20"/>
          <w:color w:val="auto"/>
        </w:rPr>
      </w:pPr>
    </w:p>
    <w:p>
      <w:pPr>
        <w:jc w:val="both"/>
        <w:ind w:left="8" w:right="120" w:hanging="8"/>
        <w:spacing w:after="0" w:line="249" w:lineRule="auto"/>
        <w:tabs>
          <w:tab w:leader="none" w:pos="29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prepaid by 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08"/>
          </w:cols>
          <w:pgMar w:left="532" w:top="267" w:right="559" w:bottom="1440" w:gutter="0" w:footer="0" w:header="0"/>
        </w:sectPr>
      </w:pPr>
    </w:p>
    <w:bookmarkStart w:id="278" w:name="page279"/>
    <w:bookmarkEnd w:id="278"/>
    <w:p>
      <w:pPr>
        <w:ind w:left="8" w:firstLine="966"/>
        <w:spacing w:after="0" w:line="269" w:lineRule="auto"/>
        <w:tabs>
          <w:tab w:leader="none" w:pos="1233"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1" w:lineRule="exact"/>
        <w:rPr>
          <w:rFonts w:ascii="Times New Roman" w:cs="Times New Roman" w:eastAsia="Times New Roman" w:hAnsi="Times New Roman"/>
          <w:sz w:val="17"/>
          <w:szCs w:val="17"/>
          <w:color w:val="auto"/>
        </w:rPr>
      </w:pPr>
    </w:p>
    <w:p>
      <w:pPr>
        <w:jc w:val="both"/>
        <w:ind w:left="8" w:right="120" w:firstLine="966"/>
        <w:spacing w:after="0" w:line="255" w:lineRule="auto"/>
        <w:tabs>
          <w:tab w:leader="none" w:pos="1223"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1" w:lineRule="exact"/>
        <w:rPr>
          <w:rFonts w:ascii="Times New Roman" w:cs="Times New Roman" w:eastAsia="Times New Roman" w:hAnsi="Times New Roman"/>
          <w:sz w:val="18"/>
          <w:szCs w:val="18"/>
          <w:color w:val="auto"/>
        </w:rPr>
      </w:pPr>
    </w:p>
    <w:p>
      <w:pPr>
        <w:ind w:left="1228" w:hanging="254"/>
        <w:spacing w:after="0"/>
        <w:tabs>
          <w:tab w:leader="none" w:pos="1228"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will promptly notify the Company and the Lenders of (i) any occurrence of a Benchmark Transition Event,</w:t>
      </w:r>
    </w:p>
    <w:p>
      <w:pPr>
        <w:spacing w:after="0" w:line="36" w:lineRule="exact"/>
        <w:rPr>
          <w:rFonts w:ascii="Times New Roman" w:cs="Times New Roman" w:eastAsia="Times New Roman" w:hAnsi="Times New Roman"/>
          <w:sz w:val="17"/>
          <w:szCs w:val="17"/>
          <w:color w:val="auto"/>
        </w:rPr>
      </w:pPr>
    </w:p>
    <w:p>
      <w:pPr>
        <w:ind w:left="8" w:hanging="8"/>
        <w:spacing w:after="0" w:line="247" w:lineRule="auto"/>
        <w:tabs>
          <w:tab w:leader="none" w:pos="26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87" w:lineRule="exact"/>
        <w:rPr>
          <w:rFonts w:ascii="Times New Roman" w:cs="Times New Roman" w:eastAsia="Times New Roman" w:hAnsi="Times New Roman"/>
          <w:sz w:val="18"/>
          <w:szCs w:val="18"/>
          <w:color w:val="auto"/>
        </w:rPr>
      </w:pPr>
    </w:p>
    <w:p>
      <w:pPr>
        <w:ind w:left="8" w:firstLine="966"/>
        <w:spacing w:after="0" w:line="249" w:lineRule="auto"/>
        <w:tabs>
          <w:tab w:leader="none" w:pos="1223"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28"/>
          </w:cols>
          <w:pgMar w:left="532" w:top="267" w:right="539" w:bottom="1440" w:gutter="0" w:footer="0" w:header="0"/>
        </w:sectPr>
      </w:pPr>
    </w:p>
    <w:bookmarkStart w:id="279" w:name="page280"/>
    <w:bookmarkEnd w:id="279"/>
    <w:p>
      <w:pPr>
        <w:ind w:left="8" w:right="20" w:firstLine="966"/>
        <w:spacing w:after="0" w:line="262" w:lineRule="auto"/>
        <w:tabs>
          <w:tab w:leader="none" w:pos="1203"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Upon the Company’s and any relevant Subsidiary Borrower’s receipt of notice of the commencement of a Benchmark Unavailability Period, the applicable Borrower may revoke any request for a Term Benchmark Borrowing or Daily Simple SOFR Borrowing, or any request for the conversion to or continuation of Term Benchmark Loans to be made, converted or continued during any Benchmark Unavailability Period and, failing that, either (x) such Borrower will be deemed to have converted any request for (1) a Term Benchmark Borrowing denominated in Dollars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or (y) any Term Benchmark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receipt of notice of the commencement of a Benchmark Unavailability Period with respect to a Relevant Rate applicable to such Term Benchmark Loan or Daily Simple SOFR Loan, then until such time as a Benchmark Replacement for such Currency is implemented pursuant to this Section 2.18, (A) for Loans denominated in Dollars (1) any Term Benchmark Loan shall on the last day of the Interest Period applicable to such Loan,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w:t>
      </w:r>
    </w:p>
    <w:p>
      <w:pPr>
        <w:spacing w:after="0" w:line="1" w:lineRule="exact"/>
        <w:rPr>
          <w:rFonts w:ascii="Times New Roman" w:cs="Times New Roman" w:eastAsia="Times New Roman" w:hAnsi="Times New Roman"/>
          <w:sz w:val="17"/>
          <w:szCs w:val="17"/>
          <w:color w:val="auto"/>
        </w:rPr>
      </w:pPr>
    </w:p>
    <w:p>
      <w:pPr>
        <w:ind w:left="248" w:hanging="248"/>
        <w:spacing w:after="0"/>
        <w:tabs>
          <w:tab w:leader="none" w:pos="24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Daily Simple SOFR Loan shall on and from such day be converted by the Administrative Agent to, and shall constitute, an ABR Loan and</w:t>
      </w:r>
    </w:p>
    <w:p>
      <w:pPr>
        <w:spacing w:after="0" w:line="5" w:lineRule="exact"/>
        <w:rPr>
          <w:sz w:val="20"/>
          <w:szCs w:val="20"/>
          <w:color w:val="auto"/>
        </w:rPr>
      </w:pPr>
    </w:p>
    <w:p>
      <w:pPr>
        <w:ind w:left="8" w:right="20" w:hanging="8"/>
        <w:spacing w:after="0" w:line="246" w:lineRule="auto"/>
        <w:tabs>
          <w:tab w:leader="none" w:pos="28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denominated in an Optional Currency, any Term Benchmark Loan shall, on the last day of the Interest Period applicable to such Loan bear interest at the Central Bank Rate (or in the case of Japanese Yen, the Japanese Prime Rate) for the applicable Optional Currency plus the CBR Spread; provided that, if the Administrative Agent determines (which determination shall be conclusive and binding absent manifest error) that the Central Bank Rate (or in the case of Japanese Yen, the Japanese Prime Rate) for the applicable Optional Currency cannot be determined, any outstanding affected Term Benchmark Loans denominated in any Optional Currency shall, at the applicable Borrower’s election prior to such day: (a) be prepaid by the applicable Borrower on such day or (b) solely for the purpose of calculating the interest rate applicable to such Term Benchmark Loan, such Term Benchmark Loan denominated in any Optional Currency shall be deemed to be a Term Benchmark Loan denominated in Dollars and shall accrue interest at the same interest rate applicable to Term Benchmark Loans denominated in Dollars at such time.</w:t>
      </w:r>
    </w:p>
    <w:p>
      <w:pPr>
        <w:spacing w:after="0" w:line="194" w:lineRule="exact"/>
        <w:rPr>
          <w:sz w:val="20"/>
          <w:szCs w:val="20"/>
          <w:color w:val="auto"/>
        </w:rPr>
      </w:pPr>
    </w:p>
    <w:p>
      <w:pPr>
        <w:ind w:left="8" w:firstLine="974"/>
        <w:spacing w:after="0" w:line="271" w:lineRule="auto"/>
        <w:rPr>
          <w:sz w:val="20"/>
          <w:szCs w:val="20"/>
          <w:color w:val="auto"/>
        </w:rPr>
      </w:pPr>
      <w:r>
        <w:rPr>
          <w:rFonts w:ascii="Times New Roman" w:cs="Times New Roman" w:eastAsia="Times New Roman" w:hAnsi="Times New Roman"/>
          <w:sz w:val="17"/>
          <w:szCs w:val="17"/>
          <w:color w:val="auto"/>
        </w:rPr>
        <w:t xml:space="preserve">2.19 </w:t>
      </w:r>
      <w:r>
        <w:rPr>
          <w:rFonts w:ascii="Times New Roman" w:cs="Times New Roman" w:eastAsia="Times New Roman" w:hAnsi="Times New Roman"/>
          <w:sz w:val="17"/>
          <w:szCs w:val="17"/>
          <w:u w:val="single" w:color="auto"/>
          <w:color w:val="auto"/>
        </w:rPr>
        <w:t>Pro Rata Treatment and Payments; Evidence of Debt</w:t>
      </w:r>
      <w:r>
        <w:rPr>
          <w:rFonts w:ascii="Times New Roman" w:cs="Times New Roman" w:eastAsia="Times New Roman" w:hAnsi="Times New Roman"/>
          <w:sz w:val="17"/>
          <w:szCs w:val="17"/>
          <w:color w:val="auto"/>
        </w:rPr>
        <w:t xml:space="preserve">. (a) Each borrowing of Loans under any Facility by the Company or any Subsidiary Borrower from the Lenders under such Facility, each payment by the Company or any Subsidiary Borrower on account of any Facility Fee or any fee payable pursuant to the L/C Fee Letter, and any reduction of the Commitments of the Lenders under any Facility shall be made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according to the respective Percentages under such Facility, of the relevant Lenders in such Facility except to the extent required or permitted pursuant to Sections 2.11, 2.24, 2.25, 2.27, 2.29 and 2.30 and except, in the case of the L/C Tranche Facility, as otherwise provided in the L/C Fee Letter.</w:t>
      </w:r>
    </w:p>
    <w:p>
      <w:pPr>
        <w:spacing w:after="0" w:line="170" w:lineRule="exact"/>
        <w:rPr>
          <w:sz w:val="20"/>
          <w:szCs w:val="20"/>
          <w:color w:val="auto"/>
        </w:rPr>
      </w:pPr>
    </w:p>
    <w:p>
      <w:pPr>
        <w:ind w:left="8" w:right="40" w:firstLine="966"/>
        <w:spacing w:after="0" w:line="275" w:lineRule="auto"/>
        <w:tabs>
          <w:tab w:leader="none" w:pos="1233"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payment (including each prepayment) by the Company or any Subsidiary Borrower on account of principal of and interest on the Loans under any Facility shall be made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to the Lenders under such Facility according to the respective outstanding principal amounts of the Loans under such Facility then held by the Lenders under such Facility except to the extent required or permitted pursuant to Sections 2.11, 2.24, 2.25, 2.27, 2.29 and 2.30. Except as otherwise provided in Section 8, each such payment shall be paid in the relevant Currency in which such Loan was made.</w:t>
      </w:r>
    </w:p>
    <w:p>
      <w:pPr>
        <w:spacing w:after="0" w:line="9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808"/>
          </w:cols>
          <w:pgMar w:left="532" w:top="267" w:right="559" w:bottom="1440" w:gutter="0" w:footer="0" w:header="0"/>
        </w:sectPr>
      </w:pPr>
    </w:p>
    <w:bookmarkStart w:id="280" w:name="page281"/>
    <w:bookmarkEnd w:id="280"/>
    <w:p>
      <w:pPr>
        <w:ind w:right="60" w:firstLine="966"/>
        <w:spacing w:after="0" w:line="265" w:lineRule="auto"/>
        <w:tabs>
          <w:tab w:leader="none" w:pos="121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payment of fronting fees owing to any Issuing Lender shall be made as provided in the L/C Fee Letter.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2" w:lineRule="exact"/>
        <w:rPr>
          <w:rFonts w:ascii="Times New Roman" w:cs="Times New Roman" w:eastAsia="Times New Roman" w:hAnsi="Times New Roman"/>
          <w:sz w:val="17"/>
          <w:szCs w:val="17"/>
          <w:color w:val="auto"/>
        </w:rPr>
      </w:pPr>
    </w:p>
    <w:p>
      <w:pPr>
        <w:ind w:right="20" w:firstLine="966"/>
        <w:spacing w:after="0" w:line="263" w:lineRule="auto"/>
        <w:tabs>
          <w:tab w:leader="none" w:pos="1224"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4" w:lineRule="exact"/>
        <w:rPr>
          <w:rFonts w:ascii="Times New Roman" w:cs="Times New Roman" w:eastAsia="Times New Roman" w:hAnsi="Times New Roman"/>
          <w:sz w:val="17"/>
          <w:szCs w:val="17"/>
          <w:color w:val="auto"/>
        </w:rPr>
      </w:pPr>
    </w:p>
    <w:p>
      <w:pPr>
        <w:ind w:firstLine="966"/>
        <w:spacing w:after="0" w:line="265" w:lineRule="auto"/>
        <w:tabs>
          <w:tab w:leader="none" w:pos="121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820"/>
          </w:cols>
          <w:pgMar w:left="540" w:top="267" w:right="539" w:bottom="1440" w:gutter="0" w:footer="0" w:header="0"/>
        </w:sectPr>
      </w:pPr>
    </w:p>
    <w:bookmarkStart w:id="281" w:name="page282"/>
    <w:bookmarkEnd w:id="281"/>
    <w:p>
      <w:pPr>
        <w:ind w:right="100" w:firstLine="966"/>
        <w:spacing w:after="0" w:line="260" w:lineRule="auto"/>
        <w:tabs>
          <w:tab w:leader="none" w:pos="119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76" w:lineRule="exact"/>
        <w:rPr>
          <w:rFonts w:ascii="Times New Roman" w:cs="Times New Roman" w:eastAsia="Times New Roman" w:hAnsi="Times New Roman"/>
          <w:sz w:val="18"/>
          <w:szCs w:val="18"/>
          <w:color w:val="auto"/>
        </w:rPr>
      </w:pPr>
    </w:p>
    <w:p>
      <w:pPr>
        <w:jc w:val="both"/>
        <w:ind w:right="80" w:firstLine="966"/>
        <w:spacing w:after="0" w:line="255" w:lineRule="auto"/>
        <w:tabs>
          <w:tab w:leader="none" w:pos="122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200" w:hanging="234"/>
        <w:spacing w:after="0"/>
        <w:tabs>
          <w:tab w:leader="none" w:pos="12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1" w:lineRule="exact"/>
        <w:rPr>
          <w:rFonts w:ascii="Times New Roman" w:cs="Times New Roman" w:eastAsia="Times New Roman" w:hAnsi="Times New Roman"/>
          <w:sz w:val="18"/>
          <w:szCs w:val="18"/>
          <w:color w:val="auto"/>
        </w:rPr>
      </w:pPr>
    </w:p>
    <w:p>
      <w:pPr>
        <w:ind w:left="960" w:right="200" w:firstLine="400"/>
        <w:spacing w:after="0" w:line="255" w:lineRule="auto"/>
        <w:tabs>
          <w:tab w:leader="none" w:pos="156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Lender that is not otherwise included in the determination of the Adjusted Term SOFR, Adjusted EURIBOR Rate or Adjusted TIBOR Rate, as applicable; or</w:t>
      </w:r>
    </w:p>
    <w:p>
      <w:pPr>
        <w:spacing w:after="0" w:line="75" w:lineRule="exact"/>
        <w:rPr>
          <w:rFonts w:ascii="Times New Roman" w:cs="Times New Roman" w:eastAsia="Times New Roman" w:hAnsi="Times New Roman"/>
          <w:sz w:val="18"/>
          <w:szCs w:val="18"/>
          <w:color w:val="auto"/>
        </w:rPr>
      </w:pPr>
    </w:p>
    <w:p>
      <w:pPr>
        <w:ind w:left="1620" w:hanging="260"/>
        <w:spacing w:after="0"/>
        <w:tabs>
          <w:tab w:leader="none" w:pos="16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such Lender or Issuing Lender or any interbank market any other condition;</w:t>
      </w:r>
    </w:p>
    <w:p>
      <w:pPr>
        <w:spacing w:after="0" w:line="21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the Administrative Agent, such Lender (or its affiliate, as the case may be) or Issuing Lender, by an amount that the Administrative Agent or such Lender or Issuing Lender reasonably deems material, of making, converting into, continuing or maintaining Term Benchmark Loans, issuing or participating in Letters of Credit, or to reduce any amount receivable hereunder in respect thereof, then, in any such case, the Company and any relevant Subsidiary Borrower shall pay the Administrative Agent or such Lender or Issuing Lender, within 15 Business Days of receipt of notice from the Administrative Agent or the relevant Lender or Issuing Lender as described below, any additional amounts necessary to compensate the Administrative Agent or such Lender or Issuing Lender for such increased cost or reduced amount receivable (it being understood that the provisions set forth in this Section 2.20(a) are not intended to derogate from the Company’s rights provided in Section 2.23 and Section 2.24). If the Administrative Agent or any Lender or Issuing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87" w:lineRule="exact"/>
        <w:rPr>
          <w:sz w:val="20"/>
          <w:szCs w:val="20"/>
          <w:color w:val="auto"/>
        </w:rPr>
      </w:pPr>
    </w:p>
    <w:p>
      <w:pPr>
        <w:ind w:firstLine="966"/>
        <w:spacing w:after="0" w:line="249" w:lineRule="auto"/>
        <w:tabs>
          <w:tab w:leader="none" w:pos="122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Lender shall have determined that any Change in Law regarding capital or liquidity requirements has or would have the effect of reducing the rate of return on such Lender’s or Issuing Lender’s, or an entity controlling such Lender’s or Issuing Lender’s, capital as a consequence of its obligations hereunder or under or in respect of any Letter of Credit to a level below that which such Lender or Issuing Lender or such entity could have achieved but for such Change in Law (taking into consideration such Lender’s or Issuing Lender’s or such entity’s policies with respect to capital adequacy or liquidity) by an amount deemed by such Lender or Issuing Lender to be material, then from time to time, within 15 Business Days after submission by such Lender or Issuing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or Issuing Lender such additional amount or amounts as will compensate such Lender or Issuing Lender or such entity for such reduction (it being understood that the provisions set forth in this Section 2.20(b) are not intended to derogate from the Company’s rights provided in Sections 2.23 and 2.24).</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800"/>
          </w:cols>
          <w:pgMar w:left="540" w:top="267" w:right="559" w:bottom="1440" w:gutter="0" w:footer="0" w:header="0"/>
        </w:sectPr>
      </w:pPr>
    </w:p>
    <w:bookmarkStart w:id="282" w:name="page283"/>
    <w:bookmarkEnd w:id="282"/>
    <w:p>
      <w:pPr>
        <w:ind w:left="8" w:firstLine="966"/>
        <w:spacing w:after="0" w:line="248" w:lineRule="auto"/>
        <w:tabs>
          <w:tab w:leader="none" w:pos="122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 certificate as to any additional amounts payable pursuant to this Section 2.20 submitted by the Administrative Agent or any Lender or Issuing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or Issuing Lender shall be entitled to request any payment or amount under this Section 2.20 unless the Administrative Agent or such Lender or Issuing Lender is generally demanding payment (and certifies to the Company that it is generally demanding payment) under comparable provisions of its agreements with similarly situated borrowers of similar credit quality (provided, that the Administrative Agent shall not be under any obligation to verify any such request of a Lender or Issuing Lender) and (ii) the Company and any relevant Subsidiary Borrower shall not be required to compensate the Administrative Agent or a Lender or Issuing Lender pursuant to this Section 2.20 for any amounts incurred more than 90 days prior to the date that the Administrative Agent or such Lender or Issuing Lender notifies the Company or relevant Subsidiary Borrower of the Administrative Agent’s or such Lender’s or Issuing Lender’s intention to claim compensation therefor; provided,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89" w:lineRule="exact"/>
        <w:rPr>
          <w:sz w:val="20"/>
          <w:szCs w:val="20"/>
          <w:color w:val="auto"/>
        </w:rPr>
      </w:pPr>
    </w:p>
    <w:p>
      <w:pPr>
        <w:ind w:left="8" w:right="2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189" w:lineRule="exact"/>
        <w:rPr>
          <w:sz w:val="20"/>
          <w:szCs w:val="20"/>
          <w:color w:val="auto"/>
        </w:rPr>
      </w:pPr>
    </w:p>
    <w:p>
      <w:pPr>
        <w:ind w:left="1228" w:hanging="254"/>
        <w:spacing w:after="0"/>
        <w:tabs>
          <w:tab w:leader="none" w:pos="1228"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Loan Party shall pay any Other Taxes over to the relevant Governmental Authority in accordance with applicable law.</w:t>
      </w:r>
    </w:p>
    <w:p>
      <w:pPr>
        <w:spacing w:after="0" w:line="229" w:lineRule="exact"/>
        <w:rPr>
          <w:rFonts w:ascii="Times New Roman" w:cs="Times New Roman" w:eastAsia="Times New Roman" w:hAnsi="Times New Roman"/>
          <w:sz w:val="17"/>
          <w:szCs w:val="17"/>
          <w:color w:val="auto"/>
        </w:rPr>
      </w:pPr>
    </w:p>
    <w:p>
      <w:pPr>
        <w:ind w:left="8" w:right="40" w:firstLine="966"/>
        <w:spacing w:after="0" w:line="268" w:lineRule="auto"/>
        <w:tabs>
          <w:tab w:leader="none" w:pos="1223"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w:t>
      </w:r>
    </w:p>
    <w:p>
      <w:pPr>
        <w:spacing w:after="0" w:line="1" w:lineRule="exact"/>
        <w:rPr>
          <w:rFonts w:ascii="Times New Roman" w:cs="Times New Roman" w:eastAsia="Times New Roman" w:hAnsi="Times New Roman"/>
          <w:sz w:val="17"/>
          <w:szCs w:val="17"/>
          <w:color w:val="auto"/>
        </w:rPr>
      </w:pPr>
    </w:p>
    <w:p>
      <w:pPr>
        <w:ind w:left="8" w:hanging="8"/>
        <w:spacing w:after="0" w:line="247" w:lineRule="auto"/>
        <w:tabs>
          <w:tab w:leader="none" w:pos="21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makes a written demand therefor (together with a reasonably detailed calculation of such amounts).</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08"/>
          </w:cols>
          <w:pgMar w:left="532" w:top="267" w:right="559" w:bottom="1440" w:gutter="0" w:footer="0" w:header="0"/>
        </w:sectPr>
      </w:pPr>
    </w:p>
    <w:bookmarkStart w:id="283" w:name="page284"/>
    <w:bookmarkEnd w:id="283"/>
    <w:p>
      <w:pPr>
        <w:ind w:left="-20" w:right="40" w:firstLine="966"/>
        <w:spacing w:after="0" w:line="249" w:lineRule="auto"/>
        <w:tabs>
          <w:tab w:leader="none" w:pos="120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2.21(d)(ii))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1" w:lineRule="exact"/>
        <w:rPr>
          <w:rFonts w:ascii="Times New Roman" w:cs="Times New Roman" w:eastAsia="Times New Roman" w:hAnsi="Times New Roman"/>
          <w:sz w:val="18"/>
          <w:szCs w:val="18"/>
          <w:color w:val="auto"/>
        </w:rPr>
      </w:pPr>
    </w:p>
    <w:p>
      <w:pPr>
        <w:ind w:left="1600" w:hanging="260"/>
        <w:spacing w:after="0"/>
        <w:tabs>
          <w:tab w:leader="none" w:pos="16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1" w:lineRule="exact"/>
        <w:rPr>
          <w:sz w:val="20"/>
          <w:szCs w:val="20"/>
          <w:color w:val="auto"/>
        </w:rPr>
      </w:pPr>
    </w:p>
    <w:p>
      <w:pPr>
        <w:ind w:left="940" w:firstLine="400"/>
        <w:spacing w:after="0" w:line="250" w:lineRule="auto"/>
        <w:tabs>
          <w:tab w:leader="none" w:pos="162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Non-U.S. Lender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79"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the Company, any relevant Domestic Subsidiary Borrower and the</w:t>
      </w:r>
    </w:p>
    <w:p>
      <w:pPr>
        <w:spacing w:after="0" w:line="24" w:lineRule="exact"/>
        <w:rPr>
          <w:rFonts w:ascii="Times New Roman" w:cs="Times New Roman" w:eastAsia="Times New Roman" w:hAnsi="Times New Roman"/>
          <w:sz w:val="18"/>
          <w:szCs w:val="18"/>
          <w:color w:val="auto"/>
        </w:rPr>
      </w:pPr>
    </w:p>
    <w:p>
      <w:pPr>
        <w:ind w:left="940" w:right="2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in the case of a Participant, to the Lender from which the related participation shall have been purchased) two properly completed and duly executed copies of IRS Form W-9 certifying that such Lender is exempt from U.S. federal backup withholding tax.</w:t>
      </w:r>
    </w:p>
    <w:p>
      <w:pPr>
        <w:spacing w:after="0" w:line="79" w:lineRule="exact"/>
        <w:rPr>
          <w:rFonts w:ascii="Times New Roman" w:cs="Times New Roman" w:eastAsia="Times New Roman" w:hAnsi="Times New Roman"/>
          <w:sz w:val="18"/>
          <w:szCs w:val="18"/>
          <w:color w:val="auto"/>
        </w:rPr>
      </w:pPr>
    </w:p>
    <w:p>
      <w:pPr>
        <w:ind w:left="940" w:right="20" w:firstLine="400"/>
        <w:spacing w:after="0" w:line="250" w:lineRule="auto"/>
        <w:tabs>
          <w:tab w:leader="none" w:pos="161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780"/>
          </w:cols>
          <w:pgMar w:left="560" w:top="267" w:right="559" w:bottom="1440" w:gutter="0" w:footer="0" w:header="0"/>
        </w:sectPr>
      </w:pPr>
    </w:p>
    <w:bookmarkStart w:id="284" w:name="page285"/>
    <w:bookmarkEnd w:id="284"/>
    <w:p>
      <w:pPr>
        <w:ind w:left="960" w:right="100" w:firstLine="400"/>
        <w:spacing w:after="0" w:line="263" w:lineRule="auto"/>
        <w:tabs>
          <w:tab w:leader="none" w:pos="1643"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w:t>
      </w:r>
    </w:p>
    <w:p>
      <w:pPr>
        <w:spacing w:after="0" w:line="3" w:lineRule="exact"/>
        <w:rPr>
          <w:rFonts w:ascii="Times New Roman" w:cs="Times New Roman" w:eastAsia="Times New Roman" w:hAnsi="Times New Roman"/>
          <w:sz w:val="17"/>
          <w:szCs w:val="17"/>
          <w:color w:val="auto"/>
        </w:rPr>
      </w:pPr>
    </w:p>
    <w:p>
      <w:pPr>
        <w:ind w:left="960" w:right="8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79" w:lineRule="exact"/>
        <w:rPr>
          <w:sz w:val="20"/>
          <w:szCs w:val="20"/>
          <w:color w:val="auto"/>
        </w:rPr>
      </w:pPr>
    </w:p>
    <w:p>
      <w:pPr>
        <w:ind w:left="960" w:right="60" w:firstLine="394"/>
        <w:spacing w:after="0" w:line="251" w:lineRule="auto"/>
        <w:rPr>
          <w:sz w:val="20"/>
          <w:szCs w:val="20"/>
          <w:color w:val="auto"/>
        </w:rPr>
      </w:pPr>
      <w:r>
        <w:rPr>
          <w:rFonts w:ascii="Times New Roman" w:cs="Times New Roman" w:eastAsia="Times New Roman" w:hAnsi="Times New Roman"/>
          <w:sz w:val="18"/>
          <w:szCs w:val="18"/>
          <w:color w:val="auto"/>
        </w:rPr>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w:t>
      </w:r>
    </w:p>
    <w:p>
      <w:pPr>
        <w:spacing w:after="0" w:line="81" w:lineRule="exact"/>
        <w:rPr>
          <w:sz w:val="20"/>
          <w:szCs w:val="20"/>
          <w:color w:val="auto"/>
        </w:rPr>
      </w:pPr>
    </w:p>
    <w:p>
      <w:pPr>
        <w:ind w:left="960" w:firstLine="400"/>
        <w:spacing w:after="0" w:line="249" w:lineRule="auto"/>
        <w:tabs>
          <w:tab w:leader="none" w:pos="1663"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Foreign Subsidiary Borrower each Lender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any Taxes imposed on such payment under the laws of the jurisdiction under which such Foreign Subsidiary Borrower is incorporated or organized. If any Commitment is reallocated in accordance with Section 2.11(c) or 2.11(d),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w:t>
      </w:r>
    </w:p>
    <w:p>
      <w:pPr>
        <w:spacing w:after="0" w:line="189" w:lineRule="exact"/>
        <w:rPr>
          <w:rFonts w:ascii="Times New Roman" w:cs="Times New Roman" w:eastAsia="Times New Roman" w:hAnsi="Times New Roman"/>
          <w:sz w:val="18"/>
          <w:szCs w:val="18"/>
          <w:color w:val="auto"/>
        </w:rPr>
      </w:pPr>
    </w:p>
    <w:p>
      <w:pPr>
        <w:ind w:right="100" w:firstLine="966"/>
        <w:spacing w:after="0" w:line="250" w:lineRule="auto"/>
        <w:tabs>
          <w:tab w:leader="none" w:pos="121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Indemnified Taxes giving rise to such refund), net of all out-of-pocket expenses of the Administrative Agent, such Transferee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Loan Party, upon the request of the Administrative Agent, such Transferee or such Lender, agrees to repay the amount paid over to such Loan Party (plus any penalties, interest or other charges imposed by the relevant Governmental Authority) to the Administrative Agent, such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820"/>
          </w:cols>
          <w:pgMar w:left="540" w:top="267" w:right="539" w:bottom="1440" w:gutter="0" w:footer="0" w:header="0"/>
        </w:sectPr>
      </w:pPr>
    </w:p>
    <w:bookmarkStart w:id="285" w:name="page286"/>
    <w:bookmarkEnd w:id="285"/>
    <w:p>
      <w:pPr>
        <w:ind w:right="4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89" w:lineRule="exact"/>
        <w:rPr>
          <w:sz w:val="20"/>
          <w:szCs w:val="20"/>
          <w:color w:val="auto"/>
        </w:rPr>
      </w:pPr>
    </w:p>
    <w:p>
      <w:pPr>
        <w:ind w:right="60" w:firstLine="966"/>
        <w:spacing w:after="0" w:line="251" w:lineRule="auto"/>
        <w:tabs>
          <w:tab w:leader="none" w:pos="11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6"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2.21.</w:t>
      </w:r>
    </w:p>
    <w:p>
      <w:pPr>
        <w:spacing w:after="0" w:line="217" w:lineRule="exact"/>
        <w:rPr>
          <w:rFonts w:ascii="Times New Roman" w:cs="Times New Roman" w:eastAsia="Times New Roman" w:hAnsi="Times New Roman"/>
          <w:sz w:val="18"/>
          <w:szCs w:val="18"/>
          <w:color w:val="auto"/>
        </w:rPr>
      </w:pPr>
    </w:p>
    <w:p>
      <w:pPr>
        <w:jc w:val="both"/>
        <w:ind w:right="300" w:firstLine="966"/>
        <w:spacing w:after="0" w:line="260" w:lineRule="auto"/>
        <w:tabs>
          <w:tab w:leader="none" w:pos="122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2.21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76" w:lineRule="exact"/>
        <w:rPr>
          <w:sz w:val="20"/>
          <w:szCs w:val="20"/>
          <w:color w:val="auto"/>
        </w:rPr>
      </w:pPr>
    </w:p>
    <w:p>
      <w:pPr>
        <w:ind w:firstLine="974"/>
        <w:spacing w:after="0" w:line="262" w:lineRule="auto"/>
        <w:rPr>
          <w:sz w:val="20"/>
          <w:szCs w:val="20"/>
          <w:color w:val="auto"/>
        </w:rPr>
      </w:pPr>
      <w:r>
        <w:rPr>
          <w:rFonts w:ascii="Times New Roman" w:cs="Times New Roman" w:eastAsia="Times New Roman" w:hAnsi="Times New Roman"/>
          <w:sz w:val="17"/>
          <w:szCs w:val="17"/>
          <w:color w:val="auto"/>
        </w:rPr>
        <w:t xml:space="preserve">2.22 </w:t>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w:t>
      </w:r>
    </w:p>
    <w:p>
      <w:pPr>
        <w:spacing w:after="0" w:line="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Section 2.22 shall survive the termination of this Agreement, the repayment of the Loans and all other amounts payable hereunder and the other Loan Documents.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800"/>
          </w:cols>
          <w:pgMar w:left="540" w:top="267" w:right="559" w:bottom="1440" w:gutter="0" w:footer="0" w:header="0"/>
        </w:sectPr>
      </w:pPr>
    </w:p>
    <w:bookmarkStart w:id="286" w:name="page287"/>
    <w:bookmarkEnd w:id="286"/>
    <w:p>
      <w:pPr>
        <w:ind w:left="8" w:right="60"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2.23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ind w:left="8" w:firstLine="974"/>
        <w:spacing w:after="0" w:line="265" w:lineRule="auto"/>
        <w:rPr>
          <w:sz w:val="20"/>
          <w:szCs w:val="20"/>
          <w:color w:val="auto"/>
        </w:rPr>
      </w:pPr>
      <w:r>
        <w:rPr>
          <w:rFonts w:ascii="Times New Roman" w:cs="Times New Roman" w:eastAsia="Times New Roman" w:hAnsi="Times New Roman"/>
          <w:sz w:val="17"/>
          <w:szCs w:val="17"/>
          <w:color w:val="auto"/>
        </w:rPr>
        <w:t xml:space="preserve">2.24 </w:t>
      </w:r>
      <w:r>
        <w:rPr>
          <w:rFonts w:ascii="Times New Roman" w:cs="Times New Roman" w:eastAsia="Times New Roman" w:hAnsi="Times New Roman"/>
          <w:sz w:val="17"/>
          <w:szCs w:val="17"/>
          <w:u w:val="single" w:color="auto"/>
          <w:color w:val="auto"/>
        </w:rPr>
        <w:t>Replacement/Termination of Lenders</w:t>
      </w:r>
      <w:r>
        <w:rPr>
          <w:rFonts w:ascii="Times New Roman" w:cs="Times New Roman" w:eastAsia="Times New Roman" w:hAnsi="Times New Roman"/>
          <w:sz w:val="17"/>
          <w:szCs w:val="17"/>
          <w:color w:val="auto"/>
        </w:rPr>
        <w:t>.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w:t>
      </w:r>
    </w:p>
    <w:p>
      <w:pPr>
        <w:spacing w:after="0" w:line="1" w:lineRule="exact"/>
        <w:rPr>
          <w:sz w:val="20"/>
          <w:szCs w:val="20"/>
          <w:color w:val="auto"/>
        </w:rPr>
      </w:pPr>
    </w:p>
    <w:p>
      <w:pPr>
        <w:ind w:left="8" w:hanging="8"/>
        <w:spacing w:after="0" w:line="246" w:lineRule="auto"/>
        <w:tabs>
          <w:tab w:leader="none" w:pos="31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fails to give its consent to an extension of the Termination Date to which the Majority Facility Lenders under such Facility have consented, (b) in the case of any Multicurrency Lender or L/C Tranche Lender that fails to give its consent to the addition of a new Optional Currency to which the Majority Facility Lenders under such Facility have consented, to reallocate such Lender’s Multicurrency Commitment or L/C Tranche Commitment, as applicable, to a Domestic Commitment pursuant to Section 2.11(b) (regardless of whether the amount of such Commitment is less than the minimum amount required under such section) and (c) in the case of any Multicurrency Lender or L/C Tranche Lender that fails to give its consent to the addition of a new Borrower pursuant to Section 10.1(d)(i) to which the Administrative Agent has agreed, to reallocate such Lender’s Multicurrency Commitment or L/C Tranche Commitment, as applicable, to a Domestic Commitment pursuant to Section 2.11(b) (regardless of whether the amount of such Commitment is less than the minimum amount required under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08"/>
          </w:cols>
          <w:pgMar w:left="532" w:top="267" w:right="559" w:bottom="1440" w:gutter="0" w:footer="0" w:header="0"/>
        </w:sectPr>
      </w:pPr>
    </w:p>
    <w:bookmarkStart w:id="287" w:name="page288"/>
    <w:bookmarkEnd w:id="287"/>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2.25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740" w:firstLine="974"/>
        <w:spacing w:after="0" w:line="274"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64" w:lineRule="exact"/>
        <w:rPr>
          <w:sz w:val="20"/>
          <w:szCs w:val="20"/>
          <w:color w:val="auto"/>
        </w:rPr>
      </w:pPr>
    </w:p>
    <w:p>
      <w:pPr>
        <w:ind w:left="1200" w:hanging="234"/>
        <w:spacing w:after="0"/>
        <w:tabs>
          <w:tab w:leader="none" w:pos="12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Fees, if any, shall cease to accrue on the unfunded Commitment of such Defaulting Lender pursuant to Section 2.10;</w:t>
      </w:r>
    </w:p>
    <w:p>
      <w:pPr>
        <w:spacing w:after="0" w:line="217" w:lineRule="exact"/>
        <w:rPr>
          <w:rFonts w:ascii="Times New Roman" w:cs="Times New Roman" w:eastAsia="Times New Roman" w:hAnsi="Times New Roman"/>
          <w:sz w:val="18"/>
          <w:szCs w:val="18"/>
          <w:color w:val="auto"/>
        </w:rPr>
      </w:pPr>
    </w:p>
    <w:p>
      <w:pPr>
        <w:ind w:right="40" w:firstLine="966"/>
        <w:spacing w:after="0" w:line="266" w:lineRule="auto"/>
        <w:tabs>
          <w:tab w:leader="none" w:pos="1224"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72" w:lineRule="exact"/>
        <w:rPr>
          <w:rFonts w:ascii="Times New Roman" w:cs="Times New Roman" w:eastAsia="Times New Roman" w:hAnsi="Times New Roman"/>
          <w:sz w:val="17"/>
          <w:szCs w:val="17"/>
          <w:color w:val="auto"/>
        </w:rPr>
      </w:pPr>
    </w:p>
    <w:p>
      <w:pPr>
        <w:ind w:left="1200" w:hanging="234"/>
        <w:spacing w:after="0"/>
        <w:tabs>
          <w:tab w:leader="none" w:pos="12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Obligations exist at the time any L/C Tranche Lender becomes a Defaulting Lender then:</w:t>
      </w:r>
    </w:p>
    <w:p>
      <w:pPr>
        <w:spacing w:after="0" w:line="111" w:lineRule="exact"/>
        <w:rPr>
          <w:rFonts w:ascii="Times New Roman" w:cs="Times New Roman" w:eastAsia="Times New Roman" w:hAnsi="Times New Roman"/>
          <w:sz w:val="18"/>
          <w:szCs w:val="18"/>
          <w:color w:val="auto"/>
        </w:rPr>
      </w:pPr>
    </w:p>
    <w:p>
      <w:pPr>
        <w:ind w:left="960" w:right="180" w:firstLine="400"/>
        <w:spacing w:after="0" w:line="253" w:lineRule="auto"/>
        <w:tabs>
          <w:tab w:leader="none" w:pos="156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shall have occurred and be continuing at such time, all or any part of the L/C Obligations of such Defaulting Lender shall be reallocated among the L/C Tranche Lenders that are not Defaulting Lenders in accordance with their L/C Tranche Percentages (calculated without regard to such Defaulting Lender) but only to the extent the sum of all non-Defaulting Lenders’ L/C Tranche Extensions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L/C Obligations does not exceed the total of all L/C Tranche Lenders that are not Defaulting Lenders’ L/C Tranche Commitments;</w:t>
      </w:r>
    </w:p>
    <w:p>
      <w:pPr>
        <w:spacing w:after="0" w:line="76" w:lineRule="exact"/>
        <w:rPr>
          <w:rFonts w:ascii="Times New Roman" w:cs="Times New Roman" w:eastAsia="Times New Roman" w:hAnsi="Times New Roman"/>
          <w:sz w:val="18"/>
          <w:szCs w:val="18"/>
          <w:color w:val="auto"/>
        </w:rPr>
      </w:pPr>
    </w:p>
    <w:p>
      <w:pPr>
        <w:ind w:left="1620" w:hanging="260"/>
        <w:spacing w:after="0"/>
        <w:tabs>
          <w:tab w:leader="none" w:pos="16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reallocation described in clause (i) above cannot, or can only partially, be effected, the Company or any applicable</w:t>
      </w:r>
    </w:p>
    <w:p>
      <w:pPr>
        <w:spacing w:after="0" w:line="24" w:lineRule="exact"/>
        <w:rPr>
          <w:rFonts w:ascii="Times New Roman" w:cs="Times New Roman" w:eastAsia="Times New Roman" w:hAnsi="Times New Roman"/>
          <w:sz w:val="18"/>
          <w:szCs w:val="18"/>
          <w:color w:val="auto"/>
        </w:rPr>
      </w:pPr>
    </w:p>
    <w:p>
      <w:pPr>
        <w:ind w:left="96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Event of Default shall have then occurred and be continuing);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820"/>
          </w:cols>
          <w:pgMar w:left="540" w:top="267" w:right="539" w:bottom="1440" w:gutter="0" w:footer="0" w:header="0"/>
        </w:sectPr>
      </w:pPr>
    </w:p>
    <w:bookmarkStart w:id="288" w:name="page289"/>
    <w:bookmarkEnd w:id="288"/>
    <w:p>
      <w:pPr>
        <w:jc w:val="both"/>
        <w:ind w:left="960" w:right="100" w:firstLine="400"/>
        <w:spacing w:after="0" w:line="255" w:lineRule="auto"/>
        <w:tabs>
          <w:tab w:leader="none" w:pos="166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if the Company or any Subsidiary Borrower Collateralizes any portion of such Defaulting Lender’s L/C Obligations pursuant to clause (ii) above, neither the Company nor any relevant Subsidiary Borrower shall be required to pay any fees to such Defaulting Lender pursuant to Section 3.3 with respect to such Defaulting Lender’s L/C Obligations during the period and to the extent such Defaulting Lender’s L/C Obligations are so Collateralized;</w:t>
      </w:r>
    </w:p>
    <w:p>
      <w:pPr>
        <w:spacing w:after="0" w:line="75" w:lineRule="exact"/>
        <w:rPr>
          <w:rFonts w:ascii="Times New Roman" w:cs="Times New Roman" w:eastAsia="Times New Roman" w:hAnsi="Times New Roman"/>
          <w:sz w:val="18"/>
          <w:szCs w:val="18"/>
          <w:color w:val="auto"/>
        </w:rPr>
      </w:pPr>
    </w:p>
    <w:p>
      <w:pPr>
        <w:ind w:left="1660" w:hanging="300"/>
        <w:spacing w:after="0"/>
        <w:tabs>
          <w:tab w:leader="none" w:pos="1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Obligations of the Defaulting Lenders are reallocated pursuant to clause (i) above, then the fees payable to the</w:t>
      </w:r>
    </w:p>
    <w:p>
      <w:pPr>
        <w:spacing w:after="0" w:line="25" w:lineRule="exact"/>
        <w:rPr>
          <w:sz w:val="20"/>
          <w:szCs w:val="20"/>
          <w:color w:val="auto"/>
        </w:rPr>
      </w:pPr>
    </w:p>
    <w:p>
      <w:pPr>
        <w:jc w:val="both"/>
        <w:ind w:left="960" w:right="100"/>
        <w:spacing w:after="0" w:line="249" w:lineRule="auto"/>
        <w:rPr>
          <w:sz w:val="20"/>
          <w:szCs w:val="20"/>
          <w:color w:val="auto"/>
        </w:rPr>
      </w:pPr>
      <w:r>
        <w:rPr>
          <w:rFonts w:ascii="Times New Roman" w:cs="Times New Roman" w:eastAsia="Times New Roman" w:hAnsi="Times New Roman"/>
          <w:sz w:val="18"/>
          <w:szCs w:val="18"/>
          <w:color w:val="auto"/>
        </w:rPr>
        <w:t>non-Defaulting Lenders pursuant to Section 2.10 and Section 3.3, as applicable, shall be adjusted in accordance with such non-Defaulting Lenders’ L/C Tranche Percentages of the L/C Tranche Commitments calculated without regard to such Defaulting Lender’s L/C Tranche Percentage of the L/C Tranche Commitments; and</w:t>
      </w:r>
    </w:p>
    <w:p>
      <w:pPr>
        <w:spacing w:after="0" w:line="79" w:lineRule="exact"/>
        <w:rPr>
          <w:sz w:val="20"/>
          <w:szCs w:val="20"/>
          <w:color w:val="auto"/>
        </w:rPr>
      </w:pPr>
    </w:p>
    <w:p>
      <w:pPr>
        <w:ind w:left="1620" w:hanging="260"/>
        <w:spacing w:after="0"/>
        <w:tabs>
          <w:tab w:leader="none" w:pos="1620"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all or any portion of such Defaulting Lender’s L/C Obligations is neither reallocated nor Collateralized pursuant to clause (i) or</w:t>
      </w:r>
    </w:p>
    <w:p>
      <w:pPr>
        <w:spacing w:after="0" w:line="36" w:lineRule="exact"/>
        <w:rPr>
          <w:rFonts w:ascii="Times New Roman" w:cs="Times New Roman" w:eastAsia="Times New Roman" w:hAnsi="Times New Roman"/>
          <w:sz w:val="17"/>
          <w:szCs w:val="17"/>
          <w:color w:val="auto"/>
        </w:rPr>
      </w:pPr>
    </w:p>
    <w:p>
      <w:pPr>
        <w:ind w:left="960" w:right="200" w:firstLine="6"/>
        <w:spacing w:after="0" w:line="248" w:lineRule="auto"/>
        <w:tabs>
          <w:tab w:leader="none" w:pos="12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the Company or any relevant Subsidiary Borrower, the applicable Issuing Lender or any other L/C Tranche Lender hereunder, all fees payable pursuant to the L/C Fee Letter with respect to such Defaulting Lender’s L/C Obligations shall be payable to the applicable Issuing Lender until and to the extent that such L/C Obligations are so reallocated and/or Collateralized; and</w:t>
      </w:r>
    </w:p>
    <w:p>
      <w:pPr>
        <w:spacing w:after="0" w:line="186" w:lineRule="exact"/>
        <w:rPr>
          <w:sz w:val="20"/>
          <w:szCs w:val="20"/>
          <w:color w:val="auto"/>
        </w:rPr>
      </w:pPr>
    </w:p>
    <w:p>
      <w:pPr>
        <w:jc w:val="both"/>
        <w:ind w:right="120" w:firstLine="966"/>
        <w:spacing w:after="0" w:line="253" w:lineRule="auto"/>
        <w:tabs>
          <w:tab w:leader="none" w:pos="12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Lender shall be required to issue, renew, amend or increase any Letter of Credit, unless it is reasonably satisfied that the related exposure and such Defaulting Lender’s then outstanding L/C Obligations will be 100% covered by the L/C Tranche Commitments of the L/C Tranche Lenders that are not Defaulting Lenders and/or Collateralized by the Company or any applicable Subsidiary Borrower in accordance with this Section 2.25 and participating interests in any newly issued or increased Letter of Credit shall be allocated among the L/C Tranche Lenders that are not Defaulting Lenders in a manner consistent with this Section 2.25 (and such Defaulting Lender shall not participate therein).</w:t>
      </w:r>
    </w:p>
    <w:p>
      <w:pPr>
        <w:spacing w:after="0" w:line="182"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If (i) either (x) a Lender Insolvency Event with respect to the parent company of any L/C Tranche Lender shall occur following the Closing Date or (y) the parent company of any L/C Tranche Lender shall become the subject of a Bail-In Action following the Closing Date and, in each case, for so long as such event shall continue or (ii) any L/C Tranche Lender has defaulted in fulfilling its obligations under one or more other agreements in which such L/C Tranche Lender commits to extend credit, no Issuing Lender shall be required to issue, amend or increase any Letter of Credit unless such Issuing Lender shall have entered into arrangements with the Company or such L/C Tranche Lender, satisfactory to such Issuing Lender, to defease any risk to it in respect of such L/C Tranche Lender hereunder.</w:t>
      </w:r>
    </w:p>
    <w:p>
      <w:pPr>
        <w:spacing w:after="0" w:line="187"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In the event that an L/C Tranche Lender becomes a Defaulting Lender, the Administrative Agent shall give notice to the Company and each affected Issuing Lender stating that such L/C Tranche Lender has become a Defaulting Lender. In the event that each of the Administrative Agent, the Company, each relevant Subsidiary Borrower and each affected Issuing Lender agrees that such Defaulting Lender has adequately remedied all matters that caused such Defaulting Lender to be a Defaulting Lender, then the L/C Obligations of the L/C Tranche Lenders shall be readjusted to reflect the inclusion of such Defaulting Lender’s L/C Tranche Commitments and, on such date, such L/C Tranche Lender shall purchase at par such of the Loans and/or participations in the L/C Obligations of the other L/C Tranche Lenders as the Administrative Agent shall determine may be necessary in order for such L/C Tranche Lender to hold such L/C Tranche Loans and participations in the L/C Obligations in accordance with its L/C Tranche Percentage of the L/C Tranche Commitments.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00"/>
          </w:cols>
          <w:pgMar w:left="540" w:top="267" w:right="559" w:bottom="1440" w:gutter="0" w:footer="0" w:header="0"/>
        </w:sectPr>
      </w:pPr>
    </w:p>
    <w:bookmarkStart w:id="289" w:name="page290"/>
    <w:bookmarkEnd w:id="289"/>
    <w:p>
      <w:pPr>
        <w:ind w:firstLine="974"/>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2.26 </w:t>
      </w:r>
      <w:r>
        <w:rPr>
          <w:rFonts w:ascii="Times New Roman" w:cs="Times New Roman" w:eastAsia="Times New Roman" w:hAnsi="Times New Roman"/>
          <w:sz w:val="17"/>
          <w:szCs w:val="17"/>
          <w:u w:val="single" w:color="auto"/>
          <w:color w:val="auto"/>
        </w:rPr>
        <w:t>Reallocation of Payments for the Account of Defaulting Lenders</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any Defaulting Lender under any Facility (whether voluntary or mandatory, at or prior to maturity, or otherwise), shall be applied at such time or times as may be determined by the Administrative Agent as follows: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in the case of the L/C Tranche Facility only, to the payment on a </w:t>
      </w:r>
      <w:r>
        <w:rPr>
          <w:rFonts w:ascii="Times New Roman" w:cs="Times New Roman" w:eastAsia="Times New Roman" w:hAnsi="Times New Roman"/>
          <w:sz w:val="17"/>
          <w:szCs w:val="17"/>
          <w:u w:val="single" w:color="auto"/>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rata</w:t>
      </w:r>
      <w:r>
        <w:rPr>
          <w:rFonts w:ascii="Times New Roman" w:cs="Times New Roman" w:eastAsia="Times New Roman" w:hAnsi="Times New Roman"/>
          <w:sz w:val="17"/>
          <w:szCs w:val="17"/>
          <w:color w:val="auto"/>
        </w:rPr>
        <w:t xml:space="preserve"> basis of any amounts owing by such Defaulting Lender to each Issuing Lender hereunder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to the Issuing Lenders in accordance with the amounts owed by such Defaulting Lender to each Issuing Lender);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in the case of the L/C Tranche Facility only, if so determined by the Administrative Agent or requested by the Company or an Issuing Lender, to be held as cash collateral for future funding obligations of such Defaulting Lender of any participation in any Letter of Credit; </w:t>
      </w: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xml:space="preserve">, to the payment of any amounts owing to the Lenders under such Facility and, in the case of the L/C Tranche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Times New Roman" w:cs="Times New Roman" w:eastAsia="Times New Roman" w:hAnsi="Times New Roman"/>
          <w:sz w:val="17"/>
          <w:szCs w:val="17"/>
          <w:u w:val="single" w:color="auto"/>
          <w:color w:val="auto"/>
        </w:rPr>
        <w:t>seventh</w:t>
      </w:r>
      <w:r>
        <w:rPr>
          <w:rFonts w:ascii="Times New Roman" w:cs="Times New Roman" w:eastAsia="Times New Roman" w:hAnsi="Times New Roman"/>
          <w:sz w:val="17"/>
          <w:szCs w:val="17"/>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7"/>
          <w:szCs w:val="17"/>
          <w:u w:val="single" w:color="auto"/>
          <w:color w:val="auto"/>
        </w:rPr>
        <w:t>eighth</w:t>
      </w:r>
      <w:r>
        <w:rPr>
          <w:rFonts w:ascii="Times New Roman" w:cs="Times New Roman" w:eastAsia="Times New Roman" w:hAnsi="Times New Roman"/>
          <w:sz w:val="17"/>
          <w:szCs w:val="17"/>
          <w:color w:val="auto"/>
        </w:rPr>
        <w:t xml:space="preserve">, to such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2.26 shall be deemed paid to and redirected by such Defaulting Lender, and each Lender under the applicable Facility irrevocably consents hereto.</w:t>
      </w:r>
    </w:p>
    <w:p>
      <w:pPr>
        <w:spacing w:after="0" w:line="398" w:lineRule="exact"/>
        <w:rPr>
          <w:sz w:val="20"/>
          <w:szCs w:val="20"/>
          <w:color w:val="auto"/>
        </w:rPr>
      </w:pPr>
    </w:p>
    <w:p>
      <w:pPr>
        <w:ind w:right="140" w:firstLine="974"/>
        <w:spacing w:after="0" w:line="248"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New Local Facilities</w:t>
      </w:r>
      <w:r>
        <w:rPr>
          <w:rFonts w:ascii="Times New Roman" w:cs="Times New Roman" w:eastAsia="Times New Roman" w:hAnsi="Times New Roman"/>
          <w:sz w:val="18"/>
          <w:szCs w:val="18"/>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(or, with respect to any Brazilian New Local Facility, Brazilian Reais) in a jurisdiction outside of the United States pursuant to a newly established sub-facility or sub-facilities under any Facility or a separate revolving facility hereunder (each, a “</w:t>
      </w:r>
      <w:r>
        <w:rPr>
          <w:rFonts w:ascii="Times New Roman" w:cs="Times New Roman" w:eastAsia="Times New Roman" w:hAnsi="Times New Roman"/>
          <w:sz w:val="18"/>
          <w:szCs w:val="18"/>
          <w:u w:val="single" w:color="auto"/>
          <w:color w:val="auto"/>
        </w:rPr>
        <w:t>New Local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both at the time of any such request and upon the effectiveness of any Local Facility Amendment referred to below,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shall be required to make Extensions of Credit in excess of its Commitment then in effect, and (ii) after giving effect to any such New Local Facility, the Total Domestic Extensions of Credit shall not exceed the Total Domestic Commitments then in effect, the Total L/C Tranche Extensions of Credit shall not exceed the Total L/C Tranche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800"/>
          </w:cols>
          <w:pgMar w:left="540" w:top="267" w:right="559" w:bottom="1440" w:gutter="0" w:footer="0" w:header="0"/>
        </w:sectPr>
      </w:pPr>
    </w:p>
    <w:bookmarkStart w:id="290" w:name="page291"/>
    <w:bookmarkEnd w:id="290"/>
    <w:p>
      <w:pPr>
        <w:ind w:righ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notice from the Company pursuant to this Section 2.27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Times New Roman" w:cs="Times New Roman" w:eastAsia="Times New Roman" w:hAnsi="Times New Roman"/>
          <w:sz w:val="18"/>
          <w:szCs w:val="18"/>
          <w:u w:val="single" w:color="auto"/>
          <w:color w:val="auto"/>
        </w:rPr>
        <w:t>New Local Facility Lender</w:t>
      </w:r>
      <w:r>
        <w:rPr>
          <w:rFonts w:ascii="Times New Roman" w:cs="Times New Roman" w:eastAsia="Times New Roman" w:hAnsi="Times New Roman"/>
          <w:sz w:val="18"/>
          <w:szCs w:val="18"/>
          <w:color w:val="auto"/>
        </w:rPr>
        <w:t>”) shall have such portion of their Commitment under such Facility designated to such New Local Facility on a pro rata basis in accordance with the aggregate Commitments of the other New Local Facility Lenders; provided, that no Lender may so reallocate its Commitments to a New Local Facility if such reallocation would result in amounts being payable by the Company or any Subsidiary Borrower under Section 2.20 or 2.21 unless such Lender changes its Applicable Lending Office to avoid such a result or the Company otherwise consents. The designation of Commitments to any New Local Facility shall be made pursuant to an amendment (each, a “</w:t>
      </w:r>
      <w:r>
        <w:rPr>
          <w:rFonts w:ascii="Times New Roman" w:cs="Times New Roman" w:eastAsia="Times New Roman" w:hAnsi="Times New Roman"/>
          <w:sz w:val="18"/>
          <w:szCs w:val="18"/>
          <w:u w:val="single" w:color="auto"/>
          <w:color w:val="auto"/>
        </w:rPr>
        <w:t>Local Facility Amendment</w:t>
      </w:r>
      <w:r>
        <w:rPr>
          <w:rFonts w:ascii="Times New Roman" w:cs="Times New Roman" w:eastAsia="Times New Roman" w:hAnsi="Times New Roman"/>
          <w:sz w:val="18"/>
          <w:szCs w:val="18"/>
          <w:color w:val="auto"/>
        </w:rPr>
        <w:t>”) to this Agreement and, as appropriate, the other Loan Documents, executed by the Loan Parties, the Administrative Agent and each New Local Facility Lender. Notwithstanding anything in this Section 2.27 to the contrary, no Lender shall be obligated to transfer any portion of its Commitments to a New Local Facility unless it so agrees.</w:t>
      </w:r>
    </w:p>
    <w:p>
      <w:pPr>
        <w:spacing w:after="0" w:line="187" w:lineRule="exact"/>
        <w:rPr>
          <w:sz w:val="20"/>
          <w:szCs w:val="20"/>
          <w:color w:val="auto"/>
        </w:rPr>
      </w:pPr>
    </w:p>
    <w:p>
      <w:pPr>
        <w:ind w:right="140" w:firstLine="966"/>
        <w:spacing w:after="0" w:line="255" w:lineRule="auto"/>
        <w:tabs>
          <w:tab w:leader="none" w:pos="122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2.27, a copy of which shall be made available to each Lender.</w:t>
      </w:r>
    </w:p>
    <w:p>
      <w:pPr>
        <w:spacing w:after="0" w:line="181" w:lineRule="exact"/>
        <w:rPr>
          <w:rFonts w:ascii="Times New Roman" w:cs="Times New Roman" w:eastAsia="Times New Roman" w:hAnsi="Times New Roman"/>
          <w:sz w:val="18"/>
          <w:szCs w:val="18"/>
          <w:color w:val="auto"/>
        </w:rPr>
      </w:pPr>
    </w:p>
    <w:p>
      <w:pPr>
        <w:ind w:firstLine="966"/>
        <w:spacing w:after="0" w:line="247" w:lineRule="auto"/>
        <w:tabs>
          <w:tab w:leader="none" w:pos="121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to the contrary set forth herein, subject to the other terms and conditions set forth in this Agreement (including this Section 2.27), the Company may request that any such New Local Facility denominated in Brazilian Reais be made available to GMB (any such Facility, a “</w:t>
      </w:r>
      <w:r>
        <w:rPr>
          <w:rFonts w:ascii="Times New Roman" w:cs="Times New Roman" w:eastAsia="Times New Roman" w:hAnsi="Times New Roman"/>
          <w:sz w:val="18"/>
          <w:szCs w:val="18"/>
          <w:u w:val="single" w:color="auto"/>
          <w:color w:val="auto"/>
        </w:rPr>
        <w:t>Brazilian New Local Facility</w:t>
      </w:r>
      <w:r>
        <w:rPr>
          <w:rFonts w:ascii="Times New Roman" w:cs="Times New Roman" w:eastAsia="Times New Roman" w:hAnsi="Times New Roman"/>
          <w:sz w:val="18"/>
          <w:szCs w:val="18"/>
          <w:color w:val="auto"/>
        </w:rPr>
        <w:t>”); provided that the provision of such Brazilian New Local Facility shall be subject to conditions to be agreed by the Company, GMB, the Administrative Agent and the Lenders providing such Brazilian New Local Facility but shall include, in any event (A) the execution and delivery by the Company, GMB and the Administrative Agent of a Borrower Joinder Agreement, providing for such Subsidiary to become a Subsidiary Borrower, (B) the agreement and acknowledgment by the Company and each Subsidiary Guarantor (if any, to the extent provided pursuant to Section 6.6) that the Guarantee covers the Obligations of GMB, (C) the delivery to the Administrative Agent of corporate or other applicable resolutions, other corporate or other applicable documents, certificates and legal opinions in respect of GMB reasonably equivalent to comparable documents delivered on the Closing Date and (D)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In connection with any such Brazilian New Local Facility, the Company and the Administrative Agent may, without the input or consent of any other Lender (other than any Lender participating in such Brazilian New Local Facility), effect amendments to this Agreement as may be necessary in the reasonable opinion of the Company and the Administrative Agent to effect the provisions hereof (including any definitions relating to or necessary to effectuate the foregoing). The parties hereto hereby acknowledge and agree that such changes may include the appointment of a Brazilian Administrative Agent (subject to the consent of any such proposed agent) and other changes consistent with the terms of the “Brazilian Facility” (as defined, and as set forth, in the Existing Five Year Credit Agreement).</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780"/>
          </w:cols>
          <w:pgMar w:left="540" w:top="267" w:right="579" w:bottom="1440" w:gutter="0" w:footer="0" w:header="0"/>
        </w:sectPr>
      </w:pPr>
    </w:p>
    <w:bookmarkStart w:id="291" w:name="page292"/>
    <w:bookmarkEnd w:id="291"/>
    <w:p>
      <w:pPr>
        <w:ind w:left="8" w:right="140" w:firstLine="974"/>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2.28 </w:t>
      </w:r>
      <w:r>
        <w:rPr>
          <w:rFonts w:ascii="Times New Roman" w:cs="Times New Roman" w:eastAsia="Times New Roman" w:hAnsi="Times New Roman"/>
          <w:sz w:val="17"/>
          <w:szCs w:val="17"/>
          <w:u w:val="single" w:color="auto"/>
          <w:color w:val="auto"/>
        </w:rPr>
        <w:t>Incremental Commitments/Facilities</w:t>
      </w:r>
      <w:r>
        <w:rPr>
          <w:rFonts w:ascii="Times New Roman" w:cs="Times New Roman" w:eastAsia="Times New Roman" w:hAnsi="Times New Roman"/>
          <w:sz w:val="17"/>
          <w:szCs w:val="17"/>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Times New Roman" w:cs="Times New Roman" w:eastAsia="Times New Roman" w:hAnsi="Times New Roman"/>
          <w:sz w:val="17"/>
          <w:szCs w:val="17"/>
          <w:u w:val="single" w:color="auto"/>
          <w:color w:val="auto"/>
        </w:rPr>
        <w:t>Commitment Increase</w:t>
      </w:r>
      <w:r>
        <w:rPr>
          <w:rFonts w:ascii="Times New Roman" w:cs="Times New Roman" w:eastAsia="Times New Roman" w:hAnsi="Times New Roman"/>
          <w:sz w:val="17"/>
          <w:szCs w:val="17"/>
          <w:color w:val="auto"/>
        </w:rPr>
        <w:t>”)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w:t>
      </w:r>
    </w:p>
    <w:p>
      <w:pPr>
        <w:spacing w:after="0" w:line="6" w:lineRule="exact"/>
        <w:rPr>
          <w:sz w:val="20"/>
          <w:szCs w:val="20"/>
          <w:color w:val="auto"/>
        </w:rPr>
      </w:pPr>
    </w:p>
    <w:p>
      <w:pPr>
        <w:ind w:left="8" w:right="20" w:hanging="8"/>
        <w:spacing w:after="0" w:line="246" w:lineRule="auto"/>
        <w:tabs>
          <w:tab w:leader="none" w:pos="29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5-Year Total Commitments then in effect (including, for the avoidance of doubt, any commitments under incremental facilities under the 5-Year Revolving Credit Agreement) and the aggregate amount of all Ancillary Commitments then in effect shall not exceed $17.0 billion.</w:t>
      </w:r>
    </w:p>
    <w:p>
      <w:pPr>
        <w:spacing w:after="0" w:line="193" w:lineRule="exact"/>
        <w:rPr>
          <w:rFonts w:ascii="Times New Roman" w:cs="Times New Roman" w:eastAsia="Times New Roman" w:hAnsi="Times New Roman"/>
          <w:sz w:val="18"/>
          <w:szCs w:val="18"/>
          <w:color w:val="auto"/>
        </w:rPr>
      </w:pPr>
    </w:p>
    <w:p>
      <w:pPr>
        <w:ind w:left="8" w:right="80" w:firstLine="966"/>
        <w:spacing w:after="0" w:line="251" w:lineRule="auto"/>
        <w:tabs>
          <w:tab w:leader="none" w:pos="1233"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that is a signatory to an Incremental Loan Activation Notice severally agrees, on the terms and conditions of this Agreement, to make revolving credit loans (each,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2.28 shall be construed to obligate any Lender to execute an Incremental Loan Activation Notice.</w:t>
      </w:r>
    </w:p>
    <w:p>
      <w:pPr>
        <w:spacing w:after="0" w:line="186" w:lineRule="exact"/>
        <w:rPr>
          <w:rFonts w:ascii="Times New Roman" w:cs="Times New Roman" w:eastAsia="Times New Roman" w:hAnsi="Times New Roman"/>
          <w:sz w:val="18"/>
          <w:szCs w:val="18"/>
          <w:color w:val="auto"/>
        </w:rPr>
      </w:pPr>
    </w:p>
    <w:p>
      <w:pPr>
        <w:ind w:left="1208" w:hanging="234"/>
        <w:spacing w:after="0"/>
        <w:tabs>
          <w:tab w:leader="none" w:pos="1208"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Commitment Increase Date with respect to any Facility, in the event any Loans under such Facility are then outstanding,</w:t>
      </w:r>
    </w:p>
    <w:p>
      <w:pPr>
        <w:spacing w:after="0" w:line="25" w:lineRule="exact"/>
        <w:rPr>
          <w:sz w:val="20"/>
          <w:szCs w:val="20"/>
          <w:color w:val="auto"/>
        </w:rPr>
      </w:pPr>
    </w:p>
    <w:p>
      <w:pPr>
        <w:ind w:left="8" w:right="80" w:hanging="8"/>
        <w:spacing w:after="0" w:line="247" w:lineRule="auto"/>
        <w:tabs>
          <w:tab w:leader="none" w:pos="21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88" w:lineRule="exact"/>
        <w:rPr>
          <w:rFonts w:ascii="Times New Roman" w:cs="Times New Roman" w:eastAsia="Times New Roman" w:hAnsi="Times New Roman"/>
          <w:sz w:val="18"/>
          <w:szCs w:val="18"/>
          <w:color w:val="auto"/>
        </w:rPr>
      </w:pPr>
    </w:p>
    <w:p>
      <w:pPr>
        <w:ind w:left="8" w:firstLine="966"/>
        <w:spacing w:after="0" w:line="249" w:lineRule="auto"/>
        <w:tabs>
          <w:tab w:leader="none" w:pos="1233"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to the contrary set forth herein, with the consent of the Company, the Administrative Agent and each applicable Incremental Lender providing a commitment under the applicable Incremental Facility, and subject to the other terms and conditions set forth in this Agreement (including this Section 2.28), the Company may request that any such Incremental Facility be made available to GMB (which Incremental Facility would be made available in Brazilian Reais) (any such Facility, a “</w:t>
      </w:r>
      <w:r>
        <w:rPr>
          <w:rFonts w:ascii="Times New Roman" w:cs="Times New Roman" w:eastAsia="Times New Roman" w:hAnsi="Times New Roman"/>
          <w:sz w:val="18"/>
          <w:szCs w:val="18"/>
          <w:u w:val="single" w:color="auto"/>
          <w:color w:val="auto"/>
        </w:rPr>
        <w:t>Brazilian Incremental Facility</w:t>
      </w:r>
      <w:r>
        <w:rPr>
          <w:rFonts w:ascii="Times New Roman" w:cs="Times New Roman" w:eastAsia="Times New Roman" w:hAnsi="Times New Roman"/>
          <w:sz w:val="18"/>
          <w:szCs w:val="18"/>
          <w:color w:val="auto"/>
        </w:rPr>
        <w:t>”); provided that the provision of such Brazilian Incremental Facility shall be subject to conditions to be agreed by the Company, GMB, the Administrative Agent and the Incremental Lenders providing such Facility but shall include, in any event (A) the execution and delivery by the Company, GMB and the Administrative Agent of a Borrower Joinder Agreement, providing for such Subsidiary to become a Subsidiary Borrower, (B) the agreement and acknowledgment by the Company and each Subsidiary Guarantor (if any, to the extent provided pursuant to Section 6.6) that the Guarantee covers the Obligations of GMB, (C) the delivery to the Administrative</w:t>
      </w:r>
    </w:p>
    <w:p>
      <w:pPr>
        <w:spacing w:after="0" w:line="12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808"/>
          </w:cols>
          <w:pgMar w:left="532" w:top="267" w:right="559" w:bottom="1440" w:gutter="0" w:footer="0" w:header="0"/>
        </w:sectPr>
      </w:pPr>
    </w:p>
    <w:bookmarkStart w:id="292" w:name="page293"/>
    <w:bookmarkEnd w:id="292"/>
    <w:p>
      <w:pPr>
        <w:ind w:right="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Agent of corporate or other applicable resolutions, other corporate or other applicable documents, certificates and legal opinions in respect of GMB reasonably equivalent to comparable documents delivered on the Closing Date and (D)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In connection with any such Brazilian Incremental Facility, the Company and the Administrative Agent may, without the input or consent of any other Lender (other than any Incremental Lender participating in such Brazilian Incremental Facility), effect amendments to this Agreement as may be necessary in the reasonable opinion of the Company and the Administrative Agent to effect the provisions hereof (including any definitions relating to or necessary to effectuate the foregoing). The parties hereto hereby acknowledge and agree that such changes may include the appointment of a Brazilian Administrative Agent (subject to the consent of any such proposed agent) and other changes consistent with the terms of the “Brazilian Facility” (as defined, and as set forth, in the Existing Five Year Credit Agreement).</w:t>
      </w:r>
    </w:p>
    <w:p>
      <w:pPr>
        <w:spacing w:after="0" w:line="187" w:lineRule="exact"/>
        <w:rPr>
          <w:sz w:val="20"/>
          <w:szCs w:val="20"/>
          <w:color w:val="auto"/>
        </w:rPr>
      </w:pPr>
    </w:p>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Termination Date Extension</w:t>
      </w:r>
      <w:r>
        <w:rPr>
          <w:rFonts w:ascii="Times New Roman" w:cs="Times New Roman" w:eastAsia="Times New Roman" w:hAnsi="Times New Roman"/>
          <w:sz w:val="18"/>
          <w:szCs w:val="18"/>
          <w:color w:val="auto"/>
        </w:rPr>
        <w:t>. (a) The Company may at any time and from time to time, by notice to the Administrative Agent,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 Section 2.29(b).</w:t>
      </w:r>
    </w:p>
    <w:p>
      <w:pPr>
        <w:spacing w:after="0" w:line="185" w:lineRule="exact"/>
        <w:rPr>
          <w:sz w:val="20"/>
          <w:szCs w:val="20"/>
          <w:color w:val="auto"/>
        </w:rPr>
      </w:pPr>
    </w:p>
    <w:p>
      <w:pPr>
        <w:ind w:firstLine="966"/>
        <w:spacing w:after="0" w:line="255" w:lineRule="auto"/>
        <w:tabs>
          <w:tab w:leader="none" w:pos="12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does not consent to any extension request that becomes effective pursuant to Section 2.29(a) (each such Lender,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then the Termination Date for such Non-Extending Lender shall remain unchanged from that applicable prior to the extension and the Commitments of each Non-Extending Lender and the existing Applicable Margins shall, subject to the terms of Section 2.18, continue in full force and effect.</w:t>
      </w:r>
    </w:p>
    <w:p>
      <w:pPr>
        <w:spacing w:after="0" w:line="181" w:lineRule="exact"/>
        <w:rPr>
          <w:rFonts w:ascii="Times New Roman" w:cs="Times New Roman" w:eastAsia="Times New Roman" w:hAnsi="Times New Roman"/>
          <w:sz w:val="18"/>
          <w:szCs w:val="18"/>
          <w:color w:val="auto"/>
        </w:rPr>
      </w:pPr>
    </w:p>
    <w:p>
      <w:pPr>
        <w:ind w:right="100" w:firstLine="966"/>
        <w:spacing w:after="0" w:line="255" w:lineRule="auto"/>
        <w:tabs>
          <w:tab w:leader="none" w:pos="121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10.1(a), the Company and the Administrative Agent (and the Extending Lenders) shall be entitled to enter into any amendments to this Agreement that the Administrative Agent believes are necessary or appropriate to reflect, or to provide for the integration of, any extension of the Termination Date or change in Applicable Margins pursuant to this Section 2.29 without the consent of any Non-Extending Lender.</w:t>
      </w:r>
    </w:p>
    <w:p>
      <w:pPr>
        <w:spacing w:after="0" w:line="182" w:lineRule="exact"/>
        <w:rPr>
          <w:sz w:val="20"/>
          <w:szCs w:val="20"/>
          <w:color w:val="auto"/>
        </w:rPr>
      </w:pPr>
    </w:p>
    <w:p>
      <w:pPr>
        <w:ind w:right="80" w:firstLine="974"/>
        <w:spacing w:after="0" w:line="251"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Ancillary Facilities</w:t>
      </w:r>
      <w:r>
        <w:rPr>
          <w:rFonts w:ascii="Times New Roman" w:cs="Times New Roman" w:eastAsia="Times New Roman" w:hAnsi="Times New Roman"/>
          <w:sz w:val="18"/>
          <w:szCs w:val="18"/>
          <w:color w:val="auto"/>
        </w:rPr>
        <w:t>. (a) Subject to compliance with the requirements set forth in this Section 2.30, the Company may request from time to time (but in any event prior to the Termination Date for the applicable Multicurrency Lenders in respect of the Multicurrency Facility) and any Multicurrency Lender may agree (in its sole discretion) to establish an Ancillary Facility on a bilateral basis to be made available to any Loan Party or any Foreign Subsidiary (each such Loan Party or Foreign Subsidiary in such capacity, an “</w:t>
      </w:r>
      <w:r>
        <w:rPr>
          <w:rFonts w:ascii="Times New Roman" w:cs="Times New Roman" w:eastAsia="Times New Roman" w:hAnsi="Times New Roman"/>
          <w:sz w:val="18"/>
          <w:szCs w:val="18"/>
          <w:u w:val="single" w:color="auto"/>
          <w:color w:val="auto"/>
        </w:rPr>
        <w:t>Ancillary Borrower</w:t>
      </w:r>
      <w:r>
        <w:rPr>
          <w:rFonts w:ascii="Times New Roman" w:cs="Times New Roman" w:eastAsia="Times New Roman" w:hAnsi="Times New Roman"/>
          <w:sz w:val="18"/>
          <w:szCs w:val="18"/>
          <w:color w:val="auto"/>
        </w:rPr>
        <w:t>”) by conversion of such Lender’s unutilized Multicurrency Commitments (or part thereof) into an Ancillary Commitment (and a corresponding reduction of such Lender’s Multicurrency Commitments then in effect by an amount equal to such Ancillary Commitment).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00"/>
          </w:cols>
          <w:pgMar w:left="540" w:top="267" w:right="559" w:bottom="1440" w:gutter="0" w:footer="0" w:header="0"/>
        </w:sectPr>
      </w:pPr>
    </w:p>
    <w:bookmarkStart w:id="293" w:name="page294"/>
    <w:bookmarkEnd w:id="293"/>
    <w:p>
      <w:pPr>
        <w:ind w:right="940" w:firstLine="966"/>
        <w:spacing w:after="0" w:line="260" w:lineRule="auto"/>
        <w:tabs>
          <w:tab w:leader="none" w:pos="12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To request the creation of an Ancillary Facility, the Company and the applicable Ancillary Borrower(s) shall deliver to the Administrative Agent not later than 3 Business Days (or such shorter period agreed to by the Administrative Agent) prior to the Ancillary Commencement Date for such Ancillary Facility:</w:t>
      </w:r>
    </w:p>
    <w:p>
      <w:pPr>
        <w:spacing w:after="0" w:line="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 a notice in writing specifying:</w:t>
      </w:r>
    </w:p>
    <w:p>
      <w:pPr>
        <w:spacing w:after="0" w:line="111" w:lineRule="exact"/>
        <w:rPr>
          <w:sz w:val="20"/>
          <w:szCs w:val="20"/>
          <w:color w:val="auto"/>
        </w:rPr>
      </w:pPr>
    </w:p>
    <w:p>
      <w:pPr>
        <w:ind w:left="1640" w:hanging="280"/>
        <w:spacing w:after="0"/>
        <w:tabs>
          <w:tab w:leader="none" w:pos="16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Ancillary Borrower(s) to which extensions of credit will be made available thereunder;</w:t>
      </w:r>
    </w:p>
    <w:p>
      <w:pPr>
        <w:spacing w:after="0" w:line="111" w:lineRule="exact"/>
        <w:rPr>
          <w:rFonts w:ascii="Times New Roman" w:cs="Times New Roman" w:eastAsia="Times New Roman" w:hAnsi="Times New Roman"/>
          <w:sz w:val="18"/>
          <w:szCs w:val="18"/>
          <w:color w:val="auto"/>
        </w:rPr>
      </w:pPr>
    </w:p>
    <w:p>
      <w:pPr>
        <w:ind w:left="960" w:right="120" w:firstLine="400"/>
        <w:spacing w:after="0" w:line="274" w:lineRule="auto"/>
        <w:tabs>
          <w:tab w:leader="none" w:pos="163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Ancillary Commencement Date and the expiration date of such Ancillary Facility (which shall be no later than the Termination Date for the applicable Lenders under the Multicurrency Facility);</w:t>
      </w:r>
    </w:p>
    <w:p>
      <w:pPr>
        <w:spacing w:after="0" w:line="58" w:lineRule="exact"/>
        <w:rPr>
          <w:rFonts w:ascii="Times New Roman" w:cs="Times New Roman" w:eastAsia="Times New Roman" w:hAnsi="Times New Roman"/>
          <w:sz w:val="18"/>
          <w:szCs w:val="18"/>
          <w:color w:val="auto"/>
        </w:rPr>
      </w:pPr>
    </w:p>
    <w:p>
      <w:pPr>
        <w:ind w:left="960" w:right="160" w:firstLine="400"/>
        <w:spacing w:after="0" w:line="274" w:lineRule="auto"/>
        <w:tabs>
          <w:tab w:leader="none" w:pos="163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Ancillary Facility being provided (with such type being specified based on the applicable clause of the definition of “Ancillary Facility”);</w:t>
      </w:r>
    </w:p>
    <w:p>
      <w:pPr>
        <w:spacing w:after="0" w:line="58" w:lineRule="exact"/>
        <w:rPr>
          <w:rFonts w:ascii="Times New Roman" w:cs="Times New Roman" w:eastAsia="Times New Roman" w:hAnsi="Times New Roman"/>
          <w:sz w:val="18"/>
          <w:szCs w:val="18"/>
          <w:color w:val="auto"/>
        </w:rPr>
      </w:pPr>
    </w:p>
    <w:p>
      <w:pPr>
        <w:ind w:left="1640" w:hanging="280"/>
        <w:spacing w:after="0"/>
        <w:tabs>
          <w:tab w:leader="none" w:pos="16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Ancillary Lender(s);</w:t>
      </w:r>
    </w:p>
    <w:p>
      <w:pPr>
        <w:spacing w:after="0" w:line="111" w:lineRule="exact"/>
        <w:rPr>
          <w:rFonts w:ascii="Times New Roman" w:cs="Times New Roman" w:eastAsia="Times New Roman" w:hAnsi="Times New Roman"/>
          <w:sz w:val="18"/>
          <w:szCs w:val="18"/>
          <w:color w:val="auto"/>
        </w:rPr>
      </w:pPr>
    </w:p>
    <w:p>
      <w:pPr>
        <w:jc w:val="both"/>
        <w:ind w:left="960" w:firstLine="400"/>
        <w:spacing w:after="0" w:line="282" w:lineRule="auto"/>
        <w:tabs>
          <w:tab w:leader="none" w:pos="1624"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currency of the proposed Ancillary Commitment with respect to such Ancillary Facility (the Dollar Equivalent of which on the Ancillary Commencement Date shall not exceed such Ancillary Lender’s Available Multicurrency Commitment (determined prior to giving effect to such Ancillary Commitment but after giving effect to any other Ancillary Commitments of such Lender)); and</w:t>
      </w:r>
    </w:p>
    <w:p>
      <w:pPr>
        <w:spacing w:after="0" w:line="54" w:lineRule="exact"/>
        <w:rPr>
          <w:sz w:val="20"/>
          <w:szCs w:val="20"/>
          <w:color w:val="auto"/>
        </w:rPr>
      </w:pPr>
    </w:p>
    <w:p>
      <w:pPr>
        <w:ind w:left="1620" w:hanging="260"/>
        <w:spacing w:after="0"/>
        <w:tabs>
          <w:tab w:leader="none" w:pos="16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Ancillary Facility Document with respect to such Ancillary Facility; and</w:t>
      </w:r>
    </w:p>
    <w:p>
      <w:pPr>
        <w:spacing w:after="0" w:line="111" w:lineRule="exact"/>
        <w:rPr>
          <w:rFonts w:ascii="Times New Roman" w:cs="Times New Roman" w:eastAsia="Times New Roman" w:hAnsi="Times New Roman"/>
          <w:sz w:val="18"/>
          <w:szCs w:val="18"/>
          <w:color w:val="auto"/>
        </w:rPr>
      </w:pPr>
    </w:p>
    <w:p>
      <w:pPr>
        <w:ind w:left="1660" w:hanging="300"/>
        <w:spacing w:after="0"/>
        <w:tabs>
          <w:tab w:leader="none" w:pos="1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that the Administrative Agent may reasonably request in connection with such Ancillary Facility.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give notice to each Lender with Multicurrency Commitments of such Ancillary Facility notice.</w:t>
      </w:r>
    </w:p>
    <w:p>
      <w:pPr>
        <w:spacing w:after="0" w:line="218" w:lineRule="exact"/>
        <w:rPr>
          <w:sz w:val="20"/>
          <w:szCs w:val="20"/>
          <w:color w:val="auto"/>
        </w:rPr>
      </w:pPr>
    </w:p>
    <w:p>
      <w:pPr>
        <w:ind w:firstLine="966"/>
        <w:spacing w:after="0" w:line="253" w:lineRule="auto"/>
        <w:tabs>
          <w:tab w:leader="none" w:pos="121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terms of this Agreement, an affiliate of any Lender may become an Ancillary Lender, in which case such Lender and such affiliate shall be treated as a single Lender whose Multicurrency Commitments are as set forth in Schedule 1.1A or in the Assignment and Assumption pursuant to which such Lender assumed its applicable Multicurrency Commitment, as the same may be modified in accordance with the definition of “Multicurrency Commitment”; it being understood that the relevant Lender’s Multicurrency Commitment will be reduced by the amount of the Ancillary Commitment of such Lender or such affiliate for so long as such Ancillary Commitments remain outstanding.</w:t>
      </w:r>
    </w:p>
    <w:p>
      <w:pPr>
        <w:spacing w:after="0" w:line="76" w:lineRule="exact"/>
        <w:rPr>
          <w:rFonts w:ascii="Times New Roman" w:cs="Times New Roman" w:eastAsia="Times New Roman" w:hAnsi="Times New Roman"/>
          <w:sz w:val="18"/>
          <w:szCs w:val="18"/>
          <w:color w:val="auto"/>
        </w:rPr>
      </w:pPr>
    </w:p>
    <w:p>
      <w:pPr>
        <w:ind w:left="960" w:right="520" w:firstLine="400"/>
        <w:spacing w:after="0" w:line="260" w:lineRule="auto"/>
        <w:tabs>
          <w:tab w:leader="none" w:pos="161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this Agreement or any other Loan Document imposes any obligation on any Ancillary Lender and such Ancillary Lender is an affiliate of a Lender and not a party hereto or thereto, the relevant Lender shall ensure that such obligation is performed by such affiliate in compliance with the terms hereof or such other Loan Document.</w:t>
      </w:r>
    </w:p>
    <w:p>
      <w:pPr>
        <w:spacing w:after="0" w:line="70" w:lineRule="exact"/>
        <w:rPr>
          <w:rFonts w:ascii="Times New Roman" w:cs="Times New Roman" w:eastAsia="Times New Roman" w:hAnsi="Times New Roman"/>
          <w:sz w:val="18"/>
          <w:szCs w:val="18"/>
          <w:color w:val="auto"/>
        </w:rPr>
      </w:pPr>
    </w:p>
    <w:p>
      <w:pPr>
        <w:ind w:left="960" w:right="220" w:firstLine="400"/>
        <w:spacing w:after="0" w:line="274" w:lineRule="auto"/>
        <w:tabs>
          <w:tab w:leader="none" w:pos="1663"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Ancillary Lender, in its capacity as such, hereby appoints the Administrative Agent as its agent for purposes of the Loan Documents.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780"/>
          </w:cols>
          <w:pgMar w:left="540" w:top="267" w:right="579" w:bottom="1440" w:gutter="0" w:footer="0" w:header="0"/>
        </w:sectPr>
      </w:pPr>
    </w:p>
    <w:bookmarkStart w:id="294" w:name="page295"/>
    <w:bookmarkEnd w:id="294"/>
    <w:p>
      <w:pPr>
        <w:ind w:left="8" w:right="260" w:firstLine="966"/>
        <w:spacing w:after="0" w:line="268" w:lineRule="auto"/>
        <w:tabs>
          <w:tab w:leader="none" w:pos="1233"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(i) Each Ancillary Facility shall contain terms and conditions acceptable to the applicable Ancillary Lender(s) and the applicable Ancillary Borrower(s)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terms shall, in the reasonable business judgment of the Company, be based upon normal commercial terms at the time of the creation of such Ancillary Facility pursuant to paragraph (b) of this Section 2.30 and such terms shall at all times</w:t>
      </w:r>
    </w:p>
    <w:p>
      <w:pPr>
        <w:spacing w:after="0" w:line="1" w:lineRule="exact"/>
        <w:rPr>
          <w:rFonts w:ascii="Times New Roman" w:cs="Times New Roman" w:eastAsia="Times New Roman" w:hAnsi="Times New Roman"/>
          <w:sz w:val="17"/>
          <w:szCs w:val="17"/>
          <w:color w:val="auto"/>
        </w:rPr>
      </w:pPr>
    </w:p>
    <w:p>
      <w:pPr>
        <w:ind w:left="8" w:hanging="8"/>
        <w:spacing w:after="0" w:line="261" w:lineRule="auto"/>
        <w:tabs>
          <w:tab w:leader="none" w:pos="298"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extensions of credit thereunder to be made only to the applicable Ancillary Borrower(s); (B) provide that the Ancillary Commitment of any Ancillary Lender under such Ancillary Facility shall not exceed such Ancillary Lender’s Available Multicurrency Commitment as of the Ancillary Commencement Date (determined without giving effect to any reduction pursuant to the definition thereof by the amount of such Ancillary Lender’s Ancillary Commitment in relation to such Ancillary Facility) and that, in the event and on such occasion that such Ancillary Commitment exceeds such Available Multicurrency Commitment (determined as of the Ancillary Commencement Date and without giving effect to any reduction pursuant to the definition thereof by the amount of such Ancillary Lender’s Ancillary Commitment in relation to such Ancillary Facility but after giving effect to any other Ancillary Commitments of such Lender), such Ancillary Commitment shall be automatically reduced by the amount of such excess; (C) provide that the Ancillary Facility Outstandings shall not exceed the Ancillary Commitment with respect to such Ancillary Facility, (D) provide that the Ancillary Commitment under such Ancillary Facility be canceled, and that all Ancillary Facility Outstandings under such Ancillary Facility be repaid, not later than the Termination Date for the applicable Ancillary Lenders under the Multicurrency Facility (or such earlier date as the Multicurrency Commitment of the relevant Ancillary Lender (or its affiliate) is reduced to zero) unless cash collateralized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and,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 and (E) provide that the conditions set forth in Section 5.2 shall be conditions to each extension of credit under such Ancillary Facility (in each case to the extent applicable).</w:t>
      </w:r>
    </w:p>
    <w:p>
      <w:pPr>
        <w:spacing w:after="0" w:line="80" w:lineRule="exact"/>
        <w:rPr>
          <w:rFonts w:ascii="Times New Roman" w:cs="Times New Roman" w:eastAsia="Times New Roman" w:hAnsi="Times New Roman"/>
          <w:sz w:val="17"/>
          <w:szCs w:val="17"/>
          <w:color w:val="auto"/>
        </w:rPr>
      </w:pPr>
    </w:p>
    <w:p>
      <w:pPr>
        <w:ind w:left="968" w:right="80" w:firstLine="400"/>
        <w:spacing w:after="0" w:line="253" w:lineRule="auto"/>
        <w:tabs>
          <w:tab w:leader="none" w:pos="1622"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relevant Ancillary Commencement Date after giving effect to the reduction of the Multicurrency Commitment of each Ancillary Lender, each Multicurrency Lender will participate in the outstanding Multicurrency Loans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w:t>
      </w:r>
    </w:p>
    <w:p>
      <w:pPr>
        <w:spacing w:after="0" w:line="182" w:lineRule="exact"/>
        <w:rPr>
          <w:rFonts w:ascii="Times New Roman" w:cs="Times New Roman" w:eastAsia="Times New Roman" w:hAnsi="Times New Roman"/>
          <w:sz w:val="18"/>
          <w:szCs w:val="18"/>
          <w:color w:val="auto"/>
        </w:rPr>
      </w:pPr>
    </w:p>
    <w:p>
      <w:pPr>
        <w:ind w:left="8" w:right="80" w:firstLine="966"/>
        <w:spacing w:after="0" w:line="253" w:lineRule="auto"/>
        <w:tabs>
          <w:tab w:leader="none" w:pos="1223"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Ancillary Facility shall terminate on the Termination Date for the applicable Ancillary Lender(s) under the Multicurrency Facility (or later if cash collateral arrangements are made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or such earlier date (A) as provided in the relevant Ancillary Facility Document or (B) on which its expiry date occurs or on which it is cancelled in accordance with the terms of this Agreement.</w:t>
      </w:r>
    </w:p>
    <w:p>
      <w:pPr>
        <w:spacing w:after="0" w:line="76" w:lineRule="exact"/>
        <w:rPr>
          <w:rFonts w:ascii="Times New Roman" w:cs="Times New Roman" w:eastAsia="Times New Roman" w:hAnsi="Times New Roman"/>
          <w:sz w:val="18"/>
          <w:szCs w:val="18"/>
          <w:color w:val="auto"/>
        </w:rPr>
      </w:pPr>
    </w:p>
    <w:p>
      <w:pPr>
        <w:ind w:left="968" w:firstLine="400"/>
        <w:spacing w:after="0" w:line="260" w:lineRule="auto"/>
        <w:tabs>
          <w:tab w:leader="none" w:pos="1622"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Ancillary Facility expires or is otherwise cancelled in accordance with its terms, the Ancillary Commitment of the Ancillary Lender(s) shall be reduced to zero and the Multicurrency Commitment of those Ancillary Lender(s) (or their respective affiliates) then in effect shall be increased by the amount of such Lender’s expired Ancillary Commitment.</w:t>
      </w:r>
    </w:p>
    <w:p>
      <w:pPr>
        <w:spacing w:after="0" w:line="11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788"/>
          </w:cols>
          <w:pgMar w:left="532" w:top="267" w:right="579" w:bottom="1440" w:gutter="0" w:footer="0" w:header="0"/>
        </w:sectPr>
      </w:pPr>
    </w:p>
    <w:bookmarkStart w:id="295" w:name="page296"/>
    <w:bookmarkEnd w:id="295"/>
    <w:p>
      <w:pPr>
        <w:jc w:val="both"/>
        <w:ind w:left="60" w:right="80" w:firstLine="400"/>
        <w:spacing w:after="0" w:line="272" w:lineRule="auto"/>
        <w:tabs>
          <w:tab w:leader="none" w:pos="76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 Ancillary Lender may demand repayment or prepayment of, or cash collateralization of, any Ancillary Facility Outstandings prior to the expiry date of the relevant Ancillary Facility unless it gives the Company and the relevant Ancillary Borrower(s) not less than</w:t>
      </w:r>
    </w:p>
    <w:p>
      <w:pPr>
        <w:ind w:left="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Business Days’ notice and:</w:t>
      </w:r>
    </w:p>
    <w:p>
      <w:pPr>
        <w:spacing w:after="0" w:line="92" w:lineRule="exact"/>
        <w:rPr>
          <w:sz w:val="20"/>
          <w:szCs w:val="20"/>
          <w:color w:val="auto"/>
        </w:rPr>
      </w:pPr>
    </w:p>
    <w:p>
      <w:pPr>
        <w:ind w:left="740" w:hanging="280"/>
        <w:spacing w:after="0"/>
        <w:tabs>
          <w:tab w:leader="none" w:pos="74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Date for the applicable Lender(s) under the Multicurrency Facility has occurred;</w:t>
      </w:r>
    </w:p>
    <w:p>
      <w:pPr>
        <w:spacing w:after="0" w:line="111" w:lineRule="exact"/>
        <w:rPr>
          <w:rFonts w:ascii="Times New Roman" w:cs="Times New Roman" w:eastAsia="Times New Roman" w:hAnsi="Times New Roman"/>
          <w:sz w:val="18"/>
          <w:szCs w:val="18"/>
          <w:color w:val="auto"/>
        </w:rPr>
      </w:pPr>
    </w:p>
    <w:p>
      <w:pPr>
        <w:ind w:left="60" w:right="120" w:firstLine="400"/>
        <w:spacing w:after="0" w:line="260" w:lineRule="auto"/>
        <w:tabs>
          <w:tab w:leader="none" w:pos="73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have accelerated the Multicurrency Loans and terminated the Multicurrency Commitments and demanded repayment of, or otherwise accelerated, the Indebtedness or other obligations thereunder (or such Multicurrency Commitments have otherwise been terminated in full);</w:t>
      </w:r>
    </w:p>
    <w:p>
      <w:pPr>
        <w:spacing w:after="0" w:line="70" w:lineRule="exact"/>
        <w:rPr>
          <w:rFonts w:ascii="Times New Roman" w:cs="Times New Roman" w:eastAsia="Times New Roman" w:hAnsi="Times New Roman"/>
          <w:sz w:val="18"/>
          <w:szCs w:val="18"/>
          <w:color w:val="auto"/>
        </w:rPr>
      </w:pPr>
    </w:p>
    <w:p>
      <w:pPr>
        <w:ind w:left="740" w:hanging="280"/>
        <w:spacing w:after="0"/>
        <w:tabs>
          <w:tab w:leader="none" w:pos="74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such Ancillary Facility has occurred;</w:t>
      </w:r>
    </w:p>
    <w:p>
      <w:pPr>
        <w:spacing w:after="0" w:line="111" w:lineRule="exact"/>
        <w:rPr>
          <w:rFonts w:ascii="Times New Roman" w:cs="Times New Roman" w:eastAsia="Times New Roman" w:hAnsi="Times New Roman"/>
          <w:sz w:val="18"/>
          <w:szCs w:val="18"/>
          <w:color w:val="auto"/>
        </w:rPr>
      </w:pPr>
    </w:p>
    <w:p>
      <w:pPr>
        <w:ind w:left="60" w:firstLine="400"/>
        <w:spacing w:after="0" w:line="260" w:lineRule="auto"/>
        <w:tabs>
          <w:tab w:leader="none" w:pos="74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becomes unlawful in any applicable jurisdiction for the Ancillary Lender(s) to perform any of their obligations as contemplated by this Agreement or to fund, issue or maintain their participation in the Ancillary Facility (or it becomes unlawful for the applicable affiliate of the Ancillary Lender(s) to do so); or</w:t>
      </w:r>
    </w:p>
    <w:p>
      <w:pPr>
        <w:spacing w:after="0" w:line="70" w:lineRule="exact"/>
        <w:rPr>
          <w:rFonts w:ascii="Times New Roman" w:cs="Times New Roman" w:eastAsia="Times New Roman" w:hAnsi="Times New Roman"/>
          <w:sz w:val="18"/>
          <w:szCs w:val="18"/>
          <w:color w:val="auto"/>
        </w:rPr>
      </w:pPr>
    </w:p>
    <w:p>
      <w:pPr>
        <w:ind w:left="60" w:right="200" w:firstLine="400"/>
        <w:spacing w:after="0" w:line="260" w:lineRule="auto"/>
        <w:tabs>
          <w:tab w:leader="none" w:pos="72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Ancillary Facility Outstandings, if any, under such Ancillary Facility may be refinanced by a Loan under the Multicurrency Facility and the relevant Ancillary Lender(s) provide sufficient notice to permit the refinancing of such Ancillary Facility Outstandings with such a Loan.</w:t>
      </w:r>
    </w:p>
    <w:p>
      <w:pPr>
        <w:spacing w:after="0" w:line="176" w:lineRule="exact"/>
        <w:rPr>
          <w:rFonts w:ascii="Times New Roman" w:cs="Times New Roman" w:eastAsia="Times New Roman" w:hAnsi="Times New Roman"/>
          <w:sz w:val="18"/>
          <w:szCs w:val="18"/>
          <w:color w:val="auto"/>
        </w:rPr>
      </w:pPr>
    </w:p>
    <w:p>
      <w:pPr>
        <w:ind w:left="280" w:hanging="214"/>
        <w:spacing w:after="0"/>
        <w:tabs>
          <w:tab w:leader="none" w:pos="2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repaying any Ancillary Facility Outstandings pursuant to paragraph (e)(iii)(E) of this Section 2.30:</w:t>
      </w:r>
    </w:p>
    <w:p>
      <w:pPr>
        <w:spacing w:after="0" w:line="111" w:lineRule="exact"/>
        <w:rPr>
          <w:rFonts w:ascii="Times New Roman" w:cs="Times New Roman" w:eastAsia="Times New Roman" w:hAnsi="Times New Roman"/>
          <w:sz w:val="18"/>
          <w:szCs w:val="18"/>
          <w:color w:val="auto"/>
        </w:rPr>
      </w:pPr>
    </w:p>
    <w:p>
      <w:pPr>
        <w:ind w:left="60" w:right="520" w:firstLine="400"/>
        <w:spacing w:after="0" w:line="274" w:lineRule="auto"/>
        <w:tabs>
          <w:tab w:leader="none" w:pos="743"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Multicurrency Commitment of such Ancillary Lender will be increased by the amount of its Ancillary Commitment so terminated; and</w:t>
      </w:r>
    </w:p>
    <w:p>
      <w:pPr>
        <w:spacing w:after="0" w:line="58" w:lineRule="exact"/>
        <w:rPr>
          <w:rFonts w:ascii="Times New Roman" w:cs="Times New Roman" w:eastAsia="Times New Roman" w:hAnsi="Times New Roman"/>
          <w:sz w:val="18"/>
          <w:szCs w:val="18"/>
          <w:color w:val="auto"/>
        </w:rPr>
      </w:pPr>
    </w:p>
    <w:p>
      <w:pPr>
        <w:ind w:left="60" w:right="460" w:firstLine="400"/>
        <w:spacing w:after="0" w:line="274" w:lineRule="auto"/>
        <w:tabs>
          <w:tab w:leader="none" w:pos="73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may be borrowed irrespective of whether a Default is outstanding or any other applicable condition precedent is not satisfied (but only to the extent that the proceeds are applied to refinance those Ancillary Facility Outstandings)</w:t>
      </w:r>
      <w:r>
        <w:rPr>
          <w:rFonts w:ascii="Times New Roman" w:cs="Times New Roman" w:eastAsia="Times New Roman" w:hAnsi="Times New Roman"/>
          <w:sz w:val="18"/>
          <w:szCs w:val="18"/>
          <w:b w:val="1"/>
          <w:bCs w:val="1"/>
          <w:color w:val="auto"/>
        </w:rPr>
        <w:t>.</w:t>
      </w:r>
    </w:p>
    <w:p>
      <w:pPr>
        <w:spacing w:after="0" w:line="164" w:lineRule="exact"/>
        <w:rPr>
          <w:rFonts w:ascii="Times New Roman" w:cs="Times New Roman" w:eastAsia="Times New Roman" w:hAnsi="Times New Roman"/>
          <w:sz w:val="18"/>
          <w:szCs w:val="18"/>
          <w:color w:val="auto"/>
        </w:rPr>
      </w:pPr>
    </w:p>
    <w:p>
      <w:pPr>
        <w:ind w:left="320" w:hanging="254"/>
        <w:spacing w:after="0"/>
        <w:tabs>
          <w:tab w:leader="none" w:pos="32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making of such a Loan to refinance Ancillary Facility Outstandings:</w:t>
      </w:r>
    </w:p>
    <w:p>
      <w:pPr>
        <w:spacing w:after="0" w:line="111" w:lineRule="exact"/>
        <w:rPr>
          <w:rFonts w:ascii="Times New Roman" w:cs="Times New Roman" w:eastAsia="Times New Roman" w:hAnsi="Times New Roman"/>
          <w:sz w:val="18"/>
          <w:szCs w:val="18"/>
          <w:color w:val="auto"/>
        </w:rPr>
      </w:pPr>
    </w:p>
    <w:p>
      <w:pPr>
        <w:ind w:left="60" w:right="140" w:firstLine="400"/>
        <w:spacing w:after="0" w:line="255" w:lineRule="auto"/>
        <w:tabs>
          <w:tab w:leader="none" w:pos="743"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Multicurrency Lender will participate in that Loan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 and</w:t>
      </w:r>
    </w:p>
    <w:p>
      <w:pPr>
        <w:spacing w:after="0" w:line="75" w:lineRule="exact"/>
        <w:rPr>
          <w:rFonts w:ascii="Times New Roman" w:cs="Times New Roman" w:eastAsia="Times New Roman" w:hAnsi="Times New Roman"/>
          <w:sz w:val="18"/>
          <w:szCs w:val="18"/>
          <w:color w:val="auto"/>
        </w:rPr>
      </w:pPr>
    </w:p>
    <w:p>
      <w:pPr>
        <w:ind w:left="740" w:hanging="280"/>
        <w:spacing w:after="0"/>
        <w:tabs>
          <w:tab w:leader="none" w:pos="7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Ancillary Facility shall be cancelled.</w:t>
      </w:r>
    </w:p>
    <w:p>
      <w:pPr>
        <w:spacing w:after="0" w:line="1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920"/>
          </w:cols>
          <w:pgMar w:left="1440" w:top="267" w:right="539" w:bottom="1440" w:gutter="0" w:footer="0" w:header="0"/>
        </w:sectPr>
      </w:pPr>
    </w:p>
    <w:bookmarkStart w:id="296" w:name="page297"/>
    <w:bookmarkEnd w:id="296"/>
    <w:p>
      <w:pPr>
        <w:jc w:val="both"/>
        <w:ind w:left="8" w:right="120" w:firstLine="966"/>
        <w:spacing w:after="0" w:line="255" w:lineRule="auto"/>
        <w:tabs>
          <w:tab w:leader="none" w:pos="123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Company and each Ancillary Borrower to which an Ancillary Facility has been made available and each Ancillary Lender shall, upon request by the Administrative Agent, promptly supply the Administrative Agent with any information relating to the operation of such Ancillary Facility (including the Ancillary Facility Outstandings) as the Administrative Agent may reasonably request from time to time. The Company and each Ancillary Borrower consent to all such information being released to the Administrative Agent and the Lenders.</w:t>
      </w:r>
    </w:p>
    <w:p>
      <w:pPr>
        <w:spacing w:after="0" w:line="181" w:lineRule="exact"/>
        <w:rPr>
          <w:rFonts w:ascii="Times New Roman" w:cs="Times New Roman" w:eastAsia="Times New Roman" w:hAnsi="Times New Roman"/>
          <w:sz w:val="18"/>
          <w:szCs w:val="18"/>
          <w:color w:val="auto"/>
        </w:rPr>
      </w:pPr>
    </w:p>
    <w:p>
      <w:pPr>
        <w:ind w:left="8" w:right="220" w:firstLine="966"/>
        <w:spacing w:after="0" w:line="274" w:lineRule="auto"/>
        <w:tabs>
          <w:tab w:leader="none" w:pos="119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Ancillary Borrower acknowledge and consent that Sections 2.18, 2.20, 2.21 and 2.22 of this Agreement shall apply to each Ancillary Facility (unless expressly waived by the relevant Ancillary Lender in its sole discretion).</w:t>
      </w:r>
    </w:p>
    <w:p>
      <w:pPr>
        <w:spacing w:after="0" w:line="164" w:lineRule="exact"/>
        <w:rPr>
          <w:rFonts w:ascii="Times New Roman" w:cs="Times New Roman" w:eastAsia="Times New Roman" w:hAnsi="Times New Roman"/>
          <w:sz w:val="18"/>
          <w:szCs w:val="18"/>
          <w:color w:val="auto"/>
        </w:rPr>
      </w:pPr>
    </w:p>
    <w:p>
      <w:pPr>
        <w:ind w:left="8" w:right="180" w:firstLine="966"/>
        <w:spacing w:after="0" w:line="260" w:lineRule="auto"/>
        <w:tabs>
          <w:tab w:leader="none" w:pos="119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this Agreement or any other Loan Document imposes any obligation on any Ancillary Borrower and such Ancillary Borrower is an affiliate of a Borrower and not a party hereto or thereto, the relevant Borrower shall ensure that such obligation is performed by such affiliate in compliance with the terms hereof or such other Loan Document.</w:t>
      </w:r>
    </w:p>
    <w:p>
      <w:pPr>
        <w:spacing w:after="0" w:line="176" w:lineRule="exact"/>
        <w:rPr>
          <w:rFonts w:ascii="Times New Roman" w:cs="Times New Roman" w:eastAsia="Times New Roman" w:hAnsi="Times New Roman"/>
          <w:sz w:val="18"/>
          <w:szCs w:val="18"/>
          <w:color w:val="auto"/>
        </w:rPr>
      </w:pPr>
    </w:p>
    <w:p>
      <w:pPr>
        <w:ind w:left="8" w:right="60" w:firstLine="966"/>
        <w:spacing w:after="0" w:line="269" w:lineRule="auto"/>
        <w:tabs>
          <w:tab w:leader="none" w:pos="1233"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conflict between the terms of an Ancillary Facility Document and any Loan Document, the terms of such Loan Document shall govern except for (i) the first sentence of Section 2.17(a) for the purposes of calculating fees, interest or commission relating to the relevant Ancillary Facility, (ii) any Ancillary Facility comprising more than one account where the terms of the Ancillary Facility Documents shall prevail to the extent required to permit the netting of balances in respect of such accounts and (iii) where the relevant term of this Agreement would be contrary to, or inconsistent with, the law governing the relevant Ancillary Facility Document, in which case the relevant term of this Agreement shall be superseded by the terms of the such Ancillary Facility Document solely to the extent necessary to eliminate the subject conflict or inconsistency.</w:t>
      </w:r>
    </w:p>
    <w:p>
      <w:pPr>
        <w:spacing w:after="0" w:line="171" w:lineRule="exact"/>
        <w:rPr>
          <w:rFonts w:ascii="Times New Roman" w:cs="Times New Roman" w:eastAsia="Times New Roman" w:hAnsi="Times New Roman"/>
          <w:sz w:val="17"/>
          <w:szCs w:val="17"/>
          <w:color w:val="auto"/>
        </w:rPr>
      </w:pPr>
    </w:p>
    <w:p>
      <w:pPr>
        <w:ind w:left="8" w:right="160" w:firstLine="966"/>
        <w:spacing w:after="0" w:line="260" w:lineRule="auto"/>
        <w:tabs>
          <w:tab w:leader="none" w:pos="119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of a term of any Ancillary Facility Document shall require the consent of any Lender other than the relevant Ancillary Lender unless such amendment or waiver itself relates to or gives rise to a matter which would require an amendment of or under this Agreement (including, for the avoidance of doubt, this Section 2.30), in which case Section 10.1 shall apply.</w:t>
      </w:r>
    </w:p>
    <w:p>
      <w:pPr>
        <w:spacing w:after="0" w:line="1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SECTION 3. LETTERS OF CREDIT</w:t>
      </w:r>
    </w:p>
    <w:p>
      <w:pPr>
        <w:spacing w:after="0" w:line="218" w:lineRule="exact"/>
        <w:rPr>
          <w:sz w:val="20"/>
          <w:szCs w:val="20"/>
          <w:color w:val="auto"/>
        </w:rPr>
      </w:pPr>
    </w:p>
    <w:p>
      <w:pPr>
        <w:ind w:left="8" w:firstLine="974"/>
        <w:spacing w:after="0" w:line="262"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L/C Commitment</w:t>
      </w:r>
      <w:r>
        <w:rPr>
          <w:rFonts w:ascii="Times New Roman" w:cs="Times New Roman" w:eastAsia="Times New Roman" w:hAnsi="Times New Roman"/>
          <w:sz w:val="17"/>
          <w:szCs w:val="17"/>
          <w:color w:val="auto"/>
        </w:rPr>
        <w:t>. (a) Subject to the terms and conditions hereof, each Issuing Lender, in reliance on the agreements of the L/C Tranche Lenders set forth in Section 3.4(a), agrees to issue (or cause its Applicable Lending Office to issue) letters of credit and bank guarantees (each a “</w:t>
      </w:r>
      <w:r>
        <w:rPr>
          <w:rFonts w:ascii="Times New Roman" w:cs="Times New Roman" w:eastAsia="Times New Roman" w:hAnsi="Times New Roman"/>
          <w:sz w:val="17"/>
          <w:szCs w:val="17"/>
          <w:u w:val="single" w:color="auto"/>
          <w:color w:val="auto"/>
        </w:rPr>
        <w:t>Letter of Credit</w:t>
      </w:r>
      <w:r>
        <w:rPr>
          <w:rFonts w:ascii="Times New Roman" w:cs="Times New Roman" w:eastAsia="Times New Roman" w:hAnsi="Times New Roman"/>
          <w:sz w:val="17"/>
          <w:szCs w:val="17"/>
          <w:color w:val="auto"/>
        </w:rPr>
        <w:t>”) under the L/C Tranche Facility for the account of a Loan Party or a Subsidiary of a Loan Party (the “</w:t>
      </w:r>
      <w:r>
        <w:rPr>
          <w:rFonts w:ascii="Times New Roman" w:cs="Times New Roman" w:eastAsia="Times New Roman" w:hAnsi="Times New Roman"/>
          <w:sz w:val="17"/>
          <w:szCs w:val="17"/>
          <w:u w:val="single" w:color="auto"/>
          <w:color w:val="auto"/>
        </w:rPr>
        <w:t>Applicable Account Party</w:t>
      </w:r>
      <w:r>
        <w:rPr>
          <w:rFonts w:ascii="Times New Roman" w:cs="Times New Roman" w:eastAsia="Times New Roman" w:hAnsi="Times New Roman"/>
          <w:sz w:val="17"/>
          <w:szCs w:val="17"/>
          <w:color w:val="auto"/>
        </w:rPr>
        <w:t xml:space="preserve">”) on any Business Day during the Commitment Period of such Issuing Lender in such form as may be reasonable and customary for the purpose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Issuing Commitment then in effect, (B) the Total L/C Tranche Extensions of Credit would exceed the Total L/C Tranche Commitment then in effect or (C) the sum of (x) 105% of the Dollar Equivalent of Letters of Credit denominated in Optional Currencies </w:t>
      </w:r>
      <w:r>
        <w:rPr>
          <w:rFonts w:ascii="Times New Roman" w:cs="Times New Roman" w:eastAsia="Times New Roman" w:hAnsi="Times New Roman"/>
          <w:sz w:val="17"/>
          <w:szCs w:val="17"/>
          <w:u w:val="single" w:color="auto"/>
          <w:color w:val="auto"/>
        </w:rPr>
        <w:t>plus</w:t>
      </w:r>
    </w:p>
    <w:p>
      <w:pPr>
        <w:spacing w:after="0" w:line="8" w:lineRule="exact"/>
        <w:rPr>
          <w:sz w:val="20"/>
          <w:szCs w:val="20"/>
          <w:color w:val="auto"/>
        </w:rPr>
      </w:pPr>
    </w:p>
    <w:p>
      <w:pPr>
        <w:ind w:left="8" w:right="60" w:hanging="8"/>
        <w:spacing w:after="0" w:line="248" w:lineRule="auto"/>
        <w:tabs>
          <w:tab w:leader="none" w:pos="25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then Outstanding Amount of the Total L/C Tranche Extensions of Credit other than Letters of Credit denominated in Optional Currencies would exceed the Total L/C Tranche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Bank of America, N.A. shall not be required to issue any Letters of Credit</w:t>
      </w:r>
    </w:p>
    <w:p>
      <w:pPr>
        <w:spacing w:after="0" w:line="1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28"/>
          </w:cols>
          <w:pgMar w:left="532" w:top="267" w:right="539" w:bottom="1440" w:gutter="0" w:footer="0" w:header="0"/>
        </w:sectPr>
      </w:pPr>
    </w:p>
    <w:bookmarkStart w:id="297" w:name="page298"/>
    <w:bookmarkEnd w:id="297"/>
    <w:p>
      <w:pPr>
        <w:ind w:left="8"/>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in any Optional Currency without its prior written consent and (y) expire no later than the earlier of (A) the date that is one year after the date of issuance of such Letter of Credit and (B) five Business Days prior to the Termination Date of such Issuing Lender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88" w:lineRule="exact"/>
        <w:rPr>
          <w:sz w:val="20"/>
          <w:szCs w:val="20"/>
          <w:color w:val="auto"/>
        </w:rPr>
      </w:pPr>
    </w:p>
    <w:p>
      <w:pPr>
        <w:ind w:left="8" w:right="140" w:firstLine="966"/>
        <w:spacing w:after="0" w:line="260" w:lineRule="auto"/>
        <w:tabs>
          <w:tab w:leader="none" w:pos="123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76" w:lineRule="exact"/>
        <w:rPr>
          <w:rFonts w:ascii="Times New Roman" w:cs="Times New Roman" w:eastAsia="Times New Roman" w:hAnsi="Times New Roman"/>
          <w:sz w:val="18"/>
          <w:szCs w:val="18"/>
          <w:color w:val="auto"/>
        </w:rPr>
      </w:pPr>
    </w:p>
    <w:p>
      <w:pPr>
        <w:ind w:left="8" w:right="180" w:firstLine="966"/>
        <w:spacing w:after="0" w:line="272" w:lineRule="auto"/>
        <w:tabs>
          <w:tab w:leader="none" w:pos="1223"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Termination Date has been extended (pursuant to Section 2.29 or otherwise) and any L/C Tranche Lenders are Non-Consenting Lenders with respect thereto, and any Letter of Credit remains outstanding on the Termination Date applicable to such Non-Extending Lenders, then</w:t>
      </w:r>
    </w:p>
    <w:p>
      <w:pPr>
        <w:ind w:left="8" w:right="120" w:hanging="8"/>
        <w:spacing w:after="0" w:line="260" w:lineRule="auto"/>
        <w:tabs>
          <w:tab w:leader="none" w:pos="219"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shall have occurred and be continuing at such time, all or any part of the L/C Obligations of such Non-Extending Lenders shall be reallocated among the L/C Tranche Lenders that are Extending Lenders with respect thereto in accordance with their L/C Tranche Percentages (calculated after giving effect to the termination of the Commitments of the Non-Extending Lenders on such Termination Date) but only to the extent the sum of all Extending Lenders’ L/C Tranche Extensions of Credit plus such L/C Obligations does not exceed the total of all L/C Tranche Lenders that are Extending Lenders’ L/C Tranche Commitments, (ii) if any reallocation described in clause (i) above cannot, or can only partially, be effected, the Company or any applicable Subsidiary Borrower shall, at any time and from time to time following notice by the Administrative Agent,</w:t>
      </w:r>
    </w:p>
    <w:p>
      <w:pPr>
        <w:spacing w:after="0" w:line="2" w:lineRule="exact"/>
        <w:rPr>
          <w:rFonts w:ascii="Times New Roman" w:cs="Times New Roman" w:eastAsia="Times New Roman" w:hAnsi="Times New Roman"/>
          <w:sz w:val="17"/>
          <w:szCs w:val="17"/>
          <w:color w:val="auto"/>
        </w:rPr>
      </w:pPr>
    </w:p>
    <w:p>
      <w:pPr>
        <w:ind w:left="248" w:hanging="248"/>
        <w:spacing w:after="0"/>
        <w:tabs>
          <w:tab w:leader="none" w:pos="24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L/C Tranche Loans in an amount sufficient to permit such reallocation of the L/C Obligations of the Non-Extending Lenders in full or</w:t>
      </w:r>
    </w:p>
    <w:p>
      <w:pPr>
        <w:spacing w:after="0" w:line="5" w:lineRule="exact"/>
        <w:rPr>
          <w:rFonts w:ascii="Times New Roman" w:cs="Times New Roman" w:eastAsia="Times New Roman" w:hAnsi="Times New Roman"/>
          <w:sz w:val="18"/>
          <w:szCs w:val="18"/>
          <w:color w:val="auto"/>
        </w:rPr>
      </w:pPr>
    </w:p>
    <w:p>
      <w:pPr>
        <w:ind w:left="8" w:right="120" w:hanging="8"/>
        <w:spacing w:after="0" w:line="263" w:lineRule="auto"/>
        <w:tabs>
          <w:tab w:leader="none" w:pos="258"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Collateralize for the benefit of each Issuing Lender, the Borrowers’ obligations corresponding to such Non-Extending Lenders’ L/C Obligations (after giving effect to any partial reallocation pursuant to clause (i) above) for so long as such L/C Obligations are outstanding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provided, that no Event of Default shall have then occurred and be continuing), and (iii) if all or any portion of such Non-Extending Lenders’ L/C Obligations is neither reallocated nor Collateralized pursuant to clause (i) or (ii) above, then, without prejudice to any rights or remedies of the applicable Issuing Lender or any other L/C Tranche Lender hereunder, all fees payable pursuant to the L/C Fee Letter with respect to such Non-Extending Lenders’ L/C Obligations shall be payable to the applicable Issuing Lender until and to the extent that such L/C Obligations are so reallocated and/or Collateralized.</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828"/>
          </w:cols>
          <w:pgMar w:left="532" w:top="267" w:right="539" w:bottom="1440" w:gutter="0" w:footer="0" w:header="0"/>
        </w:sectPr>
      </w:pPr>
    </w:p>
    <w:bookmarkStart w:id="298" w:name="page299"/>
    <w:bookmarkEnd w:id="298"/>
    <w:p>
      <w:pPr>
        <w:ind w:firstLine="974"/>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3.2 </w:t>
      </w:r>
      <w:r>
        <w:rPr>
          <w:rFonts w:ascii="Times New Roman" w:cs="Times New Roman" w:eastAsia="Times New Roman" w:hAnsi="Times New Roman"/>
          <w:sz w:val="17"/>
          <w:szCs w:val="17"/>
          <w:u w:val="single" w:color="auto"/>
          <w:color w:val="auto"/>
        </w:rPr>
        <w:t>Procedure for Issuance of Letters of Credit</w:t>
      </w:r>
      <w:r>
        <w:rPr>
          <w:rFonts w:ascii="Times New Roman" w:cs="Times New Roman" w:eastAsia="Times New Roman" w:hAnsi="Times New Roman"/>
          <w:sz w:val="17"/>
          <w:szCs w:val="17"/>
          <w:color w:val="auto"/>
        </w:rPr>
        <w:t>. (a) Any Applicable Account Party, with (in the case of any such Applicable Account Party other than the Company) the written consent of the Company (substantially in the form of Exhibit M hereto or as the Company may otherwise specify from time to time), may from time to time request that any Issuing Lender issue (or cause its Applicable Lending Office to issue) a Letter of Credit, or amend or extend an outstanding Letter of Credit (or cause its Applicable Lending Office to amend or extend an outstanding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amend or extend (or cause its Applicable Lending Office to issue, amend or extend) any Letter of Credit earlier than three Business Days after its receipt of the Application therefor and all such other certificates, documents and other papers and information relating thereto) by issuing the original of such Letter of Credit (or of such amendment or extension, as applicable) to the beneficiary thereof or as otherwise may be agreed to by the relevant Issuing Lender and the Applicable Account Party. The relevant Issuing Lender shall furnish a copy of such Letter of Credit (or such amendment or extension, as applicable) to the Applicable Account Party promptly following the issuance thereof. The relevant Issuing Lender shall promptly (and in any event with 10 calendar days of such issuance, amendment or extension) furnish to the Administrative Agent notice of the issuance, amendment or extension, as the case may be, of each Letter of Credit (including the amount and currency thereof). No Issuing Lender shall issue, amend or extend (or cause its Applicable Lending Office to issue, amend or extend)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398" w:lineRule="exact"/>
        <w:rPr>
          <w:sz w:val="20"/>
          <w:szCs w:val="20"/>
          <w:color w:val="auto"/>
        </w:rPr>
      </w:pPr>
    </w:p>
    <w:p>
      <w:pPr>
        <w:ind w:right="20" w:firstLine="966"/>
        <w:spacing w:after="0" w:line="249" w:lineRule="auto"/>
        <w:tabs>
          <w:tab w:leader="none" w:pos="122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Lender shall not (and shall not permit any Applicable Lending Office thereof to) (i) amend or cancel any Letter of Credit without (x) the prior written consent of the Company or the Applicable Account Party and (y) providing written notice to the Administrative Agent of such amendment or cancellation within five Business Days thereof, (ii) waive presentation of any Letter of Credit or waive any discrepancies in documents presented to effect a draw on a Letter of Credit, in each case, without the prior written consent of the Company or the Applicable Account Party, if and to the extent such waiver materially and adversely affects the Company or such Applicable Account Party, or (iii) replace any lost, mutilated or destroyed Letter of Credit, in each case, without the prior written consent of the Company or the Applicable Account Party. If requested by an Applicable Account Party or the Company, the Issuing Lender shall furnish a draft of such Letter of Credit (or any amendment thereto) to the Applicable Account Party and the Company prior to the issuance thereof to allow the Applicable Account Party and the Company to review such draft for accuracy and to provide any corrections if necessary.</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740"/>
          </w:cols>
          <w:pgMar w:left="540" w:top="267" w:right="619" w:bottom="1440" w:gutter="0" w:footer="0" w:header="0"/>
        </w:sectPr>
      </w:pPr>
    </w:p>
    <w:bookmarkStart w:id="299" w:name="page300"/>
    <w:bookmarkEnd w:id="299"/>
    <w:p>
      <w:pPr>
        <w:ind w:firstLine="97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Fees and Other Charges</w:t>
      </w:r>
      <w:r>
        <w:rPr>
          <w:rFonts w:ascii="Times New Roman" w:cs="Times New Roman" w:eastAsia="Times New Roman" w:hAnsi="Times New Roman"/>
          <w:sz w:val="18"/>
          <w:szCs w:val="18"/>
          <w:color w:val="auto"/>
        </w:rPr>
        <w:t>. The Company shall pay (or cause to be paid) the fees payable to the L/C Tranche Lenders and the Issuing Lenders, as applicable, set forth in the L/C Fee Letter. Notwithstanding any inconsistent provision of this Agreement or the L/C Fee Letter, (x) at the option of the Company and upon notice to the Administrative Agent, all fees payable to any Issuing Lender may, with the consent of such Issuing Lender, be paid in Dollars (regardless of the currency of such Letter of Credit) and (y) unless (i) the Company or such Applicable Account Party gives notice to the Administrative Agent that it has paid such fees by 2:00 P.M., New York City time, on the date required pursuant to the L/C Fee Letter or notifies the Administrative Agent that it does not wish to have such obligation paid with the proceeds of an ABR Loan by such time, or (ii) the Administrative Agent has actual knowledge that the conditions precedent to an ABR Loan to be made on such date which are contained in Section 5.2 have not been satisfied or waived, the Company or such Applicable Account Party shall be deemed to have requested that the L/C Tranche Lenders make an ABR Loan on the date such fees are due pursuant to the terms of the L/C Fee Letter in an aggregate principal amount equal to the amount of the related obligation, and such ABR Loan shall be made on such date. If an ABR Loan is deemed to have been requested as aforesaid, such obligation shall be paid with the proceeds of such Loan and no Default or Event of Default shall exist or be continuing in respect thereof. Notwithstanding the last sentence of Section 2.8, the proceeds of such ABR Loan shall be made available to the relevant Issuing Lender or L/C Tranche Lenders, as applicable (and not to the Company or such Applicable Account Party) to the account specified by such Issuing Lender or L/C Tranche Lenders, as applicable, in like funds as received by the Administrative Agent, and, to the extent any such fees are owing to an Issuing Lender or the L/C Tranche Lenders, the Issuing Lender or each of the L/C Tranche Lenders, as applicable, may credit its L/C Tranche Percentage of such ABR Loan to the relevant obligation in lieu of funding such amount to the Administrative Agent.</w:t>
      </w:r>
    </w:p>
    <w:p>
      <w:pPr>
        <w:spacing w:after="0" w:line="200" w:lineRule="exact"/>
        <w:rPr>
          <w:sz w:val="20"/>
          <w:szCs w:val="20"/>
          <w:color w:val="auto"/>
        </w:rPr>
      </w:pPr>
    </w:p>
    <w:p>
      <w:pPr>
        <w:ind w:firstLine="974"/>
        <w:spacing w:after="0" w:line="247"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L/C Tranche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L/C Tranche Percentage of the Dollar Equivalent of the amount of such draft or demand, or any part thereof, that is not so reimbursed (calculated, in the case of any Letter of Credit denominated in an Optional Currency, as of the Reimbursement Date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 L/C Participant be obligated to fund an amount that would cause such L/C Participant’s Total L/C Tranche Extensions of Credit to exceed such L/C Participant’s L/C Tranche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99" w:lineRule="exact"/>
        <w:rPr>
          <w:sz w:val="20"/>
          <w:szCs w:val="20"/>
          <w:color w:val="auto"/>
        </w:rPr>
      </w:pPr>
    </w:p>
    <w:p>
      <w:pPr>
        <w:ind w:right="160" w:firstLine="966"/>
        <w:spacing w:after="0" w:line="275" w:lineRule="auto"/>
        <w:tabs>
          <w:tab w:leader="none" w:pos="1224"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820"/>
          </w:cols>
          <w:pgMar w:left="540" w:top="267" w:right="539" w:bottom="1440" w:gutter="0" w:footer="0" w:header="0"/>
        </w:sectPr>
      </w:pPr>
    </w:p>
    <w:bookmarkStart w:id="300" w:name="page301"/>
    <w:bookmarkEnd w:id="300"/>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87" w:lineRule="exact"/>
        <w:rPr>
          <w:sz w:val="20"/>
          <w:szCs w:val="20"/>
          <w:color w:val="auto"/>
        </w:rPr>
      </w:pPr>
    </w:p>
    <w:p>
      <w:pPr>
        <w:ind w:right="60" w:firstLine="966"/>
        <w:spacing w:after="0" w:line="251" w:lineRule="auto"/>
        <w:tabs>
          <w:tab w:leader="none" w:pos="121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any Issuing Lender has made payment under any Letter of Credit and has received from any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Reimbursement Obligation of the Company and the Applicable Account Party</w:t>
      </w:r>
      <w:r>
        <w:rPr>
          <w:rFonts w:ascii="Times New Roman" w:cs="Times New Roman" w:eastAsia="Times New Roman" w:hAnsi="Times New Roman"/>
          <w:sz w:val="18"/>
          <w:szCs w:val="18"/>
          <w:color w:val="auto"/>
        </w:rPr>
        <w:t>. If any draft or demand is paid under any Letter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issued for the account of an Applicable Account Party, the Company or such Applicable Account Party, on a joint and several basis, shall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reimburse the Issuing Lender for the amount of the draft or demand so paid, not later than 3:00 P.M., New York City time, on the second Business Day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day that the Company receives notice of payment of such draft or demand (or if notice of such payment is received after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New York City time, on a Business Day, on the third Business Day immediately following such date of receipt) (such date,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Reimbursement Date</w:t>
      </w:r>
      <w:r>
        <w:rPr>
          <w:rFonts w:ascii="Times New Roman" w:cs="Times New Roman" w:eastAsia="Times New Roman" w:hAnsi="Times New Roman"/>
          <w:sz w:val="17"/>
          <w:szCs w:val="17"/>
          <w:color w:val="auto"/>
        </w:rPr>
        <w:t>”). Each such payment shall be made to the relevant Issuing Lender in the currency in which such Letter of Credit is denominated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immediately available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Letter of Credit denominated in an Optional Currency, if such payment,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make such payment, in an Optional Currency would subject the Administrative Agent, the relevant Issuing Lender or any L/C Tranche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Lender to any stamp duty, ad valorem charge or any similar Tax that would not be payable if such payment were paid or required to be paid in Dollars,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such Applicable Account Party shall, at its option, (A) pay the amount of such Tax to the Administrative Agent, the relevant Issuing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the relevant L/C Tranche Lender or (B) pay the Dollar Equivalent of such draft or demand (calculated as of the Reimbursement Date);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payment is not made on the applicable Reimbursement Date the obligation to pay such draft or demand shall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permanently converted into an obligation to pay the Dollar Equivalent amount of such draft or demand (calculated as of such Reimbursement Date).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shall be payable on any such amounts from the Reimbursement Date until payment in full at the rate set forth in Section 2.16(b).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inconsistent provision of this Agreement, unless (x) the Company or such Applicable Account Party gives notice to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that it has paid its Reimbursement Obligation by 2:00 P.M., New York City time, on the Reimbursement Date or notifies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that it does not wish to have such Reimbursement Obligation paid with the proceeds of an ABR Loan by such time, or (y)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has actual knowledge that the conditions precedent to an ABR Loan to be made on such Reimbursement Date which are contained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Section 5.2 have not been satisfied or waived, the Company or such Applicable Account Party shall be deemed to have requested that the 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Tranche Lenders make an ABR Loan on such Reimbursement Date in an aggregate principal amount equal to the amount of the related Reimbursement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and such ABR Loan shall be made on such Reimbursement Date. If an ABR Loan is deemed to have been requested as aforesaid,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Obligation shall be paid with the proceeds of such Loan and no Default or Event of Default shall exist or be continuing in respect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800"/>
          </w:cols>
          <w:pgMar w:left="540" w:top="267" w:right="559" w:bottom="1440" w:gutter="0" w:footer="0" w:header="0"/>
        </w:sectPr>
      </w:pPr>
    </w:p>
    <w:bookmarkStart w:id="301" w:name="page302"/>
    <w:bookmarkEnd w:id="30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Notwithstanding the last sentence of Section 2.8,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L/C Tranche Percentage of such ABR Loan to the relevant Reimbursement Obligation in lieu of funding such amount to the Administrative Agent.</w:t>
      </w:r>
    </w:p>
    <w:p>
      <w:pPr>
        <w:spacing w:after="0" w:line="182" w:lineRule="exact"/>
        <w:rPr>
          <w:sz w:val="20"/>
          <w:szCs w:val="20"/>
          <w:color w:val="auto"/>
        </w:rPr>
      </w:pPr>
    </w:p>
    <w:p>
      <w:pPr>
        <w:ind w:right="80" w:firstLine="974"/>
        <w:spacing w:after="0" w:line="263"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Obligations Absolute</w:t>
      </w:r>
      <w:r>
        <w:rPr>
          <w:rFonts w:ascii="Times New Roman" w:cs="Times New Roman" w:eastAsia="Times New Roman" w:hAnsi="Times New Roman"/>
          <w:sz w:val="17"/>
          <w:szCs w:val="17"/>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85" w:lineRule="exact"/>
        <w:rPr>
          <w:sz w:val="20"/>
          <w:szCs w:val="20"/>
          <w:color w:val="auto"/>
        </w:rPr>
      </w:pPr>
    </w:p>
    <w:p>
      <w:pPr>
        <w:ind w:right="40" w:firstLine="974"/>
        <w:spacing w:after="0" w:line="24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Letter of Credit Payments</w:t>
      </w:r>
      <w:r>
        <w:rPr>
          <w:rFonts w:ascii="Times New Roman" w:cs="Times New Roman" w:eastAsia="Times New Roman" w:hAnsi="Times New Roman"/>
          <w:sz w:val="18"/>
          <w:szCs w:val="18"/>
          <w:color w:val="auto"/>
        </w:rPr>
        <w:t xml:space="preserve">. If any draft or demand shall be presented for payment under any Letter of Credit, the 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the Company and the Administrative Agent of the date and amount thereof and whether such Issuing Lender has made or will make the payment under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94" w:lineRule="exact"/>
        <w:rPr>
          <w:sz w:val="20"/>
          <w:szCs w:val="20"/>
          <w:color w:val="auto"/>
        </w:rPr>
      </w:pPr>
    </w:p>
    <w:p>
      <w:pPr>
        <w:ind w:right="200" w:firstLine="974"/>
        <w:spacing w:after="0" w:line="260"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Subject to the requirements of Section 3.12,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800"/>
          </w:cols>
          <w:pgMar w:left="540" w:top="267" w:right="559" w:bottom="1440" w:gutter="0" w:footer="0" w:header="0"/>
        </w:sectPr>
      </w:pPr>
    </w:p>
    <w:bookmarkStart w:id="302" w:name="page303"/>
    <w:bookmarkEnd w:id="302"/>
    <w:p>
      <w:pPr>
        <w:ind w:right="20" w:firstLine="97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3.9 </w:t>
      </w:r>
      <w:r>
        <w:rPr>
          <w:rFonts w:ascii="Times New Roman" w:cs="Times New Roman" w:eastAsia="Times New Roman" w:hAnsi="Times New Roman"/>
          <w:sz w:val="18"/>
          <w:szCs w:val="18"/>
          <w:u w:val="single" w:color="auto"/>
          <w:color w:val="auto"/>
        </w:rPr>
        <w:t>Collateralization</w:t>
      </w:r>
      <w:r>
        <w:rPr>
          <w:rFonts w:ascii="Times New Roman" w:cs="Times New Roman" w:eastAsia="Times New Roman" w:hAnsi="Times New Roman"/>
          <w:sz w:val="18"/>
          <w:szCs w:val="18"/>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87" w:lineRule="exact"/>
        <w:rPr>
          <w:sz w:val="20"/>
          <w:szCs w:val="20"/>
          <w:color w:val="auto"/>
        </w:rPr>
      </w:pPr>
    </w:p>
    <w:p>
      <w:pPr>
        <w:ind w:firstLine="974"/>
        <w:spacing w:after="0" w:line="263"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New Issuing Lenders; L/C Commitments</w:t>
      </w:r>
      <w:r>
        <w:rPr>
          <w:rFonts w:ascii="Times New Roman" w:cs="Times New Roman" w:eastAsia="Times New Roman" w:hAnsi="Times New Roman"/>
          <w:sz w:val="17"/>
          <w:szCs w:val="17"/>
          <w:color w:val="auto"/>
        </w:rPr>
        <w:t>. (a) The Company may from time to time (i) decrease the L/C Issuing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Issuing Commitment of any existing Issuing Lender. If the Company shall decide to add a new Issuing Lender under this Agreement, then the Company may appoint from among the L/C Tranche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Issuing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Issuing Commitment shall become effective. Any decrease of an L/C Issuing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L/C Tranche Lenders of the effectiveness of any replacement or addition of an Issuing Lender, or any changed L/C Issuing Commitment pursuant to this Section 3.10.</w:t>
      </w:r>
    </w:p>
    <w:p>
      <w:pPr>
        <w:spacing w:after="0" w:line="179" w:lineRule="exact"/>
        <w:rPr>
          <w:sz w:val="20"/>
          <w:szCs w:val="20"/>
          <w:color w:val="auto"/>
        </w:rPr>
      </w:pPr>
    </w:p>
    <w:p>
      <w:pPr>
        <w:ind w:right="140" w:firstLine="966"/>
        <w:spacing w:after="0" w:line="251" w:lineRule="auto"/>
        <w:tabs>
          <w:tab w:leader="none" w:pos="122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Issuing Lender no longer has an Applicable Lending Office in a particular jurisdiction or in the event that an Applicable Lending Office is not legally able to issue a Letter of Credit in such jurisdiction, such Issuing Lender shall use commercially reasonable efforts to arrange, subject to the terms and conditions hereof, for one or more letters of credit to be issued by an unaffiliated bank that is reasonably acceptable to such Issuing Lender, the Company and the Applicable Account Party with the same pricing and mechanics as described herein and in the L/C Fee Letter and in the manner consistent with Section 3.12 below (it being understood and agreed that the use of commercially reasonable efforts pursuant to this 3.10(b) shall not require any Issuing Lender to incur any monetary cost).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800"/>
          </w:cols>
          <w:pgMar w:left="540" w:top="267" w:right="559" w:bottom="1440" w:gutter="0" w:footer="0" w:header="0"/>
        </w:sectPr>
      </w:pPr>
    </w:p>
    <w:bookmarkStart w:id="303" w:name="page304"/>
    <w:bookmarkEnd w:id="303"/>
    <w:p>
      <w:pPr>
        <w:ind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3.11 </w:t>
      </w:r>
      <w:r>
        <w:rPr>
          <w:rFonts w:ascii="Times New Roman" w:cs="Times New Roman" w:eastAsia="Times New Roman" w:hAnsi="Times New Roman"/>
          <w:sz w:val="18"/>
          <w:szCs w:val="18"/>
          <w:u w:val="single" w:color="auto"/>
          <w:color w:val="auto"/>
        </w:rPr>
        <w:t>Existing Letters of Credit and Designated Letters of Credit</w:t>
      </w:r>
      <w:r>
        <w:rPr>
          <w:rFonts w:ascii="Times New Roman" w:cs="Times New Roman" w:eastAsia="Times New Roman" w:hAnsi="Times New Roman"/>
          <w:sz w:val="18"/>
          <w:szCs w:val="18"/>
          <w:color w:val="auto"/>
        </w:rPr>
        <w:t>. (a) On and as of the Closing Date the letters of credit and letters of guarantee set forth on Exhibit C to the L/C Fee Letter (the “</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will constitute Letters of Credit under this Agreement and for the purposes hereof will be deemed to have been issued for the account of an Applicable Account Party, for which the Company shall be jointly and severally liable, on the Closing Date and each issuer thereof shall be deemed to be an Issuing Lender hereunder solely for the purposes of Sections 3.3, 3.4, 3.5, 3.6, 3.7, 3.8 and 3.9 (whether or not such issuer is otherwise an Issuing Lender hereunder). For the avoidance of doubt, each of the letters of credit outstanding under the Existing Three Year Credit Agreement as of the Closing Date shall be listed on Exhibit C to the L/C Fee Letter and shall be Existing Letters of Credit hereunder.</w:t>
      </w:r>
    </w:p>
    <w:p>
      <w:pPr>
        <w:spacing w:after="0" w:line="189" w:lineRule="exact"/>
        <w:rPr>
          <w:sz w:val="20"/>
          <w:szCs w:val="20"/>
          <w:color w:val="auto"/>
        </w:rPr>
      </w:pPr>
    </w:p>
    <w:p>
      <w:pPr>
        <w:ind w:firstLine="966"/>
        <w:spacing w:after="0" w:line="247" w:lineRule="auto"/>
        <w:tabs>
          <w:tab w:leader="none" w:pos="122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restrictions imposed by any applicable Requirement of Law, upon notice to the Administrative Agent, the Company may designate letters of credit issued by any Issuing Lender or one of its Applicable Lending Offices for the benefit of the Company or an Applicable Account Party as a Letter of Credit under this Agreement and for the purposes hereof such letter of credit will be deemed to have been issued for the account of the Company or such Applicable Account Party on the date of such designation (such date, the “</w:t>
      </w:r>
      <w:r>
        <w:rPr>
          <w:rFonts w:ascii="Times New Roman" w:cs="Times New Roman" w:eastAsia="Times New Roman" w:hAnsi="Times New Roman"/>
          <w:sz w:val="18"/>
          <w:szCs w:val="18"/>
          <w:u w:val="single" w:color="auto"/>
          <w:color w:val="auto"/>
        </w:rPr>
        <w:t>Designation Date</w:t>
      </w:r>
      <w:r>
        <w:rPr>
          <w:rFonts w:ascii="Times New Roman" w:cs="Times New Roman" w:eastAsia="Times New Roman" w:hAnsi="Times New Roman"/>
          <w:sz w:val="18"/>
          <w:szCs w:val="18"/>
          <w:color w:val="auto"/>
        </w:rPr>
        <w:t>”) and each issuer thereof shall be deemed to be an Issuing Lender hereunder solely for the purposes of Sections 3.3, 3.4, 3.5, 3.6, 3.7, 3.8 and 3.9 (whether or not such issuer is otherwise an Issuing Lender hereunder) (the “</w:t>
      </w:r>
      <w:r>
        <w:rPr>
          <w:rFonts w:ascii="Times New Roman" w:cs="Times New Roman" w:eastAsia="Times New Roman" w:hAnsi="Times New Roman"/>
          <w:sz w:val="18"/>
          <w:szCs w:val="18"/>
          <w:u w:val="single" w:color="auto"/>
          <w:color w:val="auto"/>
        </w:rPr>
        <w:t>Designated Letters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after giving effect to such deemed issuance hereunder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shall not exceed such Issuing Lender’s L/C Issuing Commitment then in effect, (B) the Total L/C Tranche Extensions of Credit shall not exceed the Total L/C Tranche Commitment then in effect and (C) the sum of (x) 105% of the Dollar Equivalent of Letters of Credit denominated in Optional Currencies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then Outstanding Amount of the Total L/C Tranche Extensions of Credit other than Letters of Credit denominated in Optional Currencies shall not exceed the Total L/C Tranche Commitments then in effect, (ii) the Company shall be jointly and severally liable with respect to each such Letter of Credit deemed issued hereunder for the account of an Applicable Account Party and (iii) such deemed issuance will be an Extension of Credit for the purposes of Section 5.2. Each such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the foregoing clause (B), unless and to the extent that such Letter of Credit is Collateralized for the period following such date at 100% of the undrawn and unexpired amount of such Letter of Credit if requested by the relevant Issuing Lender) and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upon request of the Company and with the consent of the relevant Issuing Lender, any such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w:t>
      </w:r>
    </w:p>
    <w:p>
      <w:pPr>
        <w:spacing w:after="0" w:line="193" w:lineRule="exact"/>
        <w:rPr>
          <w:rFonts w:ascii="Times New Roman" w:cs="Times New Roman" w:eastAsia="Times New Roman" w:hAnsi="Times New Roman"/>
          <w:sz w:val="18"/>
          <w:szCs w:val="18"/>
          <w:color w:val="auto"/>
        </w:rPr>
      </w:pPr>
    </w:p>
    <w:p>
      <w:pPr>
        <w:ind w:right="160" w:firstLine="966"/>
        <w:spacing w:after="0" w:line="255" w:lineRule="auto"/>
        <w:tabs>
          <w:tab w:leader="none" w:pos="121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Letters of Credit</w:t>
      </w:r>
      <w:r>
        <w:rPr>
          <w:rFonts w:ascii="Times New Roman" w:cs="Times New Roman" w:eastAsia="Times New Roman" w:hAnsi="Times New Roman"/>
          <w:sz w:val="18"/>
          <w:szCs w:val="18"/>
          <w:color w:val="auto"/>
        </w:rPr>
        <w:t>. On the Closing Date or Designation Date, as applicable, each agreement governing the letters of credit referred to clauses (a) and (b) above that constitute Letters of Credit hereunder (other than, for the avoidance of doubt, the Letter of Credit itself) shall be deemed superseded and replaced in its entirety by the provisions of this Agreement and, if applicable, as such provisions may be modified by any Letter of Credit Acknowledgment with regard to such Letters of Credit.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820"/>
          </w:cols>
          <w:pgMar w:left="540" w:top="267" w:right="539" w:bottom="1440" w:gutter="0" w:footer="0" w:header="0"/>
        </w:sectPr>
      </w:pPr>
    </w:p>
    <w:bookmarkStart w:id="304" w:name="page305"/>
    <w:bookmarkEnd w:id="304"/>
    <w:p>
      <w:pPr>
        <w:ind w:left="8" w:right="60" w:firstLine="966"/>
        <w:spacing w:after="0" w:line="250" w:lineRule="auto"/>
        <w:tabs>
          <w:tab w:leader="none" w:pos="123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Termination of Existing Guarantees</w:t>
      </w:r>
      <w:r>
        <w:rPr>
          <w:rFonts w:ascii="Times New Roman" w:cs="Times New Roman" w:eastAsia="Times New Roman" w:hAnsi="Times New Roman"/>
          <w:sz w:val="18"/>
          <w:szCs w:val="18"/>
          <w:color w:val="auto"/>
        </w:rPr>
        <w:t>. To the extent any letter of credit issued outside this Agreement by any Issuing Lender or any affiliate thereof becomes a Letter of Credit hereunder pursuant to paragraph (a) or (b) above, any guarantees provided by the Company, any Loan Party or any Applicable Account Party to such Issuing Lender or such affiliate in respect of such Existing Letters of Credit or Designated Letters of Credit, as applicable (other than any such existing guarantee provided by the Company under the Existing Three Year Credit Agreement), shall automatically terminate with respect to such Existing Letters of Credit or Designated Letters of Credit, as applicable, on the Closing Date or the applicable Designation Date, as the case may be, and be of no further force or effect. Additionally, any collateral provided by the Company, any Loan Party or any Applicable Account Party with regard to such Existing Letters of Credit or Designated Letters of Credit shall be released and returned to the Company or such Applicable Account Party on the Closing Date or the applicable Designation Date, as the case may be.</w:t>
      </w:r>
    </w:p>
    <w:p>
      <w:pPr>
        <w:spacing w:after="0" w:line="185" w:lineRule="exact"/>
        <w:rPr>
          <w:sz w:val="20"/>
          <w:szCs w:val="20"/>
          <w:color w:val="auto"/>
        </w:rPr>
      </w:pPr>
    </w:p>
    <w:p>
      <w:pPr>
        <w:ind w:left="8" w:right="80" w:firstLine="974"/>
        <w:spacing w:after="0" w:line="265"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Conflicts</w:t>
      </w:r>
      <w:r>
        <w:rPr>
          <w:rFonts w:ascii="Times New Roman" w:cs="Times New Roman" w:eastAsia="Times New Roman" w:hAnsi="Times New Roman"/>
          <w:sz w:val="17"/>
          <w:szCs w:val="17"/>
          <w:color w:val="auto"/>
        </w:rPr>
        <w:t>. (a) In the event of any inconsistency between the terms and conditions of this Agreement and the terms and conditions of any Application or any other application, reimbursement agreement, instrument, certificate or other document submitted by an Applicable Account Party to, or entered into by an Applicable Account Party with the Issuing Lender relating to any Letter of Credit (including any Existing Letters of Credit), (i) with respect to any Letter of Credit issued in the United States, the terms and conditions of this Agreement shall control and (ii) with respect to any Letter of Credit issued in a jurisdiction other than the United States, the terms and conditions of this Agreement shall control, except for</w:t>
      </w:r>
    </w:p>
    <w:p>
      <w:pPr>
        <w:spacing w:after="0" w:line="1" w:lineRule="exact"/>
        <w:rPr>
          <w:sz w:val="20"/>
          <w:szCs w:val="20"/>
          <w:color w:val="auto"/>
        </w:rPr>
      </w:pPr>
    </w:p>
    <w:p>
      <w:pPr>
        <w:ind w:left="8" w:right="40" w:hanging="8"/>
        <w:spacing w:after="0" w:line="248" w:lineRule="auto"/>
        <w:tabs>
          <w:tab w:leader="none" w:pos="29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terms required by such Applicable Lending Office or unaffiliated bank for similarly situated applicants that do not have a material impact on the ability of such Applicable Lending Office or unaffiliated bank to issue such Letters of Credit and are not materially inconsistent with this Agreement and the L/C Fee Letter or (B) if required pursuant to a Requirement of Law. Additionally, each Applicable Lending Office shall sign a Letter of Credit Acknowledgment.</w:t>
      </w:r>
    </w:p>
    <w:p>
      <w:pPr>
        <w:spacing w:after="0" w:line="186" w:lineRule="exact"/>
        <w:rPr>
          <w:rFonts w:ascii="Times New Roman" w:cs="Times New Roman" w:eastAsia="Times New Roman" w:hAnsi="Times New Roman"/>
          <w:sz w:val="18"/>
          <w:szCs w:val="18"/>
          <w:color w:val="auto"/>
        </w:rPr>
      </w:pPr>
    </w:p>
    <w:p>
      <w:pPr>
        <w:ind w:left="8" w:right="80" w:firstLine="966"/>
        <w:spacing w:after="0" w:line="265" w:lineRule="auto"/>
        <w:tabs>
          <w:tab w:leader="none" w:pos="1233"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case of a Letter of Credit that is issued in a jurisdiction outside of the United States, such Letter of Credit shall be governed by, and shall be construed in accordance with, the laws of a jurisdiction as specified in the applicable Letter of Credit Acknowledgment or such other jurisdiction requested by the beneficiary and acceptable to the Issuing Lender and the Company, except with respect to terms and conditions of this Agreement that control as provided in Section 3.12(a) above or in any Letter of Credit Acknowledgment, which shall be governed by, and construed in accordance with, the laws of the State of New York, and (ii) to the extent not prohibited by such laws and not materially 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1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18" w:lineRule="exact"/>
        <w:rPr>
          <w:sz w:val="20"/>
          <w:szCs w:val="20"/>
          <w:color w:val="auto"/>
        </w:rPr>
      </w:pPr>
    </w:p>
    <w:p>
      <w:pPr>
        <w:ind w:left="8" w:right="260" w:firstLine="974"/>
        <w:spacing w:after="0" w:line="274" w:lineRule="auto"/>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and issue or participate in the Letters of Credit the Company hereby represents and warrants to each Lender that:</w:t>
      </w:r>
    </w:p>
    <w:p>
      <w:pPr>
        <w:spacing w:after="0" w:line="164"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consolidated financial statements of the Company included in its Annual Report on Form 10-K, for the twelve-month period ended December 31, 2022 (the “</w:t>
      </w:r>
      <w:r>
        <w:rPr>
          <w:rFonts w:ascii="Times New Roman" w:cs="Times New Roman" w:eastAsia="Times New Roman" w:hAnsi="Times New Roman"/>
          <w:sz w:val="18"/>
          <w:szCs w:val="18"/>
          <w:u w:val="single" w:color="auto"/>
          <w:color w:val="auto"/>
        </w:rPr>
        <w:t>2022 10-K</w:t>
      </w:r>
      <w:r>
        <w:rPr>
          <w:rFonts w:ascii="Times New Roman" w:cs="Times New Roman" w:eastAsia="Times New Roman" w:hAnsi="Times New Roman"/>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808"/>
          </w:cols>
          <w:pgMar w:left="532" w:top="267" w:right="559" w:bottom="1440" w:gutter="0" w:footer="0" w:header="0"/>
        </w:sectPr>
      </w:pPr>
    </w:p>
    <w:bookmarkStart w:id="305" w:name="page306"/>
    <w:bookmarkEnd w:id="305"/>
    <w:p>
      <w:pPr>
        <w:ind w:left="8" w:right="80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Between the date of the financial statements included in the 2022 10-K and the Closing Date, there has been no development or event which has had a Material Adverse Effect.</w:t>
      </w:r>
    </w:p>
    <w:p>
      <w:pPr>
        <w:spacing w:after="0" w:line="164" w:lineRule="exact"/>
        <w:rPr>
          <w:sz w:val="20"/>
          <w:szCs w:val="20"/>
          <w:color w:val="auto"/>
        </w:rPr>
      </w:pPr>
    </w:p>
    <w:p>
      <w:pPr>
        <w:ind w:left="8" w:firstLine="974"/>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2" w:lineRule="exact"/>
        <w:rPr>
          <w:sz w:val="20"/>
          <w:szCs w:val="20"/>
          <w:color w:val="auto"/>
        </w:rPr>
      </w:pPr>
    </w:p>
    <w:p>
      <w:pPr>
        <w:ind w:left="8" w:right="80" w:firstLine="974"/>
        <w:spacing w:after="0" w:line="268"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Power; Authorization; Enforceable Obligations</w:t>
      </w:r>
      <w:r>
        <w:rPr>
          <w:rFonts w:ascii="Times New Roman" w:cs="Times New Roman" w:eastAsia="Times New Roman" w:hAnsi="Times New Roman"/>
          <w:sz w:val="17"/>
          <w:szCs w:val="17"/>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8" w:right="140" w:hanging="8"/>
        <w:spacing w:after="0" w:line="270" w:lineRule="auto"/>
        <w:tabs>
          <w:tab w:leader="none" w:pos="258"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0" w:lineRule="exact"/>
        <w:rPr>
          <w:sz w:val="20"/>
          <w:szCs w:val="20"/>
          <w:color w:val="auto"/>
        </w:rPr>
      </w:pPr>
    </w:p>
    <w:p>
      <w:pPr>
        <w:ind w:left="8" w:right="180" w:firstLine="97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2" w:lineRule="exact"/>
        <w:rPr>
          <w:sz w:val="20"/>
          <w:szCs w:val="20"/>
          <w:color w:val="auto"/>
        </w:rPr>
      </w:pPr>
    </w:p>
    <w:p>
      <w:pPr>
        <w:ind w:left="8" w:right="20" w:firstLine="974"/>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4.6 and except as set forth in the 2022 10-K or on any Current Report on Form 8-K of the Company filed with the SEC after December 31, 2022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Closing Date no Default or Event of Default has occurred and is continuing.</w:t>
      </w:r>
    </w:p>
    <w:p>
      <w:pPr>
        <w:spacing w:after="0" w:line="218" w:lineRule="exact"/>
        <w:rPr>
          <w:sz w:val="20"/>
          <w:szCs w:val="20"/>
          <w:color w:val="auto"/>
        </w:rPr>
      </w:pPr>
    </w:p>
    <w:p>
      <w:pPr>
        <w:ind w:left="8" w:right="60" w:firstLine="974"/>
        <w:spacing w:after="0" w:line="250"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1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808"/>
          </w:cols>
          <w:pgMar w:left="532" w:top="267" w:right="559" w:bottom="1440" w:gutter="0" w:footer="0" w:header="0"/>
        </w:sectPr>
      </w:pPr>
    </w:p>
    <w:bookmarkStart w:id="306" w:name="page307"/>
    <w:bookmarkEnd w:id="306"/>
    <w:p>
      <w:pPr>
        <w:jc w:val="both"/>
        <w:ind w:left="8" w:right="24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ind w:left="8" w:right="20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or Letters of Credit, and no other extensions of credit hereunder, will be used for any purpose that violates the provisions of Regulation T, U or X of the Board.</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218" w:lineRule="exact"/>
        <w:rPr>
          <w:sz w:val="20"/>
          <w:szCs w:val="20"/>
          <w:color w:val="auto"/>
        </w:rPr>
      </w:pPr>
    </w:p>
    <w:p>
      <w:pPr>
        <w:ind w:left="8" w:right="36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4" w:lineRule="exact"/>
        <w:rPr>
          <w:sz w:val="20"/>
          <w:szCs w:val="20"/>
          <w:color w:val="auto"/>
        </w:rPr>
      </w:pPr>
    </w:p>
    <w:p>
      <w:pPr>
        <w:ind w:left="8" w:right="42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Ownership of the Subsidiary Borrowers</w:t>
      </w:r>
      <w:r>
        <w:rPr>
          <w:rFonts w:ascii="Times New Roman" w:cs="Times New Roman" w:eastAsia="Times New Roman" w:hAnsi="Times New Roman"/>
          <w:sz w:val="18"/>
          <w:szCs w:val="18"/>
          <w:color w:val="auto"/>
        </w:rPr>
        <w:t>. As of the Closing Date, each Subsidiary Borrower is a direct or indirect wholly-owned Subsidiary of the Company.</w:t>
      </w:r>
    </w:p>
    <w:p>
      <w:pPr>
        <w:spacing w:after="0" w:line="164" w:lineRule="exact"/>
        <w:rPr>
          <w:sz w:val="20"/>
          <w:szCs w:val="20"/>
          <w:color w:val="auto"/>
        </w:rPr>
      </w:pPr>
    </w:p>
    <w:p>
      <w:pPr>
        <w:jc w:val="both"/>
        <w:ind w:left="8" w:right="100" w:firstLine="974"/>
        <w:spacing w:after="0" w:line="260"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and Letters of Credit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76" w:lineRule="exact"/>
        <w:rPr>
          <w:sz w:val="20"/>
          <w:szCs w:val="20"/>
          <w:color w:val="auto"/>
        </w:rPr>
      </w:pPr>
    </w:p>
    <w:p>
      <w:pPr>
        <w:ind w:left="8" w:right="60" w:firstLine="974"/>
        <w:spacing w:after="0" w:line="264"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w:t>
      </w:r>
      <w:r>
        <w:rPr>
          <w:rFonts w:ascii="Times New Roman" w:cs="Times New Roman" w:eastAsia="Times New Roman" w:hAnsi="Times New Roman"/>
          <w:sz w:val="17"/>
          <w:szCs w:val="17"/>
          <w:u w:val="single" w:color="auto"/>
          <w:color w:val="auto"/>
        </w:rPr>
        <w:t>Sanctions Lists</w:t>
      </w:r>
      <w:r>
        <w:rPr>
          <w:rFonts w:ascii="Times New Roman" w:cs="Times New Roman" w:eastAsia="Times New Roman" w:hAnsi="Times New Roman"/>
          <w:sz w:val="17"/>
          <w:szCs w:val="17"/>
          <w:color w:val="auto"/>
        </w:rPr>
        <w:t>”). Neither the Company nor any of its Subsidiaries has a physical place of business, or is organized or resident, in</w:t>
      </w:r>
    </w:p>
    <w:p>
      <w:pPr>
        <w:spacing w:after="0" w:line="3" w:lineRule="exact"/>
        <w:rPr>
          <w:sz w:val="20"/>
          <w:szCs w:val="20"/>
          <w:color w:val="auto"/>
        </w:rPr>
      </w:pPr>
    </w:p>
    <w:p>
      <w:pPr>
        <w:ind w:left="8" w:hanging="8"/>
        <w:spacing w:after="0" w:line="246" w:lineRule="auto"/>
        <w:tabs>
          <w:tab w:leader="none" w:pos="24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Kherson, or Zaporizhzhia regions of Ukraine, the so-called Donetsk People’s Republic or the so-called Luhansk People’s Republic or (b) in any other Sanctioned Country. The Company and its Subsidiary Borrowers will not knowingly use the proceeds of the Loans or Letters of Credit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2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788"/>
          </w:cols>
          <w:pgMar w:left="532" w:top="267" w:right="579" w:bottom="1440" w:gutter="0" w:footer="0" w:header="0"/>
        </w:sectPr>
      </w:pPr>
    </w:p>
    <w:bookmarkStart w:id="307" w:name="page308"/>
    <w:bookmarkEnd w:id="307"/>
    <w:p>
      <w:pPr>
        <w:jc w:val="center"/>
        <w:ind w:right="-2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5. CONDITIONS PRECEDENT</w:t>
      </w:r>
    </w:p>
    <w:p>
      <w:pPr>
        <w:spacing w:after="0" w:line="218" w:lineRule="exact"/>
        <w:rPr>
          <w:sz w:val="20"/>
          <w:szCs w:val="20"/>
          <w:color w:val="auto"/>
        </w:rPr>
      </w:pPr>
    </w:p>
    <w:p>
      <w:pPr>
        <w:ind w:left="8"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182" w:lineRule="exact"/>
        <w:rPr>
          <w:sz w:val="20"/>
          <w:szCs w:val="20"/>
          <w:color w:val="auto"/>
        </w:rPr>
      </w:pPr>
    </w:p>
    <w:p>
      <w:pPr>
        <w:ind w:left="8" w:right="80" w:firstLine="966"/>
        <w:spacing w:after="0" w:line="274" w:lineRule="auto"/>
        <w:tabs>
          <w:tab w:leader="none" w:pos="1223"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Loan Documents</w:t>
      </w:r>
      <w:r>
        <w:rPr>
          <w:rFonts w:ascii="Times New Roman" w:cs="Times New Roman" w:eastAsia="Times New Roman" w:hAnsi="Times New Roman"/>
          <w:sz w:val="18"/>
          <w:szCs w:val="18"/>
          <w:color w:val="auto"/>
        </w:rPr>
        <w:t>. (x) The Company shall have executed and delivered the Guarantee and (y) the L/C Fee Letter shall have been executed and delivered by the Company, each L/C Tranche Lender and each Issuing Lender.</w:t>
      </w:r>
    </w:p>
    <w:p>
      <w:pPr>
        <w:spacing w:after="0" w:line="164" w:lineRule="exact"/>
        <w:rPr>
          <w:rFonts w:ascii="Times New Roman" w:cs="Times New Roman" w:eastAsia="Times New Roman" w:hAnsi="Times New Roman"/>
          <w:sz w:val="18"/>
          <w:szCs w:val="18"/>
          <w:color w:val="auto"/>
        </w:rPr>
      </w:pPr>
    </w:p>
    <w:p>
      <w:pPr>
        <w:ind w:left="8" w:right="60" w:firstLine="966"/>
        <w:spacing w:after="0" w:line="274" w:lineRule="auto"/>
        <w:tabs>
          <w:tab w:leader="none" w:pos="1232"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64" w:lineRule="exact"/>
        <w:rPr>
          <w:rFonts w:ascii="Times New Roman" w:cs="Times New Roman" w:eastAsia="Times New Roman" w:hAnsi="Times New Roman"/>
          <w:sz w:val="18"/>
          <w:szCs w:val="18"/>
          <w:color w:val="auto"/>
        </w:rPr>
      </w:pPr>
    </w:p>
    <w:p>
      <w:pPr>
        <w:ind w:left="1208" w:hanging="234"/>
        <w:spacing w:after="0"/>
        <w:tabs>
          <w:tab w:leader="none" w:pos="1208"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Certificate; Certified Certificate of Incorporation; Good Standing Certificates</w:t>
      </w:r>
      <w:r>
        <w:rPr>
          <w:rFonts w:ascii="Times New Roman" w:cs="Times New Roman" w:eastAsia="Times New Roman" w:hAnsi="Times New Roman"/>
          <w:sz w:val="17"/>
          <w:szCs w:val="17"/>
          <w:color w:val="auto"/>
        </w:rPr>
        <w:t>. The Administrative Agent shall have received</w:t>
      </w:r>
    </w:p>
    <w:p>
      <w:pPr>
        <w:spacing w:after="0" w:line="36" w:lineRule="exact"/>
        <w:rPr>
          <w:rFonts w:ascii="Times New Roman" w:cs="Times New Roman" w:eastAsia="Times New Roman" w:hAnsi="Times New Roman"/>
          <w:sz w:val="17"/>
          <w:szCs w:val="17"/>
          <w:color w:val="auto"/>
        </w:rPr>
      </w:pPr>
    </w:p>
    <w:p>
      <w:pPr>
        <w:jc w:val="both"/>
        <w:ind w:left="8" w:right="100" w:hanging="8"/>
        <w:spacing w:after="0" w:line="265" w:lineRule="auto"/>
        <w:tabs>
          <w:tab w:leader="none" w:pos="219"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4" w:lineRule="exact"/>
        <w:rPr>
          <w:rFonts w:ascii="Times New Roman" w:cs="Times New Roman" w:eastAsia="Times New Roman" w:hAnsi="Times New Roman"/>
          <w:sz w:val="17"/>
          <w:szCs w:val="17"/>
          <w:color w:val="auto"/>
        </w:rPr>
      </w:pPr>
    </w:p>
    <w:p>
      <w:pPr>
        <w:ind w:left="8" w:right="200" w:firstLine="966"/>
        <w:spacing w:after="0" w:line="274" w:lineRule="auto"/>
        <w:tabs>
          <w:tab w:leader="none" w:pos="1232"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executed legal opinion of (i) in-house counsel to the Loan Parties and (ii) Mayer Brown LLP, counsel to the Loan Parties, each in form and substance reasonably acceptable to the Administrative Agent.</w:t>
      </w:r>
    </w:p>
    <w:p>
      <w:pPr>
        <w:spacing w:after="0" w:line="164" w:lineRule="exact"/>
        <w:rPr>
          <w:rFonts w:ascii="Times New Roman" w:cs="Times New Roman" w:eastAsia="Times New Roman" w:hAnsi="Times New Roman"/>
          <w:sz w:val="18"/>
          <w:szCs w:val="18"/>
          <w:color w:val="auto"/>
        </w:rPr>
      </w:pPr>
    </w:p>
    <w:p>
      <w:pPr>
        <w:ind w:left="8" w:firstLine="966"/>
        <w:spacing w:after="0" w:line="275" w:lineRule="auto"/>
        <w:tabs>
          <w:tab w:leader="none" w:pos="1223"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Three Year Credit Agreement</w:t>
      </w:r>
      <w:r>
        <w:rPr>
          <w:rFonts w:ascii="Times New Roman" w:cs="Times New Roman" w:eastAsia="Times New Roman" w:hAnsi="Times New Roman"/>
          <w:sz w:val="17"/>
          <w:szCs w:val="17"/>
          <w:color w:val="auto"/>
        </w:rPr>
        <w:t>. The Administrative Agent shall have received reasonably satisfactory evidence that all Existing Loans shall be repaid, the commitments of the lenders under the Existing Three Year Credit Agreement that are not Lenders hereunder shall have been terminated (and the Commitments of all continuing Lenders shall be as set forth on Schedule 1.1(A)) and all accrued interest and fees under the Existing Three Year Credit Agreement shall have been paid, or arrangements satisfactory to the Administrative Agent in respect thereof shall have been made.</w:t>
      </w:r>
    </w:p>
    <w:p>
      <w:pPr>
        <w:spacing w:after="0" w:line="165" w:lineRule="exact"/>
        <w:rPr>
          <w:rFonts w:ascii="Times New Roman" w:cs="Times New Roman" w:eastAsia="Times New Roman" w:hAnsi="Times New Roman"/>
          <w:sz w:val="17"/>
          <w:szCs w:val="17"/>
          <w:color w:val="auto"/>
        </w:rPr>
      </w:pPr>
    </w:p>
    <w:p>
      <w:pPr>
        <w:jc w:val="both"/>
        <w:ind w:left="8" w:right="120" w:firstLine="966"/>
        <w:spacing w:after="0" w:line="260" w:lineRule="auto"/>
        <w:tabs>
          <w:tab w:leader="none" w:pos="120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Administrative Agent shall have received all documentation and other information reasonably requested by the Administrative Agent or any Lender who is not a Lender under the Existing Three Year Credit Agreement under applicable “know your customer” and anti-money laundering rules and regulations, including the USA Patriot Act and the Beneficial Ownership Regulation.</w:t>
      </w:r>
    </w:p>
    <w:p>
      <w:pPr>
        <w:spacing w:after="0" w:line="176" w:lineRule="exact"/>
        <w:rPr>
          <w:sz w:val="20"/>
          <w:szCs w:val="20"/>
          <w:color w:val="auto"/>
        </w:rPr>
      </w:pPr>
    </w:p>
    <w:p>
      <w:pPr>
        <w:ind w:left="8" w:firstLine="974"/>
        <w:spacing w:after="0" w:line="25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788"/>
          </w:cols>
          <w:pgMar w:left="532" w:top="267" w:right="579" w:bottom="1440" w:gutter="0" w:footer="0" w:header="0"/>
        </w:sectPr>
      </w:pPr>
    </w:p>
    <w:bookmarkStart w:id="308" w:name="page309"/>
    <w:bookmarkEnd w:id="308"/>
    <w:p>
      <w:pPr>
        <w:jc w:val="both"/>
        <w:ind w:right="360" w:firstLine="966"/>
        <w:spacing w:after="0" w:line="255" w:lineRule="auto"/>
        <w:tabs>
          <w:tab w:leader="none" w:pos="121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81" w:lineRule="exact"/>
        <w:rPr>
          <w:rFonts w:ascii="Times New Roman" w:cs="Times New Roman" w:eastAsia="Times New Roman" w:hAnsi="Times New Roman"/>
          <w:sz w:val="18"/>
          <w:szCs w:val="18"/>
          <w:color w:val="auto"/>
        </w:rPr>
      </w:pPr>
    </w:p>
    <w:p>
      <w:pPr>
        <w:ind w:right="80" w:firstLine="966"/>
        <w:spacing w:after="0" w:line="274" w:lineRule="auto"/>
        <w:tabs>
          <w:tab w:leader="none" w:pos="122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64" w:lineRule="exact"/>
        <w:rPr>
          <w:rFonts w:ascii="Times New Roman" w:cs="Times New Roman" w:eastAsia="Times New Roman" w:hAnsi="Times New Roman"/>
          <w:sz w:val="18"/>
          <w:szCs w:val="18"/>
          <w:color w:val="auto"/>
        </w:rPr>
      </w:pPr>
    </w:p>
    <w:p>
      <w:pPr>
        <w:ind w:firstLine="966"/>
        <w:spacing w:after="0" w:line="249" w:lineRule="auto"/>
        <w:tabs>
          <w:tab w:leader="none" w:pos="121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Subsidiary Borrower Bankruptcy Events</w:t>
      </w:r>
      <w:r>
        <w:rPr>
          <w:rFonts w:ascii="Times New Roman" w:cs="Times New Roman" w:eastAsia="Times New Roman" w:hAnsi="Times New Roman"/>
          <w:sz w:val="18"/>
          <w:szCs w:val="18"/>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90"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Each borrowing, or issuance of a Letter of Credit (or amendment thereof which increases the face amount thereof)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AFFIRMATIVE COVENANTS</w:t>
      </w:r>
    </w:p>
    <w:p>
      <w:pPr>
        <w:spacing w:after="0" w:line="218"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64" w:lineRule="exact"/>
        <w:rPr>
          <w:sz w:val="20"/>
          <w:szCs w:val="20"/>
          <w:color w:val="auto"/>
        </w:rPr>
      </w:pPr>
    </w:p>
    <w:p>
      <w:pPr>
        <w:ind w:right="20" w:firstLine="974"/>
        <w:spacing w:after="0" w:line="24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be deemed to be delivered upon the filing with the SEC of its Form 10-K or Form 10-Q for the relevant fiscal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restatement of previously delivered (or deemed delivered) financial statements shall not constitute a breach or violation of this Section 6.1.</w:t>
      </w:r>
    </w:p>
    <w:p>
      <w:pPr>
        <w:spacing w:after="0" w:line="190"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800"/>
          </w:cols>
          <w:pgMar w:left="540" w:top="267" w:right="559" w:bottom="1440" w:gutter="0" w:footer="0" w:header="0"/>
        </w:sectPr>
      </w:pPr>
    </w:p>
    <w:bookmarkStart w:id="309" w:name="page310"/>
    <w:bookmarkEnd w:id="309"/>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2"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87"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2" w:lineRule="exact"/>
        <w:rPr>
          <w:sz w:val="20"/>
          <w:szCs w:val="20"/>
          <w:color w:val="auto"/>
        </w:rPr>
      </w:pPr>
    </w:p>
    <w:p>
      <w:pPr>
        <w:ind w:right="80" w:firstLine="974"/>
        <w:spacing w:after="0" w:line="255"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Guarantors, etc.</w:t>
      </w:r>
      <w:r>
        <w:rPr>
          <w:rFonts w:ascii="Times New Roman" w:cs="Times New Roman" w:eastAsia="Times New Roman" w:hAnsi="Times New Roman"/>
          <w:sz w:val="18"/>
          <w:szCs w:val="18"/>
          <w:color w:val="auto"/>
        </w:rPr>
        <w:t xml:space="preserve"> (a) 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a Guarantee Joinder, executed and delivered by such Principal Domestic Subsidiary (other than an Excluded Subsidiary), together with customary secretary’s certificates, resolutions and legal opinions.</w:t>
      </w:r>
    </w:p>
    <w:p>
      <w:pPr>
        <w:spacing w:after="0" w:line="182" w:lineRule="exact"/>
        <w:rPr>
          <w:sz w:val="20"/>
          <w:szCs w:val="20"/>
          <w:color w:val="auto"/>
        </w:rPr>
      </w:pPr>
    </w:p>
    <w:p>
      <w:pPr>
        <w:ind w:right="660" w:firstLine="966"/>
        <w:spacing w:after="0" w:line="274" w:lineRule="auto"/>
        <w:tabs>
          <w:tab w:leader="none" w:pos="12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64"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76" w:lineRule="exact"/>
        <w:rPr>
          <w:sz w:val="20"/>
          <w:szCs w:val="20"/>
          <w:color w:val="auto"/>
        </w:rPr>
      </w:pPr>
    </w:p>
    <w:p>
      <w:pPr>
        <w:jc w:val="both"/>
        <w:ind w:right="80" w:firstLine="974"/>
        <w:spacing w:after="0" w:line="260"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to obtain or maintain, as applicable, a specific Index Debt Rating.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18" w:lineRule="exact"/>
        <w:rPr>
          <w:sz w:val="20"/>
          <w:szCs w:val="20"/>
          <w:color w:val="auto"/>
        </w:rPr>
      </w:pPr>
    </w:p>
    <w:p>
      <w:pPr>
        <w:ind w:right="340" w:firstLine="974"/>
        <w:spacing w:after="0" w:line="274"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800"/>
          </w:cols>
          <w:pgMar w:left="540" w:top="267" w:right="559" w:bottom="1440" w:gutter="0" w:footer="0" w:header="0"/>
        </w:sectPr>
      </w:pPr>
    </w:p>
    <w:bookmarkStart w:id="310" w:name="page311"/>
    <w:bookmarkEnd w:id="310"/>
    <w:p>
      <w:pPr>
        <w:ind w:right="38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4" w:lineRule="exact"/>
        <w:rPr>
          <w:sz w:val="20"/>
          <w:szCs w:val="20"/>
          <w:color w:val="auto"/>
        </w:rPr>
      </w:pPr>
    </w:p>
    <w:p>
      <w:pPr>
        <w:ind w:firstLine="974"/>
        <w:spacing w:after="0" w:line="271"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firstLine="966"/>
        <w:spacing w:after="0" w:line="251" w:lineRule="auto"/>
        <w:tabs>
          <w:tab w:leader="none" w:pos="121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186" w:lineRule="exact"/>
        <w:rPr>
          <w:rFonts w:ascii="Times New Roman" w:cs="Times New Roman" w:eastAsia="Times New Roman" w:hAnsi="Times New Roman"/>
          <w:sz w:val="18"/>
          <w:szCs w:val="18"/>
          <w:color w:val="auto"/>
        </w:rPr>
      </w:pPr>
    </w:p>
    <w:p>
      <w:pPr>
        <w:ind w:right="160" w:firstLine="966"/>
        <w:spacing w:after="0" w:line="253" w:lineRule="auto"/>
        <w:tabs>
          <w:tab w:leader="none" w:pos="12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0" w:firstLine="966"/>
        <w:spacing w:after="0" w:line="248" w:lineRule="auto"/>
        <w:tabs>
          <w:tab w:leader="none" w:pos="121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800"/>
          </w:cols>
          <w:pgMar w:left="540" w:top="267" w:right="559" w:bottom="1440" w:gutter="0" w:footer="0" w:header="0"/>
        </w:sectPr>
      </w:pPr>
    </w:p>
    <w:bookmarkStart w:id="311" w:name="page312"/>
    <w:bookmarkEnd w:id="311"/>
    <w:p>
      <w:pPr>
        <w:ind w:left="8" w:firstLine="966"/>
        <w:spacing w:after="0" w:line="265" w:lineRule="auto"/>
        <w:tabs>
          <w:tab w:leader="none" w:pos="1233"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w:t>
      </w:r>
    </w:p>
    <w:p>
      <w:pPr>
        <w:spacing w:after="0" w:line="1" w:lineRule="exact"/>
        <w:rPr>
          <w:rFonts w:ascii="Times New Roman" w:cs="Times New Roman" w:eastAsia="Times New Roman" w:hAnsi="Times New Roman"/>
          <w:sz w:val="17"/>
          <w:szCs w:val="17"/>
          <w:color w:val="auto"/>
        </w:rPr>
      </w:pPr>
    </w:p>
    <w:p>
      <w:pPr>
        <w:ind w:left="8" w:right="20" w:hanging="8"/>
        <w:spacing w:after="0" w:line="248" w:lineRule="auto"/>
        <w:tabs>
          <w:tab w:leader="none" w:pos="28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6" w:lineRule="exact"/>
        <w:rPr>
          <w:sz w:val="20"/>
          <w:szCs w:val="20"/>
          <w:color w:val="auto"/>
        </w:rPr>
      </w:pPr>
    </w:p>
    <w:p>
      <w:pPr>
        <w:ind w:left="8" w:right="20" w:firstLine="974"/>
        <w:spacing w:after="0" w:line="272"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and its Subsidiary Borrowers shall not, and shall not permit any of its Subsidiaries to, knowingly use the proceeds of the Loans or Letters of Credit (i) in violation of any Anti-Corruption Laws or (ii) to fund any activities or business</w:t>
      </w:r>
    </w:p>
    <w:p>
      <w:pPr>
        <w:spacing w:after="0" w:line="1" w:lineRule="exact"/>
        <w:rPr>
          <w:sz w:val="20"/>
          <w:szCs w:val="20"/>
          <w:color w:val="auto"/>
        </w:rPr>
      </w:pPr>
    </w:p>
    <w:p>
      <w:pPr>
        <w:ind w:left="8" w:right="160" w:hanging="8"/>
        <w:spacing w:after="0" w:line="247" w:lineRule="auto"/>
        <w:tabs>
          <w:tab w:leader="none" w:pos="25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88" w:lineRule="exact"/>
        <w:rPr>
          <w:sz w:val="20"/>
          <w:szCs w:val="20"/>
          <w:color w:val="auto"/>
        </w:rPr>
      </w:pPr>
    </w:p>
    <w:p>
      <w:pPr>
        <w:ind w:left="4048"/>
        <w:spacing w:after="0"/>
        <w:rPr>
          <w:sz w:val="20"/>
          <w:szCs w:val="20"/>
          <w:color w:val="auto"/>
        </w:rPr>
      </w:pPr>
      <w:r>
        <w:rPr>
          <w:rFonts w:ascii="Times New Roman" w:cs="Times New Roman" w:eastAsia="Times New Roman" w:hAnsi="Times New Roman"/>
          <w:sz w:val="18"/>
          <w:szCs w:val="18"/>
          <w:color w:val="auto"/>
        </w:rPr>
        <w:t>SECTION 8. EVENTS OF DEFAULT</w:t>
      </w:r>
    </w:p>
    <w:p>
      <w:pPr>
        <w:spacing w:after="0" w:line="218"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218" w:lineRule="exact"/>
        <w:rPr>
          <w:sz w:val="20"/>
          <w:szCs w:val="20"/>
          <w:color w:val="auto"/>
        </w:rPr>
      </w:pPr>
    </w:p>
    <w:p>
      <w:pPr>
        <w:jc w:val="both"/>
        <w:ind w:left="8" w:firstLine="966"/>
        <w:spacing w:after="0" w:line="253" w:lineRule="auto"/>
        <w:tabs>
          <w:tab w:leader="none" w:pos="1223"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Loan at maturity, (ii) any interest, Facility Fee or any Reimbursement Obligation hereunder or any fee owing pursuant to the L/C Fee Letter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82" w:lineRule="exact"/>
        <w:rPr>
          <w:rFonts w:ascii="Times New Roman" w:cs="Times New Roman" w:eastAsia="Times New Roman" w:hAnsi="Times New Roman"/>
          <w:sz w:val="18"/>
          <w:szCs w:val="18"/>
          <w:color w:val="auto"/>
        </w:rPr>
      </w:pPr>
    </w:p>
    <w:p>
      <w:pPr>
        <w:ind w:left="8" w:right="60" w:firstLine="966"/>
        <w:spacing w:after="0" w:line="304" w:lineRule="auto"/>
        <w:tabs>
          <w:tab w:leader="none" w:pos="123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41" w:lineRule="exact"/>
        <w:rPr>
          <w:rFonts w:ascii="Times New Roman" w:cs="Times New Roman" w:eastAsia="Times New Roman" w:hAnsi="Times New Roman"/>
          <w:sz w:val="17"/>
          <w:szCs w:val="17"/>
          <w:color w:val="auto"/>
        </w:rPr>
      </w:pPr>
    </w:p>
    <w:p>
      <w:pPr>
        <w:jc w:val="both"/>
        <w:ind w:left="8" w:right="20" w:firstLine="966"/>
        <w:spacing w:after="0" w:line="275" w:lineRule="auto"/>
        <w:tabs>
          <w:tab w:leader="none" w:pos="122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that is not a Principal Domestic Subsidiary, to Section 7.4 and 7.5) or in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828"/>
          </w:cols>
          <w:pgMar w:left="532" w:top="267" w:right="539" w:bottom="1440" w:gutter="0" w:footer="0" w:header="0"/>
        </w:sectPr>
      </w:pPr>
    </w:p>
    <w:bookmarkStart w:id="312" w:name="page313"/>
    <w:bookmarkEnd w:id="312"/>
    <w:p>
      <w:pPr>
        <w:ind w:right="100" w:firstLine="966"/>
        <w:spacing w:after="0" w:line="250" w:lineRule="auto"/>
        <w:tabs>
          <w:tab w:leader="none" w:pos="122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8" w:lineRule="exact"/>
        <w:rPr>
          <w:rFonts w:ascii="Times New Roman" w:cs="Times New Roman" w:eastAsia="Times New Roman" w:hAnsi="Times New Roman"/>
          <w:sz w:val="18"/>
          <w:szCs w:val="18"/>
          <w:color w:val="auto"/>
        </w:rPr>
      </w:pPr>
    </w:p>
    <w:p>
      <w:pPr>
        <w:ind w:right="120" w:firstLine="966"/>
        <w:spacing w:after="0" w:line="267" w:lineRule="auto"/>
        <w:tabs>
          <w:tab w:leader="none" w:pos="1215"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75" w:lineRule="exact"/>
        <w:rPr>
          <w:rFonts w:ascii="Times New Roman" w:cs="Times New Roman" w:eastAsia="Times New Roman" w:hAnsi="Times New Roman"/>
          <w:sz w:val="17"/>
          <w:szCs w:val="17"/>
          <w:color w:val="auto"/>
        </w:rPr>
      </w:pPr>
    </w:p>
    <w:p>
      <w:pPr>
        <w:ind w:left="1180" w:hanging="214"/>
        <w:spacing w:after="0"/>
        <w:tabs>
          <w:tab w:leader="none" w:pos="11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ERISA Default; or</w:t>
      </w:r>
    </w:p>
    <w:p>
      <w:pPr>
        <w:spacing w:after="0" w:line="217" w:lineRule="exact"/>
        <w:rPr>
          <w:rFonts w:ascii="Times New Roman" w:cs="Times New Roman" w:eastAsia="Times New Roman" w:hAnsi="Times New Roman"/>
          <w:sz w:val="18"/>
          <w:szCs w:val="18"/>
          <w:color w:val="auto"/>
        </w:rPr>
      </w:pPr>
    </w:p>
    <w:p>
      <w:pPr>
        <w:ind w:firstLine="966"/>
        <w:spacing w:after="0" w:line="255" w:lineRule="auto"/>
        <w:tabs>
          <w:tab w:leader="none" w:pos="122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1" w:lineRule="exact"/>
        <w:rPr>
          <w:rFonts w:ascii="Times New Roman" w:cs="Times New Roman" w:eastAsia="Times New Roman" w:hAnsi="Times New Roman"/>
          <w:sz w:val="18"/>
          <w:szCs w:val="18"/>
          <w:color w:val="auto"/>
        </w:rPr>
      </w:pPr>
    </w:p>
    <w:p>
      <w:pPr>
        <w:ind w:right="500" w:firstLine="966"/>
        <w:spacing w:after="0" w:line="274" w:lineRule="auto"/>
        <w:tabs>
          <w:tab w:leader="none" w:pos="122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of the Company or any Subsidiary Guarantor shall cease to be in full force and effect (other than pursuant to or as provided by the terms hereof or any other Loan Document); or</w:t>
      </w:r>
    </w:p>
    <w:p>
      <w:pPr>
        <w:spacing w:after="0" w:line="164" w:lineRule="exact"/>
        <w:rPr>
          <w:rFonts w:ascii="Times New Roman" w:cs="Times New Roman" w:eastAsia="Times New Roman" w:hAnsi="Times New Roman"/>
          <w:sz w:val="18"/>
          <w:szCs w:val="18"/>
          <w:color w:val="auto"/>
        </w:rPr>
      </w:pPr>
    </w:p>
    <w:p>
      <w:pPr>
        <w:ind w:left="1180" w:hanging="214"/>
        <w:spacing w:after="0"/>
        <w:tabs>
          <w:tab w:leader="none" w:pos="11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w:t>
      </w:r>
    </w:p>
    <w:p>
      <w:pPr>
        <w:spacing w:after="0" w:line="2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then, and in any such event, (A) if such event is an Event of Default specified in paragraph (e) above with respect to the Company, automatically the Commitments and Ancillary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and Ancillary Commitments to be terminated forthwith, whereupon the Commitments and Ancillary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to be due and payable forthwith, whereupon the same shall immediately become due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800"/>
          </w:cols>
          <w:pgMar w:left="540" w:top="267" w:right="559" w:bottom="1440" w:gutter="0" w:footer="0" w:header="0"/>
        </w:sectPr>
      </w:pPr>
    </w:p>
    <w:bookmarkStart w:id="313" w:name="page314"/>
    <w:bookmarkEnd w:id="313"/>
    <w:p>
      <w:pPr>
        <w:ind w:right="2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 THE AGENTS</w:t>
      </w:r>
    </w:p>
    <w:p>
      <w:pPr>
        <w:spacing w:after="0" w:line="218" w:lineRule="exact"/>
        <w:rPr>
          <w:sz w:val="20"/>
          <w:szCs w:val="20"/>
          <w:color w:val="auto"/>
        </w:rPr>
      </w:pPr>
    </w:p>
    <w:p>
      <w:pPr>
        <w:ind w:right="100" w:firstLine="974"/>
        <w:spacing w:after="0" w:line="250"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5"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6"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the Administrative Agent nor any of its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780"/>
          </w:cols>
          <w:pgMar w:left="540" w:top="267" w:right="579" w:bottom="1440" w:gutter="0" w:footer="0" w:header="0"/>
        </w:sectPr>
      </w:pPr>
    </w:p>
    <w:bookmarkStart w:id="314" w:name="page315"/>
    <w:bookmarkEnd w:id="314"/>
    <w:p>
      <w:pPr>
        <w:ind w:right="20" w:firstLine="974"/>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91"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5"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780"/>
          </w:cols>
          <w:pgMar w:left="540" w:top="267" w:right="579" w:bottom="1440" w:gutter="0" w:footer="0" w:header="0"/>
        </w:sectPr>
      </w:pPr>
    </w:p>
    <w:bookmarkStart w:id="315" w:name="page316"/>
    <w:bookmarkEnd w:id="315"/>
    <w:p>
      <w:pPr>
        <w:ind w:firstLine="974"/>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9.7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The Lenders agree to indemnify the Administrative Agent, each Issuing Bank and each Related Party of any of the foregoing Persons (each, an “</w:t>
      </w:r>
      <w:r>
        <w:rPr>
          <w:rFonts w:ascii="Times New Roman" w:cs="Times New Roman" w:eastAsia="Times New Roman" w:hAnsi="Times New Roman"/>
          <w:sz w:val="17"/>
          <w:szCs w:val="17"/>
          <w:u w:val="single" w:color="auto"/>
          <w:color w:val="auto"/>
        </w:rPr>
        <w:t>Agent-Related Person</w:t>
      </w:r>
      <w:r>
        <w:rPr>
          <w:rFonts w:ascii="Times New Roman" w:cs="Times New Roman" w:eastAsia="Times New Roman" w:hAnsi="Times New Roman"/>
          <w:sz w:val="17"/>
          <w:szCs w:val="17"/>
          <w:color w:val="auto"/>
        </w:rPr>
        <w:t xml:space="preserve">”)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and agrees to indemnify and hold each Agent-Related Person harmless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Agent-Related Person’s gross negligence or willful misconduct. The agreements in this Section 9.7 shall survive the payment of the Loans and all other amounts payable hereunder.</w:t>
      </w:r>
    </w:p>
    <w:p>
      <w:pPr>
        <w:spacing w:after="0" w:line="176" w:lineRule="exact"/>
        <w:rPr>
          <w:sz w:val="20"/>
          <w:szCs w:val="20"/>
          <w:color w:val="auto"/>
        </w:rPr>
      </w:pPr>
    </w:p>
    <w:p>
      <w:pPr>
        <w:ind w:right="120" w:firstLine="974"/>
        <w:spacing w:after="0" w:line="25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Administrative 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any Letter of Credit issued or participated in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7" w:lineRule="exact"/>
        <w:rPr>
          <w:sz w:val="20"/>
          <w:szCs w:val="20"/>
          <w:color w:val="auto"/>
        </w:rPr>
      </w:pPr>
    </w:p>
    <w:p>
      <w:pPr>
        <w:ind w:right="40" w:firstLine="974"/>
        <w:spacing w:after="0" w:line="247"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820"/>
          </w:cols>
          <w:pgMar w:left="540" w:top="266" w:right="539" w:bottom="1440" w:gutter="0" w:footer="0" w:header="0"/>
        </w:sectPr>
      </w:pPr>
    </w:p>
    <w:bookmarkStart w:id="316" w:name="page317"/>
    <w:bookmarkEnd w:id="316"/>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9.10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60" w:firstLine="974"/>
        <w:spacing w:after="0" w:line="271" w:lineRule="auto"/>
        <w:rPr>
          <w:sz w:val="20"/>
          <w:szCs w:val="20"/>
          <w:color w:val="auto"/>
        </w:rPr>
      </w:pPr>
      <w:r>
        <w:rPr>
          <w:rFonts w:ascii="Times New Roman" w:cs="Times New Roman" w:eastAsia="Times New Roman" w:hAnsi="Times New Roman"/>
          <w:sz w:val="17"/>
          <w:szCs w:val="17"/>
          <w:color w:val="auto"/>
        </w:rPr>
        <w:t xml:space="preserve">9.11 </w:t>
      </w:r>
      <w:r>
        <w:rPr>
          <w:rFonts w:ascii="Times New Roman" w:cs="Times New Roman" w:eastAsia="Times New Roman" w:hAnsi="Times New Roman"/>
          <w:sz w:val="17"/>
          <w:szCs w:val="17"/>
          <w:u w:val="single" w:color="auto"/>
          <w:color w:val="auto"/>
        </w:rPr>
        <w:t>Bookrunners, Lead Arrangers, Global and Regional Coordinators, Documentation Agents, Syndication Agent and Co-Syndication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cs="Times New Roman" w:eastAsia="Times New Roman" w:hAnsi="Times New Roman"/>
          <w:sz w:val="17"/>
          <w:szCs w:val="17"/>
          <w:u w:val="single" w:color="auto"/>
          <w:color w:val="auto"/>
        </w:rPr>
        <w:t>Arrangers</w:t>
      </w:r>
      <w:r>
        <w:rPr>
          <w:rFonts w:ascii="Times New Roman" w:cs="Times New Roman" w:eastAsia="Times New Roman" w:hAnsi="Times New Roman"/>
          <w:sz w:val="17"/>
          <w:szCs w:val="17"/>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70"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 xml:space="preserve">9.12 </w:t>
      </w:r>
      <w:r>
        <w:rPr>
          <w:rFonts w:ascii="Times New Roman" w:cs="Times New Roman" w:eastAsia="Times New Roman" w:hAnsi="Times New Roman"/>
          <w:sz w:val="17"/>
          <w:szCs w:val="17"/>
          <w:u w:val="single" w:color="auto"/>
          <w:color w:val="auto"/>
        </w:rPr>
        <w:t>Certain ERISA Matters.</w:t>
      </w:r>
      <w:r>
        <w:rPr>
          <w:rFonts w:ascii="Times New Roman" w:cs="Times New Roman" w:eastAsia="Times New Roman" w:hAnsi="Times New Roman"/>
          <w:sz w:val="17"/>
          <w:szCs w:val="17"/>
          <w:color w:val="auto"/>
        </w:rPr>
        <w:t xml:space="preserve"> (a) Each Lender (x) represents and warrants, as of the date such Person became a Lender party hereto, to, and</w:t>
      </w:r>
    </w:p>
    <w:p>
      <w:pPr>
        <w:spacing w:after="0" w:line="36" w:lineRule="exact"/>
        <w:rPr>
          <w:sz w:val="20"/>
          <w:szCs w:val="20"/>
          <w:color w:val="auto"/>
        </w:rPr>
      </w:pPr>
    </w:p>
    <w:p>
      <w:pPr>
        <w:jc w:val="both"/>
        <w:ind w:left="8" w:hanging="8"/>
        <w:spacing w:after="0" w:line="249" w:lineRule="auto"/>
        <w:tabs>
          <w:tab w:leader="none" w:pos="25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79" w:lineRule="exact"/>
        <w:rPr>
          <w:rFonts w:ascii="Times New Roman" w:cs="Times New Roman" w:eastAsia="Times New Roman" w:hAnsi="Times New Roman"/>
          <w:sz w:val="18"/>
          <w:szCs w:val="18"/>
          <w:color w:val="auto"/>
        </w:rPr>
      </w:pPr>
    </w:p>
    <w:p>
      <w:pPr>
        <w:ind w:left="968" w:right="640" w:firstLine="400"/>
        <w:spacing w:after="0" w:line="274" w:lineRule="auto"/>
        <w:tabs>
          <w:tab w:leader="none" w:pos="157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58" w:lineRule="exact"/>
        <w:rPr>
          <w:rFonts w:ascii="Times New Roman" w:cs="Times New Roman" w:eastAsia="Times New Roman" w:hAnsi="Times New Roman"/>
          <w:sz w:val="18"/>
          <w:szCs w:val="18"/>
          <w:color w:val="auto"/>
        </w:rPr>
      </w:pPr>
    </w:p>
    <w:p>
      <w:pPr>
        <w:ind w:left="968" w:right="120" w:firstLine="400"/>
        <w:spacing w:after="0" w:line="251" w:lineRule="auto"/>
        <w:tabs>
          <w:tab w:leader="none" w:pos="1622"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80" w:lineRule="exact"/>
        <w:rPr>
          <w:rFonts w:ascii="Times New Roman" w:cs="Times New Roman" w:eastAsia="Times New Roman" w:hAnsi="Times New Roman"/>
          <w:sz w:val="18"/>
          <w:szCs w:val="18"/>
          <w:color w:val="auto"/>
        </w:rPr>
      </w:pPr>
    </w:p>
    <w:p>
      <w:pPr>
        <w:ind w:left="968" w:right="100" w:firstLine="400"/>
        <w:spacing w:after="0" w:line="250" w:lineRule="auto"/>
        <w:tabs>
          <w:tab w:leader="none" w:pos="1671"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828"/>
          </w:cols>
          <w:pgMar w:left="532" w:top="266" w:right="539" w:bottom="1440" w:gutter="0" w:footer="0" w:header="0"/>
        </w:sectPr>
      </w:pPr>
    </w:p>
    <w:bookmarkStart w:id="317" w:name="page318"/>
    <w:bookmarkEnd w:id="317"/>
    <w:p>
      <w:pPr>
        <w:ind w:left="968" w:right="440" w:firstLine="400"/>
        <w:spacing w:after="0" w:line="274" w:lineRule="auto"/>
        <w:tabs>
          <w:tab w:leader="none" w:pos="1661"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164" w:lineRule="exact"/>
        <w:rPr>
          <w:rFonts w:ascii="Times New Roman" w:cs="Times New Roman" w:eastAsia="Times New Roman" w:hAnsi="Times New Roman"/>
          <w:sz w:val="18"/>
          <w:szCs w:val="18"/>
          <w:color w:val="auto"/>
        </w:rPr>
      </w:pPr>
    </w:p>
    <w:p>
      <w:pPr>
        <w:ind w:left="8" w:right="140" w:firstLine="966"/>
        <w:spacing w:after="0" w:line="272" w:lineRule="auto"/>
        <w:tabs>
          <w:tab w:leader="none" w:pos="1233"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8" w:right="100" w:hanging="8"/>
        <w:spacing w:after="0" w:line="247" w:lineRule="auto"/>
        <w:tabs>
          <w:tab w:leader="none" w:pos="25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neither the Administrative Agent nor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8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Acknowledgements of Lenders and Issuing Lenders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firstLine="966"/>
        <w:spacing w:after="0" w:line="247" w:lineRule="auto"/>
        <w:tabs>
          <w:tab w:leader="none" w:pos="122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Lender represents and warrants that (i) the Loan Documents set forth the terms of a commercial lending facility, (ii) it is engaged in making, acquiring or holding commercial loans and in providing other facilities set forth herein as may be applicable to such Lender or Issuing Lender, in each case in the ordinary course of business and is making the Loans and issuing Letters of Credit hereunder as commercial loans or letters of credit, as the case may be, in the ordinary course of its business and not for the purpose of purchasing, acquiring or holding any other type of financial instrument (and each Lender and each Issuing Lender agrees not to assert a claim in contravention of the foregoing), (iii) it has, independently and without reliance upon the Administrative Agent, any Arranger, any Syndication Agent, any Co-Syndication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Syndication Agent, any Co-Syndication Agent or any other Lender or Issuing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9" w:lineRule="exact"/>
        <w:rPr>
          <w:rFonts w:ascii="Times New Roman" w:cs="Times New Roman" w:eastAsia="Times New Roman" w:hAnsi="Times New Roman"/>
          <w:sz w:val="18"/>
          <w:szCs w:val="18"/>
          <w:color w:val="auto"/>
        </w:rPr>
      </w:pPr>
    </w:p>
    <w:p>
      <w:pPr>
        <w:ind w:left="8" w:right="80" w:firstLine="966"/>
        <w:spacing w:after="0" w:line="255" w:lineRule="auto"/>
        <w:tabs>
          <w:tab w:leader="none" w:pos="123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828"/>
          </w:cols>
          <w:pgMar w:left="532" w:top="266" w:right="539" w:bottom="1440" w:gutter="0" w:footer="0" w:header="0"/>
        </w:sectPr>
      </w:pPr>
    </w:p>
    <w:bookmarkStart w:id="318" w:name="page319"/>
    <w:bookmarkEnd w:id="318"/>
    <w:p>
      <w:pPr>
        <w:ind w:firstLine="966"/>
        <w:spacing w:after="0" w:line="248" w:lineRule="auto"/>
        <w:tabs>
          <w:tab w:leader="none" w:pos="121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86" w:lineRule="exact"/>
        <w:rPr>
          <w:rFonts w:ascii="Times New Roman" w:cs="Times New Roman" w:eastAsia="Times New Roman" w:hAnsi="Times New Roman"/>
          <w:sz w:val="18"/>
          <w:szCs w:val="18"/>
          <w:color w:val="auto"/>
        </w:rPr>
      </w:pPr>
    </w:p>
    <w:p>
      <w:pPr>
        <w:ind w:left="960" w:right="20" w:firstLine="400"/>
        <w:spacing w:after="0" w:line="248" w:lineRule="auto"/>
        <w:tabs>
          <w:tab w:leader="none" w:pos="161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i w:val="1"/>
          <w:iCs w:val="1"/>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88" w:lineRule="exact"/>
        <w:rPr>
          <w:rFonts w:ascii="Times New Roman" w:cs="Times New Roman" w:eastAsia="Times New Roman" w:hAnsi="Times New Roman"/>
          <w:sz w:val="18"/>
          <w:szCs w:val="18"/>
          <w:color w:val="auto"/>
        </w:rPr>
      </w:pPr>
    </w:p>
    <w:p>
      <w:pPr>
        <w:ind w:left="960" w:right="180" w:firstLine="400"/>
        <w:spacing w:after="0" w:line="250" w:lineRule="auto"/>
        <w:tabs>
          <w:tab w:leader="none" w:pos="1663"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Payment is, and solely with respect to the amount of such Payment that is, comprised of funds of such Borrower or any other Loan Party (including, for the avoidance of doubt, the proceeds of any financing or contribution incurred or obtained by such Borrower or any Loan Party).</w:t>
      </w:r>
    </w:p>
    <w:p>
      <w:pPr>
        <w:spacing w:after="0" w:line="82" w:lineRule="exact"/>
        <w:rPr>
          <w:rFonts w:ascii="Times New Roman" w:cs="Times New Roman" w:eastAsia="Times New Roman" w:hAnsi="Times New Roman"/>
          <w:sz w:val="18"/>
          <w:szCs w:val="18"/>
          <w:color w:val="auto"/>
        </w:rPr>
      </w:pPr>
    </w:p>
    <w:p>
      <w:pPr>
        <w:ind w:left="960" w:right="40" w:firstLine="400"/>
        <w:spacing w:after="0" w:line="260" w:lineRule="auto"/>
        <w:tabs>
          <w:tab w:leader="none" w:pos="1653"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820"/>
          </w:cols>
          <w:pgMar w:left="540" w:top="266" w:right="539"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SECTION 10. MISCELLANEOUS</w:t>
      </w:r>
    </w:p>
    <w:p>
      <w:pPr>
        <w:spacing w:after="0" w:line="218" w:lineRule="exact"/>
        <w:rPr>
          <w:sz w:val="20"/>
          <w:szCs w:val="20"/>
          <w:color w:val="auto"/>
        </w:rPr>
      </w:pPr>
    </w:p>
    <w:p>
      <w:pPr>
        <w:ind w:right="60" w:firstLine="974"/>
        <w:spacing w:after="0" w:line="24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Subject to Section 2.18(b) and (c), neither this Agreement, any other Loan Document, nor any terms hereof or thereof may be amended, supplemented or modified except in accordance with the provisions of this Section 10.1 or as otherwise expressly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L/C Fee Letter shall be amended, modified, or supplemented in accordance with its individual terms and shall not be subject to the provisions of this Section 10.1 and (ii)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82" w:lineRule="exact"/>
        <w:rPr>
          <w:sz w:val="20"/>
          <w:szCs w:val="20"/>
          <w:color w:val="auto"/>
        </w:rPr>
      </w:pPr>
    </w:p>
    <w:p>
      <w:pPr>
        <w:ind w:left="960" w:firstLine="400"/>
        <w:spacing w:after="0" w:line="251" w:lineRule="auto"/>
        <w:tabs>
          <w:tab w:leader="none" w:pos="164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80" w:lineRule="exact"/>
        <w:rPr>
          <w:rFonts w:ascii="Times New Roman" w:cs="Times New Roman" w:eastAsia="Times New Roman" w:hAnsi="Times New Roman"/>
          <w:sz w:val="18"/>
          <w:szCs w:val="18"/>
          <w:color w:val="auto"/>
        </w:rPr>
      </w:pPr>
    </w:p>
    <w:p>
      <w:pPr>
        <w:ind w:left="1640" w:hanging="280"/>
        <w:spacing w:after="0"/>
        <w:tabs>
          <w:tab w:leader="none" w:pos="16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11" w:lineRule="exact"/>
        <w:rPr>
          <w:rFonts w:ascii="Times New Roman" w:cs="Times New Roman" w:eastAsia="Times New Roman" w:hAnsi="Times New Roman"/>
          <w:sz w:val="18"/>
          <w:szCs w:val="18"/>
          <w:color w:val="auto"/>
        </w:rPr>
      </w:pPr>
    </w:p>
    <w:p>
      <w:pPr>
        <w:ind w:left="960" w:firstLine="400"/>
        <w:spacing w:after="0" w:line="253" w:lineRule="auto"/>
        <w:tabs>
          <w:tab w:leader="none" w:pos="163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76" w:lineRule="exact"/>
        <w:rPr>
          <w:rFonts w:ascii="Times New Roman" w:cs="Times New Roman" w:eastAsia="Times New Roman" w:hAnsi="Times New Roman"/>
          <w:sz w:val="18"/>
          <w:szCs w:val="18"/>
          <w:color w:val="auto"/>
        </w:rPr>
      </w:pPr>
    </w:p>
    <w:p>
      <w:pPr>
        <w:ind w:left="1640" w:hanging="280"/>
        <w:spacing w:after="0"/>
        <w:tabs>
          <w:tab w:leader="none" w:pos="16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Required Lenders without the written consent of all Lenders;</w:t>
      </w:r>
    </w:p>
    <w:p>
      <w:pPr>
        <w:spacing w:after="0" w:line="111" w:lineRule="exact"/>
        <w:rPr>
          <w:rFonts w:ascii="Times New Roman" w:cs="Times New Roman" w:eastAsia="Times New Roman" w:hAnsi="Times New Roman"/>
          <w:sz w:val="18"/>
          <w:szCs w:val="18"/>
          <w:color w:val="auto"/>
        </w:rPr>
      </w:pPr>
    </w:p>
    <w:p>
      <w:pPr>
        <w:ind w:left="960" w:right="360" w:firstLine="400"/>
        <w:spacing w:after="0" w:line="274" w:lineRule="auto"/>
        <w:tabs>
          <w:tab w:leader="none" w:pos="162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Majority Facility Lenders with respect to any Facility without the written consent of all Lenders under such Facility;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800"/>
          </w:cols>
          <w:pgMar w:left="540" w:top="266" w:right="559" w:bottom="1440" w:gutter="0" w:footer="0" w:header="0"/>
        </w:sectPr>
      </w:pPr>
    </w:p>
    <w:bookmarkStart w:id="320" w:name="page321"/>
    <w:bookmarkEnd w:id="320"/>
    <w:p>
      <w:pPr>
        <w:ind w:left="960" w:right="100" w:firstLine="400"/>
        <w:spacing w:after="0" w:line="274" w:lineRule="auto"/>
        <w:tabs>
          <w:tab w:leader="none" w:pos="161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amend, modify or waive any provision of Section 9 in a manner adverse to the Administrative Agent without the written consent of the Administrative Agent;</w:t>
      </w:r>
    </w:p>
    <w:p>
      <w:pPr>
        <w:spacing w:after="0" w:line="58" w:lineRule="exact"/>
        <w:rPr>
          <w:rFonts w:ascii="Times New Roman" w:cs="Times New Roman" w:eastAsia="Times New Roman" w:hAnsi="Times New Roman"/>
          <w:sz w:val="18"/>
          <w:szCs w:val="18"/>
          <w:color w:val="auto"/>
        </w:rPr>
      </w:pPr>
    </w:p>
    <w:p>
      <w:pPr>
        <w:ind w:left="960" w:right="40" w:firstLine="400"/>
        <w:spacing w:after="0" w:line="274" w:lineRule="auto"/>
        <w:tabs>
          <w:tab w:leader="none" w:pos="164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3 in a manner adverse to an Issuing Lender without the written consent of such Issuing Lender;</w:t>
      </w:r>
    </w:p>
    <w:p>
      <w:pPr>
        <w:spacing w:after="0" w:line="58" w:lineRule="exact"/>
        <w:rPr>
          <w:rFonts w:ascii="Times New Roman" w:cs="Times New Roman" w:eastAsia="Times New Roman" w:hAnsi="Times New Roman"/>
          <w:sz w:val="18"/>
          <w:szCs w:val="18"/>
          <w:color w:val="auto"/>
        </w:rPr>
      </w:pPr>
    </w:p>
    <w:p>
      <w:pPr>
        <w:ind w:left="960" w:right="480" w:firstLine="400"/>
        <w:spacing w:after="0" w:line="274" w:lineRule="auto"/>
        <w:tabs>
          <w:tab w:leader="none" w:pos="164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2.19(a) or (b) or Section 10.7 without the written consent of each Lender adversely affected thereby;</w:t>
      </w:r>
    </w:p>
    <w:p>
      <w:pPr>
        <w:spacing w:after="0" w:line="58" w:lineRule="exact"/>
        <w:rPr>
          <w:rFonts w:ascii="Times New Roman" w:cs="Times New Roman" w:eastAsia="Times New Roman" w:hAnsi="Times New Roman"/>
          <w:sz w:val="18"/>
          <w:szCs w:val="18"/>
          <w:color w:val="auto"/>
        </w:rPr>
      </w:pPr>
    </w:p>
    <w:p>
      <w:pPr>
        <w:ind w:left="960" w:firstLine="400"/>
        <w:spacing w:after="0" w:line="274" w:lineRule="auto"/>
        <w:tabs>
          <w:tab w:leader="none" w:pos="157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the rights or duties of any Ancillary Lender, in a manner adverse to such Ancillary Lender, in its capacity as such, under this Agreement or any other Loan Document without the written consent of such Ancillary Lender; or</w:t>
      </w:r>
    </w:p>
    <w:p>
      <w:pPr>
        <w:spacing w:after="0" w:line="58" w:lineRule="exact"/>
        <w:rPr>
          <w:rFonts w:ascii="Times New Roman" w:cs="Times New Roman" w:eastAsia="Times New Roman" w:hAnsi="Times New Roman"/>
          <w:sz w:val="18"/>
          <w:szCs w:val="18"/>
          <w:color w:val="auto"/>
        </w:rPr>
      </w:pPr>
    </w:p>
    <w:p>
      <w:pPr>
        <w:ind w:left="1600" w:hanging="240"/>
        <w:spacing w:after="0"/>
        <w:tabs>
          <w:tab w:leader="none" w:pos="16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any Facility without the written consent of each Lender directly affected thereby.</w:t>
      </w:r>
    </w:p>
    <w:p>
      <w:pPr>
        <w:spacing w:after="0" w:line="21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Any such waiver and any such amendment, supplement or modification shall apply equally to each of the Lenders and shall be binding upon the Loan Parties, the Lenders, the Issuing Lenders, the Administrative Agent, and all future holders of the Loans. In the case of any waiver, the Loan Parties, the Lenders, the Issuing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2" w:lineRule="exact"/>
        <w:rPr>
          <w:sz w:val="20"/>
          <w:szCs w:val="20"/>
          <w:color w:val="auto"/>
        </w:rPr>
      </w:pPr>
    </w:p>
    <w:p>
      <w:pPr>
        <w:ind w:right="20" w:firstLine="966"/>
        <w:spacing w:after="0" w:line="248" w:lineRule="auto"/>
        <w:tabs>
          <w:tab w:leader="none" w:pos="122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paragraph (a), without the consent of the Required Lenders or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and (ii)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notify the Lenders and Issuing Lenders of any such amendment, modification, supplement or waiver consummated in accordance with this clause (ii) promptly after consummation thereof.</w:t>
      </w:r>
    </w:p>
    <w:p>
      <w:pPr>
        <w:spacing w:after="0" w:line="190" w:lineRule="exact"/>
        <w:rPr>
          <w:rFonts w:ascii="Times New Roman" w:cs="Times New Roman" w:eastAsia="Times New Roman" w:hAnsi="Times New Roman"/>
          <w:sz w:val="18"/>
          <w:szCs w:val="18"/>
          <w:color w:val="auto"/>
        </w:rPr>
      </w:pPr>
    </w:p>
    <w:p>
      <w:pPr>
        <w:ind w:right="80" w:firstLine="966"/>
        <w:spacing w:after="0" w:line="251" w:lineRule="auto"/>
        <w:tabs>
          <w:tab w:leader="none" w:pos="121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it is understood that (i) any transaction permitted by Sections 2.11, 2.27, 2.28, 2.29 and 2.30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820"/>
          </w:cols>
          <w:pgMar w:left="540" w:top="267" w:right="539" w:bottom="1440" w:gutter="0" w:footer="0" w:header="0"/>
        </w:sectPr>
      </w:pPr>
    </w:p>
    <w:bookmarkStart w:id="321" w:name="page322"/>
    <w:bookmarkEnd w:id="321"/>
    <w:p>
      <w:pPr>
        <w:ind w:right="100" w:firstLine="966"/>
        <w:spacing w:after="0" w:line="274" w:lineRule="auto"/>
        <w:tabs>
          <w:tab w:leader="none" w:pos="122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addition, notwithstanding the foregoing, this Agreement may be amended after the Closing Date without consent of the Lenders, so long as no Default or Event of Default shall have occurred and be continuing, as follows:</w:t>
      </w:r>
    </w:p>
    <w:p>
      <w:pPr>
        <w:spacing w:after="0" w:line="58" w:lineRule="exact"/>
        <w:rPr>
          <w:rFonts w:ascii="Times New Roman" w:cs="Times New Roman" w:eastAsia="Times New Roman" w:hAnsi="Times New Roman"/>
          <w:sz w:val="18"/>
          <w:szCs w:val="18"/>
          <w:color w:val="auto"/>
        </w:rPr>
      </w:pPr>
    </w:p>
    <w:p>
      <w:pPr>
        <w:ind w:left="960" w:firstLine="400"/>
        <w:spacing w:after="0" w:line="263" w:lineRule="auto"/>
        <w:tabs>
          <w:tab w:leader="none" w:pos="1565"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designate (x) any Domestic Subsidiary of the Company as a Domestic Subsidiary Borrower, (y) any Domestic Subsidiary of the Company as a Domestic Subsidiary Borrower under the Multicurrency Facility and/or the L/C Tranche Facility, in each case, with the consent of each Lender under either the Multicurrency Facility or the L/C Tranche Facility, as applicable (provided, that no such Lender may withhold such consent unless it is unable to make extensions of credit or provide Commitments to such Subsidiary Borrower pursuant to any Requirement of Law) and the Administrative Agent (not to be unreasonably withheld), as a Domestic Subsidiary Borrower under the Multicurrency Facility and/or the L/C Tranche Facility and (z) any other Domestic Subsidiary of the Company as a Domestic Subsidiary Borrower under a New Local Facility or any Incremental Facility with the consent of the Administrative Agent and each Lender under such New Local Facility or such Incremental Facility, as the case may be upon (A) ten Business Days’ prior notice to the Administrative Agent (such notice to contain the name, primary business address and taxpayer identification number of such Subsidiary),</w:t>
      </w:r>
    </w:p>
    <w:p>
      <w:pPr>
        <w:spacing w:after="0" w:line="1" w:lineRule="exact"/>
        <w:rPr>
          <w:rFonts w:ascii="Times New Roman" w:cs="Times New Roman" w:eastAsia="Times New Roman" w:hAnsi="Times New Roman"/>
          <w:sz w:val="17"/>
          <w:szCs w:val="17"/>
          <w:color w:val="auto"/>
        </w:rPr>
      </w:pPr>
    </w:p>
    <w:p>
      <w:pPr>
        <w:ind w:left="96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the execution and delivery by the Company, such Subsidiary and the Administrative Agent of a Borrower Joinder Agreement, providing for such Subsidiary to become a Subsidiary Borrower, (C) the agreement and acknowledgment by the Company and each Subsidiary Guarantor (if any) that the Guarantee covers the Obligations of such Subsidiary, (D) the delivery to the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 laundering Requirement of Law; and</w:t>
      </w:r>
    </w:p>
    <w:p>
      <w:pPr>
        <w:spacing w:after="0" w:line="67" w:lineRule="exact"/>
        <w:rPr>
          <w:rFonts w:ascii="Times New Roman" w:cs="Times New Roman" w:eastAsia="Times New Roman" w:hAnsi="Times New Roman"/>
          <w:sz w:val="17"/>
          <w:szCs w:val="17"/>
          <w:color w:val="auto"/>
        </w:rPr>
      </w:pPr>
    </w:p>
    <w:p>
      <w:pPr>
        <w:ind w:left="960" w:right="20" w:firstLine="400"/>
        <w:spacing w:after="0" w:line="250" w:lineRule="auto"/>
        <w:tabs>
          <w:tab w:leader="none" w:pos="161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85"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and Ancillary Lenders, or to such other address as may be hereafter notified by the respective parties 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800"/>
          </w:cols>
          <w:pgMar w:left="540" w:top="267" w:right="5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7"/>
          <w:szCs w:val="17"/>
          <w:color w:val="auto"/>
        </w:rPr>
        <w:t>Any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-271780</wp:posOffset>
            </wp:positionV>
            <wp:extent cx="717677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105" w:lineRule="exact"/>
        <w:rPr>
          <w:sz w:val="20"/>
          <w:szCs w:val="20"/>
          <w:color w:val="auto"/>
        </w:rPr>
      </w:pPr>
    </w:p>
    <w:p>
      <w:pPr>
        <w:sectPr>
          <w:pgSz w:w="11900" w:h="16838" w:orient="portrait"/>
          <w:cols w:equalWidth="0" w:num="2">
            <w:col w:w="2620" w:space="720"/>
            <w:col w:w="6579"/>
          </w:cols>
          <w:pgMar w:left="540" w:top="373" w:right="1440" w:bottom="1440" w:gutter="0" w:footer="0" w:header="0"/>
        </w:sectPr>
      </w:pPr>
    </w:p>
    <w:p>
      <w:pPr>
        <w:spacing w:after="0" w:line="274"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482-C26-D41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Treasurer</w:t>
      </w:r>
    </w:p>
    <w:p>
      <w:pPr>
        <w:spacing w:after="0" w:line="117" w:lineRule="exact"/>
        <w:rPr>
          <w:sz w:val="20"/>
          <w:szCs w:val="20"/>
          <w:color w:val="auto"/>
        </w:rPr>
      </w:pPr>
    </w:p>
    <w:p>
      <w:pPr>
        <w:sectPr>
          <w:pgSz w:w="11900" w:h="16838" w:orient="portrait"/>
          <w:cols w:equalWidth="0" w:num="2">
            <w:col w:w="2920" w:space="420"/>
            <w:col w:w="6579"/>
          </w:cols>
          <w:pgMar w:left="540" w:top="373" w:right="1440"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482-C26-C18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Capital Markets</w:t>
      </w:r>
    </w:p>
    <w:p>
      <w:pPr>
        <w:spacing w:after="0" w:line="117" w:lineRule="exact"/>
        <w:rPr>
          <w:sz w:val="20"/>
          <w:szCs w:val="20"/>
          <w:color w:val="auto"/>
        </w:rPr>
      </w:pPr>
    </w:p>
    <w:p>
      <w:pPr>
        <w:sectPr>
          <w:pgSz w:w="11900" w:h="16838" w:orient="portrait"/>
          <w:cols w:equalWidth="0" w:num="2">
            <w:col w:w="2700" w:space="640"/>
            <w:col w:w="6579"/>
          </w:cols>
          <w:pgMar w:left="540" w:top="373" w:right="1440"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482-C26-B98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Treasury Operations</w:t>
      </w:r>
    </w:p>
    <w:p>
      <w:pPr>
        <w:spacing w:after="0" w:line="117" w:lineRule="exact"/>
        <w:rPr>
          <w:sz w:val="20"/>
          <w:szCs w:val="20"/>
          <w:color w:val="auto"/>
        </w:rPr>
      </w:pPr>
    </w:p>
    <w:p>
      <w:pPr>
        <w:sectPr>
          <w:pgSz w:w="11900" w:h="16838" w:orient="portrait"/>
          <w:cols w:equalWidth="0" w:num="2">
            <w:col w:w="2700" w:space="640"/>
            <w:col w:w="6579"/>
          </w:cols>
          <w:pgMar w:left="540" w:top="373" w:right="1440"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482-C39-B40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craig.glidden@gm.com</w:t>
      </w:r>
    </w:p>
    <w:p>
      <w:pPr>
        <w:spacing w:after="0" w:line="117" w:lineRule="exact"/>
        <w:rPr>
          <w:sz w:val="20"/>
          <w:szCs w:val="20"/>
          <w:color w:val="auto"/>
        </w:rPr>
      </w:pPr>
    </w:p>
    <w:p>
      <w:pPr>
        <w:sectPr>
          <w:pgSz w:w="11900" w:h="16838" w:orient="portrait"/>
          <w:cols w:equalWidth="0" w:num="2">
            <w:col w:w="2700" w:space="640"/>
            <w:col w:w="6579"/>
          </w:cols>
          <w:pgMar w:left="540" w:top="373" w:right="1440"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482-C23-A68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Corporate Secretary &amp; Lead Counsel – Corporate Finance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John.S.Kim@gm.com</w:t>
      </w:r>
    </w:p>
    <w:p>
      <w:pPr>
        <w:spacing w:after="0" w:line="145" w:lineRule="exact"/>
        <w:rPr>
          <w:sz w:val="20"/>
          <w:szCs w:val="20"/>
          <w:color w:val="auto"/>
        </w:rPr>
      </w:pPr>
    </w:p>
    <w:p>
      <w:pPr>
        <w:sectPr>
          <w:pgSz w:w="11900" w:h="16838" w:orient="portrait"/>
          <w:cols w:equalWidth="0" w:num="2">
            <w:col w:w="2700" w:space="640"/>
            <w:col w:w="6579"/>
          </w:cols>
          <w:pgMar w:left="540" w:top="373" w:right="1440" w:bottom="1440" w:gutter="0" w:footer="0" w:header="0"/>
          <w:type w:val="continuous"/>
        </w:sectPr>
      </w:pPr>
    </w:p>
    <w:p>
      <w:pPr>
        <w:ind w:left="53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9919"/>
          </w:cols>
          <w:pgMar w:left="540" w:top="373" w:right="1440" w:bottom="1440" w:gutter="0" w:footer="0" w:header="0"/>
          <w:type w:val="continuous"/>
        </w:sectPr>
      </w:pPr>
    </w:p>
    <w:bookmarkStart w:id="323" w:name="page324"/>
    <w:bookmarkEnd w:id="323"/>
    <w:p>
      <w:pPr>
        <w:spacing w:after="0"/>
        <w:rPr>
          <w:sz w:val="20"/>
          <w:szCs w:val="20"/>
          <w:color w:val="auto"/>
        </w:rPr>
      </w:pPr>
      <w:r>
        <w:rPr>
          <w:rFonts w:ascii="Times New Roman" w:cs="Times New Roman" w:eastAsia="Times New Roman" w:hAnsi="Times New Roman"/>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-271780</wp:posOffset>
            </wp:positionV>
            <wp:extent cx="717677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302-634-3228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105" w:lineRule="exact"/>
        <w:rPr>
          <w:sz w:val="20"/>
          <w:szCs w:val="20"/>
          <w:color w:val="auto"/>
        </w:rPr>
      </w:pPr>
    </w:p>
    <w:p>
      <w:pPr>
        <w:sectPr>
          <w:pgSz w:w="11900" w:h="16838" w:orient="portrait"/>
          <w:cols w:equalWidth="0" w:num="2">
            <w:col w:w="2620" w:space="720"/>
            <w:col w:w="7460"/>
          </w:cols>
          <w:pgMar w:left="540" w:top="373" w:right="5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8181 Communications Pkwy, Bldg B, 6</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Floor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Plano, TX, 75024, United States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sean.bodkin@jpmorgan.com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972-324-1749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Sean D. Bodkin</w:t>
      </w:r>
    </w:p>
    <w:p>
      <w:pPr>
        <w:spacing w:after="0" w:line="105" w:lineRule="exact"/>
        <w:rPr>
          <w:sz w:val="20"/>
          <w:szCs w:val="20"/>
          <w:color w:val="auto"/>
        </w:rPr>
      </w:pPr>
    </w:p>
    <w:p>
      <w:pPr>
        <w:sectPr>
          <w:pgSz w:w="11900" w:h="16838" w:orient="portrait"/>
          <w:cols w:equalWidth="0" w:num="2">
            <w:col w:w="2620" w:space="720"/>
            <w:col w:w="7460"/>
          </w:cols>
          <w:pgMar w:left="540" w:top="373" w:right="559" w:bottom="1440" w:gutter="0" w:footer="0" w:header="0"/>
          <w:type w:val="continuous"/>
        </w:sect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with a further copy (with respect to any notices in connection with the Multicurrency Facility or the LC Tranche Facility)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Europe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Agency 6</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Floor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Bank Street, Canary Wharf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E14 5JP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Loans Agency</w:t>
      </w:r>
    </w:p>
    <w:p>
      <w:pPr>
        <w:spacing w:after="0" w:line="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7"/>
          <w:szCs w:val="17"/>
          <w:color w:val="auto"/>
        </w:rPr>
        <w:t>+44 20 7777 2360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loan_and_agency_london@jpmorgan.com</w:t>
      </w:r>
    </w:p>
    <w:p>
      <w:pPr>
        <w:spacing w:after="0" w:line="200" w:lineRule="exact"/>
        <w:rPr>
          <w:sz w:val="20"/>
          <w:szCs w:val="20"/>
          <w:color w:val="auto"/>
        </w:rPr>
      </w:pPr>
    </w:p>
    <w:p>
      <w:pPr>
        <w:sectPr>
          <w:pgSz w:w="11900" w:h="16838" w:orient="portrait"/>
          <w:cols w:equalWidth="0" w:num="2">
            <w:col w:w="2620" w:space="720"/>
            <w:col w:w="7460"/>
          </w:cols>
          <w:pgMar w:left="540" w:top="373" w:right="559" w:bottom="1440" w:gutter="0" w:footer="0" w:header="0"/>
          <w:type w:val="continuous"/>
        </w:sectPr>
      </w:pPr>
    </w:p>
    <w:p>
      <w:pPr>
        <w:spacing w:after="0" w:line="2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request or demand to or upon the Administrative Agent or the Lenders pursuant to Section 2.2, 2.4, 2.5, 2.6, 2.11, 2.12, 2.14 or 2.30 shall not be effective until received.</w:t>
      </w:r>
    </w:p>
    <w:p>
      <w:pPr>
        <w:spacing w:after="0" w:line="164" w:lineRule="exact"/>
        <w:rPr>
          <w:sz w:val="20"/>
          <w:szCs w:val="20"/>
          <w:color w:val="auto"/>
        </w:rPr>
      </w:pPr>
    </w:p>
    <w:p>
      <w:pPr>
        <w:ind w:right="60" w:firstLine="966"/>
        <w:spacing w:after="0" w:line="220" w:lineRule="auto"/>
        <w:tabs>
          <w:tab w:leader="none" w:pos="122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and the Issuing Lenders by posting such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right="60" w:firstLine="966"/>
        <w:spacing w:after="0" w:line="250" w:lineRule="auto"/>
        <w:tabs>
          <w:tab w:leader="none" w:pos="121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800"/>
          </w:cols>
          <w:pgMar w:left="540" w:top="373" w:right="559" w:bottom="1440" w:gutter="0" w:footer="0" w:header="0"/>
          <w:type w:val="continuous"/>
        </w:sectPr>
      </w:pPr>
    </w:p>
    <w:bookmarkStart w:id="324" w:name="page325"/>
    <w:bookmarkEnd w:id="324"/>
    <w:p>
      <w:pPr>
        <w:ind w:right="100" w:firstLine="966"/>
        <w:spacing w:after="0" w:line="250" w:lineRule="auto"/>
        <w:tabs>
          <w:tab w:leader="none" w:pos="122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85" w:lineRule="exact"/>
        <w:rPr>
          <w:rFonts w:ascii="Times New Roman" w:cs="Times New Roman" w:eastAsia="Times New Roman" w:hAnsi="Times New Roman"/>
          <w:sz w:val="18"/>
          <w:szCs w:val="18"/>
          <w:color w:val="auto"/>
        </w:rPr>
      </w:pPr>
    </w:p>
    <w:p>
      <w:pPr>
        <w:ind w:right="340" w:firstLine="966"/>
        <w:spacing w:after="0" w:line="260" w:lineRule="auto"/>
        <w:tabs>
          <w:tab w:leader="none" w:pos="121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jc w:val="both"/>
        <w:ind w:right="60" w:firstLine="974"/>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or Ancillary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2" w:lineRule="exact"/>
        <w:rPr>
          <w:sz w:val="20"/>
          <w:szCs w:val="20"/>
          <w:color w:val="auto"/>
        </w:rPr>
      </w:pPr>
    </w:p>
    <w:p>
      <w:pPr>
        <w:ind w:right="10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66"/>
        <w:spacing w:after="0" w:line="247" w:lineRule="auto"/>
        <w:tabs>
          <w:tab w:leader="none" w:pos="121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the other Loan Documents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each Issuing Lender and the Administrative Agent for, and hold each Lender, each Issuing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800"/>
          </w:cols>
          <w:pgMar w:left="540" w:top="267" w:right="559" w:bottom="1440" w:gutter="0" w:footer="0" w:header="0"/>
        </w:sectPr>
      </w:pPr>
    </w:p>
    <w:bookmarkStart w:id="325" w:name="page326"/>
    <w:bookmarkEnd w:id="325"/>
    <w:p>
      <w:pPr>
        <w:ind w:right="40" w:firstLine="966"/>
        <w:spacing w:after="0" w:line="251" w:lineRule="auto"/>
        <w:tabs>
          <w:tab w:leader="none" w:pos="122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xml:space="preserve">.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6" w:lineRule="exact"/>
        <w:rPr>
          <w:rFonts w:ascii="Times New Roman" w:cs="Times New Roman" w:eastAsia="Times New Roman" w:hAnsi="Times New Roman"/>
          <w:sz w:val="18"/>
          <w:szCs w:val="18"/>
          <w:color w:val="auto"/>
        </w:rPr>
      </w:pPr>
    </w:p>
    <w:p>
      <w:pPr>
        <w:ind w:firstLine="966"/>
        <w:spacing w:after="0" w:line="264" w:lineRule="auto"/>
        <w:tabs>
          <w:tab w:leader="none" w:pos="1214"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The Company shall pay, indemnify or reimburse each Lender, each Issuing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the other Loan Documents and any Ancillary Facility Document (all the foregoing, collectively, the “</w:t>
      </w:r>
      <w:r>
        <w:rPr>
          <w:rFonts w:ascii="Times New Roman" w:cs="Times New Roman" w:eastAsia="Times New Roman" w:hAnsi="Times New Roman"/>
          <w:sz w:val="17"/>
          <w:szCs w:val="17"/>
          <w:u w:val="single" w:color="auto"/>
          <w:color w:val="auto"/>
        </w:rPr>
        <w:t>Indemnified Liabilities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76" w:lineRule="exact"/>
        <w:rPr>
          <w:rFonts w:ascii="Times New Roman" w:cs="Times New Roman" w:eastAsia="Times New Roman" w:hAnsi="Times New Roman"/>
          <w:sz w:val="17"/>
          <w:szCs w:val="17"/>
          <w:color w:val="auto"/>
        </w:rPr>
      </w:pPr>
    </w:p>
    <w:p>
      <w:pPr>
        <w:ind w:right="40" w:firstLine="966"/>
        <w:spacing w:after="0" w:line="248" w:lineRule="auto"/>
        <w:tabs>
          <w:tab w:leader="none" w:pos="122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800"/>
          </w:cols>
          <w:pgMar w:left="540" w:top="267" w:right="559" w:bottom="1440" w:gutter="0" w:footer="0" w:header="0"/>
        </w:sectPr>
      </w:pPr>
    </w:p>
    <w:bookmarkStart w:id="326" w:name="page327"/>
    <w:bookmarkEnd w:id="326"/>
    <w:p>
      <w:pPr>
        <w:ind w:right="40" w:firstLine="966"/>
        <w:spacing w:after="0" w:line="250" w:lineRule="auto"/>
        <w:tabs>
          <w:tab w:leader="none" w:pos="121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85"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87" w:lineRule="exact"/>
        <w:rPr>
          <w:sz w:val="20"/>
          <w:szCs w:val="20"/>
          <w:color w:val="auto"/>
        </w:rPr>
      </w:pPr>
    </w:p>
    <w:p>
      <w:pPr>
        <w:ind w:right="100" w:firstLine="966"/>
        <w:spacing w:after="0" w:line="255" w:lineRule="auto"/>
        <w:tabs>
          <w:tab w:leader="none" w:pos="122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5" w:lineRule="exact"/>
        <w:rPr>
          <w:rFonts w:ascii="Times New Roman" w:cs="Times New Roman" w:eastAsia="Times New Roman" w:hAnsi="Times New Roman"/>
          <w:sz w:val="18"/>
          <w:szCs w:val="18"/>
          <w:color w:val="auto"/>
        </w:rPr>
      </w:pPr>
    </w:p>
    <w:p>
      <w:pPr>
        <w:jc w:val="both"/>
        <w:ind w:left="960" w:right="140" w:firstLine="400"/>
        <w:spacing w:after="0" w:line="260" w:lineRule="auto"/>
        <w:tabs>
          <w:tab w:leader="none" w:pos="160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70" w:lineRule="exact"/>
        <w:rPr>
          <w:rFonts w:ascii="Times New Roman" w:cs="Times New Roman" w:eastAsia="Times New Roman" w:hAnsi="Times New Roman"/>
          <w:sz w:val="18"/>
          <w:szCs w:val="18"/>
          <w:color w:val="auto"/>
        </w:rPr>
      </w:pPr>
    </w:p>
    <w:p>
      <w:pPr>
        <w:ind w:left="1620" w:hanging="260"/>
        <w:spacing w:after="0"/>
        <w:tabs>
          <w:tab w:leader="none" w:pos="16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111" w:lineRule="exact"/>
        <w:rPr>
          <w:rFonts w:ascii="Times New Roman" w:cs="Times New Roman" w:eastAsia="Times New Roman" w:hAnsi="Times New Roman"/>
          <w:sz w:val="18"/>
          <w:szCs w:val="18"/>
          <w:color w:val="auto"/>
        </w:rPr>
      </w:pPr>
    </w:p>
    <w:p>
      <w:pPr>
        <w:ind w:left="960" w:right="140" w:firstLine="400"/>
        <w:spacing w:after="0" w:line="274" w:lineRule="auto"/>
        <w:tabs>
          <w:tab w:leader="none" w:pos="160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of any rights or interest under the L/C Tranche Facility, each Material Issuing Lender at such time (unless such assignment is to a Lender who has an investment grade rating from two of S&amp;P, Moody’s and Fitch);</w:t>
      </w:r>
    </w:p>
    <w:p>
      <w:pPr>
        <w:spacing w:after="0" w:line="58" w:lineRule="exact"/>
        <w:rPr>
          <w:sz w:val="20"/>
          <w:szCs w:val="20"/>
          <w:color w:val="auto"/>
        </w:rPr>
      </w:pPr>
    </w:p>
    <w:p>
      <w:pPr>
        <w:jc w:val="both"/>
        <w:ind w:left="960"/>
        <w:spacing w:after="0" w:line="282"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(x) no consent provided for in clause (2) above shall be required for an assignment to a Lender or an affiliate thereof, (y) no consents provided for in clause (3) above shall be required for an assignment to an L/C Tranche Lender and (z) no consent of the Company provided for in clause (1) above shall be required if an Event of Default under Section 8(a) or (e) has occurred and is continuing.</w:t>
      </w:r>
    </w:p>
    <w:p>
      <w:pPr>
        <w:spacing w:after="0" w:line="160" w:lineRule="exact"/>
        <w:rPr>
          <w:sz w:val="20"/>
          <w:szCs w:val="20"/>
          <w:color w:val="auto"/>
        </w:rPr>
      </w:pPr>
    </w:p>
    <w:p>
      <w:pPr>
        <w:ind w:right="20" w:firstLine="974"/>
        <w:spacing w:after="0" w:line="260" w:lineRule="auto"/>
        <w:rPr>
          <w:sz w:val="20"/>
          <w:szCs w:val="20"/>
          <w:color w:val="auto"/>
        </w:rPr>
      </w:pPr>
      <w:r>
        <w:rPr>
          <w:rFonts w:ascii="Times New Roman" w:cs="Times New Roman" w:eastAsia="Times New Roman" w:hAnsi="Times New Roman"/>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0" w:lineRule="exact"/>
        <w:rPr>
          <w:sz w:val="20"/>
          <w:szCs w:val="20"/>
          <w:color w:val="auto"/>
        </w:rPr>
      </w:pPr>
    </w:p>
    <w:p>
      <w:pPr>
        <w:ind w:left="5280" w:right="4800" w:hanging="4336"/>
        <w:spacing w:after="0" w:line="484" w:lineRule="auto"/>
        <w:tabs>
          <w:tab w:leader="none" w:pos="1213"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Assignments shall be subject to the following additional conditions: 100</w:t>
      </w:r>
    </w:p>
    <w:p>
      <w:pPr>
        <w:sectPr>
          <w:pgSz w:w="11900" w:h="16838" w:orient="portrait"/>
          <w:cols w:equalWidth="0" w:num="1">
            <w:col w:w="10800"/>
          </w:cols>
          <w:pgMar w:left="540" w:top="267" w:right="559" w:bottom="1440" w:gutter="0" w:footer="0" w:header="0"/>
        </w:sectPr>
      </w:pPr>
    </w:p>
    <w:bookmarkStart w:id="327" w:name="page328"/>
    <w:bookmarkEnd w:id="327"/>
    <w:p>
      <w:pPr>
        <w:ind w:left="420" w:firstLine="400"/>
        <w:spacing w:after="0" w:line="269" w:lineRule="auto"/>
        <w:tabs>
          <w:tab w:leader="none" w:pos="1103"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64" w:lineRule="exact"/>
        <w:rPr>
          <w:rFonts w:ascii="Times New Roman" w:cs="Times New Roman" w:eastAsia="Times New Roman" w:hAnsi="Times New Roman"/>
          <w:sz w:val="17"/>
          <w:szCs w:val="17"/>
          <w:color w:val="auto"/>
        </w:rPr>
      </w:pPr>
    </w:p>
    <w:p>
      <w:pPr>
        <w:ind w:left="420" w:right="220" w:firstLine="400"/>
        <w:spacing w:after="0" w:line="253" w:lineRule="auto"/>
        <w:tabs>
          <w:tab w:leader="none" w:pos="1094"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76" w:lineRule="exact"/>
        <w:rPr>
          <w:rFonts w:ascii="Times New Roman" w:cs="Times New Roman" w:eastAsia="Times New Roman" w:hAnsi="Times New Roman"/>
          <w:sz w:val="18"/>
          <w:szCs w:val="18"/>
          <w:color w:val="auto"/>
        </w:rPr>
      </w:pPr>
    </w:p>
    <w:p>
      <w:pPr>
        <w:ind w:left="420" w:right="860" w:firstLine="400"/>
        <w:spacing w:after="0" w:line="274" w:lineRule="auto"/>
        <w:tabs>
          <w:tab w:leader="none" w:pos="1094"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58" w:lineRule="exact"/>
        <w:rPr>
          <w:rFonts w:ascii="Times New Roman" w:cs="Times New Roman" w:eastAsia="Times New Roman" w:hAnsi="Times New Roman"/>
          <w:sz w:val="18"/>
          <w:szCs w:val="18"/>
          <w:color w:val="auto"/>
        </w:rPr>
      </w:pPr>
    </w:p>
    <w:p>
      <w:pPr>
        <w:ind w:firstLine="404"/>
        <w:spacing w:after="0" w:line="249" w:lineRule="auto"/>
        <w:tabs>
          <w:tab w:leader="none" w:pos="7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83" w:lineRule="exact"/>
        <w:rPr>
          <w:rFonts w:ascii="Times New Roman" w:cs="Times New Roman" w:eastAsia="Times New Roman" w:hAnsi="Times New Roman"/>
          <w:sz w:val="18"/>
          <w:szCs w:val="18"/>
          <w:color w:val="auto"/>
        </w:rPr>
      </w:pPr>
    </w:p>
    <w:p>
      <w:pPr>
        <w:ind w:right="60" w:firstLine="404"/>
        <w:spacing w:after="0" w:line="249" w:lineRule="auto"/>
        <w:tabs>
          <w:tab w:leader="none" w:pos="71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12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260"/>
          </w:cols>
          <w:pgMar w:left="1080" w:top="267" w:right="559" w:bottom="1440" w:gutter="0" w:footer="0" w:header="0"/>
        </w:sectPr>
      </w:pPr>
    </w:p>
    <w:bookmarkStart w:id="328" w:name="page329"/>
    <w:bookmarkEnd w:id="328"/>
    <w:p>
      <w:pPr>
        <w:ind w:left="540" w:right="160" w:firstLine="404"/>
        <w:spacing w:after="0" w:line="250" w:lineRule="auto"/>
        <w:tabs>
          <w:tab w:leader="none" w:pos="120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8" w:lineRule="exact"/>
        <w:rPr>
          <w:rFonts w:ascii="Times New Roman" w:cs="Times New Roman" w:eastAsia="Times New Roman" w:hAnsi="Times New Roman"/>
          <w:sz w:val="18"/>
          <w:szCs w:val="18"/>
          <w:color w:val="auto"/>
        </w:rPr>
      </w:pPr>
    </w:p>
    <w:p>
      <w:pPr>
        <w:ind w:firstLine="966"/>
        <w:spacing w:after="0" w:line="247" w:lineRule="auto"/>
        <w:tabs>
          <w:tab w:leader="none" w:pos="1215"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Company, any Issuing Lender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the Loan Parties, the Administrative Agent, the Issuing Lenders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to any Person (including the identity of any Participant or any information relating to a Participant’s interest in any Loans, Letters of Credit or its other obligations under this Agreement) except to the extent that such disclosure is necessary to establish that such Loan, Letter of Credit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88" w:lineRule="exact"/>
        <w:rPr>
          <w:sz w:val="20"/>
          <w:szCs w:val="20"/>
          <w:color w:val="auto"/>
        </w:rPr>
      </w:pPr>
    </w:p>
    <w:p>
      <w:pPr>
        <w:ind w:left="540" w:right="60" w:firstLine="404"/>
        <w:spacing w:after="0" w:line="251" w:lineRule="auto"/>
        <w:tabs>
          <w:tab w:leader="none" w:pos="121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820"/>
          </w:cols>
          <w:pgMar w:left="540" w:top="267" w:right="539" w:bottom="1440" w:gutter="0" w:footer="0" w:header="0"/>
        </w:sectPr>
      </w:pPr>
    </w:p>
    <w:bookmarkStart w:id="329" w:name="page330"/>
    <w:bookmarkEnd w:id="329"/>
    <w:p>
      <w:pPr>
        <w:ind w:right="60" w:firstLine="966"/>
        <w:spacing w:after="0" w:line="253" w:lineRule="auto"/>
        <w:tabs>
          <w:tab w:leader="none" w:pos="122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Any Lender may, without the consent of the Company or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2" w:lineRule="exact"/>
        <w:rPr>
          <w:rFonts w:ascii="Times New Roman" w:cs="Times New Roman" w:eastAsia="Times New Roman" w:hAnsi="Times New Roman"/>
          <w:sz w:val="18"/>
          <w:szCs w:val="18"/>
          <w:color w:val="auto"/>
        </w:rPr>
      </w:pPr>
    </w:p>
    <w:p>
      <w:pPr>
        <w:ind w:firstLine="966"/>
        <w:spacing w:after="0" w:line="251" w:lineRule="auto"/>
        <w:tabs>
          <w:tab w:leader="none" w:pos="121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7" w:lineRule="exact"/>
        <w:rPr>
          <w:sz w:val="20"/>
          <w:szCs w:val="20"/>
          <w:color w:val="auto"/>
        </w:rPr>
      </w:pPr>
    </w:p>
    <w:p>
      <w:pPr>
        <w:ind w:right="60" w:firstLine="974"/>
        <w:spacing w:after="0" w:line="264" w:lineRule="auto"/>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If any Lender (a “</w:t>
      </w:r>
      <w:r>
        <w:rPr>
          <w:rFonts w:ascii="Times New Roman" w:cs="Times New Roman" w:eastAsia="Times New Roman" w:hAnsi="Times New Roman"/>
          <w:sz w:val="17"/>
          <w:szCs w:val="17"/>
          <w:u w:val="single" w:color="auto"/>
          <w:color w:val="auto"/>
        </w:rPr>
        <w:t>Benefitted Lender</w:t>
      </w:r>
      <w:r>
        <w:rPr>
          <w:rFonts w:ascii="Times New Roman" w:cs="Times New Roman" w:eastAsia="Times New Roman" w:hAnsi="Times New Roman"/>
          <w:sz w:val="17"/>
          <w:szCs w:val="17"/>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no payments in respect of Obligations owing by any Foreign Subsidiary Borrower shall be utilized to satisfy any Obligations owing by the Company or any Domestic Subsidiary Borrower.</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66"/>
        <w:spacing w:after="0" w:line="255" w:lineRule="auto"/>
        <w:tabs>
          <w:tab w:leader="none" w:pos="121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81" w:lineRule="exact"/>
        <w:rPr>
          <w:rFonts w:ascii="Times New Roman" w:cs="Times New Roman" w:eastAsia="Times New Roman" w:hAnsi="Times New Roman"/>
          <w:sz w:val="18"/>
          <w:szCs w:val="18"/>
          <w:color w:val="auto"/>
        </w:rPr>
      </w:pPr>
    </w:p>
    <w:p>
      <w:pPr>
        <w:ind w:firstLine="966"/>
        <w:spacing w:after="0" w:line="253" w:lineRule="auto"/>
        <w:tabs>
          <w:tab w:leader="none" w:pos="122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800"/>
          </w:cols>
          <w:pgMar w:left="540" w:top="267" w:right="559" w:bottom="1440" w:gutter="0" w:footer="0" w:header="0"/>
        </w:sectPr>
      </w:pPr>
    </w:p>
    <w:bookmarkStart w:id="330" w:name="page331"/>
    <w:bookmarkEnd w:id="330"/>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any Issuing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191" w:lineRule="exact"/>
        <w:rPr>
          <w:sz w:val="20"/>
          <w:szCs w:val="20"/>
          <w:color w:val="auto"/>
        </w:rPr>
      </w:pPr>
    </w:p>
    <w:p>
      <w:pPr>
        <w:ind w:right="12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(other than agreements between any Borrower and any Issuing Lender contemplated by this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800"/>
          </w:cols>
          <w:pgMar w:left="540" w:top="267" w:right="559" w:bottom="1440" w:gutter="0" w:footer="0" w:header="0"/>
        </w:sectPr>
      </w:pPr>
    </w:p>
    <w:bookmarkStart w:id="331" w:name="page332"/>
    <w:bookmarkEnd w:id="331"/>
    <w:p>
      <w:pPr>
        <w:ind w:right="24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(a) Each of the Administrative Agent, the Lenders, the Issuing Lenders, the Company, each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Borrower and each other Loan Party hereby irrevocably and unconditionally:</w:t>
      </w:r>
    </w:p>
    <w:p>
      <w:pPr>
        <w:spacing w:after="0" w:line="92" w:lineRule="exact"/>
        <w:rPr>
          <w:sz w:val="20"/>
          <w:szCs w:val="20"/>
          <w:color w:val="auto"/>
        </w:rPr>
      </w:pPr>
    </w:p>
    <w:p>
      <w:pPr>
        <w:jc w:val="both"/>
        <w:ind w:left="540" w:firstLine="404"/>
        <w:spacing w:after="0" w:line="255" w:lineRule="auto"/>
        <w:tabs>
          <w:tab w:leader="none" w:pos="116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75" w:lineRule="exact"/>
        <w:rPr>
          <w:rFonts w:ascii="Times New Roman" w:cs="Times New Roman" w:eastAsia="Times New Roman" w:hAnsi="Times New Roman"/>
          <w:sz w:val="18"/>
          <w:szCs w:val="18"/>
          <w:color w:val="auto"/>
        </w:rPr>
      </w:pPr>
    </w:p>
    <w:p>
      <w:pPr>
        <w:ind w:left="540" w:right="100" w:firstLine="404"/>
        <w:spacing w:after="0" w:line="260" w:lineRule="auto"/>
        <w:tabs>
          <w:tab w:leader="none" w:pos="121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0" w:lineRule="exact"/>
        <w:rPr>
          <w:rFonts w:ascii="Times New Roman" w:cs="Times New Roman" w:eastAsia="Times New Roman" w:hAnsi="Times New Roman"/>
          <w:sz w:val="18"/>
          <w:szCs w:val="18"/>
          <w:color w:val="auto"/>
        </w:rPr>
      </w:pPr>
    </w:p>
    <w:p>
      <w:pPr>
        <w:ind w:left="540" w:right="440" w:firstLine="404"/>
        <w:spacing w:after="0" w:line="274" w:lineRule="auto"/>
        <w:tabs>
          <w:tab w:leader="none" w:pos="12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4" w:lineRule="exact"/>
        <w:rPr>
          <w:rFonts w:ascii="Times New Roman" w:cs="Times New Roman" w:eastAsia="Times New Roman" w:hAnsi="Times New Roman"/>
          <w:sz w:val="18"/>
          <w:szCs w:val="18"/>
          <w:color w:val="auto"/>
        </w:rPr>
      </w:pPr>
    </w:p>
    <w:p>
      <w:pPr>
        <w:ind w:right="120" w:firstLine="966"/>
        <w:spacing w:after="0" w:line="265" w:lineRule="auto"/>
        <w:tabs>
          <w:tab w:leader="none" w:pos="1224"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76" w:lineRule="exact"/>
        <w:rPr>
          <w:rFonts w:ascii="Times New Roman" w:cs="Times New Roman" w:eastAsia="Times New Roman" w:hAnsi="Times New Roman"/>
          <w:sz w:val="17"/>
          <w:szCs w:val="17"/>
          <w:color w:val="auto"/>
        </w:rPr>
      </w:pPr>
    </w:p>
    <w:p>
      <w:pPr>
        <w:ind w:right="80" w:firstLine="966"/>
        <w:spacing w:after="0" w:line="253" w:lineRule="auto"/>
        <w:tabs>
          <w:tab w:leader="none" w:pos="1215"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82" w:lineRule="exact"/>
        <w:rPr>
          <w:sz w:val="20"/>
          <w:szCs w:val="20"/>
          <w:color w:val="auto"/>
        </w:rPr>
      </w:pPr>
    </w:p>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800"/>
          </w:cols>
          <w:pgMar w:left="540" w:top="267" w:right="559" w:bottom="1440" w:gutter="0" w:footer="0" w:header="0"/>
        </w:sectPr>
      </w:pPr>
    </w:p>
    <w:bookmarkStart w:id="332" w:name="page333"/>
    <w:bookmarkEnd w:id="332"/>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w:t>
      </w:r>
    </w:p>
    <w:p>
      <w:pPr>
        <w:spacing w:after="0" w:line="2"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Section 10.13 shall survive the termination of this Agreement and payment of the Loans, the Reimbursement Obligations, interest, Facility Fees and other fees payable hereunder or under any other Loan Document.</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Each of the Company and the Subsidiary Borrowers hereby acknowledges that:</w:t>
      </w:r>
    </w:p>
    <w:p>
      <w:pPr>
        <w:spacing w:after="0" w:line="218" w:lineRule="exact"/>
        <w:rPr>
          <w:sz w:val="20"/>
          <w:szCs w:val="20"/>
          <w:color w:val="auto"/>
        </w:rPr>
      </w:pPr>
    </w:p>
    <w:p>
      <w:pPr>
        <w:ind w:left="1200" w:hanging="234"/>
        <w:spacing w:after="0"/>
        <w:tabs>
          <w:tab w:leader="none" w:pos="12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17" w:lineRule="exact"/>
        <w:rPr>
          <w:rFonts w:ascii="Times New Roman" w:cs="Times New Roman" w:eastAsia="Times New Roman" w:hAnsi="Times New Roman"/>
          <w:sz w:val="18"/>
          <w:szCs w:val="18"/>
          <w:color w:val="auto"/>
        </w:rPr>
      </w:pPr>
    </w:p>
    <w:p>
      <w:pPr>
        <w:ind w:right="20" w:firstLine="966"/>
        <w:spacing w:after="0" w:line="282" w:lineRule="auto"/>
        <w:tabs>
          <w:tab w:leader="none" w:pos="1224"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59" w:lineRule="exact"/>
        <w:rPr>
          <w:rFonts w:ascii="Times New Roman" w:cs="Times New Roman" w:eastAsia="Times New Roman" w:hAnsi="Times New Roman"/>
          <w:sz w:val="17"/>
          <w:szCs w:val="17"/>
          <w:color w:val="auto"/>
        </w:rPr>
      </w:pPr>
    </w:p>
    <w:p>
      <w:pPr>
        <w:ind w:right="460" w:firstLine="966"/>
        <w:spacing w:after="0" w:line="274" w:lineRule="auto"/>
        <w:tabs>
          <w:tab w:leader="none" w:pos="121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p>
    <w:p>
      <w:pPr>
        <w:spacing w:after="0" w:line="218" w:lineRule="exact"/>
        <w:rPr>
          <w:sz w:val="20"/>
          <w:szCs w:val="20"/>
          <w:color w:val="auto"/>
        </w:rPr>
      </w:pPr>
    </w:p>
    <w:p>
      <w:pPr>
        <w:ind w:right="120" w:firstLine="966"/>
        <w:spacing w:after="0" w:line="251" w:lineRule="auto"/>
        <w:tabs>
          <w:tab w:leader="none" w:pos="121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the Administrative Agent is hereby irrevocably authorized by each Lender, each Ancillary Lender and each Issuing Lender (without requirement of notice to or consent of any Lender, any Ancillary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86" w:lineRule="exact"/>
        <w:rPr>
          <w:rFonts w:ascii="Times New Roman" w:cs="Times New Roman" w:eastAsia="Times New Roman" w:hAnsi="Times New Roman"/>
          <w:sz w:val="18"/>
          <w:szCs w:val="18"/>
          <w:color w:val="auto"/>
        </w:rPr>
      </w:pPr>
    </w:p>
    <w:p>
      <w:pPr>
        <w:ind w:firstLine="966"/>
        <w:spacing w:after="0" w:line="248" w:lineRule="auto"/>
        <w:tabs>
          <w:tab w:leader="none" w:pos="122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the Reimbursement Obligations, Ancillary Facility Outstandings and interest and fees owing hereunder and under any other Loan Document and any Ancillary Facility Document shall have been paid in full, the Commitments and Ancillary Commitments have been terminated (unless otherwise agreed by the relevant Ancillary Lender)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 provided, however, that amounts under any Ancillary Facility Documents may remain outstanding and the Commitments thereunder may remain available with the consent of the applicable Ancillary Lender if cash collateral arrangements are made or other arrangements are made to the reasonable satisfaction of the applicable Ancillary Lender (which may take the form of an agreement for the relevant facilities to continue on a bilateral basis and not under the Loan Documents after such date) so long as,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800"/>
          </w:cols>
          <w:pgMar w:left="540" w:top="266" w:right="559" w:bottom="1440" w:gutter="0" w:footer="0" w:header="0"/>
        </w:sectPr>
      </w:pPr>
    </w:p>
    <w:bookmarkStart w:id="333" w:name="page334"/>
    <w:bookmarkEnd w:id="333"/>
    <w:p>
      <w:pPr>
        <w:ind w:right="360" w:firstLine="966"/>
        <w:spacing w:after="0" w:line="260" w:lineRule="auto"/>
        <w:tabs>
          <w:tab w:leader="none" w:pos="121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6" w:lineRule="exact"/>
        <w:rPr>
          <w:rFonts w:ascii="Times New Roman" w:cs="Times New Roman" w:eastAsia="Times New Roman" w:hAnsi="Times New Roman"/>
          <w:sz w:val="18"/>
          <w:szCs w:val="18"/>
          <w:color w:val="auto"/>
        </w:rPr>
      </w:pPr>
    </w:p>
    <w:p>
      <w:pPr>
        <w:ind w:right="60" w:firstLine="966"/>
        <w:spacing w:after="0" w:line="250" w:lineRule="auto"/>
        <w:tabs>
          <w:tab w:leader="none" w:pos="122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189" w:lineRule="exact"/>
        <w:rPr>
          <w:sz w:val="20"/>
          <w:szCs w:val="20"/>
          <w:color w:val="auto"/>
        </w:rPr>
      </w:pPr>
    </w:p>
    <w:p>
      <w:pPr>
        <w:ind w:firstLine="974"/>
        <w:spacing w:after="0" w:line="247"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each Issuing Lender, each Lender and each Transferee (each a “</w:t>
      </w:r>
      <w:r>
        <w:rPr>
          <w:rFonts w:ascii="Times New Roman" w:cs="Times New Roman" w:eastAsia="Times New Roman" w:hAnsi="Times New Roman"/>
          <w:sz w:val="18"/>
          <w:szCs w:val="18"/>
          <w:u w:val="single" w:color="auto"/>
          <w:color w:val="auto"/>
        </w:rPr>
        <w:t>Receiving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agrees to keep confidential all non-public information provided to it by or on behalf of any Loan Party or any of its respective Subsidiaries, the Administrative Agent, an Issuing Lender or any Lender pursuant to or in connection with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w:t>
      </w:r>
    </w:p>
    <w:p>
      <w:pPr>
        <w:spacing w:after="0" w:line="198" w:lineRule="exact"/>
        <w:rPr>
          <w:sz w:val="20"/>
          <w:szCs w:val="20"/>
          <w:color w:val="auto"/>
        </w:rPr>
      </w:pPr>
    </w:p>
    <w:p>
      <w:pPr>
        <w:ind w:right="200" w:firstLine="974"/>
        <w:spacing w:after="0" w:line="255"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EACH SUBSIDIARY BORROWER, THE ADMINISTRATIVE AGENT, THE ISSUING LENDERS AND THE LENDERS HEREBY IRREVOCABLY AND UNCONDITIONALLY WAIVE TRIAL BY JURY IN ANY LEGAL ACTION OR PROCEEDING RELATING TO THIS AGREEMENT OR ANY OTHER LOAN DOCUMENT AND FOR ANY COUNTERCLAIM THEREIN.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800"/>
          </w:cols>
          <w:pgMar w:left="540" w:top="266" w:right="559" w:bottom="1440" w:gutter="0" w:footer="0" w:header="0"/>
        </w:sectPr>
      </w:pPr>
    </w:p>
    <w:bookmarkStart w:id="334" w:name="page335"/>
    <w:bookmarkEnd w:id="334"/>
    <w:p>
      <w:pPr>
        <w:ind w:firstLine="974"/>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10.18 </w:t>
      </w:r>
      <w:r>
        <w:rPr>
          <w:rFonts w:ascii="Times New Roman" w:cs="Times New Roman" w:eastAsia="Times New Roman" w:hAnsi="Times New Roman"/>
          <w:sz w:val="17"/>
          <w:szCs w:val="17"/>
          <w:u w:val="single" w:color="auto"/>
          <w:color w:val="auto"/>
        </w:rPr>
        <w:t>USA Patriot Act and the Beneficial Ownership Regulation</w:t>
      </w:r>
      <w:r>
        <w:rPr>
          <w:rFonts w:ascii="Times New Roman" w:cs="Times New Roman" w:eastAsia="Times New Roman" w:hAnsi="Times New Roman"/>
          <w:sz w:val="17"/>
          <w:szCs w:val="17"/>
          <w:color w:val="auto"/>
        </w:rPr>
        <w:t>. Each Lender hereby notifies the Company and each Subsidiary Borrower that pursuant to the requirements of the USA Patriot Act (Title III of Pub. L. 107-56 (signed into law October 26, 2001)) (the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70" w:lineRule="exact"/>
        <w:rPr>
          <w:sz w:val="20"/>
          <w:szCs w:val="20"/>
          <w:color w:val="auto"/>
        </w:rPr>
      </w:pPr>
    </w:p>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Existing Three Year Credit Agreement are amended as set forth in, and restated in their entirety and superseded by, this Agreement. Nothing in this Agreement shall be deemed to be a novation of any of the Obligations as defined in the Existing Three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Three Year Credit Agreement. From and after the Closing Date, each reference to the “Agreement”, “Credit Agreement” or other reference originally applicable to the Existing Three Year Credit Agreement contained in any Loan Document shall be a reference to this Agreement, as amended, supplemented, restated or otherwise modified from time to time.</w:t>
      </w:r>
    </w:p>
    <w:p>
      <w:pPr>
        <w:spacing w:after="0" w:line="189" w:lineRule="exact"/>
        <w:rPr>
          <w:sz w:val="20"/>
          <w:szCs w:val="20"/>
          <w:color w:val="auto"/>
        </w:rPr>
      </w:pPr>
    </w:p>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ind w:right="560" w:firstLine="966"/>
        <w:spacing w:after="0" w:line="274" w:lineRule="auto"/>
        <w:tabs>
          <w:tab w:leader="none" w:pos="1215"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4"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1" w:lineRule="exact"/>
        <w:rPr>
          <w:rFonts w:ascii="Times New Roman" w:cs="Times New Roman" w:eastAsia="Times New Roman" w:hAnsi="Times New Roman"/>
          <w:sz w:val="18"/>
          <w:szCs w:val="18"/>
          <w:color w:val="auto"/>
        </w:rPr>
      </w:pPr>
    </w:p>
    <w:p>
      <w:pPr>
        <w:ind w:left="1160" w:hanging="216"/>
        <w:spacing w:after="0"/>
        <w:tabs>
          <w:tab w:leader="none" w:pos="11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1" w:lineRule="exact"/>
        <w:rPr>
          <w:rFonts w:ascii="Times New Roman" w:cs="Times New Roman" w:eastAsia="Times New Roman" w:hAnsi="Times New Roman"/>
          <w:sz w:val="18"/>
          <w:szCs w:val="18"/>
          <w:color w:val="auto"/>
        </w:rPr>
      </w:pPr>
    </w:p>
    <w:p>
      <w:pPr>
        <w:ind w:left="540" w:firstLine="404"/>
        <w:spacing w:after="0" w:line="260" w:lineRule="auto"/>
        <w:tabs>
          <w:tab w:leader="none" w:pos="121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0" w:lineRule="exact"/>
        <w:rPr>
          <w:rFonts w:ascii="Times New Roman" w:cs="Times New Roman" w:eastAsia="Times New Roman" w:hAnsi="Times New Roman"/>
          <w:sz w:val="18"/>
          <w:szCs w:val="18"/>
          <w:color w:val="auto"/>
        </w:rPr>
      </w:pPr>
    </w:p>
    <w:p>
      <w:pPr>
        <w:ind w:left="540" w:right="60" w:firstLine="404"/>
        <w:spacing w:after="0" w:line="274" w:lineRule="auto"/>
        <w:tabs>
          <w:tab w:leader="none" w:pos="12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 xml:space="preserve">10.21 </w:t>
      </w:r>
      <w:r>
        <w:rPr>
          <w:rFonts w:ascii="Times New Roman" w:cs="Times New Roman" w:eastAsia="Times New Roman" w:hAnsi="Times New Roman"/>
          <w:sz w:val="17"/>
          <w:szCs w:val="17"/>
          <w:u w:val="single" w:color="auto"/>
          <w:color w:val="auto"/>
        </w:rPr>
        <w:t>Acknowledgement Regarding Any Supported QFCs</w:t>
      </w:r>
      <w:r>
        <w:rPr>
          <w:rFonts w:ascii="Times New Roman" w:cs="Times New Roman" w:eastAsia="Times New Roman" w:hAnsi="Times New Roman"/>
          <w:sz w:val="17"/>
          <w:szCs w:val="17"/>
          <w:color w:val="auto"/>
        </w:rPr>
        <w:t>. To the extent that the Loan Documents provide support, through a guarantee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“QFC Credit Support” and each such QFC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Federal Deposit Insurance Act and Title II of the Dodd-Frank Wall Street Reform and Consumer Protection Act (together with the regulations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promulgated thereunder, the “U.S. Special Resolution Regimes”) in respect of such Supported QFC and QFC Credit Support (with the provisions below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notwithstanding that the Loan Documents and any Supported QFC may in fact be stated to be governed by the laws of the State of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820"/>
          </w:cols>
          <w:pgMar w:left="540" w:top="266" w:right="539" w:bottom="1440" w:gutter="0" w:footer="0" w:header="0"/>
        </w:sectPr>
      </w:pPr>
    </w:p>
    <w:bookmarkStart w:id="335" w:name="page336"/>
    <w:bookmarkEnd w:id="335"/>
    <w:p>
      <w:pPr>
        <w:ind w:right="20" w:firstLine="974"/>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4" w:lineRule="exact"/>
        <w:rPr>
          <w:sz w:val="20"/>
          <w:szCs w:val="20"/>
          <w:color w:val="auto"/>
        </w:rPr>
      </w:pPr>
    </w:p>
    <w:p>
      <w:pPr>
        <w:ind w:firstLine="974"/>
        <w:spacing w:after="0" w:line="264" w:lineRule="auto"/>
        <w:rPr>
          <w:sz w:val="20"/>
          <w:szCs w:val="20"/>
          <w:color w:val="auto"/>
        </w:rPr>
      </w:pPr>
      <w:r>
        <w:rPr>
          <w:rFonts w:ascii="Times New Roman" w:cs="Times New Roman" w:eastAsia="Times New Roman" w:hAnsi="Times New Roman"/>
          <w:sz w:val="17"/>
          <w:szCs w:val="17"/>
          <w:color w:val="auto"/>
        </w:rPr>
        <w:t xml:space="preserve">10.22 </w:t>
      </w:r>
      <w:r>
        <w:rPr>
          <w:rFonts w:ascii="Times New Roman" w:cs="Times New Roman" w:eastAsia="Times New Roman" w:hAnsi="Times New Roman"/>
          <w:sz w:val="17"/>
          <w:szCs w:val="17"/>
          <w:u w:val="single" w:color="auto"/>
          <w:color w:val="auto"/>
        </w:rPr>
        <w:t>Interest Rate Limitations</w:t>
      </w:r>
      <w:r>
        <w:rPr>
          <w:rFonts w:ascii="Times New Roman" w:cs="Times New Roman" w:eastAsia="Times New Roman" w:hAnsi="Times New Roman"/>
          <w:sz w:val="17"/>
          <w:szCs w:val="17"/>
          <w:color w:val="auto"/>
        </w:rPr>
        <w:t xml:space="preserve">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820"/>
          </w:cols>
          <w:pgMar w:left="540" w:top="266" w:right="539" w:bottom="1440" w:gutter="0" w:footer="0" w:header="0"/>
        </w:sectPr>
      </w:pPr>
    </w:p>
    <w:bookmarkStart w:id="336" w:name="page337"/>
    <w:bookmarkEnd w:id="336"/>
    <w:p>
      <w:pPr>
        <w:ind w:firstLine="433"/>
        <w:spacing w:after="0" w:line="2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Agreement to be duly executed and delivered by their proper and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of the day and year first above written.</w:t>
      </w:r>
    </w:p>
    <w:p>
      <w:pPr>
        <w:spacing w:after="0" w:line="18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15240</wp:posOffset>
            </wp:positionV>
            <wp:extent cx="25184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Rakesh K. Gupta</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9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15240</wp:posOffset>
            </wp:positionV>
            <wp:extent cx="25184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Richard A. Gokenbach, Jr.</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1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10740"/>
          </w:cols>
          <w:pgMar w:left="540" w:top="264" w:right="619" w:bottom="1440" w:gutter="0" w:footer="0" w:header="0"/>
        </w:sectPr>
      </w:pPr>
    </w:p>
    <w:bookmarkStart w:id="337" w:name="page338"/>
    <w:bookmarkEnd w:id="337"/>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JPMORGAN CHASE BANK, N.A., as Administrative</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Agent and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Marlon Mathews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Marlon Mathews</w:t>
      </w:r>
    </w:p>
    <w:p>
      <w:pPr>
        <w:spacing w:after="0" w:line="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480"/>
          </w:cols>
          <w:pgMar w:left="1440" w:top="266" w:right="979" w:bottom="1440" w:gutter="0" w:footer="0" w:header="0"/>
        </w:sectPr>
      </w:pPr>
    </w:p>
    <w:bookmarkStart w:id="338" w:name="page339"/>
    <w:bookmarkEnd w:id="338"/>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CITIBANK, N.A., as Syndication Agent and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Susan Olsen</w:t>
      </w:r>
    </w:p>
    <w:p>
      <w:pPr>
        <w:spacing w:after="0" w:line="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500"/>
          </w:cols>
          <w:pgMar w:left="1440" w:top="266" w:right="959" w:bottom="1440" w:gutter="0" w:footer="0" w:header="0"/>
        </w:sectPr>
      </w:pPr>
    </w:p>
    <w:bookmarkStart w:id="339" w:name="page340"/>
    <w:bookmarkEnd w:id="339"/>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BANCO BILBAO VIZCAYA ARGENTARIA, S.A. NEW</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740"/>
          </w:cols>
          <w:pgMar w:left="1440" w:top="266" w:right="719" w:bottom="1440" w:gutter="0" w:footer="0" w:header="0"/>
        </w:sectPr>
      </w:pPr>
    </w:p>
    <w:bookmarkStart w:id="340" w:name="page341"/>
    <w:bookmarkEnd w:id="34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Bank of America, N.A.,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Brian Lukehart</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6" w:right="1440" w:bottom="1440" w:gutter="0" w:footer="0" w:header="0"/>
        </w:sectPr>
      </w:pPr>
    </w:p>
    <w:bookmarkStart w:id="341" w:name="page342"/>
    <w:bookmarkEnd w:id="341"/>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BARCLAYS BANK PLC,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6" w:right="1440" w:bottom="1440" w:gutter="0" w:footer="0" w:header="0"/>
        </w:sectPr>
      </w:pPr>
    </w:p>
    <w:bookmarkStart w:id="342" w:name="page343"/>
    <w:bookmarkEnd w:id="342"/>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BNP Paribas, as Lender</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019"/>
          </w:cols>
          <w:pgMar w:left="1440" w:top="266" w:right="1440" w:bottom="1440" w:gutter="0" w:footer="0" w:header="0"/>
        </w:sectPr>
      </w:pPr>
    </w:p>
    <w:bookmarkStart w:id="343" w:name="page344"/>
    <w:bookmarkEnd w:id="343"/>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CREDIT AGRICOLE CORPORATE AND INVESTMENT</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BANK,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Jill Wong</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840"/>
          </w:cols>
          <w:pgMar w:left="1440" w:top="267" w:right="619" w:bottom="1440" w:gutter="0" w:footer="0" w:header="0"/>
        </w:sectPr>
      </w:pPr>
    </w:p>
    <w:bookmarkStart w:id="344" w:name="page345"/>
    <w:bookmarkEnd w:id="344"/>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DEUTSCHE BANK AG NEW YORK BRANCH,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Annie Chung</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920"/>
          </w:cols>
          <w:pgMar w:left="1440" w:top="267" w:right="539" w:bottom="1440" w:gutter="0" w:footer="0" w:header="0"/>
        </w:sectPr>
      </w:pPr>
    </w:p>
    <w:bookmarkStart w:id="345" w:name="page346"/>
    <w:bookmarkEnd w:id="345"/>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GOLDMAN SACHS BANK USA,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5"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46" w:name="page347"/>
    <w:bookmarkEnd w:id="346"/>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Intesa Sanpaolo S.p.A., New York Branch,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Jordan Schweon</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Alessandro Toigo</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Head of Corporate Desk</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360"/>
          </w:cols>
          <w:pgMar w:left="1440" w:top="267" w:right="1099" w:bottom="1440" w:gutter="0" w:footer="0" w:header="0"/>
        </w:sectPr>
      </w:pPr>
    </w:p>
    <w:bookmarkStart w:id="347" w:name="page348"/>
    <w:bookmarkEnd w:id="347"/>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MIZUHO BANK, LTD.,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48" w:name="page349"/>
    <w:bookmarkEnd w:id="348"/>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MORGAN STANLEY SENIOR FUNDING, INC., as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400"/>
          </w:cols>
          <w:pgMar w:left="1440" w:top="266" w:right="1059" w:bottom="1440" w:gutter="0" w:footer="0" w:header="0"/>
        </w:sectPr>
      </w:pPr>
    </w:p>
    <w:bookmarkStart w:id="349" w:name="page350"/>
    <w:bookmarkEnd w:id="349"/>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MORGAN STANLEY BANK, N.A.,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5"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019"/>
          </w:cols>
          <w:pgMar w:left="1440" w:top="266" w:right="1440" w:bottom="1440" w:gutter="0" w:footer="0" w:header="0"/>
        </w:sectPr>
      </w:pPr>
    </w:p>
    <w:bookmarkStart w:id="350" w:name="page351"/>
    <w:bookmarkEnd w:id="35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Royal Bank of Canada,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Benjamin Lennon</w:t>
      </w:r>
    </w:p>
    <w:p>
      <w:pPr>
        <w:spacing w:after="0" w:line="25"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51" w:name="page352"/>
    <w:bookmarkEnd w:id="351"/>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SANTANDER BANK, N.A.,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Nuno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Nuno Andrade</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Daniel Kostman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Daniel Kostman</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52" w:name="page353"/>
    <w:bookmarkEnd w:id="352"/>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SOCIETE GENERALE,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Richard Bernal</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53" w:name="page354"/>
    <w:bookmarkEnd w:id="353"/>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Sumitomo Mitsui Banking Corporation,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Minxiao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Minxiao Tian</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160"/>
          </w:cols>
          <w:pgMar w:left="1440" w:top="267" w:right="1299" w:bottom="1440" w:gutter="0" w:footer="0" w:header="0"/>
        </w:sectPr>
      </w:pPr>
    </w:p>
    <w:bookmarkStart w:id="354" w:name="page355"/>
    <w:bookmarkEnd w:id="354"/>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Bank of Nova Scotia,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Troy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Troy Washington</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55" w:name="page356"/>
    <w:bookmarkEnd w:id="355"/>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Toronto-Dominion Bank, New York Branch,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25"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2"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800"/>
          </w:cols>
          <w:pgMar w:left="1440" w:top="267" w:right="659" w:bottom="1440" w:gutter="0" w:footer="0" w:header="0"/>
        </w:sectPr>
      </w:pPr>
    </w:p>
    <w:bookmarkStart w:id="356" w:name="page357"/>
    <w:bookmarkEnd w:id="356"/>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LLOYDS BANK CORPORATE MARKETS PLC, as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Tina Wong</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Catherine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Catherine Lim</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400"/>
          </w:cols>
          <w:pgMar w:left="1440" w:top="267" w:right="1059" w:bottom="1440" w:gutter="0" w:footer="0" w:header="0"/>
        </w:sectPr>
      </w:pPr>
    </w:p>
    <w:bookmarkStart w:id="357" w:name="page358"/>
    <w:bookmarkEnd w:id="357"/>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Industrial and Commercial Bank of China Limited, New</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Christopher Samms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Christopher Samms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Yuanyuan Peng</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580"/>
          </w:cols>
          <w:pgMar w:left="1440" w:top="267" w:right="879" w:bottom="1440" w:gutter="0" w:footer="0" w:header="0"/>
        </w:sectPr>
      </w:pPr>
    </w:p>
    <w:bookmarkStart w:id="358" w:name="page359"/>
    <w:bookmarkEnd w:id="358"/>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Canadian Imperial Bank of Commerce, New York Branch,</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Farhad Merali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Farhad Merali</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 &amp; Authorized Signatory</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740"/>
          </w:cols>
          <w:pgMar w:left="1440" w:top="267" w:right="719" w:bottom="1440" w:gutter="0" w:footer="0" w:header="0"/>
        </w:sectPr>
      </w:pPr>
    </w:p>
    <w:bookmarkStart w:id="359" w:name="page360"/>
    <w:bookmarkEnd w:id="359"/>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UNICREDIT BANK AG, NEW YORK BRANCH, as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Edward D. Herko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Edward D. Herko</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440"/>
          </w:cols>
          <w:pgMar w:left="1440" w:top="267" w:right="1019" w:bottom="1440" w:gutter="0" w:footer="0" w:header="0"/>
        </w:sectPr>
      </w:pPr>
    </w:p>
    <w:bookmarkStart w:id="360" w:name="page361"/>
    <w:bookmarkEnd w:id="36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DBS BANK LTD.,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Kate Khoo</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61" w:name="page362"/>
    <w:bookmarkEnd w:id="361"/>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MUFG Bank Ltd.,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Brett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Brett Parker</w:t>
      </w:r>
    </w:p>
    <w:p>
      <w:pPr>
        <w:spacing w:after="0" w:line="25"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Title: Authorized Signature</w:t>
      </w:r>
    </w:p>
    <w:p>
      <w:pPr>
        <w:spacing w:after="0" w:line="13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62" w:name="page363"/>
    <w:bookmarkEnd w:id="362"/>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U.S. BANK NATIONAL ASSOCIATION,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Jeffrey S. Johnson</w:t>
      </w:r>
    </w:p>
    <w:p>
      <w:pPr>
        <w:spacing w:after="0" w:line="25"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2"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380"/>
          </w:cols>
          <w:pgMar w:left="1440" w:top="267" w:right="1079" w:bottom="1440" w:gutter="0" w:footer="0" w:header="0"/>
        </w:sectPr>
      </w:pPr>
    </w:p>
    <w:bookmarkStart w:id="363" w:name="page364"/>
    <w:bookmarkEnd w:id="363"/>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Commerzbank AG, New York Branch,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Michael Ravelo</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Mathew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Mathew Ward</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80"/>
          </w:cols>
          <w:pgMar w:left="1440" w:top="267" w:right="1379" w:bottom="1440" w:gutter="0" w:footer="0" w:header="0"/>
        </w:sectPr>
      </w:pPr>
    </w:p>
    <w:bookmarkStart w:id="364" w:name="page365"/>
    <w:bookmarkEnd w:id="364"/>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Wells Fargo Bank, National Association,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Jonathan D.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Jonathan D. Beck</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220"/>
          </w:cols>
          <w:pgMar w:left="1440" w:top="266" w:right="1239" w:bottom="1440" w:gutter="0" w:footer="0" w:header="0"/>
        </w:sectPr>
      </w:pPr>
    </w:p>
    <w:bookmarkStart w:id="365" w:name="page366"/>
    <w:bookmarkEnd w:id="365"/>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TRUIST BANK, as Lender</w:t>
      </w:r>
    </w:p>
    <w:p>
      <w:pPr>
        <w:spacing w:after="0" w:line="229"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18"/>
          <w:szCs w:val="18"/>
          <w:color w:val="auto"/>
        </w:rPr>
        <w:t>By: /s/ Madison Waterfield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Name: Madison Waterfield</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019"/>
          </w:cols>
          <w:pgMar w:left="1440" w:top="266" w:right="1440" w:bottom="1440" w:gutter="0" w:footer="0" w:header="0"/>
        </w:sectPr>
      </w:pPr>
    </w:p>
    <w:bookmarkStart w:id="366" w:name="page367"/>
    <w:bookmarkEnd w:id="366"/>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BANK OF CHINA, NEW YORK BRANCH,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560"/>
          </w:cols>
          <w:pgMar w:left="1440" w:top="266" w:right="899" w:bottom="1440" w:gutter="0" w:footer="0" w:header="0"/>
        </w:sectPr>
      </w:pPr>
    </w:p>
    <w:bookmarkStart w:id="367" w:name="page368"/>
    <w:bookmarkEnd w:id="367"/>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Bank of Montreal,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Chris Clark</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019"/>
          </w:cols>
          <w:pgMar w:left="1440" w:top="266" w:right="1440" w:bottom="1440" w:gutter="0" w:footer="0" w:header="0"/>
        </w:sectPr>
      </w:pPr>
    </w:p>
    <w:bookmarkStart w:id="368" w:name="page369"/>
    <w:bookmarkEnd w:id="368"/>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Agricultural Bank of China Limited, New York Branch, as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SVP &amp; Head of Corporate Banking</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740"/>
          </w:cols>
          <w:pgMar w:left="1440" w:top="267" w:right="719" w:bottom="1440" w:gutter="0" w:footer="0" w:header="0"/>
        </w:sectPr>
      </w:pPr>
    </w:p>
    <w:bookmarkStart w:id="369" w:name="page370"/>
    <w:bookmarkEnd w:id="369"/>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ING Bank N.V. Dublin Branch,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Cormac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Cormac Langford</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70" w:name="page371"/>
    <w:bookmarkEnd w:id="37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China CITIC Bank International Limited New York Branch,</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Kun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Kun Chen</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Executive Deputy General Manager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860"/>
          </w:cols>
          <w:pgMar w:left="1440" w:top="267" w:right="599" w:bottom="1440" w:gutter="0" w:footer="0" w:header="0"/>
        </w:sectPr>
      </w:pPr>
    </w:p>
    <w:bookmarkStart w:id="371" w:name="page372"/>
    <w:bookmarkEnd w:id="37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Mashreqbank psc, as Lender</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Faizan A. Siddiqui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Faizan A. Siddiqui</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Title: General Manager—MBNY</w:t>
      </w:r>
    </w:p>
    <w:p>
      <w:pPr>
        <w:spacing w:after="0" w:line="1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72" w:name="page373"/>
    <w:bookmarkEnd w:id="372"/>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STATE STREET BANK AND TRUST COMPANY, as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Mark 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Mark I. Cole</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500"/>
          </w:cols>
          <w:pgMar w:left="1440" w:top="267" w:right="959" w:bottom="1440" w:gutter="0" w:footer="0" w:header="0"/>
        </w:sectPr>
      </w:pPr>
    </w:p>
    <w:bookmarkStart w:id="373" w:name="page374"/>
    <w:bookmarkEnd w:id="373"/>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Citizens Bank, N.A.,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Jonathan Gleit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Jonathan Gleit</w:t>
      </w:r>
    </w:p>
    <w:p>
      <w:pPr>
        <w:spacing w:after="0" w:line="25"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7"/>
          <w:szCs w:val="17"/>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74" w:name="page375"/>
    <w:bookmarkEnd w:id="374"/>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Fifth Third Bank, National Association,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William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William Batchelor</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140"/>
          </w:cols>
          <w:pgMar w:left="1440" w:top="267" w:right="1319" w:bottom="1440" w:gutter="0" w:footer="0" w:header="0"/>
        </w:sectPr>
      </w:pPr>
    </w:p>
    <w:bookmarkStart w:id="375" w:name="page376"/>
    <w:bookmarkEnd w:id="375"/>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First Abu Dhabi Bank USA N.V., as Lender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Pamela Sigda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Pamela Sigda</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Acting, Country CEO</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David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David Young</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Title: Head of Structured Finance, Americas</w:t>
      </w:r>
    </w:p>
    <w:p>
      <w:pPr>
        <w:spacing w:after="0" w:line="1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019"/>
          </w:cols>
          <w:pgMar w:left="1440" w:top="267" w:right="1440" w:bottom="1440" w:gutter="0" w:footer="0" w:header="0"/>
        </w:sectPr>
      </w:pPr>
    </w:p>
    <w:bookmarkStart w:id="376" w:name="page377"/>
    <w:bookmarkEnd w:id="376"/>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United Overseas Bank Limited, New York Agency, as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Eriberto de Guzman</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Brian 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Brian Ike</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420"/>
          </w:cols>
          <w:pgMar w:left="1440" w:top="267" w:right="1039" w:bottom="1440" w:gutter="0" w:footer="0" w:header="0"/>
        </w:sectPr>
      </w:pPr>
    </w:p>
    <w:bookmarkStart w:id="377" w:name="page378"/>
    <w:bookmarkEnd w:id="377"/>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BANGKOK BANK PUBLIC COMPANY LIMITED, NEW</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15240</wp:posOffset>
            </wp:positionV>
            <wp:extent cx="251841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Thitipong Prasertsilp</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VP &amp; Branch Manager</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[Signature Page to Fifth Amended and Restated 3-Year Revolving Credit Agreement]</w:t>
      </w:r>
    </w:p>
    <w:p>
      <w:pPr>
        <w:sectPr>
          <w:pgSz w:w="11900" w:h="16838" w:orient="portrait"/>
          <w:cols w:equalWidth="0" w:num="1">
            <w:col w:w="9860"/>
          </w:cols>
          <w:pgMar w:left="1440" w:top="267" w:right="59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12"/>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1.1A</w:t>
            </w:r>
          </w:p>
        </w:tc>
      </w:tr>
      <w:tr>
        <w:trPr>
          <w:trHeight w:val="212"/>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to</w:t>
            </w:r>
          </w:p>
        </w:tc>
      </w:tr>
      <w:tr>
        <w:trPr>
          <w:trHeight w:val="232"/>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Credit Agreement</w:t>
            </w:r>
          </w:p>
        </w:tc>
      </w:tr>
      <w:tr>
        <w:trPr>
          <w:trHeight w:val="384"/>
        </w:trPr>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/DDTP I</w:t>
            </w:r>
            <w:r>
              <w:rPr>
                <w:rFonts w:ascii="Times New Roman" w:cs="Times New Roman" w:eastAsia="Times New Roman" w:hAnsi="Times New Roman"/>
                <w:sz w:val="14"/>
                <w:szCs w:val="14"/>
                <w:b w:val="1"/>
                <w:bCs w:val="1"/>
                <w:color w:val="auto"/>
              </w:rPr>
              <w:t>NFORMATION</w:t>
            </w:r>
          </w:p>
        </w:tc>
        <w:tc>
          <w:tcPr>
            <w:tcW w:w="2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4"/>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Domestic Commitment</w:t>
            </w:r>
          </w:p>
        </w:tc>
        <w:tc>
          <w:tcPr>
            <w:tcW w:w="20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0"/>
        </w:trPr>
        <w:tc>
          <w:tcPr>
            <w:tcW w:w="3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Commitment</w:t>
            </w:r>
          </w:p>
        </w:tc>
      </w:tr>
      <w:tr>
        <w:trPr>
          <w:trHeight w:val="304"/>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Street Bank and Trust Company</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United Overseas Bank Limited, New York Agency</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5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Bangkok Bank Public Company Limited, New York Branch</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Mashreqbank psc</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7"/>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Agricultural Bank of China Ltd., New York Branch</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77"/>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L/C Issuing Commitment</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0"/>
        </w:trPr>
        <w:tc>
          <w:tcPr>
            <w:tcW w:w="17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 of</w:t>
            </w:r>
          </w:p>
        </w:tc>
      </w:tr>
      <w:tr>
        <w:trPr>
          <w:trHeight w:val="199"/>
        </w:trPr>
        <w:tc>
          <w:tcPr>
            <w:tcW w:w="3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60" w:type="dxa"/>
            <w:vAlign w:val="bottom"/>
          </w:tcPr>
          <w:p>
            <w:pPr>
              <w:spacing w:after="0"/>
              <w:rPr>
                <w:sz w:val="17"/>
                <w:szCs w:val="17"/>
                <w:color w:val="auto"/>
              </w:rPr>
            </w:pPr>
          </w:p>
        </w:tc>
        <w:tc>
          <w:tcPr>
            <w:tcW w:w="16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Tax Residence</w:t>
            </w:r>
          </w:p>
        </w:tc>
      </w:tr>
      <w:tr>
        <w:trPr>
          <w:trHeight w:val="304"/>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13/M/0268710/DTTP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13/C/62301/DTTP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5/B/255139/DTTP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318"/>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13/B/7418/DTTP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r>
      <w:tr>
        <w:trPr>
          <w:trHeight w:val="318"/>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07/D/70006/DTTP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99"/>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Canadian Imperial Bank of Commerce, New</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3/C/80001/DTTP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York Branch</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7"/>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5/C/0222082/DTTP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27"/>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Credit Agreement Schedule 1.1A</w:t>
      </w:r>
    </w:p>
    <w:p>
      <w:pPr>
        <w:sectPr>
          <w:pgSz w:w="11900" w:h="16838" w:orient="portrait"/>
          <w:cols w:equalWidth="0" w:num="1">
            <w:col w:w="10820"/>
          </w:cols>
          <w:pgMar w:left="540" w:top="267" w:right="5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L/C Tranche Commitment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040" w:type="dxa"/>
            <w:vAlign w:val="bottom"/>
            <w:vMerge w:val="restart"/>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54"/>
        </w:trPr>
        <w:tc>
          <w:tcPr>
            <w:tcW w:w="3560" w:type="dxa"/>
            <w:vAlign w:val="bottom"/>
            <w:gridSpan w:val="2"/>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32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Tax Residence</w:t>
            </w:r>
          </w:p>
        </w:tc>
        <w:tc>
          <w:tcPr>
            <w:tcW w:w="0" w:type="dxa"/>
            <w:vAlign w:val="bottom"/>
          </w:tcPr>
          <w:p>
            <w:pPr>
              <w:spacing w:after="0"/>
              <w:rPr>
                <w:sz w:val="1"/>
                <w:szCs w:val="1"/>
                <w:color w:val="auto"/>
              </w:rPr>
            </w:pPr>
          </w:p>
        </w:tc>
      </w:tr>
      <w:tr>
        <w:trPr>
          <w:trHeight w:val="2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13/M/0268710/DTTP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13/C/62301/DTTP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5/B/255139/DTTP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07/D/70006/DTTP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13/B/7418/DTTP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99"/>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Imperial Bank of Commerce, New</w:t>
            </w:r>
          </w:p>
        </w:tc>
        <w:tc>
          <w:tcPr>
            <w:tcW w:w="3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York Branch</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3/C/80001/DTTP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5/C/0222082/DTTP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99"/>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 Commercial Bank of China</w:t>
            </w:r>
          </w:p>
        </w:tc>
        <w:tc>
          <w:tcPr>
            <w:tcW w:w="3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Limited, New York Branch</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23/I/358686/DTTP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7"/>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Multicurrency Commitment</w:t>
            </w:r>
          </w:p>
        </w:tc>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040" w:type="dxa"/>
            <w:vAlign w:val="bottom"/>
            <w:vMerge w:val="restart"/>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88"/>
        </w:trPr>
        <w:tc>
          <w:tcPr>
            <w:tcW w:w="3560" w:type="dxa"/>
            <w:vAlign w:val="bottom"/>
            <w:gridSpan w:val="2"/>
            <w:vMerge w:val="continue"/>
          </w:tcPr>
          <w:p>
            <w:pPr>
              <w:spacing w:after="0"/>
              <w:rPr>
                <w:sz w:val="16"/>
                <w:szCs w:val="16"/>
                <w:color w:val="auto"/>
              </w:rPr>
            </w:pPr>
          </w:p>
        </w:tc>
        <w:tc>
          <w:tcPr>
            <w:tcW w:w="3040" w:type="dxa"/>
            <w:vAlign w:val="bottom"/>
            <w:vMerge w:val="continue"/>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Tax Residence</w:t>
            </w:r>
          </w:p>
        </w:tc>
        <w:tc>
          <w:tcPr>
            <w:tcW w:w="0" w:type="dxa"/>
            <w:vAlign w:val="bottom"/>
          </w:tcPr>
          <w:p>
            <w:pPr>
              <w:spacing w:after="0"/>
              <w:rPr>
                <w:sz w:val="1"/>
                <w:szCs w:val="1"/>
                <w:color w:val="auto"/>
              </w:rPr>
            </w:pPr>
          </w:p>
        </w:tc>
      </w:tr>
      <w:tr>
        <w:trPr>
          <w:trHeight w:val="28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Bilbao Vizcaya Argentaria, S.A. New</w:t>
            </w:r>
          </w:p>
        </w:tc>
        <w:tc>
          <w:tcPr>
            <w:tcW w:w="3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York Branch</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9/B/75354/DTTP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13/G/0351779/DTTP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43/M/274822/DTTP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3/R/70780/DTTP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Societe Generale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5/S/70085/DTTP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3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43/S/274647/DTTP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35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Schedule 1.1A</w:t>
            </w:r>
          </w:p>
        </w:tc>
        <w:tc>
          <w:tcPr>
            <w:tcW w:w="3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265" w:right="539" w:bottom="1440" w:gutter="0" w:footer="0" w:header="0"/>
        </w:sectPr>
      </w:pPr>
    </w:p>
    <w:bookmarkStart w:id="380" w:name="page381"/>
    <w:bookmarkEnd w:id="3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820" w:type="dxa"/>
            <w:vAlign w:val="bottom"/>
            <w:vMerge w:val="restart"/>
          </w:tcPr>
          <w:p>
            <w:pPr>
              <w:jc w:val="right"/>
              <w:ind w:right="1312"/>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92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88"/>
        </w:trPr>
        <w:tc>
          <w:tcPr>
            <w:tcW w:w="4060" w:type="dxa"/>
            <w:vAlign w:val="bottom"/>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2920" w:type="dxa"/>
            <w:vAlign w:val="bottom"/>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Tax Residence</w:t>
            </w:r>
          </w:p>
        </w:tc>
        <w:tc>
          <w:tcPr>
            <w:tcW w:w="0" w:type="dxa"/>
            <w:vAlign w:val="bottom"/>
          </w:tcPr>
          <w:p>
            <w:pPr>
              <w:spacing w:after="0"/>
              <w:rPr>
                <w:sz w:val="1"/>
                <w:szCs w:val="1"/>
                <w:color w:val="auto"/>
              </w:rPr>
            </w:pPr>
          </w:p>
        </w:tc>
      </w:tr>
      <w:tr>
        <w:trPr>
          <w:trHeight w:val="30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003/T/0366714/DTTP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3/T/80000/DTTP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9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Intesa Sanpaolo S.p.A.—New York Branch</w:t>
            </w:r>
          </w:p>
        </w:tc>
        <w:tc>
          <w:tcPr>
            <w:tcW w:w="282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 (with respect to Intesa</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Sanpaolo S.p.A., London Branch as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 lending office)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Santander Bank, N.A.</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9/S/267974/DTTP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Lloyds Bank Corporate Markets plc</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67/D/363894/DTTP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13/U/62184/DTTP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43/B/322072/DTTP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UniCredit Bank AG, New York Branch</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7/U/237605/DTTP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13/W/61173/DTTP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Truist Bank</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13S/67712/DTTP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Bank of China New York Branch</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23/B/368424/DTTP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 Chicago Branch</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3/M/270436/DTTP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5/C/0222082/DTTP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Commerzbank AG New York Branch</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7/C/25382/DTTP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9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Commercial Bank of China</w:t>
            </w:r>
          </w:p>
        </w:tc>
        <w:tc>
          <w:tcPr>
            <w:tcW w:w="2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New York Branch</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23/I/358686/DTTP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9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ING Bank N.V., Dublin Branch</w:t>
            </w:r>
          </w:p>
        </w:tc>
        <w:tc>
          <w:tcPr>
            <w:tcW w:w="282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12-I-371270-DTTP (with respect to</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ING Ireland DAC as applicable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lending office)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Fifth Third Bank</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13/F/24267/DTTP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2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13/B/7418/DTTP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5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Schedule 1.1A</w:t>
            </w:r>
          </w:p>
        </w:tc>
        <w:tc>
          <w:tcPr>
            <w:tcW w:w="2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256" w:right="539" w:bottom="1440" w:gutter="0" w:footer="0" w:header="0"/>
        </w:sectPr>
      </w:pPr>
    </w:p>
    <w:bookmarkStart w:id="381" w:name="page382"/>
    <w:bookmarkEnd w:id="3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040" w:type="dxa"/>
            <w:vAlign w:val="bottom"/>
            <w:vMerge w:val="restart"/>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3200" w:type="dxa"/>
            <w:vAlign w:val="bottom"/>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3040" w:type="dxa"/>
            <w:vAlign w:val="bottom"/>
            <w:vMerge w:val="continue"/>
          </w:tcPr>
          <w:p>
            <w:pPr>
              <w:spacing w:after="0"/>
              <w:rPr>
                <w:sz w:val="16"/>
                <w:szCs w:val="16"/>
                <w:color w:val="auto"/>
              </w:rPr>
            </w:pPr>
          </w:p>
        </w:tc>
        <w:tc>
          <w:tcPr>
            <w:tcW w:w="3200" w:type="dxa"/>
            <w:vAlign w:val="bottom"/>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Tax Residence</w:t>
            </w:r>
          </w:p>
        </w:tc>
        <w:tc>
          <w:tcPr>
            <w:tcW w:w="0" w:type="dxa"/>
            <w:vAlign w:val="bottom"/>
          </w:tcPr>
          <w:p>
            <w:pPr>
              <w:spacing w:after="0"/>
              <w:rPr>
                <w:sz w:val="1"/>
                <w:szCs w:val="1"/>
                <w:color w:val="auto"/>
              </w:rPr>
            </w:pPr>
          </w:p>
        </w:tc>
      </w:tr>
      <w:tr>
        <w:trPr>
          <w:trHeight w:val="30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13/M/0268710/DTTP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13/C/62301/DTTP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China CITIC Bank International Limited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US-NY</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13/C/356159/DTTP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BNP Paribas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5/B/255139/DTTP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07/D/70006/DTTP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13/M/307216/DTTP</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1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First Abu Dhabi Bank USA N.V.</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Curacao</w:t>
            </w:r>
          </w:p>
        </w:tc>
        <w:tc>
          <w:tcPr>
            <w:tcW w:w="0" w:type="dxa"/>
            <w:vAlign w:val="bottom"/>
          </w:tcPr>
          <w:p>
            <w:pPr>
              <w:spacing w:after="0"/>
              <w:rPr>
                <w:sz w:val="1"/>
                <w:szCs w:val="1"/>
                <w:color w:val="auto"/>
              </w:rPr>
            </w:pPr>
          </w:p>
        </w:tc>
      </w:tr>
      <w:tr>
        <w:trPr>
          <w:trHeight w:val="227"/>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Schedule 1.1A</w:t>
            </w:r>
          </w:p>
        </w:tc>
        <w:tc>
          <w:tcPr>
            <w:tcW w:w="3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256" w:right="539" w:bottom="1440" w:gutter="0" w:footer="0" w:header="0"/>
        </w:sectPr>
      </w:pPr>
    </w:p>
    <w:bookmarkStart w:id="382" w:name="page383"/>
    <w:bookmarkEnd w:id="382"/>
    <w:p>
      <w:pPr>
        <w:ind w:left="95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1.1B</w:t>
      </w:r>
    </w:p>
    <w:p>
      <w:pPr>
        <w:spacing w:after="0" w:line="36"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Initial Excluded Subsidiaries</w:t>
            </w:r>
          </w:p>
        </w:tc>
        <w:tc>
          <w:tcPr>
            <w:tcW w:w="0" w:type="dxa"/>
            <w:vAlign w:val="bottom"/>
          </w:tcPr>
          <w:p>
            <w:pPr>
              <w:spacing w:after="0"/>
              <w:rPr>
                <w:sz w:val="1"/>
                <w:szCs w:val="1"/>
                <w:color w:val="auto"/>
              </w:rPr>
            </w:pPr>
          </w:p>
        </w:tc>
      </w:tr>
      <w:tr>
        <w:trPr>
          <w:trHeight w:val="359"/>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w w:val="99"/>
              </w:rPr>
              <w:t>Jurisdiction of</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87"/>
        </w:trPr>
        <w:tc>
          <w:tcPr>
            <w:tcW w:w="9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Cruise LLC</w:t>
            </w:r>
          </w:p>
        </w:tc>
        <w:tc>
          <w:tcPr>
            <w:tcW w:w="3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Canada Holdings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GMGP Holdings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National Insurance Company</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Insurance Services, Inc.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Property and Casualty Insurance Company</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Indemnity Company</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2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7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Schedule 1.1B</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266" w:right="539" w:bottom="1440" w:gutter="0" w:footer="0" w:header="0"/>
        </w:sectPr>
      </w:pPr>
    </w:p>
    <w:bookmarkStart w:id="383" w:name="page384"/>
    <w:bookmarkEnd w:id="3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SCHEDULE 1.1C</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545"/>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2"/>
        </w:trPr>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Credit Agreement</w:t>
            </w:r>
          </w:p>
        </w:tc>
        <w:tc>
          <w:tcPr>
            <w:tcW w:w="0" w:type="dxa"/>
            <w:vAlign w:val="bottom"/>
          </w:tcPr>
          <w:p>
            <w:pPr>
              <w:spacing w:after="0"/>
              <w:rPr>
                <w:sz w:val="1"/>
                <w:szCs w:val="1"/>
                <w:color w:val="auto"/>
              </w:rPr>
            </w:pPr>
          </w:p>
        </w:tc>
      </w:tr>
      <w:tr>
        <w:trPr>
          <w:trHeight w:val="424"/>
        </w:trPr>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PRICING GRID</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Spread for</w:t>
            </w: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Margin for Daily</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Daily Simple</w:t>
            </w: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Simple SOFR</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SOFR Loans and</w:t>
            </w:r>
          </w:p>
        </w:tc>
        <w:tc>
          <w:tcPr>
            <w:tcW w:w="0" w:type="dxa"/>
            <w:vAlign w:val="bottom"/>
          </w:tcPr>
          <w:p>
            <w:pPr>
              <w:spacing w:after="0"/>
              <w:rPr>
                <w:sz w:val="1"/>
                <w:szCs w:val="1"/>
                <w:color w:val="auto"/>
              </w:rPr>
            </w:pPr>
          </w:p>
        </w:tc>
      </w:tr>
      <w:tr>
        <w:trPr>
          <w:trHeight w:val="146"/>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1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Loans and Term</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Margin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46"/>
        </w:trPr>
        <w:tc>
          <w:tcPr>
            <w:tcW w:w="3020" w:type="dxa"/>
            <w:vAlign w:val="bottom"/>
            <w:gridSpan w:val="2"/>
            <w:vMerge w:val="continue"/>
          </w:tcPr>
          <w:p>
            <w:pPr>
              <w:spacing w:after="0"/>
              <w:rPr>
                <w:sz w:val="12"/>
                <w:szCs w:val="12"/>
                <w:color w:val="auto"/>
              </w:rPr>
            </w:pPr>
          </w:p>
        </w:tc>
        <w:tc>
          <w:tcPr>
            <w:tcW w:w="1720" w:type="dxa"/>
            <w:vAlign w:val="bottom"/>
            <w:vMerge w:val="restart"/>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Facility Fee Rate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Benchmark</w:t>
            </w: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Benchmark</w:t>
            </w:r>
          </w:p>
        </w:tc>
        <w:tc>
          <w:tcPr>
            <w:tcW w:w="0" w:type="dxa"/>
            <w:vAlign w:val="bottom"/>
          </w:tcPr>
          <w:p>
            <w:pPr>
              <w:spacing w:after="0"/>
              <w:rPr>
                <w:sz w:val="1"/>
                <w:szCs w:val="1"/>
                <w:color w:val="auto"/>
              </w:rPr>
            </w:pPr>
          </w:p>
        </w:tc>
      </w:tr>
      <w:tr>
        <w:trPr>
          <w:trHeight w:val="191"/>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Applicable Rating</w:t>
            </w:r>
          </w:p>
        </w:tc>
        <w:tc>
          <w:tcPr>
            <w:tcW w:w="17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ABR Loans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80"/>
        </w:trPr>
        <w:tc>
          <w:tcPr>
            <w:tcW w:w="11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 A/A2/A</w:t>
            </w:r>
          </w:p>
        </w:tc>
        <w:tc>
          <w:tcPr>
            <w:tcW w:w="1920" w:type="dxa"/>
            <w:vAlign w:val="bottom"/>
          </w:tcPr>
          <w:p>
            <w:pPr>
              <w:spacing w:after="0"/>
              <w:rPr>
                <w:sz w:val="15"/>
                <w:szCs w:val="15"/>
                <w:color w:val="auto"/>
              </w:rPr>
            </w:pPr>
          </w:p>
        </w:tc>
        <w:tc>
          <w:tcPr>
            <w:tcW w:w="1720" w:type="dxa"/>
            <w:vAlign w:val="bottom"/>
            <w:tcBorders>
              <w:top w:val="single" w:sz="8" w:color="auto"/>
            </w:tcBorders>
          </w:tcPr>
          <w:p>
            <w:pPr>
              <w:jc w:val="center"/>
              <w:ind w:left="574"/>
              <w:spacing w:after="0" w:line="181" w:lineRule="exact"/>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w:t>
            </w:r>
          </w:p>
        </w:tc>
        <w:tc>
          <w:tcPr>
            <w:tcW w:w="360" w:type="dxa"/>
            <w:vAlign w:val="bottom"/>
          </w:tcPr>
          <w:p>
            <w:pPr>
              <w:spacing w:after="0"/>
              <w:rPr>
                <w:sz w:val="15"/>
                <w:szCs w:val="15"/>
                <w:color w:val="auto"/>
              </w:rPr>
            </w:pPr>
          </w:p>
        </w:tc>
        <w:tc>
          <w:tcPr>
            <w:tcW w:w="12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w:t>
            </w: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2"/>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A-/A3/A-</w:t>
            </w:r>
          </w:p>
        </w:tc>
        <w:tc>
          <w:tcPr>
            <w:tcW w:w="172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314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7"/>
              </w:rPr>
              <w:t>[***]</w:t>
            </w: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4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2"/>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172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314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7"/>
              </w:rPr>
              <w:t>[***]</w:t>
            </w: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4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2"/>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Baa2 / BBB</w:t>
            </w:r>
          </w:p>
        </w:tc>
        <w:tc>
          <w:tcPr>
            <w:tcW w:w="172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314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7"/>
              </w:rPr>
              <w:t>[***]</w:t>
            </w: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4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2"/>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Baa3 / BBB-</w:t>
            </w:r>
          </w:p>
        </w:tc>
        <w:tc>
          <w:tcPr>
            <w:tcW w:w="172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314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7"/>
              </w:rPr>
              <w:t>[***]</w:t>
            </w: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4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2"/>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 / Ba1 / BB+</w:t>
            </w:r>
          </w:p>
        </w:tc>
        <w:tc>
          <w:tcPr>
            <w:tcW w:w="172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314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7"/>
              </w:rPr>
              <w:t>[***]</w:t>
            </w: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4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32"/>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BB / Ba2 / BB</w:t>
            </w:r>
          </w:p>
        </w:tc>
        <w:tc>
          <w:tcPr>
            <w:tcW w:w="172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314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7"/>
              </w:rPr>
              <w:t>[***]</w:t>
            </w:r>
          </w:p>
        </w:tc>
        <w:tc>
          <w:tcPr>
            <w:tcW w:w="3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4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firstLine="433"/>
        <w:spacing w:after="0" w:line="249" w:lineRule="auto"/>
        <w:rPr>
          <w:sz w:val="20"/>
          <w:szCs w:val="20"/>
          <w:color w:val="auto"/>
        </w:rPr>
      </w:pPr>
      <w:r>
        <w:rPr>
          <w:rFonts w:ascii="Times New Roman" w:cs="Times New Roman" w:eastAsia="Times New Roman" w:hAnsi="Times New Roman"/>
          <w:sz w:val="18"/>
          <w:szCs w:val="18"/>
          <w:color w:val="auto"/>
        </w:rPr>
        <w:t>Changes in the Applicable Margin and Facility Fee Rate set forth in the pricing grid above shall become effective on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1.1C</w:t>
      </w:r>
    </w:p>
    <w:p>
      <w:pPr>
        <w:sectPr>
          <w:pgSz w:w="11900" w:h="16838" w:orient="portrait"/>
          <w:cols w:equalWidth="0" w:num="1">
            <w:col w:w="10820"/>
          </w:cols>
          <w:pgMar w:left="540" w:top="266" w:right="539" w:bottom="1440" w:gutter="0" w:footer="0" w:header="0"/>
        </w:sectPr>
      </w:pPr>
    </w:p>
    <w:bookmarkStart w:id="384" w:name="page385"/>
    <w:bookmarkEnd w:id="384"/>
    <w:p>
      <w:pPr>
        <w:jc w:val="center"/>
        <w:ind w:left="9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1.1 D</w:t>
      </w:r>
    </w:p>
    <w:p>
      <w:pPr>
        <w:spacing w:after="0" w:line="36"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7"/>
          <w:szCs w:val="17"/>
          <w:color w:val="auto"/>
        </w:rPr>
        <w:t>Credit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Existing Liens</w:t>
      </w:r>
    </w:p>
    <w:p>
      <w:pPr>
        <w:spacing w:after="0" w:line="218" w:lineRule="exact"/>
        <w:rPr>
          <w:sz w:val="20"/>
          <w:szCs w:val="20"/>
          <w:color w:val="auto"/>
        </w:rPr>
      </w:pPr>
    </w:p>
    <w:p>
      <w:pPr>
        <w:ind w:right="1420"/>
        <w:spacing w:after="0" w:line="443" w:lineRule="auto"/>
        <w:rPr>
          <w:sz w:val="20"/>
          <w:szCs w:val="20"/>
          <w:color w:val="auto"/>
        </w:rPr>
      </w:pPr>
      <w:r>
        <w:rPr>
          <w:rFonts w:ascii="Times New Roman" w:cs="Times New Roman" w:eastAsia="Times New Roman" w:hAnsi="Times New Roman"/>
          <w:sz w:val="18"/>
          <w:szCs w:val="18"/>
          <w:color w:val="auto"/>
        </w:rPr>
        <w:t>Liens reflected in the lien search results, dated as of March 29, 2023 delivered to the Administrative Agent prior to the Closing Date. Credit Agreement Schedule 1.1D</w:t>
      </w:r>
    </w:p>
    <w:p>
      <w:pPr>
        <w:sectPr>
          <w:pgSz w:w="11900" w:h="16838" w:orient="portrait"/>
          <w:cols w:equalWidth="0" w:num="1">
            <w:col w:w="10820"/>
          </w:cols>
          <w:pgMar w:left="540" w:top="266" w:right="539" w:bottom="1440" w:gutter="0" w:footer="0" w:header="0"/>
        </w:sectPr>
      </w:pPr>
    </w:p>
    <w:bookmarkStart w:id="385" w:name="page386"/>
    <w:bookmarkEnd w:id="385"/>
    <w:p>
      <w:pPr>
        <w:jc w:val="center"/>
        <w:ind w:left="94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1.1 E</w:t>
      </w:r>
    </w:p>
    <w:p>
      <w:pPr>
        <w:spacing w:after="0" w:line="36"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11. Excluded Subsidiary Businesses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1.1E</w:t>
      </w:r>
    </w:p>
    <w:p>
      <w:pPr>
        <w:sectPr>
          <w:pgSz w:w="11900" w:h="16838" w:orient="portrait"/>
          <w:cols w:equalWidth="0" w:num="1">
            <w:col w:w="10820"/>
          </w:cols>
          <w:pgMar w:left="540" w:top="266" w:right="539" w:bottom="1440" w:gutter="0" w:footer="0" w:header="0"/>
        </w:sectPr>
      </w:pPr>
    </w:p>
    <w:bookmarkStart w:id="386" w:name="page387"/>
    <w:bookmarkEnd w:id="386"/>
    <w:p>
      <w:pPr>
        <w:ind w:left="9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4.6</w:t>
      </w:r>
    </w:p>
    <w:p>
      <w:pPr>
        <w:spacing w:after="0" w:line="36"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4.6</w:t>
      </w:r>
    </w:p>
    <w:p>
      <w:pPr>
        <w:sectPr>
          <w:pgSz w:w="11900" w:h="16838" w:orient="portrait"/>
          <w:cols w:equalWidth="0" w:num="1">
            <w:col w:w="10820"/>
          </w:cols>
          <w:pgMar w:left="540" w:top="266" w:right="539" w:bottom="1440" w:gutter="0" w:footer="0" w:header="0"/>
        </w:sectPr>
      </w:pPr>
    </w:p>
    <w:bookmarkStart w:id="387" w:name="page388"/>
    <w:bookmarkEnd w:id="387"/>
    <w:p>
      <w:pPr>
        <w:ind w:left="8220"/>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Execution Version</w:t>
      </w:r>
    </w:p>
    <w:p>
      <w:pPr>
        <w:spacing w:after="0" w:line="258"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171450</wp:posOffset>
            </wp:positionV>
            <wp:extent cx="687387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7387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213360</wp:posOffset>
            </wp:positionV>
            <wp:extent cx="687387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7387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FIFTH AMENDED AND RESTATED GUARANTEE AGREEMENT</w:t>
      </w:r>
    </w:p>
    <w:p>
      <w:pPr>
        <w:spacing w:after="0" w:line="21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made by</w:t>
      </w:r>
    </w:p>
    <w:p>
      <w:pPr>
        <w:spacing w:after="0" w:line="21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 xml:space="preserve">AND CERTAIN OTHER PERSONS FROM TIME TO TIME PARTIES HERETO, </w:t>
      </w:r>
      <w:r>
        <w:rPr>
          <w:rFonts w:ascii="Times New Roman" w:cs="Times New Roman" w:eastAsia="Times New Roman" w:hAnsi="Times New Roman"/>
          <w:sz w:val="17"/>
          <w:szCs w:val="17"/>
          <w:i w:val="1"/>
          <w:iCs w:val="1"/>
          <w:color w:val="auto"/>
        </w:rPr>
        <w:t>as the Guarantors</w:t>
      </w:r>
    </w:p>
    <w:p>
      <w:pPr>
        <w:spacing w:after="0" w:line="23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in favor of</w:t>
      </w:r>
    </w:p>
    <w:p>
      <w:pPr>
        <w:spacing w:after="0" w:line="2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Dated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183515</wp:posOffset>
            </wp:positionV>
            <wp:extent cx="68738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7387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225425</wp:posOffset>
            </wp:positionV>
            <wp:extent cx="687387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73875" cy="8255"/>
                    </a:xfrm>
                    <a:prstGeom prst="rect">
                      <a:avLst/>
                    </a:prstGeom>
                    <a:noFill/>
                  </pic:spPr>
                </pic:pic>
              </a:graphicData>
            </a:graphic>
          </wp:anchor>
        </w:drawing>
      </w:r>
    </w:p>
    <w:p>
      <w:pPr>
        <w:sectPr>
          <w:pgSz w:w="11900" w:h="16838" w:orient="portrait"/>
          <w:cols w:equalWidth="0" w:num="1">
            <w:col w:w="9560"/>
          </w:cols>
          <w:pgMar w:left="1440" w:top="262" w:right="89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40" w:type="dxa"/>
            <w:vAlign w:val="bottom"/>
          </w:tcPr>
          <w:p>
            <w:pPr>
              <w:ind w:left="3640"/>
              <w:spacing w:after="0"/>
              <w:rPr>
                <w:sz w:val="20"/>
                <w:szCs w:val="20"/>
                <w:color w:val="auto"/>
              </w:rPr>
            </w:pPr>
            <w:r>
              <w:rPr>
                <w:rFonts w:ascii="Times New Roman" w:cs="Times New Roman" w:eastAsia="Times New Roman" w:hAnsi="Times New Roman"/>
                <w:sz w:val="19"/>
                <w:szCs w:val="19"/>
                <w:color w:val="auto"/>
              </w:rPr>
              <w:t>TABLE OF CONTENTS</w:t>
            </w:r>
          </w:p>
        </w:tc>
        <w:tc>
          <w:tcPr>
            <w:tcW w:w="340" w:type="dxa"/>
            <w:vAlign w:val="bottom"/>
          </w:tcPr>
          <w:p>
            <w:pPr>
              <w:spacing w:after="0"/>
              <w:rPr>
                <w:sz w:val="22"/>
                <w:szCs w:val="22"/>
                <w:color w:val="auto"/>
              </w:rPr>
            </w:pPr>
          </w:p>
        </w:tc>
      </w:tr>
      <w:tr>
        <w:trPr>
          <w:trHeight w:val="406"/>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339"/>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9"/>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9"/>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Contribution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Subrogation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9"/>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in Writing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Electronic Signature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Headings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3.10</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3.14</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Guarantors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3.15</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3.16</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8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ANNEX</w:t>
            </w:r>
          </w:p>
        </w:tc>
        <w:tc>
          <w:tcPr>
            <w:tcW w:w="16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72"/>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I</w:t>
            </w:r>
          </w:p>
        </w:tc>
        <w:tc>
          <w:tcPr>
            <w:tcW w:w="9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Joinder Agreement</w:t>
            </w:r>
          </w:p>
        </w:tc>
        <w:tc>
          <w:tcPr>
            <w:tcW w:w="340" w:type="dxa"/>
            <w:vAlign w:val="bottom"/>
          </w:tcPr>
          <w:p>
            <w:pPr>
              <w:spacing w:after="0"/>
              <w:rPr>
                <w:sz w:val="24"/>
                <w:szCs w:val="24"/>
                <w:color w:val="auto"/>
              </w:rPr>
            </w:pPr>
          </w:p>
        </w:tc>
      </w:tr>
      <w:tr>
        <w:trPr>
          <w:trHeight w:val="35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4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ii</w:t>
            </w: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60"/>
          </w:cols>
          <w:pgMar w:left="540" w:top="262" w:right="59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bookmarkStart w:id="389" w:name="page390"/>
    <w:bookmarkEnd w:id="389"/>
    <w:p>
      <w:pPr>
        <w:ind w:right="200" w:firstLine="97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FIFTH AMENDED AND RESTATED GUARANTEE AGREEMENT, dated as of March 31, 2023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by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Subsidiary Guarantors (such term and certain other capitalized terms used herein being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from time to time party hereto, and each of the Other Guarantors from time to time party hereto (together with the Company and the Subsidiary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party to the Fifth Amended and Restated Three Year Revolving Credit Agreement, dated as of the date hereof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other agents named therein.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4" w:lineRule="exact"/>
        <w:rPr>
          <w:sz w:val="20"/>
          <w:szCs w:val="20"/>
          <w:color w:val="auto"/>
        </w:rPr>
      </w:pPr>
    </w:p>
    <w:p>
      <w:pPr>
        <w:ind w:right="140" w:firstLine="974"/>
        <w:spacing w:after="0" w:line="274" w:lineRule="auto"/>
        <w:rPr>
          <w:sz w:val="20"/>
          <w:szCs w:val="20"/>
          <w:color w:val="auto"/>
        </w:rPr>
      </w:pPr>
      <w:r>
        <w:rPr>
          <w:rFonts w:ascii="Times New Roman" w:cs="Times New Roman" w:eastAsia="Times New Roman" w:hAnsi="Times New Roman"/>
          <w:sz w:val="18"/>
          <w:szCs w:val="18"/>
          <w:color w:val="auto"/>
        </w:rPr>
        <w:t>WHEREAS, each of the Company, the Subsidiary Borrowers, any Ancillary Borrower and any Applicable Account Party is a member of an affiliated group of companies that includes each other Guarantor;</w:t>
      </w:r>
    </w:p>
    <w:p>
      <w:pPr>
        <w:spacing w:after="0" w:line="164" w:lineRule="exact"/>
        <w:rPr>
          <w:sz w:val="20"/>
          <w:szCs w:val="20"/>
          <w:color w:val="auto"/>
        </w:rPr>
      </w:pPr>
    </w:p>
    <w:p>
      <w:pPr>
        <w:ind w:right="140" w:firstLine="974"/>
        <w:spacing w:after="0" w:line="260"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and any Ancillary Lender to or for the account of the Company, any Subsidiary Borrower, any Ancillary Borrower or any Applicable Account Party, as applicable, under the Credit Agreement; and</w:t>
      </w:r>
    </w:p>
    <w:p>
      <w:pPr>
        <w:spacing w:after="0" w:line="176"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and the Ancillary Lenders to make their respective extensions of credit to or for the account of the Company, any Subsidiary Borrower, any Ancillary Borrower or any Applicable Account Party, as applicable, under the Credit Agreement or any Ancillary Facility Document that each Guarantor shall have executed and delivered this Agreement to the Administrative Agent;</w:t>
      </w:r>
    </w:p>
    <w:p>
      <w:pPr>
        <w:spacing w:after="0" w:line="182"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any Ancillary Facility Document, as applicable, and to induce the Lenders and any Ancillary Lender to make their respective extensions of credit to or for the account of the Company, any Subsidiary Borrower, any Ancillary Borrower or any Applicable Account Party, as applicable, under the Credit Agreement or any Ancillary Facility Document, as applicable, each Guarantor hereby agrees with the Administrative Agent, for the benefit of the Guaranteed Parties, as follows: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 DEFINED TERMS</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420" w:firstLine="966"/>
        <w:spacing w:after="0" w:line="274" w:lineRule="auto"/>
        <w:tabs>
          <w:tab w:leader="none" w:pos="121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assigned to such terms in the Credit Agreement.</w:t>
      </w:r>
    </w:p>
    <w:p>
      <w:pPr>
        <w:sectPr>
          <w:pgSz w:w="11900" w:h="16838" w:orient="portrait"/>
          <w:cols w:equalWidth="0" w:num="1">
            <w:col w:w="10800"/>
          </w:cols>
          <w:pgMar w:left="540" w:top="266" w:right="559" w:bottom="1440" w:gutter="0" w:footer="0" w:header="0"/>
        </w:sectPr>
      </w:pPr>
    </w:p>
    <w:bookmarkStart w:id="390" w:name="page391"/>
    <w:bookmarkEnd w:id="390"/>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 The following terms shall have the following meanings: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Reimbursement Obligations, Ancillary Facility Outstandings and all other obligations and liabilities of the Company, the Subsidiary Borrowers, any Ancillary Borrowers and any Applicable Account Party (including interest on such other obligations or liabilities accruing at the then applicable rate provided in the Credit Agreement or any Ancillary Facility Document, as applicable, after the maturity of the Loans and Reimbursement Obligations or Ancillary Facility Outstandings, as the case may be, and interest accruing on the Loans, Reimbursement Obligations, Ancillary Facility Outstandings and such other obligations and liabilities at the then applicable rate provided in the Credit Agreement or relevant Ancillary Facility Document, as the case may be, after the filing of any petition in bankruptcy, or the commencement of any insolvency, reorganization or like proceeding, relating to the Company, any Subsidiary Borrower, any Ancillary Borrower or any Applicable Account Party, whether or not a claim for post-filing or post-petition interest is allowed in such proceeding) to the Administrative Agent, any Lender, any Ancillary Lender or any Issuing Lender thereunder, whether direct or indirect, absolute or contingent, due or to become due, or now existing or hereafter incurred, which may arise under, out of, or in connection with, the Loan Documents or Ancillary Facility Documents to which the Company, any Subsidiary Borrower, any Ancillary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Lenders, any Ancillary Lenders or the Issuing Lenders that are required to be paid by the Company, any Subsidiary Borrower, any Ancillary Borrower or any Applicable Account Party pursuant to the terms of any of the Loan Documents or Ancillary Facility Documents, as applicable).</w:t>
      </w:r>
    </w:p>
    <w:p>
      <w:pPr>
        <w:spacing w:after="0" w:line="188" w:lineRule="exact"/>
        <w:rPr>
          <w:sz w:val="20"/>
          <w:szCs w:val="20"/>
          <w:color w:val="auto"/>
        </w:rPr>
      </w:pPr>
    </w:p>
    <w:p>
      <w:pPr>
        <w:ind w:right="3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the Issuing Lenders, the Ancillary Lenders and each other Person that holds a Guaranteed Obligation.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3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right="12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or any Ancillary Facility Document, as applicable, in each case, after or concurrently with termination of all commitments thereunder and payment in full in cash of all fees payable with respect to a Guaranteed Obligation at or prior to the time such principal and interest are paid.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540" w:top="266" w:right="559" w:bottom="1440" w:gutter="0" w:footer="0" w:header="0"/>
        </w:sectPr>
      </w:pPr>
    </w:p>
    <w:bookmarkStart w:id="391" w:name="page392"/>
    <w:bookmarkEnd w:id="391"/>
    <w:p>
      <w:pPr>
        <w:ind w:right="26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this Agreement pursuant to Section 6.6(a) or 10.1(b) of the Credit Agreement.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right="180" w:firstLine="966"/>
        <w:spacing w:after="0" w:line="304" w:lineRule="auto"/>
        <w:tabs>
          <w:tab w:leader="none" w:pos="1215"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41" w:lineRule="exact"/>
        <w:rPr>
          <w:rFonts w:ascii="Times New Roman" w:cs="Times New Roman" w:eastAsia="Times New Roman" w:hAnsi="Times New Roman"/>
          <w:sz w:val="17"/>
          <w:szCs w:val="17"/>
          <w:color w:val="auto"/>
        </w:rPr>
      </w:pPr>
    </w:p>
    <w:p>
      <w:pPr>
        <w:ind w:left="1220" w:hanging="254"/>
        <w:spacing w:after="0"/>
        <w:tabs>
          <w:tab w:leader="none" w:pos="12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18" w:lineRule="exact"/>
        <w:rPr>
          <w:sz w:val="20"/>
          <w:szCs w:val="20"/>
          <w:color w:val="auto"/>
        </w:rPr>
      </w:pPr>
    </w:p>
    <w:p>
      <w:pPr>
        <w:ind w:right="40" w:firstLine="966"/>
        <w:spacing w:after="0" w:line="253" w:lineRule="auto"/>
        <w:tabs>
          <w:tab w:leader="none" w:pos="122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0" w:firstLine="966"/>
        <w:spacing w:after="0" w:line="255" w:lineRule="auto"/>
        <w:tabs>
          <w:tab w:leader="none" w:pos="121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each Ancillary Borrower and each Applicable Account Party, as applicable, when due (whether at the stated maturity, by acceleration or otherwise) and at all times thereafter, of all Guaranteed Obligations.</w:t>
      </w:r>
    </w:p>
    <w:p>
      <w:pPr>
        <w:spacing w:after="0" w:line="182" w:lineRule="exact"/>
        <w:rPr>
          <w:sz w:val="20"/>
          <w:szCs w:val="20"/>
          <w:color w:val="auto"/>
        </w:rPr>
      </w:pPr>
    </w:p>
    <w:p>
      <w:pPr>
        <w:ind w:firstLine="966"/>
        <w:spacing w:after="0" w:line="260" w:lineRule="auto"/>
        <w:tabs>
          <w:tab w:leader="none" w:pos="121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or any Ancillary Facility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60" w:firstLine="966"/>
        <w:spacing w:after="0" w:line="260" w:lineRule="auto"/>
        <w:tabs>
          <w:tab w:leader="none" w:pos="122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176" w:lineRule="exact"/>
        <w:rPr>
          <w:sz w:val="20"/>
          <w:szCs w:val="20"/>
          <w:color w:val="auto"/>
        </w:rPr>
      </w:pPr>
    </w:p>
    <w:p>
      <w:pPr>
        <w:ind w:right="20" w:firstLine="966"/>
        <w:spacing w:after="0" w:line="260" w:lineRule="auto"/>
        <w:tabs>
          <w:tab w:leader="none" w:pos="122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any Ancillary Borrower or any Applicable Account Party may be free from any Guaranteed Obligations.</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540" w:top="267" w:right="599" w:bottom="1440" w:gutter="0" w:footer="0" w:header="0"/>
        </w:sectPr>
      </w:pPr>
    </w:p>
    <w:bookmarkStart w:id="392" w:name="page393"/>
    <w:bookmarkEnd w:id="392"/>
    <w:p>
      <w:pPr>
        <w:ind w:right="40" w:firstLine="966"/>
        <w:spacing w:after="0" w:line="250" w:lineRule="auto"/>
        <w:tabs>
          <w:tab w:leader="none" w:pos="121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No payment made by the Company, any Subsidiary Borrower, any Ancillary Borrower, any Applicable Account Party, any of the Guarantors, any other guarantor or any other Person or received or collected by any Guaranteed Party from the Company, any Subsidiary Borrower, any Ancillary Borrower, any Applicable Account Party,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180" w:firstLine="974"/>
        <w:spacing w:after="0" w:line="253" w:lineRule="auto"/>
        <w:rPr>
          <w:sz w:val="20"/>
          <w:szCs w:val="20"/>
          <w:color w:val="auto"/>
        </w:rPr>
      </w:pPr>
      <w:r>
        <w:rPr>
          <w:rFonts w:ascii="Times New Roman" w:cs="Times New Roman" w:eastAsia="Times New Roman" w:hAnsi="Times New Roman"/>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firstLine="974"/>
        <w:spacing w:after="0" w:line="248" w:lineRule="auto"/>
        <w:rPr>
          <w:sz w:val="20"/>
          <w:szCs w:val="20"/>
          <w:color w:val="auto"/>
        </w:rPr>
      </w:pPr>
      <w:r>
        <w:rPr>
          <w:rFonts w:ascii="Times New Roman" w:cs="Times New Roman" w:eastAsia="Times New Roman" w:hAnsi="Times New Roman"/>
          <w:sz w:val="18"/>
          <w:szCs w:val="18"/>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Ancillary Borrower,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Ancillary Borrower, any Applicable Account Party or any other Guarantor in respect of payments made by such Guarantor hereunder, until all amounts owing to the Guaranteed Parties by the Company, the Subsidiary Borrowers, any Ancillary Borrower and any Applicable Account Party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9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Amendments, etc. with respect to the Guaranteed Obligations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any Ancillary Facility Documents and any other documents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40" w:top="267" w:right="539" w:bottom="1440" w:gutter="0" w:footer="0" w:header="0"/>
        </w:sectPr>
      </w:pPr>
    </w:p>
    <w:bookmarkStart w:id="393" w:name="page394"/>
    <w:bookmarkEnd w:id="393"/>
    <w:p>
      <w:pPr>
        <w:ind w:left="8" w:right="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executed and delivered in connection therewith may be amended, modified, supplemented or terminated, in whole or in part, as the Administrative Agent (or the Required Lenders, the Majority Facility Lenders, all affected Lenders, or all Lenders, or any Ancillary Lender,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8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firstLine="974"/>
        <w:spacing w:after="0" w:line="261" w:lineRule="auto"/>
        <w:rPr>
          <w:sz w:val="20"/>
          <w:szCs w:val="20"/>
          <w:color w:val="auto"/>
        </w:rPr>
      </w:pPr>
      <w:r>
        <w:rPr>
          <w:rFonts w:ascii="Times New Roman" w:cs="Times New Roman" w:eastAsia="Times New Roman" w:hAnsi="Times New Roman"/>
          <w:sz w:val="17"/>
          <w:szCs w:val="17"/>
          <w:color w:val="auto"/>
        </w:rPr>
        <w:t xml:space="preserve">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any Ancillary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of the Ancillary Borrowers, any of the Applicable Account Parties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any other Loan Document or any Ancillary Facility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Ancillary Borrower, any Applicable Account Party or any other Person against any Guaranteed Party, (c) any law or regulation of any jurisdiction or any other event affecting any term of the Guaranteed Obligations or (d) any other circumstance whatsoever (with or without notice to or knowledge of the Company, any Subsidiary Borrower, any Ancillary Borrower, any Applicable Account Party or such Guarantor) which constitutes, or might be construed to constitute, an equitable or legal discharge or defense of a surety or guarantor or any other obligor on any obligation of the Company, any Subsidiary Borrower, any Ancillary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release of any Subsidiary Guarantor pursuant to </w:t>
      </w:r>
      <w:r>
        <w:rPr>
          <w:rFonts w:ascii="Times New Roman" w:cs="Times New Roman" w:eastAsia="Times New Roman" w:hAnsi="Times New Roman"/>
          <w:sz w:val="17"/>
          <w:szCs w:val="17"/>
          <w:u w:val="single" w:color="auto"/>
          <w:color w:val="auto"/>
        </w:rPr>
        <w:t>Section 3.15(b)</w:t>
      </w:r>
      <w:r>
        <w:rPr>
          <w:rFonts w:ascii="Times New Roman" w:cs="Times New Roman" w:eastAsia="Times New Roman" w:hAnsi="Times New Roman"/>
          <w:sz w:val="17"/>
          <w:szCs w:val="17"/>
          <w:color w:val="auto"/>
        </w:rPr>
        <w:t>, but subject to any release of such obligations hereunder to the extent provided in, and pursuant to the terms of, Section 3.15(a) and</w:t>
      </w:r>
    </w:p>
    <w:p>
      <w:pPr>
        <w:spacing w:after="0" w:line="12" w:lineRule="exact"/>
        <w:rPr>
          <w:sz w:val="20"/>
          <w:szCs w:val="20"/>
          <w:color w:val="auto"/>
        </w:rPr>
      </w:pPr>
    </w:p>
    <w:p>
      <w:pPr>
        <w:ind w:left="8" w:right="80" w:hanging="8"/>
        <w:spacing w:after="0" w:line="247" w:lineRule="auto"/>
        <w:tabs>
          <w:tab w:leader="none" w:pos="258"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Ancillary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Ancillary Borrower, any Applicable Account Party, any other Guarantor or any other</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8"/>
          </w:cols>
          <w:pgMar w:left="532" w:top="267" w:right="559" w:bottom="1440" w:gutter="0" w:footer="0" w:header="0"/>
        </w:sectPr>
      </w:pPr>
    </w:p>
    <w:bookmarkStart w:id="394" w:name="page395"/>
    <w:bookmarkEnd w:id="394"/>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Person or to realize upon any such collateral security or guarantee or to exercise any such right of offset, or any release of the Company, any Subsidiary Borrower, any Ancillary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Ancillary Borrower, any Applicable Account Party or any Guarantor, or upon or as a result of the appointment of a receiver, intervenor or conservator of, or trustee or similar officer for, the Company, any Subsidiary Borrower, any Ancillary Borrower, any Applicable Account Party or any Guarantor or any substantial part of its property, or otherwise, all as though such payments had not been made.</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firstLine="974"/>
        <w:spacing w:after="0" w:line="260" w:lineRule="auto"/>
        <w:rPr>
          <w:sz w:val="20"/>
          <w:szCs w:val="20"/>
          <w:color w:val="auto"/>
        </w:rPr>
      </w:pPr>
      <w:r>
        <w:rPr>
          <w:rFonts w:ascii="Times New Roman" w:cs="Times New Roman" w:eastAsia="Times New Roman" w:hAnsi="Times New Roman"/>
          <w:sz w:val="18"/>
          <w:szCs w:val="18"/>
          <w:color w:val="auto"/>
        </w:rPr>
        <w:t>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2.21 of the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MISCELLANEOUS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and any Ancillary Lender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40" w:firstLine="974"/>
        <w:spacing w:after="0" w:line="274" w:lineRule="auto"/>
        <w:rPr>
          <w:sz w:val="20"/>
          <w:szCs w:val="20"/>
          <w:color w:val="auto"/>
        </w:rPr>
      </w:pPr>
      <w:r>
        <w:rPr>
          <w:rFonts w:ascii="Times New Roman" w:cs="Times New Roman" w:eastAsia="Times New Roman" w:hAnsi="Times New Roman"/>
          <w:sz w:val="18"/>
          <w:szCs w:val="18"/>
          <w:color w:val="auto"/>
        </w:rPr>
        <w:t xml:space="preserve">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540" w:top="267" w:right="539" w:bottom="1440" w:gutter="0" w:footer="0" w:header="0"/>
        </w:sectPr>
      </w:pPr>
    </w:p>
    <w:bookmarkStart w:id="395" w:name="page396"/>
    <w:bookmarkEnd w:id="395"/>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 xml:space="preserve">All notices, requests and demands to or upon the Administrative Agent or any Guarantor hereunder shall be effected in the manner provided for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provided, that any such notice, request or demand to or upon any Guarantor shall be addressed to the Company at the addresses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(or such other address as the Company may at any time or from time to time provide for purposes of the Credit Agreement and this Agreement).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Waiver by Course of Conduct; Cumulative Remedies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 xml:space="preserve">No Guaranteed Party shall by any act (except by a written instrument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Enforcement Expenses; Indemnification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120" w:firstLine="425"/>
        <w:spacing w:after="0" w:line="253" w:lineRule="auto"/>
        <w:tabs>
          <w:tab w:leader="none" w:pos="673"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intending to duplicate the obligations of the Guarantors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and to the extent that the Company is required to pay or reimburse the Guaranteed Parties (or any of them), for various costs and expenses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or to indemnify the Indemnitees (or any of them) for the Indemnified Liabilities, in each case as and to the extent (and in the manner)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each Guarantor, jointly and severally, hereby agrees to make such payments or reimbursements and to provide such indemnification.</w:t>
      </w:r>
    </w:p>
    <w:p>
      <w:pPr>
        <w:spacing w:after="0" w:line="182" w:lineRule="exact"/>
        <w:rPr>
          <w:rFonts w:ascii="Times New Roman" w:cs="Times New Roman" w:eastAsia="Times New Roman" w:hAnsi="Times New Roman"/>
          <w:sz w:val="18"/>
          <w:szCs w:val="18"/>
          <w:color w:val="auto"/>
        </w:rPr>
      </w:pPr>
    </w:p>
    <w:p>
      <w:pPr>
        <w:ind w:right="300" w:firstLine="425"/>
        <w:spacing w:after="0" w:line="274" w:lineRule="auto"/>
        <w:tabs>
          <w:tab w:leader="none" w:pos="65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40" w:firstLine="974"/>
        <w:spacing w:after="0" w:line="255" w:lineRule="auto"/>
        <w:rPr>
          <w:sz w:val="20"/>
          <w:szCs w:val="20"/>
          <w:color w:val="auto"/>
        </w:rPr>
      </w:pPr>
      <w:r>
        <w:rPr>
          <w:rFonts w:ascii="Times New Roman" w:cs="Times New Roman" w:eastAsia="Times New Roman" w:hAnsi="Times New Roman"/>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Counterparts; Electronic Signature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t xml:space="preserve">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provisions of Section 10.8 of the Credit Agreement are hereby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540" w:top="267" w:right="579" w:bottom="1440" w:gutter="0" w:footer="0" w:header="0"/>
        </w:sectPr>
      </w:pPr>
    </w:p>
    <w:bookmarkStart w:id="396" w:name="page397"/>
    <w:bookmarkEnd w:id="39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3.8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right="120" w:firstLine="974"/>
        <w:spacing w:after="0" w:line="260" w:lineRule="auto"/>
        <w:rPr>
          <w:sz w:val="20"/>
          <w:szCs w:val="20"/>
          <w:color w:val="auto"/>
        </w:rPr>
      </w:pPr>
      <w:r>
        <w:rPr>
          <w:rFonts w:ascii="Times New Roman" w:cs="Times New Roman" w:eastAsia="Times New Roman" w:hAnsi="Times New Roman"/>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The Section headings used in this Agreement are for convenience of reference only and are not to affect the construction hereof or be taken into consideration in the interpretation hereof.</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40" w:firstLine="974"/>
        <w:spacing w:after="0" w:line="255" w:lineRule="auto"/>
        <w:rPr>
          <w:sz w:val="20"/>
          <w:szCs w:val="20"/>
          <w:color w:val="auto"/>
        </w:rPr>
      </w:pPr>
      <w:r>
        <w:rPr>
          <w:rFonts w:ascii="Times New Roman" w:cs="Times New Roman" w:eastAsia="Times New Roman" w:hAnsi="Times New Roman"/>
          <w:sz w:val="18"/>
          <w:szCs w:val="18"/>
          <w:color w:val="auto"/>
        </w:rPr>
        <w:t>This Agreement, the other Loan Documents and any Ancillary Facility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 or in any Ancillary Facility Documents.</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p>
    <w:p>
      <w:pPr>
        <w:spacing w:after="0" w:line="218" w:lineRule="exact"/>
        <w:rPr>
          <w:sz w:val="20"/>
          <w:szCs w:val="20"/>
          <w:color w:val="auto"/>
        </w:rPr>
      </w:pPr>
    </w:p>
    <w:p>
      <w:pPr>
        <w:ind w:right="180" w:firstLine="974"/>
        <w:spacing w:after="0" w:line="307" w:lineRule="auto"/>
        <w:rPr>
          <w:sz w:val="20"/>
          <w:szCs w:val="20"/>
          <w:color w:val="auto"/>
        </w:rPr>
      </w:pPr>
      <w:r>
        <w:rPr>
          <w:rFonts w:ascii="Times New Roman" w:cs="Times New Roman" w:eastAsia="Times New Roman" w:hAnsi="Times New Roman"/>
          <w:sz w:val="17"/>
          <w:szCs w:val="17"/>
          <w:b w:val="1"/>
          <w:bCs w:val="1"/>
          <w:color w:val="auto"/>
        </w:rPr>
        <w:t>THIS AGREEMENT AND THE RIGHTS AND OBLIGATIONS OF THE PARTIES UNDER THIS AGREEMENT SHALL BE GOVERNED BY, AND CONSTRUED AND INTERPRETED IN ACCORDANCE WITH, THE LAW OF THE STATE OF NEW YORK.</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Each Guarantor hereby irrevocably and unconditionally:</w:t>
      </w:r>
    </w:p>
    <w:p>
      <w:pPr>
        <w:spacing w:after="0" w:line="218" w:lineRule="exact"/>
        <w:rPr>
          <w:sz w:val="20"/>
          <w:szCs w:val="20"/>
          <w:color w:val="auto"/>
        </w:rPr>
      </w:pPr>
    </w:p>
    <w:p>
      <w:pPr>
        <w:jc w:val="both"/>
        <w:ind w:right="380" w:firstLine="966"/>
        <w:spacing w:after="0" w:line="255" w:lineRule="auto"/>
        <w:tabs>
          <w:tab w:leader="none" w:pos="121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the other Loan Documents and the Ancillary Facility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82" w:lineRule="exact"/>
        <w:rPr>
          <w:sz w:val="20"/>
          <w:szCs w:val="20"/>
          <w:color w:val="auto"/>
        </w:rPr>
      </w:pPr>
    </w:p>
    <w:p>
      <w:pPr>
        <w:jc w:val="both"/>
        <w:ind w:right="60" w:firstLine="966"/>
        <w:spacing w:after="0" w:line="260" w:lineRule="auto"/>
        <w:tabs>
          <w:tab w:leader="none" w:pos="122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6" w:lineRule="exact"/>
        <w:rPr>
          <w:sz w:val="20"/>
          <w:szCs w:val="20"/>
          <w:color w:val="auto"/>
        </w:rPr>
      </w:pPr>
    </w:p>
    <w:p>
      <w:pPr>
        <w:ind w:firstLine="966"/>
        <w:spacing w:after="0" w:line="260" w:lineRule="auto"/>
        <w:tabs>
          <w:tab w:leader="none" w:pos="122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76" w:lineRule="exact"/>
        <w:rPr>
          <w:sz w:val="20"/>
          <w:szCs w:val="20"/>
          <w:color w:val="auto"/>
        </w:rPr>
      </w:pPr>
    </w:p>
    <w:p>
      <w:pPr>
        <w:ind w:right="740" w:firstLine="966"/>
        <w:spacing w:after="0" w:line="274" w:lineRule="auto"/>
        <w:tabs>
          <w:tab w:leader="none" w:pos="122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0"/>
          </w:cols>
          <w:pgMar w:left="540" w:top="267" w:right="539" w:bottom="1440" w:gutter="0" w:footer="0" w:header="0"/>
        </w:sectPr>
      </w:pPr>
    </w:p>
    <w:bookmarkStart w:id="397" w:name="page398"/>
    <w:bookmarkEnd w:id="397"/>
    <w:p>
      <w:pPr>
        <w:ind w:right="80" w:firstLine="966"/>
        <w:spacing w:after="0" w:line="274" w:lineRule="auto"/>
        <w:tabs>
          <w:tab w:leader="none" w:pos="121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agrees that nothing herein shall affect the right to effect service of process in any other manner permitted by law or shall limit the right to sue in any other jurisdiction; and</w:t>
      </w:r>
    </w:p>
    <w:p>
      <w:pPr>
        <w:spacing w:after="0" w:line="164" w:lineRule="exact"/>
        <w:rPr>
          <w:sz w:val="20"/>
          <w:szCs w:val="20"/>
          <w:color w:val="auto"/>
        </w:rPr>
      </w:pPr>
    </w:p>
    <w:p>
      <w:pPr>
        <w:ind w:right="520" w:firstLine="966"/>
        <w:spacing w:after="0" w:line="274" w:lineRule="auto"/>
        <w:tabs>
          <w:tab w:leader="none" w:pos="11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57" w:lineRule="auto"/>
        <w:rPr>
          <w:sz w:val="20"/>
          <w:szCs w:val="20"/>
          <w:color w:val="auto"/>
        </w:rPr>
      </w:pPr>
      <w:r>
        <w:rPr>
          <w:rFonts w:ascii="Times New Roman" w:cs="Times New Roman" w:eastAsia="Times New Roman" w:hAnsi="Times New Roman"/>
          <w:sz w:val="18"/>
          <w:szCs w:val="18"/>
          <w:color w:val="auto"/>
        </w:rPr>
        <w:t xml:space="preserve">Each Subsidiary of the Company that is required to become a party to this Agreement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Credit Agreement, and each other Person (whether or not a Subsidiary of the Company) that the Company desires to become a party to this Agreement pursuant to</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0" w:firstLine="966"/>
        <w:spacing w:after="0" w:line="260" w:lineRule="auto"/>
        <w:tabs>
          <w:tab w:leader="none" w:pos="121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76" w:lineRule="exact"/>
        <w:rPr>
          <w:sz w:val="20"/>
          <w:szCs w:val="20"/>
          <w:color w:val="auto"/>
        </w:rPr>
      </w:pPr>
    </w:p>
    <w:p>
      <w:pPr>
        <w:jc w:val="both"/>
        <w:ind w:right="280" w:firstLine="966"/>
        <w:spacing w:after="0" w:line="260" w:lineRule="auto"/>
        <w:tabs>
          <w:tab w:leader="none" w:pos="118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176" w:lineRule="exact"/>
        <w:rPr>
          <w:sz w:val="20"/>
          <w:szCs w:val="20"/>
          <w:color w:val="auto"/>
        </w:rPr>
      </w:pPr>
    </w:p>
    <w:p>
      <w:pPr>
        <w:ind w:right="20" w:firstLine="966"/>
        <w:spacing w:after="0" w:line="260" w:lineRule="auto"/>
        <w:tabs>
          <w:tab w:leader="none" w:pos="122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p>
    <w:p>
      <w:pPr>
        <w:spacing w:after="0" w:line="218" w:lineRule="exact"/>
        <w:rPr>
          <w:sz w:val="20"/>
          <w:szCs w:val="20"/>
          <w:color w:val="auto"/>
        </w:rPr>
      </w:pPr>
    </w:p>
    <w:p>
      <w:pPr>
        <w:jc w:val="both"/>
        <w:ind w:right="540" w:firstLine="974"/>
        <w:spacing w:after="0" w:line="283" w:lineRule="auto"/>
        <w:rPr>
          <w:sz w:val="20"/>
          <w:szCs w:val="20"/>
          <w:color w:val="auto"/>
        </w:rPr>
      </w:pPr>
      <w:r>
        <w:rPr>
          <w:rFonts w:ascii="Times New Roman" w:cs="Times New Roman" w:eastAsia="Times New Roman" w:hAnsi="Times New Roman"/>
          <w:sz w:val="17"/>
          <w:szCs w:val="17"/>
          <w:b w:val="1"/>
          <w:bCs w:val="1"/>
          <w:color w:val="auto"/>
        </w:rPr>
        <w:t>EACH GUARANTOR AND THE ADMINISTRATIVE AGENT HEREBY IRREVOCABLY AND UNCONDITIONALLY WAIVE TRIAL BY JURY IN ANY LEGAL ACTION OR PROCEEDING RELATING TO THIS AGREEMENT, ANY OTHER LOAN DOCUMENT OR ANY ANCILLARY FACILITY DOCUMENT AND FOR ANY COUNTERCLAIM THEREIN.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0"/>
          </w:cols>
          <w:pgMar w:left="540" w:top="266" w:right="559" w:bottom="1440" w:gutter="0" w:footer="0" w:header="0"/>
        </w:sectPr>
      </w:pPr>
    </w:p>
    <w:bookmarkStart w:id="398" w:name="page399"/>
    <w:bookmarkEnd w:id="398"/>
    <w:p>
      <w:pPr>
        <w:ind w:left="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each of the undersigned has caused this Agreement to be duly executed and delivered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 xml:space="preserve">GENERAL MOTORS COMPANY, </w:t>
      </w:r>
      <w:r>
        <w:rPr>
          <w:rFonts w:ascii="Times New Roman" w:cs="Times New Roman" w:eastAsia="Times New Roman" w:hAnsi="Times New Roman"/>
          <w:sz w:val="18"/>
          <w:szCs w:val="18"/>
          <w:i w:val="1"/>
          <w:iCs w:val="1"/>
          <w:color w:val="auto"/>
        </w:rPr>
        <w:t>as the Company</w:t>
      </w:r>
    </w:p>
    <w:p>
      <w:pPr>
        <w:spacing w:after="0" w:line="22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15240</wp:posOffset>
            </wp:positionV>
            <wp:extent cx="25273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27300"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15240</wp:posOffset>
            </wp:positionV>
            <wp:extent cx="216471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15240</wp:posOffset>
            </wp:positionV>
            <wp:extent cx="216471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3-Year Guarantee Agreement</w:t>
      </w:r>
    </w:p>
    <w:p>
      <w:pPr>
        <w:sectPr>
          <w:pgSz w:w="11900" w:h="16838" w:orient="portrait"/>
          <w:cols w:equalWidth="0" w:num="1">
            <w:col w:w="10760"/>
          </w:cols>
          <w:pgMar w:left="540" w:top="266" w:right="59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ACCEPTED AND AGREED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15240</wp:posOffset>
            </wp:positionV>
            <wp:extent cx="23583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3583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jc w:val="right"/>
        <w:ind w:right="1599"/>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3-Year Guarantee Agreement</w:t>
      </w:r>
    </w:p>
    <w:p>
      <w:pPr>
        <w:sectPr>
          <w:pgSz w:w="11900" w:h="16838" w:orient="portrait"/>
          <w:cols w:equalWidth="0" w:num="1">
            <w:col w:w="9919"/>
          </w:cols>
          <w:pgMar w:left="540" w:top="266" w:right="1440" w:bottom="1440" w:gutter="0" w:footer="0" w:header="0"/>
        </w:sectPr>
      </w:pPr>
    </w:p>
    <w:bookmarkStart w:id="400" w:name="page401"/>
    <w:bookmarkEnd w:id="400"/>
    <w:p>
      <w:pPr>
        <w:jc w:val="center"/>
        <w:ind w:left="7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1</w:t>
      </w:r>
    </w:p>
    <w:p>
      <w:pPr>
        <w:spacing w:after="0" w:line="2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JOINDER AGREEMENT, dated as of ________________, 20__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 (the “</w:t>
      </w:r>
      <w:r>
        <w:rPr>
          <w:rFonts w:ascii="Times New Roman" w:cs="Times New Roman" w:eastAsia="Times New Roman" w:hAnsi="Times New Roman"/>
          <w:sz w:val="17"/>
          <w:szCs w:val="17"/>
          <w:u w:val="single" w:color="auto"/>
          <w:color w:val="auto"/>
        </w:rPr>
        <w:t>Additional Guarantor</w:t>
      </w:r>
      <w:r>
        <w:rPr>
          <w:rFonts w:ascii="Times New Roman" w:cs="Times New Roman" w:eastAsia="Times New Roman" w:hAnsi="Times New Roman"/>
          <w:sz w:val="17"/>
          <w:szCs w:val="17"/>
          <w:color w:val="auto"/>
        </w:rPr>
        <w:t>”), in favor of JPMorgan Chase Bank, N.A., as administrative agent (in such capacity,</w:t>
      </w:r>
    </w:p>
    <w:p>
      <w:pPr>
        <w:spacing w:after="0" w:line="1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18" w:lineRule="exact"/>
        <w:rPr>
          <w:sz w:val="20"/>
          <w:szCs w:val="20"/>
          <w:color w:val="auto"/>
        </w:rPr>
      </w:pPr>
    </w:p>
    <w:p>
      <w:pPr>
        <w:ind w:right="100" w:firstLine="974"/>
        <w:spacing w:after="0" w:line="249" w:lineRule="auto"/>
        <w:rPr>
          <w:sz w:val="20"/>
          <w:szCs w:val="20"/>
          <w:color w:val="auto"/>
        </w:rPr>
      </w:pPr>
      <w:r>
        <w:rPr>
          <w:rFonts w:ascii="Times New Roman" w:cs="Times New Roman" w:eastAsia="Times New Roman" w:hAnsi="Times New Roman"/>
          <w:sz w:val="18"/>
          <w:szCs w:val="18"/>
          <w:color w:val="auto"/>
        </w:rPr>
        <w:t>WHEREAS, pursuant to the terms of the certain Fifth Amended and Restated Three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from time to time parties thereto, the Lenders from time to time party thereto, the Administrative Agent, Citibank, N.A., as syndication agent, Bank of America, N.A., as co-syndication agent, and the other agents named therein, the Company [has] [and certain of its Subsidiaries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together with the Company and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Fifth Amended and Restated Guarantee Agreement, dated as of March 31,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and</w:t>
      </w:r>
    </w:p>
    <w:p>
      <w:pPr>
        <w:spacing w:after="0" w:line="190" w:lineRule="exact"/>
        <w:rPr>
          <w:sz w:val="20"/>
          <w:szCs w:val="20"/>
          <w:color w:val="auto"/>
        </w:rPr>
      </w:pPr>
    </w:p>
    <w:p>
      <w:pPr>
        <w:ind w:right="480" w:firstLine="974"/>
        <w:spacing w:after="0" w:line="274"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18" w:lineRule="exact"/>
        <w:rPr>
          <w:sz w:val="20"/>
          <w:szCs w:val="20"/>
          <w:color w:val="auto"/>
        </w:rPr>
      </w:pPr>
    </w:p>
    <w:p>
      <w:pPr>
        <w:ind w:firstLine="966"/>
        <w:spacing w:after="0" w:line="255" w:lineRule="auto"/>
        <w:tabs>
          <w:tab w:leader="none" w:pos="115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9" w:lineRule="exact"/>
        <w:rPr>
          <w:rFonts w:ascii="Times New Roman" w:cs="Times New Roman" w:eastAsia="Times New Roman" w:hAnsi="Times New Roman"/>
          <w:sz w:val="18"/>
          <w:szCs w:val="18"/>
          <w:color w:val="auto"/>
        </w:rPr>
      </w:pPr>
    </w:p>
    <w:p>
      <w:pPr>
        <w:ind w:right="320" w:firstLine="966"/>
        <w:spacing w:after="0" w:line="261" w:lineRule="auto"/>
        <w:tabs>
          <w:tab w:leader="none" w:pos="115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0800"/>
          </w:cols>
          <w:pgMar w:left="540" w:top="266" w:right="559" w:bottom="1440" w:gutter="0" w:footer="0" w:header="0"/>
        </w:sectPr>
      </w:pPr>
    </w:p>
    <w:bookmarkStart w:id="401" w:name="page402"/>
    <w:bookmarkEnd w:id="401"/>
    <w:p>
      <w:pPr>
        <w:ind w:left="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undersigned has caused this Joinder Agreement to be duly executed and delivered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15240</wp:posOffset>
            </wp:positionV>
            <wp:extent cx="23837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1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60"/>
          </w:cols>
          <w:pgMar w:left="540" w:top="266" w:right="59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ACCEPTED AND AGREED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15240</wp:posOffset>
            </wp:positionV>
            <wp:extent cx="23583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3583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919"/>
          </w:cols>
          <w:pgMar w:left="540" w:top="266" w:right="1440" w:bottom="1440" w:gutter="0" w:footer="0" w:header="0"/>
        </w:sectPr>
      </w:pPr>
    </w:p>
    <w:bookmarkStart w:id="403" w:name="page404"/>
    <w:bookmarkEnd w:id="403"/>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B</w:t>
      </w:r>
    </w:p>
    <w:p>
      <w:pPr>
        <w:spacing w:after="0" w:line="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[Reserved]</w:t>
      </w:r>
    </w:p>
    <w:p>
      <w:pPr>
        <w:sectPr>
          <w:pgSz w:w="11900" w:h="16838" w:orient="portrait"/>
          <w:cols w:equalWidth="0" w:num="1">
            <w:col w:w="9019"/>
          </w:cols>
          <w:pgMar w:left="1440" w:top="264" w:right="1440" w:bottom="1440" w:gutter="0" w:footer="0" w:header="0"/>
        </w:sectPr>
      </w:pPr>
    </w:p>
    <w:bookmarkStart w:id="404" w:name="page405"/>
    <w:bookmarkEnd w:id="404"/>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C</w:t>
      </w:r>
    </w:p>
    <w:p>
      <w:pPr>
        <w:spacing w:after="0" w:line="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[Reserved]</w:t>
      </w:r>
    </w:p>
    <w:p>
      <w:pPr>
        <w:sectPr>
          <w:pgSz w:w="11900" w:h="16838" w:orient="portrait"/>
          <w:cols w:equalWidth="0" w:num="1">
            <w:col w:w="9019"/>
          </w:cols>
          <w:pgMar w:left="1440" w:top="265" w:right="1440" w:bottom="1440" w:gutter="0" w:footer="0" w:header="0"/>
        </w:sectPr>
      </w:pPr>
    </w:p>
    <w:bookmarkStart w:id="405" w:name="page406"/>
    <w:bookmarkEnd w:id="405"/>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D</w:t>
      </w:r>
    </w:p>
    <w:p>
      <w:pPr>
        <w:spacing w:after="0" w:line="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[Reserved]</w:t>
      </w:r>
    </w:p>
    <w:p>
      <w:pPr>
        <w:sectPr>
          <w:pgSz w:w="11900" w:h="16838" w:orient="portrait"/>
          <w:cols w:equalWidth="0" w:num="1">
            <w:col w:w="9019"/>
          </w:cols>
          <w:pgMar w:left="1440" w:top="265" w:right="1440" w:bottom="1440" w:gutter="0" w:footer="0" w:header="0"/>
        </w:sectPr>
      </w:pPr>
    </w:p>
    <w:bookmarkStart w:id="406" w:name="page407"/>
    <w:bookmarkEnd w:id="406"/>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E</w:t>
      </w:r>
    </w:p>
    <w:p>
      <w:pPr>
        <w:spacing w:after="0" w:line="27"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FORM OF INCREMENTAL LOAN ACTIVATION NOTICE</w:t>
      </w: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 referred to below</w:t>
      </w:r>
    </w:p>
    <w:p>
      <w:pPr>
        <w:spacing w:after="0" w:line="198" w:lineRule="exact"/>
        <w:rPr>
          <w:sz w:val="20"/>
          <w:szCs w:val="20"/>
          <w:color w:val="auto"/>
        </w:rPr>
      </w:pPr>
    </w:p>
    <w:p>
      <w:pPr>
        <w:ind w:right="20" w:firstLine="433"/>
        <w:spacing w:after="0" w:line="269" w:lineRule="auto"/>
        <w:rPr>
          <w:sz w:val="20"/>
          <w:szCs w:val="20"/>
          <w:color w:val="auto"/>
        </w:rPr>
      </w:pPr>
      <w:r>
        <w:rPr>
          <w:rFonts w:ascii="Times New Roman" w:cs="Times New Roman" w:eastAsia="Times New Roman" w:hAnsi="Times New Roman"/>
          <w:sz w:val="17"/>
          <w:szCs w:val="17"/>
          <w:color w:val="auto"/>
        </w:rPr>
        <w:t>Reference is made to the Fifth Amended and Restated Three Year Revolving Credit Agreement, dated as of March 31, 2023,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This notice is an Incremental Loan Activation Notice referred to in the Credit Agreement, and the Company and each of the lenders party hereto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hereby notify you that:</w:t>
      </w:r>
    </w:p>
    <w:p>
      <w:pPr>
        <w:spacing w:after="0" w:line="164" w:lineRule="exact"/>
        <w:rPr>
          <w:sz w:val="20"/>
          <w:szCs w:val="20"/>
          <w:color w:val="auto"/>
        </w:rPr>
      </w:pPr>
    </w:p>
    <w:p>
      <w:pPr>
        <w:ind w:right="200" w:firstLine="966"/>
        <w:spacing w:after="0" w:line="260" w:lineRule="auto"/>
        <w:tabs>
          <w:tab w:leader="none" w:pos="115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party hereto agrees to commit to an Incremental Facility or increase the amount of its existing [Domestic] [L/C Tranche] [Multicurrency] Commitment in the amount set forth opposite such Incremental Lender’s name on the signature pages hereof under the caption “Incremental Commitment”.</w:t>
      </w:r>
    </w:p>
    <w:p>
      <w:pPr>
        <w:spacing w:after="0" w:line="176"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Facility Closing Date][Commitment Increase Date] is ___________________.</w:t>
      </w:r>
    </w:p>
    <w:p>
      <w:pPr>
        <w:spacing w:after="0" w:line="217"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Loan Maturity Date is _____________.]</w:t>
      </w:r>
    </w:p>
    <w:p>
      <w:pPr>
        <w:spacing w:after="0" w:line="217"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available under the Incremental Facility [is][are] _______________________.]</w:t>
      </w:r>
    </w:p>
    <w:p>
      <w:pPr>
        <w:spacing w:after="0" w:line="217"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under the Incremental Facility [is][are] ____________.]</w:t>
      </w:r>
    </w:p>
    <w:p>
      <w:pPr>
        <w:spacing w:after="0" w:line="217" w:lineRule="exact"/>
        <w:rPr>
          <w:rFonts w:ascii="Times New Roman" w:cs="Times New Roman" w:eastAsia="Times New Roman" w:hAnsi="Times New Roman"/>
          <w:sz w:val="18"/>
          <w:szCs w:val="18"/>
          <w:color w:val="auto"/>
        </w:rPr>
      </w:pPr>
    </w:p>
    <w:p>
      <w:pPr>
        <w:ind w:firstLine="966"/>
        <w:spacing w:after="0" w:line="274" w:lineRule="auto"/>
        <w:tabs>
          <w:tab w:leader="none" w:pos="115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 other fees applicable to the Incremental Loans and other extensions of credit to be made available under the Incremental Facility are: ______________________________________________________.]</w:t>
      </w:r>
    </w:p>
    <w:p>
      <w:pPr>
        <w:spacing w:after="0" w:line="164" w:lineRule="exact"/>
        <w:rPr>
          <w:rFonts w:ascii="Times New Roman" w:cs="Times New Roman" w:eastAsia="Times New Roman" w:hAnsi="Times New Roman"/>
          <w:sz w:val="18"/>
          <w:szCs w:val="18"/>
          <w:color w:val="auto"/>
        </w:rPr>
      </w:pPr>
    </w:p>
    <w:p>
      <w:pPr>
        <w:ind w:right="80" w:firstLine="966"/>
        <w:spacing w:after="0" w:line="274" w:lineRule="auto"/>
        <w:tabs>
          <w:tab w:leader="none" w:pos="115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other additional terms applicable to the Incremental Facility, including the borrowing procedures related thereto (in each case, as agreed between the Company and the Incremental Lenders providing such Incremental Loans).]</w:t>
      </w:r>
    </w:p>
    <w:p>
      <w:pPr>
        <w:sectPr>
          <w:pgSz w:w="11900" w:h="16838" w:orient="portrait"/>
          <w:cols w:equalWidth="0" w:num="1">
            <w:col w:w="10820"/>
          </w:cols>
          <w:pgMar w:left="540" w:top="265" w:right="539" w:bottom="1440" w:gutter="0" w:footer="0" w:header="0"/>
        </w:sectPr>
      </w:pPr>
    </w:p>
    <w:bookmarkStart w:id="407" w:name="page408"/>
    <w:bookmarkEnd w:id="407"/>
    <w:p>
      <w:pPr>
        <w:ind w:left="8" w:right="220" w:firstLine="966"/>
        <w:spacing w:after="0" w:line="260" w:lineRule="auto"/>
        <w:tabs>
          <w:tab w:leader="none" w:pos="115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70" w:lineRule="exact"/>
        <w:rPr>
          <w:rFonts w:ascii="Times New Roman" w:cs="Times New Roman" w:eastAsia="Times New Roman" w:hAnsi="Times New Roman"/>
          <w:sz w:val="18"/>
          <w:szCs w:val="18"/>
          <w:color w:val="auto"/>
        </w:rPr>
      </w:pPr>
    </w:p>
    <w:p>
      <w:pPr>
        <w:ind w:left="1648" w:hanging="241"/>
        <w:spacing w:after="0"/>
        <w:tabs>
          <w:tab w:leader="none" w:pos="1648"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this notice, executed and delivered by the Company and each Incremental Lender</w:t>
      </w:r>
    </w:p>
    <w:p>
      <w:pPr>
        <w:spacing w:after="0" w:line="36"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party hereto.</w:t>
      </w:r>
    </w:p>
    <w:p>
      <w:pPr>
        <w:spacing w:after="0" w:line="92" w:lineRule="exact"/>
        <w:rPr>
          <w:rFonts w:ascii="Times New Roman" w:cs="Times New Roman" w:eastAsia="Times New Roman" w:hAnsi="Times New Roman"/>
          <w:sz w:val="17"/>
          <w:szCs w:val="17"/>
          <w:color w:val="auto"/>
        </w:rPr>
      </w:pPr>
    </w:p>
    <w:p>
      <w:pPr>
        <w:ind w:left="8" w:firstLine="1399"/>
        <w:spacing w:after="0" w:line="230" w:lineRule="auto"/>
        <w:tabs>
          <w:tab w:leader="none" w:pos="1666"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(ii) the sum of the Total Commitments in effect (including, for the avoidance of doubt, Incremental Commitments), the 5-Year Total Commitments (including, for the avoidance of doubt, any commitments under incremental facilities under the 5-Year Revolving Credit Agreement in effect) and the aggregate amount of all Ancillary Commitments in effect shall not exceed $17 billion.</w:t>
      </w:r>
    </w:p>
    <w:p>
      <w:pPr>
        <w:spacing w:after="0" w:line="194" w:lineRule="exact"/>
        <w:rPr>
          <w:sz w:val="20"/>
          <w:szCs w:val="20"/>
          <w:color w:val="auto"/>
        </w:rPr>
      </w:pPr>
    </w:p>
    <w:p>
      <w:pPr>
        <w:ind w:left="8" w:right="620" w:firstLine="974"/>
        <w:spacing w:after="0" w:line="274" w:lineRule="auto"/>
        <w:rPr>
          <w:sz w:val="20"/>
          <w:szCs w:val="20"/>
          <w:color w:val="auto"/>
        </w:rPr>
      </w:pPr>
      <w:r>
        <w:rPr>
          <w:rFonts w:ascii="Times New Roman" w:cs="Times New Roman" w:eastAsia="Times New Roman" w:hAnsi="Times New Roman"/>
          <w:sz w:val="18"/>
          <w:szCs w:val="18"/>
          <w:color w:val="auto"/>
        </w:rPr>
        <w:t>9.Upon execution and delivery hereof, each Incremental Lender shall have the rights and obligations of a Lender under the Credit Agreement and the other Loan Documents, and shall be bound by the provisions thereof.</w:t>
      </w:r>
    </w:p>
    <w:p>
      <w:pPr>
        <w:spacing w:after="0" w:line="16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499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94" w:lineRule="exact"/>
        <w:rPr>
          <w:sz w:val="20"/>
          <w:szCs w:val="20"/>
          <w:color w:val="auto"/>
        </w:rPr>
      </w:pPr>
    </w:p>
    <w:p>
      <w:pPr>
        <w:ind w:left="428" w:hanging="428"/>
        <w:spacing w:after="0"/>
        <w:tabs>
          <w:tab w:leader="none" w:pos="428" w:val="left"/>
        </w:tabs>
        <w:numPr>
          <w:ilvl w:val="0"/>
          <w:numId w:val="3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deleted if agreed by the Lenders providing such Incremental Facility.</w:t>
      </w:r>
    </w:p>
    <w:p>
      <w:pPr>
        <w:sectPr>
          <w:pgSz w:w="11900" w:h="16838" w:orient="portrait"/>
          <w:cols w:equalWidth="0" w:num="1">
            <w:col w:w="10768"/>
          </w:cols>
          <w:pgMar w:left="532" w:top="267" w:right="599" w:bottom="1440" w:gutter="0" w:footer="0" w:header="0"/>
        </w:sectPr>
      </w:pPr>
    </w:p>
    <w:bookmarkStart w:id="408" w:name="page409"/>
    <w:bookmarkEnd w:id="408"/>
    <w:tbl>
      <w:tblPr>
        <w:tblLayout w:type="fixed"/>
        <w:tblInd w:w="0" w:type="dxa"/>
        <w:tblCellMar>
          <w:top w:w="0" w:type="dxa"/>
          <w:left w:w="0" w:type="dxa"/>
          <w:bottom w:w="0" w:type="dxa"/>
          <w:right w:w="0" w:type="dxa"/>
        </w:tblCellMar>
      </w:tblPr>
      <w:tr>
        <w:trPr>
          <w:trHeight w:val="232"/>
        </w:trPr>
        <w:tc>
          <w:tcPr>
            <w:tcW w:w="3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424"/>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By:</w:t>
            </w:r>
          </w:p>
        </w:tc>
      </w:tr>
      <w:tr>
        <w:trPr>
          <w:trHeight w:val="200"/>
        </w:trPr>
        <w:tc>
          <w:tcPr>
            <w:tcW w:w="3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r>
      <w:tr>
        <w:trPr>
          <w:trHeight w:val="232"/>
        </w:trPr>
        <w:tc>
          <w:tcPr>
            <w:tcW w:w="3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 Loan Commitment</w:t>
            </w:r>
          </w:p>
        </w:tc>
        <w:tc>
          <w:tcPr>
            <w:tcW w:w="65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[NAME OF EACH INCREMENTAL LENDER]</w:t>
            </w: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24"/>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By:</w:t>
            </w:r>
          </w:p>
        </w:tc>
      </w:tr>
      <w:tr>
        <w:trPr>
          <w:trHeight w:val="200"/>
        </w:trPr>
        <w:tc>
          <w:tcPr>
            <w:tcW w:w="3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86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r>
      <w:tr>
        <w:trPr>
          <w:trHeight w:val="232"/>
        </w:trPr>
        <w:tc>
          <w:tcPr>
            <w:tcW w:w="3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5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RECEIVED BY:</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32"/>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0"/>
        </w:trPr>
        <w:tc>
          <w:tcPr>
            <w:tcW w:w="360" w:type="dxa"/>
            <w:vAlign w:val="bottom"/>
          </w:tcPr>
          <w:p>
            <w:pPr>
              <w:spacing w:after="0"/>
              <w:rPr>
                <w:sz w:val="17"/>
                <w:szCs w:val="17"/>
                <w:color w:val="auto"/>
              </w:rPr>
            </w:pPr>
          </w:p>
        </w:tc>
        <w:tc>
          <w:tcPr>
            <w:tcW w:w="39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32"/>
        </w:trPr>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820"/>
          </w:cols>
          <w:pgMar w:left="540" w:top="267" w:right="53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409" w:name="page410"/>
    <w:bookmarkEnd w:id="409"/>
    <w:p>
      <w:pPr>
        <w:ind w:left="97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F</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LOAN PARTY]</w:t>
      </w:r>
    </w:p>
    <w:p>
      <w:pPr>
        <w:spacing w:after="0" w:line="198"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7"/>
          <w:szCs w:val="17"/>
          <w:color w:val="auto"/>
        </w:rPr>
        <w:t>__________, 20__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Certificate is furnished pursuant to (i) Section 5.1(c) of that certain Fifth Amended and Restated Three Year Revolving Credit Agreement, dated 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March 31, 2023 (as amended, restated, amended and restated, renewed, supplemented or modified from time to time, the “</w:t>
      </w:r>
      <w:r>
        <w:rPr>
          <w:rFonts w:ascii="Times New Roman" w:cs="Times New Roman" w:eastAsia="Times New Roman" w:hAnsi="Times New Roman"/>
          <w:sz w:val="17"/>
          <w:szCs w:val="17"/>
          <w:u w:val="single" w:color="auto"/>
          <w:color w:val="auto"/>
        </w:rPr>
        <w:t>3-Year Credit Agreement</w:t>
      </w:r>
      <w:r>
        <w:rPr>
          <w:rFonts w:ascii="Times New Roman" w:cs="Times New Roman" w:eastAsia="Times New Roman" w:hAnsi="Times New Roman"/>
          <w:sz w:val="17"/>
          <w:szCs w:val="17"/>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Subsidiary Borrowers from time to time party thereto, the lenders from time to time party thereto, as lenders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3-Year Lenders</w:t>
      </w:r>
      <w:r>
        <w:rPr>
          <w:rFonts w:ascii="Times New Roman" w:cs="Times New Roman" w:eastAsia="Times New Roman" w:hAnsi="Times New Roman"/>
          <w:sz w:val="17"/>
          <w:szCs w:val="17"/>
          <w:color w:val="auto"/>
        </w:rPr>
        <w:t>”), JPMorgan Chase Bank, N.A. (“</w:t>
      </w:r>
      <w:r>
        <w:rPr>
          <w:rFonts w:ascii="Times New Roman" w:cs="Times New Roman" w:eastAsia="Times New Roman" w:hAnsi="Times New Roman"/>
          <w:sz w:val="17"/>
          <w:szCs w:val="17"/>
          <w:u w:val="single" w:color="auto"/>
          <w:color w:val="auto"/>
        </w:rPr>
        <w:t>JPM</w:t>
      </w:r>
      <w:r>
        <w:rPr>
          <w:rFonts w:ascii="Times New Roman" w:cs="Times New Roman" w:eastAsia="Times New Roman" w:hAnsi="Times New Roman"/>
          <w:sz w:val="17"/>
          <w:szCs w:val="17"/>
          <w:color w:val="auto"/>
        </w:rPr>
        <w:t>”), as administrative agent for the 3-Year Lenders (in such capacity, together with any successor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thereto in such capacity, the “</w:t>
      </w:r>
      <w:r>
        <w:rPr>
          <w:rFonts w:ascii="Times New Roman" w:cs="Times New Roman" w:eastAsia="Times New Roman" w:hAnsi="Times New Roman"/>
          <w:sz w:val="17"/>
          <w:szCs w:val="17"/>
          <w:u w:val="single" w:color="auto"/>
          <w:color w:val="auto"/>
        </w:rPr>
        <w:t>3-Year Administrative Agent</w:t>
      </w:r>
      <w:r>
        <w:rPr>
          <w:rFonts w:ascii="Times New Roman" w:cs="Times New Roman" w:eastAsia="Times New Roman" w:hAnsi="Times New Roman"/>
          <w:sz w:val="17"/>
          <w:szCs w:val="17"/>
          <w:color w:val="auto"/>
        </w:rPr>
        <w:t>”), Citibank, N.A., as syndication agent (in such capacity, the “</w:t>
      </w:r>
      <w:r>
        <w:rPr>
          <w:rFonts w:ascii="Times New Roman" w:cs="Times New Roman" w:eastAsia="Times New Roman" w:hAnsi="Times New Roman"/>
          <w:sz w:val="17"/>
          <w:szCs w:val="17"/>
          <w:u w:val="single" w:color="auto"/>
          <w:color w:val="auto"/>
        </w:rPr>
        <w:t>Syndication Agent</w:t>
      </w:r>
      <w:r>
        <w:rPr>
          <w:rFonts w:ascii="Times New Roman" w:cs="Times New Roman" w:eastAsia="Times New Roman" w:hAnsi="Times New Roman"/>
          <w:sz w:val="17"/>
          <w:szCs w:val="17"/>
          <w:color w:val="auto"/>
        </w:rPr>
        <w:t>”), Bank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Section 5.1(c) of that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Fourth Amended and Restated Five Year Revolving Credit Agreement, dated as of March 31, 2023 (as amended, restated, amended and restated,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renewed, supplemented or modified from time to time the “</w:t>
      </w:r>
      <w:r>
        <w:rPr>
          <w:rFonts w:ascii="Times New Roman" w:cs="Times New Roman" w:eastAsia="Times New Roman" w:hAnsi="Times New Roman"/>
          <w:sz w:val="17"/>
          <w:szCs w:val="17"/>
          <w:u w:val="single" w:color="auto"/>
          <w:color w:val="auto"/>
        </w:rPr>
        <w:t>5-Year Credit Agreement</w:t>
      </w:r>
      <w:r>
        <w:rPr>
          <w:rFonts w:ascii="Times New Roman" w:cs="Times New Roman" w:eastAsia="Times New Roman" w:hAnsi="Times New Roman"/>
          <w:sz w:val="17"/>
          <w:szCs w:val="17"/>
          <w:color w:val="auto"/>
        </w:rPr>
        <w:t>”), among the Company, GMF, the Subsidiary Borrowers from time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time party thereto, the lenders from time to time party thereto, as lenders (the “</w:t>
      </w:r>
      <w:r>
        <w:rPr>
          <w:rFonts w:ascii="Times New Roman" w:cs="Times New Roman" w:eastAsia="Times New Roman" w:hAnsi="Times New Roman"/>
          <w:sz w:val="17"/>
          <w:szCs w:val="17"/>
          <w:u w:val="single" w:color="auto"/>
          <w:color w:val="auto"/>
        </w:rPr>
        <w:t>5-Year Lenders</w:t>
      </w:r>
      <w:r>
        <w:rPr>
          <w:rFonts w:ascii="Times New Roman" w:cs="Times New Roman" w:eastAsia="Times New Roman" w:hAnsi="Times New Roman"/>
          <w:sz w:val="17"/>
          <w:szCs w:val="17"/>
          <w:color w:val="auto"/>
        </w:rPr>
        <w:t>”), JPM, as administrative agent for the 5-Year Lenders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5-Year Administrative Agent</w:t>
      </w:r>
      <w:r>
        <w:rPr>
          <w:rFonts w:ascii="Times New Roman" w:cs="Times New Roman" w:eastAsia="Times New Roman" w:hAnsi="Times New Roman"/>
          <w:sz w:val="17"/>
          <w:szCs w:val="17"/>
          <w:color w:val="auto"/>
        </w:rPr>
        <w:t>”), the Syndication Agent, the Co-Syndication Agent, and the other agents party thereto and (iii) Section 5.1(c)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-14605</wp:posOffset>
            </wp:positionV>
            <wp:extent cx="2794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certain Fifth Amended and Restated 364-Day Revolving Credit Agreement, dated as of March 31, 2023, as amended, restated, amended and restated,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renewed, supplemented or modified from time to time (the “</w:t>
      </w:r>
      <w:r>
        <w:rPr>
          <w:rFonts w:ascii="Times New Roman" w:cs="Times New Roman" w:eastAsia="Times New Roman" w:hAnsi="Times New Roman"/>
          <w:sz w:val="17"/>
          <w:szCs w:val="17"/>
          <w:u w:val="single" w:color="auto"/>
          <w:color w:val="auto"/>
        </w:rPr>
        <w:t>364-Day Credit Agreement</w:t>
      </w:r>
      <w:r>
        <w:rPr>
          <w:rFonts w:ascii="Times New Roman" w:cs="Times New Roman" w:eastAsia="Times New Roman" w:hAnsi="Times New Roman"/>
          <w:sz w:val="17"/>
          <w:szCs w:val="17"/>
          <w:color w:val="auto"/>
        </w:rPr>
        <w:t>” and together with the 3-Year Credit Agreement and the 5-Year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Agreement, the “</w:t>
      </w:r>
      <w:r>
        <w:rPr>
          <w:rFonts w:ascii="Times New Roman" w:cs="Times New Roman" w:eastAsia="Times New Roman" w:hAnsi="Times New Roman"/>
          <w:sz w:val="17"/>
          <w:szCs w:val="17"/>
          <w:u w:val="single" w:color="auto"/>
          <w:color w:val="auto"/>
        </w:rPr>
        <w:t>Credit Agreements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the Company, GMF, the Subsidiary Borrowers from time to time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thereto, the lenders from time to time party thereto, as lenders (the “</w:t>
      </w:r>
      <w:r>
        <w:rPr>
          <w:rFonts w:ascii="Times New Roman" w:cs="Times New Roman" w:eastAsia="Times New Roman" w:hAnsi="Times New Roman"/>
          <w:sz w:val="18"/>
          <w:szCs w:val="18"/>
          <w:u w:val="single" w:color="auto"/>
          <w:color w:val="auto"/>
        </w:rPr>
        <w:t>364-Day Lenders</w:t>
      </w:r>
      <w:r>
        <w:rPr>
          <w:rFonts w:ascii="Times New Roman" w:cs="Times New Roman" w:eastAsia="Times New Roman" w:hAnsi="Times New Roman"/>
          <w:sz w:val="18"/>
          <w:szCs w:val="18"/>
          <w:color w:val="auto"/>
        </w:rPr>
        <w:t>” and together with the 3-Year Lenders and the 5-Year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Lenders,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 as the Administrative Agent for the 364-Day Lenders (the “</w:t>
      </w:r>
      <w:r>
        <w:rPr>
          <w:rFonts w:ascii="Times New Roman" w:cs="Times New Roman" w:eastAsia="Times New Roman" w:hAnsi="Times New Roman"/>
          <w:sz w:val="17"/>
          <w:szCs w:val="17"/>
          <w:u w:val="single" w:color="auto"/>
          <w:color w:val="auto"/>
        </w:rPr>
        <w:t>364-Day Administrative Agent</w:t>
      </w:r>
      <w:r>
        <w:rPr>
          <w:rFonts w:ascii="Times New Roman" w:cs="Times New Roman" w:eastAsia="Times New Roman" w:hAnsi="Times New Roman"/>
          <w:sz w:val="17"/>
          <w:szCs w:val="17"/>
          <w:color w:val="auto"/>
        </w:rPr>
        <w:t>” and together with the 3-Year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agents party thereto. Unless otherwise defined herein, capitalized terms used in this Certificate have the meanings assigned to such terms in each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w:t>
      </w:r>
    </w:p>
    <w:p>
      <w:pPr>
        <w:sectPr>
          <w:pgSz w:w="11900" w:h="16838" w:orient="portrait"/>
          <w:cols w:equalWidth="0" w:num="1">
            <w:col w:w="10820"/>
          </w:cols>
          <w:pgMar w:left="540" w:top="265" w:right="539" w:bottom="1440" w:gutter="0" w:footer="0" w:header="0"/>
        </w:sectPr>
      </w:pPr>
    </w:p>
    <w:bookmarkStart w:id="410" w:name="page411"/>
    <w:bookmarkEnd w:id="410"/>
    <w:p>
      <w:pPr>
        <w:ind w:right="500"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 the undersigned, [Assistant] Secretary of [the Company] [Name of Loan Party], a Delaware [corporation][limited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in the name and on behalf of the Company, and without assuming any personal liability, that:</w:t>
      </w:r>
    </w:p>
    <w:p>
      <w:pPr>
        <w:spacing w:after="0" w:line="164" w:lineRule="exact"/>
        <w:rPr>
          <w:sz w:val="20"/>
          <w:szCs w:val="20"/>
          <w:color w:val="auto"/>
        </w:rPr>
      </w:pPr>
    </w:p>
    <w:p>
      <w:pPr>
        <w:jc w:val="both"/>
        <w:ind w:right="300" w:firstLine="425"/>
        <w:spacing w:after="0" w:line="255" w:lineRule="auto"/>
        <w:tabs>
          <w:tab w:leader="none" w:pos="61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81" w:lineRule="exact"/>
        <w:rPr>
          <w:rFonts w:ascii="Times New Roman" w:cs="Times New Roman" w:eastAsia="Times New Roman" w:hAnsi="Times New Roman"/>
          <w:sz w:val="18"/>
          <w:szCs w:val="18"/>
          <w:color w:val="auto"/>
        </w:rPr>
      </w:pPr>
    </w:p>
    <w:p>
      <w:pPr>
        <w:ind w:right="780" w:firstLine="425"/>
        <w:spacing w:after="0" w:line="274" w:lineRule="auto"/>
        <w:tabs>
          <w:tab w:leader="none" w:pos="61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[by-laws][Limited Liability Company Agreement][Operating Agreement] of the Company as in effect on the date hereof.</w:t>
      </w:r>
    </w:p>
    <w:p>
      <w:pPr>
        <w:spacing w:after="0" w:line="164" w:lineRule="exact"/>
        <w:rPr>
          <w:rFonts w:ascii="Times New Roman" w:cs="Times New Roman" w:eastAsia="Times New Roman" w:hAnsi="Times New Roman"/>
          <w:sz w:val="18"/>
          <w:szCs w:val="18"/>
          <w:color w:val="auto"/>
        </w:rPr>
      </w:pPr>
    </w:p>
    <w:p>
      <w:pPr>
        <w:ind w:firstLine="425"/>
        <w:spacing w:after="0" w:line="251" w:lineRule="auto"/>
        <w:tabs>
          <w:tab w:leader="none" w:pos="61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III is a true, correct and complete copy of resolutions duly adopted by the Board of [Directors] [Managers] of the Company [at a meeting thereof] [by written consent] as of the ___ day of 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86" w:lineRule="exact"/>
        <w:rPr>
          <w:rFonts w:ascii="Times New Roman" w:cs="Times New Roman" w:eastAsia="Times New Roman" w:hAnsi="Times New Roman"/>
          <w:sz w:val="18"/>
          <w:szCs w:val="18"/>
          <w:color w:val="auto"/>
        </w:rPr>
      </w:pPr>
    </w:p>
    <w:p>
      <w:pPr>
        <w:ind w:right="140" w:firstLine="425"/>
        <w:spacing w:after="0" w:line="274" w:lineRule="auto"/>
        <w:tabs>
          <w:tab w:leader="none" w:pos="61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760"/>
          </w:cols>
          <w:pgMar w:left="540" w:top="267" w:right="599" w:bottom="1440" w:gutter="0" w:footer="0" w:header="0"/>
        </w:sectPr>
      </w:pPr>
    </w:p>
    <w:bookmarkStart w:id="411" w:name="page412"/>
    <w:bookmarkEnd w:id="411"/>
    <w:p>
      <w:pPr>
        <w:ind w:left="42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175260</wp:posOffset>
            </wp:positionV>
            <wp:extent cx="27463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290"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31" w:lineRule="exact"/>
        <w:rPr>
          <w:sz w:val="20"/>
          <w:szCs w:val="20"/>
          <w:color w:val="auto"/>
        </w:rPr>
      </w:pPr>
    </w:p>
    <w:p>
      <w:pPr>
        <w:ind w:left="8" w:firstLine="433"/>
        <w:spacing w:after="0" w:line="274"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164" w:lineRule="exact"/>
        <w:rPr>
          <w:sz w:val="20"/>
          <w:szCs w:val="20"/>
          <w:color w:val="auto"/>
        </w:rPr>
      </w:pPr>
    </w:p>
    <w:p>
      <w:pPr>
        <w:ind w:left="8" w:right="560" w:firstLine="425"/>
        <w:spacing w:after="0" w:line="274" w:lineRule="auto"/>
        <w:tabs>
          <w:tab w:leader="none" w:pos="61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 is [a] [the] duly elected and qualified [Assistant] Secretary of the Company and the signature above is [his][her] genuine signature.</w:t>
      </w:r>
    </w:p>
    <w:p>
      <w:pPr>
        <w:spacing w:after="0" w:line="164" w:lineRule="exact"/>
        <w:rPr>
          <w:rFonts w:ascii="Times New Roman" w:cs="Times New Roman" w:eastAsia="Times New Roman" w:hAnsi="Times New Roman"/>
          <w:sz w:val="18"/>
          <w:szCs w:val="18"/>
          <w:color w:val="auto"/>
        </w:rPr>
      </w:pPr>
    </w:p>
    <w:p>
      <w:pPr>
        <w:ind w:left="8" w:right="40" w:hanging="8"/>
        <w:spacing w:after="0" w:line="264" w:lineRule="auto"/>
        <w:tabs>
          <w:tab w:leader="none" w:pos="18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Times New Roman" w:cs="Times New Roman" w:eastAsia="Times New Roman" w:hAnsi="Times New Roman"/>
          <w:sz w:val="26"/>
          <w:szCs w:val="26"/>
          <w:color w:val="auto"/>
          <w:vertAlign w:val="superscript"/>
        </w:rPr>
        <w:t>1</w:t>
      </w:r>
    </w:p>
    <w:p>
      <w:pPr>
        <w:spacing w:after="0" w:line="49" w:lineRule="exact"/>
        <w:rPr>
          <w:rFonts w:ascii="Times New Roman" w:cs="Times New Roman" w:eastAsia="Times New Roman" w:hAnsi="Times New Roman"/>
          <w:sz w:val="18"/>
          <w:szCs w:val="18"/>
          <w:color w:val="auto"/>
        </w:rPr>
      </w:pPr>
    </w:p>
    <w:p>
      <w:pPr>
        <w:ind w:left="168" w:hanging="168"/>
        <w:spacing w:after="0"/>
        <w:tabs>
          <w:tab w:leader="none" w:pos="16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has occurred and is continuing as of the date hereof.] </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116840</wp:posOffset>
            </wp:positionV>
            <wp:extent cx="274637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198"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499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05" w:lineRule="exact"/>
        <w:rPr>
          <w:sz w:val="20"/>
          <w:szCs w:val="20"/>
          <w:color w:val="auto"/>
        </w:rPr>
      </w:pPr>
    </w:p>
    <w:p>
      <w:pPr>
        <w:ind w:left="428" w:hanging="428"/>
        <w:spacing w:after="0"/>
        <w:tabs>
          <w:tab w:leader="none" w:pos="428" w:val="left"/>
        </w:tabs>
        <w:numPr>
          <w:ilvl w:val="0"/>
          <w:numId w:val="3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Certificate relating to General Motors Company only.</w:t>
      </w:r>
    </w:p>
    <w:p>
      <w:pPr>
        <w:ind w:left="428" w:hanging="428"/>
        <w:spacing w:after="0" w:line="184" w:lineRule="auto"/>
        <w:tabs>
          <w:tab w:leader="none" w:pos="428" w:val="left"/>
        </w:tabs>
        <w:numPr>
          <w:ilvl w:val="0"/>
          <w:numId w:val="3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To be included in Certificate relating to General Motors Company only.</w:t>
      </w:r>
    </w:p>
    <w:p>
      <w:pPr>
        <w:sectPr>
          <w:pgSz w:w="11900" w:h="16838" w:orient="portrait"/>
          <w:cols w:equalWidth="0" w:num="1">
            <w:col w:w="10808"/>
          </w:cols>
          <w:pgMar w:left="532" w:top="267" w:right="559" w:bottom="1440" w:gutter="0" w:footer="0" w:header="0"/>
        </w:sectPr>
      </w:pPr>
    </w:p>
    <w:bookmarkStart w:id="412" w:name="page413"/>
    <w:bookmarkEnd w:id="412"/>
    <w:p>
      <w:pPr>
        <w:jc w:val="center"/>
        <w:ind w:left="101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I</w:t>
      </w:r>
    </w:p>
    <w:p>
      <w:pPr>
        <w:spacing w:after="0" w:line="36" w:lineRule="exact"/>
        <w:rPr>
          <w:sz w:val="20"/>
          <w:szCs w:val="20"/>
          <w:color w:val="auto"/>
        </w:rPr>
      </w:pPr>
    </w:p>
    <w:p>
      <w:pPr>
        <w:jc w:val="center"/>
        <w:ind w:left="998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10080"/>
        <w:spacing w:after="0"/>
        <w:rPr>
          <w:sz w:val="20"/>
          <w:szCs w:val="20"/>
          <w:color w:val="auto"/>
        </w:rPr>
      </w:pPr>
      <w:r>
        <w:rPr>
          <w:rFonts w:ascii="Times New Roman" w:cs="Times New Roman" w:eastAsia="Times New Roman" w:hAnsi="Times New Roman"/>
          <w:sz w:val="17"/>
          <w:szCs w:val="17"/>
          <w:color w:val="auto"/>
        </w:rPr>
        <w:t>Certificate</w:t>
      </w:r>
    </w:p>
    <w:p>
      <w:pPr>
        <w:spacing w:after="0" w:line="21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[Copy of the Certificate of [Incorporation][Formation]]</w:t>
      </w:r>
    </w:p>
    <w:p>
      <w:pPr>
        <w:spacing w:after="0" w:line="3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920"/>
          </w:cols>
          <w:pgMar w:left="1440" w:top="266" w:right="539" w:bottom="1440" w:gutter="0" w:footer="0" w:header="0"/>
        </w:sectPr>
      </w:pPr>
    </w:p>
    <w:bookmarkStart w:id="413" w:name="page414"/>
    <w:bookmarkEnd w:id="413"/>
    <w:p>
      <w:pPr>
        <w:jc w:val="center"/>
        <w:ind w:left="100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II</w:t>
      </w:r>
    </w:p>
    <w:p>
      <w:pPr>
        <w:spacing w:after="0" w:line="36" w:lineRule="exact"/>
        <w:rPr>
          <w:sz w:val="20"/>
          <w:szCs w:val="20"/>
          <w:color w:val="auto"/>
        </w:rPr>
      </w:pPr>
    </w:p>
    <w:p>
      <w:pPr>
        <w:jc w:val="center"/>
        <w:ind w:left="998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10080"/>
        <w:spacing w:after="0"/>
        <w:rPr>
          <w:sz w:val="20"/>
          <w:szCs w:val="20"/>
          <w:color w:val="auto"/>
        </w:rPr>
      </w:pPr>
      <w:r>
        <w:rPr>
          <w:rFonts w:ascii="Times New Roman" w:cs="Times New Roman" w:eastAsia="Times New Roman" w:hAnsi="Times New Roman"/>
          <w:sz w:val="17"/>
          <w:szCs w:val="17"/>
          <w:color w:val="auto"/>
        </w:rPr>
        <w:t>Certificate</w:t>
      </w:r>
    </w:p>
    <w:p>
      <w:pPr>
        <w:spacing w:after="0" w:line="21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[Copy of the [by-laws] [Limited Liability Company Agreement][Operating Agreement]</w:t>
      </w:r>
    </w:p>
    <w:p>
      <w:pPr>
        <w:spacing w:after="0" w:line="3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920"/>
          </w:cols>
          <w:pgMar w:left="1440" w:top="266" w:right="539" w:bottom="1440" w:gutter="0" w:footer="0" w:header="0"/>
        </w:sectPr>
      </w:pPr>
    </w:p>
    <w:bookmarkStart w:id="414" w:name="page415"/>
    <w:bookmarkEnd w:id="414"/>
    <w:p>
      <w:pPr>
        <w:jc w:val="center"/>
        <w:ind w:left="9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III</w:t>
      </w:r>
    </w:p>
    <w:p>
      <w:pPr>
        <w:spacing w:after="0" w:line="3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7"/>
          <w:szCs w:val="17"/>
          <w:color w:val="auto"/>
        </w:rPr>
        <w:t>Certificate</w:t>
      </w:r>
    </w:p>
    <w:p>
      <w:pPr>
        <w:spacing w:after="0" w:line="2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Resolutions of the Board of [Directors] [Managers] of [Name of Loan Party]</w:t>
      </w:r>
    </w:p>
    <w:p>
      <w:pPr>
        <w:sectPr>
          <w:pgSz w:w="11900" w:h="16838" w:orient="portrait"/>
          <w:cols w:equalWidth="0" w:num="1">
            <w:col w:w="9920"/>
          </w:cols>
          <w:pgMar w:left="1440" w:top="266" w:right="539" w:bottom="1440" w:gutter="0" w:footer="0" w:header="0"/>
        </w:sectPr>
      </w:pPr>
    </w:p>
    <w:bookmarkStart w:id="415" w:name="page416"/>
    <w:bookmarkEnd w:id="415"/>
    <w:p>
      <w:pPr>
        <w:jc w:val="center"/>
        <w:ind w:left="9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IV</w:t>
      </w:r>
    </w:p>
    <w:p>
      <w:pPr>
        <w:spacing w:after="0" w:line="36"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7"/>
          <w:szCs w:val="17"/>
          <w:color w:val="auto"/>
        </w:rPr>
        <w:t>Certificate</w:t>
      </w:r>
    </w:p>
    <w:p>
      <w:pPr>
        <w:spacing w:after="0" w:line="232" w:lineRule="exact"/>
        <w:rPr>
          <w:sz w:val="20"/>
          <w:szCs w:val="20"/>
          <w:color w:val="auto"/>
        </w:rPr>
      </w:pPr>
    </w:p>
    <w:p>
      <w:pPr>
        <w:spacing w:after="0"/>
        <w:tabs>
          <w:tab w:leader="none" w:pos="5440" w:val="left"/>
          <w:tab w:leader="none" w:pos="8860" w:val="left"/>
        </w:tabs>
        <w:rPr>
          <w:sz w:val="20"/>
          <w:szCs w:val="20"/>
          <w:color w:val="auto"/>
        </w:rPr>
      </w:pPr>
      <w:r>
        <w:rPr>
          <w:rFonts w:ascii="Times New Roman" w:cs="Times New Roman" w:eastAsia="Times New Roman" w:hAnsi="Times New Roman"/>
          <w:sz w:val="14"/>
          <w:szCs w:val="14"/>
          <w:u w:val="single" w:color="auto"/>
          <w:color w:val="auto"/>
        </w:rPr>
        <w:t>Name of Officer</w:t>
      </w:r>
      <w:r>
        <w:rPr>
          <w:sz w:val="20"/>
          <w:szCs w:val="20"/>
          <w:color w:val="auto"/>
        </w:rPr>
        <w:tab/>
      </w:r>
      <w:r>
        <w:rPr>
          <w:rFonts w:ascii="Times New Roman" w:cs="Times New Roman" w:eastAsia="Times New Roman" w:hAnsi="Times New Roman"/>
          <w:sz w:val="14"/>
          <w:szCs w:val="14"/>
          <w:color w:val="auto"/>
        </w:rPr>
        <w:t>Office</w:t>
      </w:r>
      <w:r>
        <w:rPr>
          <w:sz w:val="20"/>
          <w:szCs w:val="20"/>
          <w:color w:val="auto"/>
        </w:rPr>
        <w:tab/>
      </w: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13335</wp:posOffset>
            </wp:positionV>
            <wp:extent cx="438848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388485" cy="8255"/>
                    </a:xfrm>
                    <a:prstGeom prst="rect">
                      <a:avLst/>
                    </a:prstGeom>
                    <a:noFill/>
                  </pic:spPr>
                </pic:pic>
              </a:graphicData>
            </a:graphic>
          </wp:anchor>
        </w:drawing>
      </w:r>
    </w:p>
    <w:p>
      <w:pPr>
        <w:sectPr>
          <w:pgSz w:w="11900" w:h="16838" w:orient="portrait"/>
          <w:cols w:equalWidth="0" w:num="1">
            <w:col w:w="10820"/>
          </w:cols>
          <w:pgMar w:left="540" w:top="267" w:right="539" w:bottom="1440" w:gutter="0" w:footer="0" w:header="0"/>
        </w:sectPr>
      </w:pPr>
    </w:p>
    <w:bookmarkStart w:id="416" w:name="page417"/>
    <w:bookmarkEnd w:id="416"/>
    <w:p>
      <w:pPr>
        <w:ind w:left="988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G</w:t>
      </w:r>
    </w:p>
    <w:p>
      <w:pPr>
        <w:spacing w:after="0" w:line="38" w:lineRule="exact"/>
        <w:rPr>
          <w:sz w:val="20"/>
          <w:szCs w:val="20"/>
          <w:color w:val="auto"/>
        </w:rPr>
      </w:pPr>
    </w:p>
    <w:p>
      <w:pPr>
        <w:ind w:left="10328"/>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ind w:left="9468"/>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18" w:lineRule="exact"/>
        <w:rPr>
          <w:sz w:val="20"/>
          <w:szCs w:val="20"/>
          <w:color w:val="auto"/>
        </w:rPr>
      </w:pPr>
    </w:p>
    <w:p>
      <w:pPr>
        <w:ind w:left="8" w:right="20" w:firstLine="433"/>
        <w:spacing w:after="0" w:line="252"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4" w:lineRule="exact"/>
        <w:rPr>
          <w:sz w:val="20"/>
          <w:szCs w:val="20"/>
          <w:color w:val="auto"/>
        </w:rPr>
      </w:pPr>
    </w:p>
    <w:p>
      <w:pPr>
        <w:ind w:left="8" w:firstLine="433"/>
        <w:spacing w:after="0" w:line="248"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219" w:lineRule="exact"/>
        <w:rPr>
          <w:sz w:val="20"/>
          <w:szCs w:val="20"/>
          <w:color w:val="auto"/>
        </w:rPr>
      </w:pPr>
    </w:p>
    <w:p>
      <w:pPr>
        <w:ind w:left="768" w:hanging="768"/>
        <w:spacing w:after="0"/>
        <w:tabs>
          <w:tab w:leader="none" w:pos="768"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111" w:lineRule="exact"/>
        <w:rPr>
          <w:rFonts w:ascii="Times New Roman" w:cs="Times New Roman" w:eastAsia="Times New Roman" w:hAnsi="Times New Roman"/>
          <w:sz w:val="18"/>
          <w:szCs w:val="18"/>
          <w:color w:val="auto"/>
        </w:rPr>
      </w:pPr>
    </w:p>
    <w:p>
      <w:pPr>
        <w:ind w:left="768" w:hanging="768"/>
        <w:spacing w:after="0"/>
        <w:tabs>
          <w:tab w:leader="none" w:pos="768"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-212090</wp:posOffset>
            </wp:positionV>
            <wp:extent cx="17119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71196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-9525</wp:posOffset>
            </wp:positionV>
            <wp:extent cx="171196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89" w:lineRule="exact"/>
        <w:rPr>
          <w:sz w:val="20"/>
          <w:szCs w:val="20"/>
          <w:color w:val="auto"/>
        </w:rPr>
      </w:pPr>
    </w:p>
    <w:p>
      <w:pPr>
        <w:ind w:left="2608"/>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t>
      </w:r>
    </w:p>
    <w:p>
      <w:pPr>
        <w:spacing w:after="0" w:line="41" w:lineRule="exact"/>
        <w:rPr>
          <w:sz w:val="20"/>
          <w:szCs w:val="20"/>
          <w:color w:val="auto"/>
        </w:rPr>
      </w:pPr>
    </w:p>
    <w:p>
      <w:pPr>
        <w:ind w:left="768" w:hanging="768"/>
        <w:spacing w:after="0"/>
        <w:tabs>
          <w:tab w:leader="none" w:pos="76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-22225</wp:posOffset>
            </wp:positionV>
            <wp:extent cx="17119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232"/>
        </w:trPr>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73"/>
              </w:rPr>
              <w:t>4.</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Administrative Agent:</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JPMorgan Chase Bank, N.A., as the administrative agent under the Credit Agreement</w:t>
            </w:r>
          </w:p>
        </w:tc>
      </w:tr>
      <w:tr>
        <w:trPr>
          <w:trHeight w:val="299"/>
        </w:trPr>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73"/>
              </w:rPr>
              <w:t>5.</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Agreement:</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[The Fifth Amended and Restated Three Year Revolving Credit Agreement, dated as of March 31, 2023 (as</w:t>
            </w:r>
          </w:p>
        </w:tc>
      </w:tr>
      <w:tr>
        <w:trPr>
          <w:trHeight w:val="232"/>
        </w:trPr>
        <w:tc>
          <w:tcPr>
            <w:tcW w:w="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amended, restated, amended and restated, renewed, supplemented or modified from time to time,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243840</wp:posOffset>
            </wp:positionV>
            <wp:extent cx="7499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306" w:lineRule="exact"/>
        <w:rPr>
          <w:sz w:val="20"/>
          <w:szCs w:val="20"/>
          <w:color w:val="auto"/>
        </w:rPr>
      </w:pPr>
    </w:p>
    <w:p>
      <w:pPr>
        <w:ind w:left="428" w:hanging="428"/>
        <w:spacing w:after="0"/>
        <w:tabs>
          <w:tab w:leader="none" w:pos="428" w:val="left"/>
        </w:tabs>
        <w:numPr>
          <w:ilvl w:val="0"/>
          <w:numId w:val="33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Select as applicable.</w:t>
      </w:r>
    </w:p>
    <w:p>
      <w:pPr>
        <w:sectPr>
          <w:pgSz w:w="11900" w:h="16838" w:orient="portrait"/>
          <w:cols w:equalWidth="0" w:num="1">
            <w:col w:w="10828"/>
          </w:cols>
          <w:pgMar w:left="532" w:top="265" w:right="539" w:bottom="1440" w:gutter="0" w:footer="0" w:header="0"/>
        </w:sectPr>
      </w:pPr>
    </w:p>
    <w:bookmarkStart w:id="417" w:name="page418"/>
    <w:bookmarkEnd w:id="417"/>
    <w:p>
      <w:pPr>
        <w:ind w:left="2708" w:right="6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“Credit Agreement”), among General Motors Company, a Delaware corporation (together with its successors and permitted assigns, the “Company”), General Motors Financial Company, Inc., a Texas corporation, the Subsidiary Borrowers from time to time party thereto, the lenders from time to time party thereto (together with their respective successors and permitted assigns, collectively, the “Lenders”),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6.    Assigned Interest:</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Facility Assigned</w:t>
            </w:r>
            <w:r>
              <w:rPr>
                <w:rFonts w:ascii="Times New Roman" w:cs="Times New Roman" w:eastAsia="Times New Roman" w:hAnsi="Times New Roman"/>
                <w:sz w:val="10"/>
                <w:szCs w:val="10"/>
                <w:color w:val="auto"/>
              </w:rPr>
              <w:t>2</w:t>
            </w:r>
          </w:p>
        </w:tc>
        <w:tc>
          <w:tcPr>
            <w:tcW w:w="35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Aggregate Amount of Commitment/Loans</w:t>
            </w:r>
          </w:p>
        </w:tc>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 of Commitment/Loans Assigned</w:t>
            </w:r>
          </w:p>
        </w:tc>
        <w:tc>
          <w:tcPr>
            <w:tcW w:w="2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Percentage Assigned of</w:t>
            </w:r>
          </w:p>
        </w:tc>
      </w:tr>
      <w:tr>
        <w:trPr>
          <w:trHeight w:val="150"/>
        </w:trPr>
        <w:tc>
          <w:tcPr>
            <w:tcW w:w="1980" w:type="dxa"/>
            <w:vAlign w:val="bottom"/>
          </w:tcPr>
          <w:p>
            <w:pPr>
              <w:spacing w:after="0"/>
              <w:rPr>
                <w:sz w:val="13"/>
                <w:szCs w:val="13"/>
                <w:color w:val="auto"/>
              </w:rPr>
            </w:pPr>
          </w:p>
        </w:tc>
        <w:tc>
          <w:tcPr>
            <w:tcW w:w="3520" w:type="dxa"/>
            <w:vAlign w:val="bottom"/>
          </w:tcPr>
          <w:p>
            <w:pPr>
              <w:ind w:left="960"/>
              <w:spacing w:after="0" w:line="150" w:lineRule="exact"/>
              <w:rPr>
                <w:sz w:val="20"/>
                <w:szCs w:val="20"/>
                <w:color w:val="auto"/>
              </w:rPr>
            </w:pPr>
            <w:r>
              <w:rPr>
                <w:rFonts w:ascii="Times New Roman" w:cs="Times New Roman" w:eastAsia="Times New Roman" w:hAnsi="Times New Roman"/>
                <w:sz w:val="14"/>
                <w:szCs w:val="14"/>
                <w:color w:val="auto"/>
              </w:rPr>
              <w:t>for all Lenders</w:t>
            </w:r>
          </w:p>
        </w:tc>
        <w:tc>
          <w:tcPr>
            <w:tcW w:w="2660" w:type="dxa"/>
            <w:vAlign w:val="bottom"/>
          </w:tcPr>
          <w:p>
            <w:pPr>
              <w:spacing w:after="0"/>
              <w:rPr>
                <w:sz w:val="13"/>
                <w:szCs w:val="13"/>
                <w:color w:val="auto"/>
              </w:rPr>
            </w:pPr>
          </w:p>
        </w:tc>
        <w:tc>
          <w:tcPr>
            <w:tcW w:w="2660" w:type="dxa"/>
            <w:vAlign w:val="bottom"/>
          </w:tcPr>
          <w:p>
            <w:pPr>
              <w:ind w:left="180"/>
              <w:spacing w:after="0" w:line="150" w:lineRule="exact"/>
              <w:rPr>
                <w:sz w:val="20"/>
                <w:szCs w:val="20"/>
                <w:color w:val="auto"/>
              </w:rPr>
            </w:pPr>
            <w:r>
              <w:rPr>
                <w:rFonts w:ascii="Times New Roman" w:cs="Times New Roman" w:eastAsia="Times New Roman" w:hAnsi="Times New Roman"/>
                <w:sz w:val="14"/>
                <w:szCs w:val="14"/>
                <w:color w:val="auto"/>
              </w:rPr>
              <w:t>Commitment/Loans</w:t>
            </w:r>
            <w:r>
              <w:rPr>
                <w:rFonts w:ascii="Times New Roman" w:cs="Times New Roman" w:eastAsia="Times New Roman" w:hAnsi="Times New Roman"/>
                <w:sz w:val="10"/>
                <w:szCs w:val="10"/>
                <w:color w:val="auto"/>
              </w:rPr>
              <w:t>3</w:t>
            </w:r>
          </w:p>
        </w:tc>
      </w:tr>
      <w:tr>
        <w:trPr>
          <w:trHeight w:val="212"/>
        </w:trPr>
        <w:tc>
          <w:tcPr>
            <w:tcW w:w="1980" w:type="dxa"/>
            <w:vAlign w:val="bottom"/>
          </w:tcPr>
          <w:p>
            <w:pPr>
              <w:spacing w:after="0"/>
              <w:rPr>
                <w:sz w:val="18"/>
                <w:szCs w:val="18"/>
                <w:color w:val="auto"/>
              </w:rPr>
            </w:pPr>
          </w:p>
        </w:tc>
        <w:tc>
          <w:tcPr>
            <w:tcW w:w="3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80" w:type="dxa"/>
            <w:vAlign w:val="bottom"/>
          </w:tcPr>
          <w:p>
            <w:pPr>
              <w:spacing w:after="0"/>
              <w:rPr>
                <w:sz w:val="18"/>
                <w:szCs w:val="18"/>
                <w:color w:val="auto"/>
              </w:rPr>
            </w:pPr>
          </w:p>
        </w:tc>
        <w:tc>
          <w:tcPr>
            <w:tcW w:w="3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Pr>
          <w:p>
            <w:pPr>
              <w:spacing w:after="0"/>
              <w:rPr>
                <w:sz w:val="20"/>
                <w:szCs w:val="20"/>
                <w:color w:val="auto"/>
              </w:rPr>
            </w:pPr>
          </w:p>
        </w:tc>
        <w:tc>
          <w:tcPr>
            <w:tcW w:w="3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 OF RECORDATION OF TRANSFER IN THE REGISTER THEREFOR.]</w:t>
      </w:r>
    </w:p>
    <w:p>
      <w:pPr>
        <w:spacing w:after="0" w:line="198" w:lineRule="exact"/>
        <w:rPr>
          <w:sz w:val="20"/>
          <w:szCs w:val="20"/>
          <w:color w:val="auto"/>
        </w:rPr>
      </w:pPr>
    </w:p>
    <w:p>
      <w:pPr>
        <w:ind w:left="8" w:right="280"/>
        <w:spacing w:after="0" w:line="255"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499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35" w:lineRule="exact"/>
        <w:rPr>
          <w:sz w:val="20"/>
          <w:szCs w:val="20"/>
          <w:color w:val="auto"/>
        </w:rPr>
      </w:pPr>
    </w:p>
    <w:p>
      <w:pPr>
        <w:ind w:left="428" w:right="520" w:hanging="428"/>
        <w:spacing w:after="0" w:line="205" w:lineRule="auto"/>
        <w:tabs>
          <w:tab w:leader="none" w:pos="428" w:val="left"/>
        </w:tabs>
        <w:numPr>
          <w:ilvl w:val="0"/>
          <w:numId w:val="3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Fill in the appropriate terminology for the types of facilities under the Credit Agreement that are being assigned under this Assignment (e.g. “Domestic Commitment,” “L/C Commitment,” or “Multicurrency Commitment,” etc.)</w:t>
      </w:r>
    </w:p>
    <w:p>
      <w:pPr>
        <w:ind w:left="428" w:hanging="428"/>
        <w:spacing w:after="0" w:line="186" w:lineRule="auto"/>
        <w:tabs>
          <w:tab w:leader="none" w:pos="428" w:val="left"/>
        </w:tabs>
        <w:numPr>
          <w:ilvl w:val="0"/>
          <w:numId w:val="3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Lenders thereunder.</w:t>
      </w:r>
    </w:p>
    <w:p>
      <w:pPr>
        <w:sectPr>
          <w:pgSz w:w="11900" w:h="16838" w:orient="portrait"/>
          <w:cols w:equalWidth="0" w:num="1">
            <w:col w:w="10828"/>
          </w:cols>
          <w:pgMar w:left="532" w:top="267" w:right="5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terms set forth in this Assignment and Assumption are hereby agreed to:</w:t>
      </w:r>
    </w:p>
    <w:p>
      <w:pPr>
        <w:spacing w:after="0" w:line="24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15240</wp:posOffset>
            </wp:positionV>
            <wp:extent cx="251841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15240</wp:posOffset>
            </wp:positionV>
            <wp:extent cx="251841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15240</wp:posOffset>
            </wp:positionV>
            <wp:extent cx="251841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6"/>
          <w:szCs w:val="26"/>
          <w:color w:val="auto"/>
          <w:vertAlign w:val="superscript"/>
        </w:rPr>
        <w:t>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15240</wp:posOffset>
            </wp:positionV>
            <wp:extent cx="251841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104140</wp:posOffset>
            </wp:positionV>
            <wp:extent cx="17856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65" w:lineRule="exact"/>
        <w:rPr>
          <w:sz w:val="20"/>
          <w:szCs w:val="20"/>
          <w:color w:val="auto"/>
        </w:rPr>
      </w:pPr>
    </w:p>
    <w:p>
      <w:pPr>
        <w:ind w:left="420" w:hanging="423"/>
        <w:spacing w:after="0" w:line="275" w:lineRule="auto"/>
        <w:tabs>
          <w:tab w:leader="none" w:pos="400" w:val="left"/>
        </w:tabs>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820"/>
          </w:cols>
          <w:pgMar w:left="540" w:top="267" w:right="539" w:bottom="1440" w:gutter="0" w:footer="0" w:header="0"/>
        </w:sectPr>
      </w:pPr>
    </w:p>
    <w:bookmarkStart w:id="419" w:name="page420"/>
    <w:bookmarkEnd w:id="419"/>
    <w:p>
      <w:pPr>
        <w:ind w:left="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[Each Material Issuing Lender]</w:t>
      </w:r>
      <w:r>
        <w:rPr>
          <w:rFonts w:ascii="Times New Roman" w:cs="Times New Roman" w:eastAsia="Times New Roman" w:hAnsi="Times New Roman"/>
          <w:sz w:val="26"/>
          <w:szCs w:val="26"/>
          <w:color w:val="auto"/>
          <w:vertAlign w:val="superscript"/>
        </w:rPr>
        <w:t>5</w:t>
      </w:r>
    </w:p>
    <w:p>
      <w:pPr>
        <w:spacing w:after="0" w:line="1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By:___________________________________</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499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52" w:lineRule="exact"/>
        <w:rPr>
          <w:sz w:val="20"/>
          <w:szCs w:val="20"/>
          <w:color w:val="auto"/>
        </w:rPr>
      </w:pPr>
    </w:p>
    <w:p>
      <w:pPr>
        <w:ind w:left="428" w:hanging="428"/>
        <w:spacing w:after="0" w:line="205" w:lineRule="auto"/>
        <w:tabs>
          <w:tab w:leader="none" w:pos="428" w:val="left"/>
        </w:tabs>
        <w:numPr>
          <w:ilvl w:val="0"/>
          <w:numId w:val="3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the case of any assignment of any rights or interest under the L/C Tranche Facility, unless such assignment is (x) to a Lender who has an investment grade rating from two of S&amp;P, Moody’s and Fitch or (y) to an L/C Tranche Lender).</w:t>
      </w:r>
    </w:p>
    <w:p>
      <w:pPr>
        <w:sectPr>
          <w:pgSz w:w="11900" w:h="16838" w:orient="portrait"/>
          <w:cols w:equalWidth="0" w:num="1">
            <w:col w:w="10508"/>
          </w:cols>
          <w:pgMar w:left="532" w:top="267" w:right="859" w:bottom="1440" w:gutter="0" w:footer="0" w:header="0"/>
        </w:sectPr>
      </w:pPr>
    </w:p>
    <w:bookmarkStart w:id="420" w:name="page421"/>
    <w:bookmarkEnd w:id="420"/>
    <w:p>
      <w:pPr>
        <w:jc w:val="center"/>
        <w:ind w:right="-2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STANDARD TERMS AND CONDITIONS FOR</w:t>
      </w:r>
    </w:p>
    <w:p>
      <w:pPr>
        <w:spacing w:after="0" w:line="2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196" w:lineRule="exact"/>
        <w:rPr>
          <w:sz w:val="20"/>
          <w:szCs w:val="20"/>
          <w:color w:val="auto"/>
        </w:rPr>
      </w:pPr>
    </w:p>
    <w:p>
      <w:pPr>
        <w:ind w:left="608" w:hanging="175"/>
        <w:spacing w:after="0"/>
        <w:tabs>
          <w:tab w:leader="none" w:pos="60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18" w:lineRule="exact"/>
        <w:rPr>
          <w:sz w:val="20"/>
          <w:szCs w:val="20"/>
          <w:color w:val="auto"/>
        </w:rPr>
      </w:pPr>
    </w:p>
    <w:p>
      <w:pPr>
        <w:ind w:left="8" w:right="100" w:firstLine="433"/>
        <w:spacing w:after="0" w:line="267"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 xml:space="preserve">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170" w:lineRule="exact"/>
        <w:rPr>
          <w:sz w:val="20"/>
          <w:szCs w:val="20"/>
          <w:color w:val="auto"/>
        </w:rPr>
      </w:pPr>
    </w:p>
    <w:p>
      <w:pPr>
        <w:ind w:left="8" w:right="20" w:firstLine="433"/>
        <w:spacing w:after="0" w:line="273"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8" w:hanging="8"/>
        <w:spacing w:after="0" w:line="262" w:lineRule="auto"/>
        <w:tabs>
          <w:tab w:leader="none" w:pos="268"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Section 6.1 thereof (or, if none of such financial statements shall have then been delivered or deemed delivered, then copies of the financial statements referred to in Section 4.1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or Co-Syndication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pacing w:after="0" w:line="173" w:lineRule="exact"/>
        <w:rPr>
          <w:rFonts w:ascii="Times New Roman" w:cs="Times New Roman" w:eastAsia="Times New Roman" w:hAnsi="Times New Roman"/>
          <w:sz w:val="17"/>
          <w:szCs w:val="17"/>
          <w:color w:val="auto"/>
        </w:rPr>
      </w:pPr>
    </w:p>
    <w:p>
      <w:pPr>
        <w:jc w:val="both"/>
        <w:ind w:left="8" w:right="120" w:firstLine="425"/>
        <w:spacing w:after="0" w:line="261" w:lineRule="auto"/>
        <w:tabs>
          <w:tab w:leader="none" w:pos="618"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From and after the Effective Date, the Administrative Agent shall make all payments in respect of the Assigned Interest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ectPr>
          <w:pgSz w:w="11900" w:h="16838" w:orient="portrait"/>
          <w:cols w:equalWidth="0" w:num="1">
            <w:col w:w="10788"/>
          </w:cols>
          <w:pgMar w:left="532" w:top="267" w:right="579" w:bottom="1440" w:gutter="0" w:footer="0" w:header="0"/>
        </w:sectPr>
      </w:pPr>
    </w:p>
    <w:bookmarkStart w:id="421" w:name="page422"/>
    <w:bookmarkEnd w:id="421"/>
    <w:p>
      <w:pPr>
        <w:ind w:left="-425" w:firstLine="425"/>
        <w:spacing w:after="0" w:line="252" w:lineRule="auto"/>
        <w:tabs>
          <w:tab w:leader="none" w:pos="18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General Provisions. </w:t>
      </w:r>
      <w:r>
        <w:rPr>
          <w:rFonts w:ascii="Times New Roman" w:cs="Times New Roman" w:eastAsia="Times New Roman" w:hAnsi="Times New Roman"/>
          <w:sz w:val="18"/>
          <w:szCs w:val="18"/>
          <w:color w:val="auto"/>
        </w:rPr>
        <w:t>This Assignment and Assumption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335"/>
          </w:cols>
          <w:pgMar w:left="965" w:top="265" w:right="599" w:bottom="1440" w:gutter="0" w:footer="0" w:header="0"/>
        </w:sectPr>
      </w:pPr>
    </w:p>
    <w:bookmarkStart w:id="422" w:name="page423"/>
    <w:bookmarkEnd w:id="422"/>
    <w:p>
      <w:pPr>
        <w:ind w:left="9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H</w:t>
      </w:r>
    </w:p>
    <w:p>
      <w:pPr>
        <w:spacing w:after="0" w:line="2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0" w:lineRule="exact"/>
        <w:rPr>
          <w:sz w:val="20"/>
          <w:szCs w:val="20"/>
          <w:color w:val="auto"/>
        </w:rPr>
      </w:pPr>
    </w:p>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t>JOINDER AGREEMENT, dated as of ___, 20__, made by each signatory hereto (each a “</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in favor of JPMorgan Chase 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referred to in the Fifth Amended and Restated Three 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WHEREAS, the parties to this Joinder Agreement wish to add the Subsidiary Borrower to the Credit Agreement in the manner hereinafter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and</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WHEREAS, this Joinder Agreement is entered into pursuant to Section 10.1(d)(i) of the Credit Agreement;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218" w:lineRule="exact"/>
        <w:rPr>
          <w:sz w:val="20"/>
          <w:szCs w:val="20"/>
          <w:color w:val="auto"/>
        </w:rPr>
      </w:pPr>
    </w:p>
    <w:p>
      <w:pPr>
        <w:jc w:val="both"/>
        <w:ind w:right="200" w:firstLine="966"/>
        <w:spacing w:after="0" w:line="255" w:lineRule="auto"/>
        <w:tabs>
          <w:tab w:leader="none" w:pos="115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1" w:lineRule="exact"/>
        <w:rPr>
          <w:rFonts w:ascii="Times New Roman" w:cs="Times New Roman" w:eastAsia="Times New Roman" w:hAnsi="Times New Roman"/>
          <w:sz w:val="18"/>
          <w:szCs w:val="18"/>
          <w:color w:val="auto"/>
        </w:rPr>
      </w:pPr>
    </w:p>
    <w:p>
      <w:pPr>
        <w:ind w:right="160" w:firstLine="966"/>
        <w:spacing w:after="0" w:line="274" w:lineRule="auto"/>
        <w:tabs>
          <w:tab w:leader="none" w:pos="115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taxpayer identification number (if any) and jurisdiction of organization of the Subsidiary Borrower is set forth in Annex I to this Joinder Agreement.</w:t>
      </w:r>
    </w:p>
    <w:p>
      <w:pPr>
        <w:spacing w:after="0" w:line="162" w:lineRule="exact"/>
        <w:rPr>
          <w:rFonts w:ascii="Times New Roman" w:cs="Times New Roman" w:eastAsia="Times New Roman" w:hAnsi="Times New Roman"/>
          <w:sz w:val="18"/>
          <w:szCs w:val="18"/>
          <w:color w:val="auto"/>
        </w:rPr>
      </w:pPr>
    </w:p>
    <w:p>
      <w:pPr>
        <w:ind w:right="160" w:firstLine="966"/>
        <w:spacing w:after="0" w:line="276" w:lineRule="auto"/>
        <w:tabs>
          <w:tab w:leader="none" w:pos="1151"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0820"/>
          </w:cols>
          <w:pgMar w:left="540" w:top="265" w:right="539" w:bottom="1440" w:gutter="0" w:footer="0" w:header="0"/>
        </w:sectPr>
      </w:pPr>
    </w:p>
    <w:bookmarkStart w:id="423" w:name="page424"/>
    <w:bookmarkEnd w:id="423"/>
    <w:p>
      <w:pPr>
        <w:ind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[EACH SUBSIDIARY BORROWER],</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as a Subsidiary Borrower</w:t>
      </w:r>
    </w:p>
    <w:p>
      <w:pPr>
        <w:spacing w:after="0" w:line="2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15240</wp:posOffset>
            </wp:positionV>
            <wp:extent cx="25101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AND AGREED TO: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15240</wp:posOffset>
            </wp:positionV>
            <wp:extent cx="251841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15240</wp:posOffset>
            </wp:positionV>
            <wp:extent cx="251841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80"/>
          </w:cols>
          <w:pgMar w:left="540" w:top="267" w:right="579" w:bottom="1440" w:gutter="0" w:footer="0" w:header="0"/>
        </w:sectPr>
      </w:pPr>
    </w:p>
    <w:bookmarkStart w:id="424" w:name="page425"/>
    <w:bookmarkEnd w:id="424"/>
    <w:p>
      <w:pPr>
        <w:ind w:left="9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I-1</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TAX COMPLIANCE 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18" w:lineRule="exact"/>
        <w:rPr>
          <w:sz w:val="20"/>
          <w:szCs w:val="20"/>
          <w:color w:val="auto"/>
        </w:rPr>
      </w:pPr>
    </w:p>
    <w:p>
      <w:pPr>
        <w:ind w:right="4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Three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20" w:firstLine="433"/>
        <w:spacing w:after="0" w:line="266" w:lineRule="auto"/>
        <w:rPr>
          <w:sz w:val="20"/>
          <w:szCs w:val="20"/>
          <w:color w:val="auto"/>
        </w:rPr>
      </w:pPr>
      <w:r>
        <w:rPr>
          <w:rFonts w:ascii="Times New Roman" w:cs="Times New Roman" w:eastAsia="Times New Roman" w:hAnsi="Times New Roman"/>
          <w:sz w:val="17"/>
          <w:szCs w:val="17"/>
          <w:color w:val="auto"/>
        </w:rPr>
        <w:t>Pursuant to the provisions of Section 2.21 of the Credit Agreement, the undersigned hereby certifies that (i) it is the sole record and beneficial owner of the Commitment, the Loan(s) (as well as any Note(s) evidencing such Loan(s)), and the L/C Obligations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(3)(C) of the Code and (v) the interest payments in question are not effectively connected with the undersigned’s conduct of a U.S. trade or business.</w:t>
      </w:r>
    </w:p>
    <w:p>
      <w:pPr>
        <w:spacing w:after="0" w:line="198" w:lineRule="exact"/>
        <w:rPr>
          <w:sz w:val="20"/>
          <w:szCs w:val="20"/>
          <w:color w:val="auto"/>
        </w:rPr>
      </w:pPr>
    </w:p>
    <w:p>
      <w:pPr>
        <w:ind w:right="160" w:firstLine="433"/>
        <w:spacing w:after="0" w:line="251"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820"/>
          </w:cols>
          <w:pgMar w:left="540" w:top="265" w:right="539" w:bottom="1440" w:gutter="0" w:footer="0" w:header="0"/>
        </w:sectPr>
      </w:pPr>
    </w:p>
    <w:bookmarkStart w:id="425" w:name="page426"/>
    <w:bookmarkEnd w:id="425"/>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15240</wp:posOffset>
            </wp:positionV>
            <wp:extent cx="251841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340"/>
          </w:cols>
          <w:pgMar w:left="540" w:top="267" w:right="1019" w:bottom="1440" w:gutter="0" w:footer="0" w:header="0"/>
        </w:sectPr>
      </w:pPr>
    </w:p>
    <w:bookmarkStart w:id="426" w:name="page427"/>
    <w:bookmarkEnd w:id="426"/>
    <w:p>
      <w:pPr>
        <w:ind w:left="9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I-2</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TAX COMPLIANCE 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18" w:lineRule="exact"/>
        <w:rPr>
          <w:sz w:val="20"/>
          <w:szCs w:val="20"/>
          <w:color w:val="auto"/>
        </w:rPr>
      </w:pPr>
    </w:p>
    <w:p>
      <w:pPr>
        <w:ind w:right="4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Three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20" w:firstLine="433"/>
        <w:spacing w:after="0" w:line="250"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85" w:lineRule="exact"/>
        <w:rPr>
          <w:sz w:val="20"/>
          <w:szCs w:val="20"/>
          <w:color w:val="auto"/>
        </w:rPr>
      </w:pPr>
    </w:p>
    <w:p>
      <w:pPr>
        <w:ind w:right="20" w:firstLine="433"/>
        <w:spacing w:after="0" w:line="249"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820"/>
          </w:cols>
          <w:pgMar w:left="540" w:top="265" w:right="539" w:bottom="1440" w:gutter="0" w:footer="0" w:header="0"/>
        </w:sectPr>
      </w:pPr>
    </w:p>
    <w:bookmarkStart w:id="427" w:name="page428"/>
    <w:bookmarkEnd w:id="427"/>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-1270</wp:posOffset>
            </wp:positionV>
            <wp:extent cx="251841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 20__</w:t>
      </w:r>
    </w:p>
    <w:p>
      <w:pPr>
        <w:sectPr>
          <w:pgSz w:w="11900" w:h="16838" w:orient="portrait"/>
          <w:cols w:equalWidth="0" w:num="1">
            <w:col w:w="10340"/>
          </w:cols>
          <w:pgMar w:left="540" w:top="267" w:right="1019" w:bottom="1440" w:gutter="0" w:footer="0" w:header="0"/>
        </w:sectPr>
      </w:pPr>
    </w:p>
    <w:bookmarkStart w:id="428" w:name="page429"/>
    <w:bookmarkEnd w:id="428"/>
    <w:p>
      <w:pPr>
        <w:ind w:left="9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I-3</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TAX COMPLIANCE 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18" w:lineRule="exact"/>
        <w:rPr>
          <w:sz w:val="20"/>
          <w:szCs w:val="20"/>
          <w:color w:val="auto"/>
        </w:rPr>
      </w:pPr>
    </w:p>
    <w:p>
      <w:pPr>
        <w:ind w:right="4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Three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360" w:firstLine="433"/>
        <w:spacing w:after="0" w:line="253"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2" w:lineRule="exact"/>
        <w:rPr>
          <w:sz w:val="20"/>
          <w:szCs w:val="20"/>
          <w:color w:val="auto"/>
        </w:rPr>
      </w:pPr>
    </w:p>
    <w:p>
      <w:pPr>
        <w:ind w:right="120" w:firstLine="433"/>
        <w:spacing w:after="0" w:line="271" w:lineRule="auto"/>
        <w:rPr>
          <w:sz w:val="20"/>
          <w:szCs w:val="20"/>
          <w:color w:val="auto"/>
        </w:rPr>
      </w:pPr>
      <w:r>
        <w:rPr>
          <w:rFonts w:ascii="Times New Roman" w:cs="Times New Roman" w:eastAsia="Times New Roman" w:hAnsi="Times New Roman"/>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820"/>
          </w:cols>
          <w:pgMar w:left="540" w:top="265" w:right="539" w:bottom="1440" w:gutter="0" w:footer="0" w:header="0"/>
        </w:sectPr>
      </w:pPr>
    </w:p>
    <w:bookmarkStart w:id="429" w:name="page430"/>
    <w:bookmarkEnd w:id="429"/>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15240</wp:posOffset>
            </wp:positionV>
            <wp:extent cx="251841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20__</w:t>
      </w:r>
    </w:p>
    <w:p>
      <w:pPr>
        <w:sectPr>
          <w:pgSz w:w="11900" w:h="16838" w:orient="portrait"/>
          <w:cols w:equalWidth="0" w:num="1">
            <w:col w:w="10340"/>
          </w:cols>
          <w:pgMar w:left="540" w:top="266" w:right="1019" w:bottom="1440" w:gutter="0" w:footer="0" w:header="0"/>
        </w:sectPr>
      </w:pPr>
    </w:p>
    <w:bookmarkStart w:id="430" w:name="page431"/>
    <w:bookmarkEnd w:id="430"/>
    <w:p>
      <w:pPr>
        <w:ind w:left="972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I-4</w:t>
      </w:r>
    </w:p>
    <w:p>
      <w:pPr>
        <w:spacing w:after="0" w:line="27" w:lineRule="exact"/>
        <w:rPr>
          <w:sz w:val="20"/>
          <w:szCs w:val="20"/>
          <w:color w:val="auto"/>
        </w:rPr>
      </w:pPr>
    </w:p>
    <w:p>
      <w:pPr>
        <w:ind w:left="10228"/>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[FORM OF]</w:t>
      </w:r>
    </w:p>
    <w:p>
      <w:pPr>
        <w:spacing w:after="0" w:line="2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U.S. TAX COMPLIANCE CERTIFICATE</w:t>
      </w:r>
    </w:p>
    <w:p>
      <w:pPr>
        <w:spacing w:after="0" w:line="2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18" w:lineRule="exact"/>
        <w:rPr>
          <w:sz w:val="20"/>
          <w:szCs w:val="20"/>
          <w:color w:val="auto"/>
        </w:rPr>
      </w:pPr>
    </w:p>
    <w:p>
      <w:pPr>
        <w:ind w:left="8" w:right="4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Three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left="8" w:right="80" w:firstLine="433"/>
        <w:spacing w:after="0" w:line="267" w:lineRule="auto"/>
        <w:rPr>
          <w:sz w:val="20"/>
          <w:szCs w:val="20"/>
          <w:color w:val="auto"/>
        </w:rPr>
      </w:pPr>
      <w:r>
        <w:rPr>
          <w:rFonts w:ascii="Times New Roman" w:cs="Times New Roman" w:eastAsia="Times New Roman" w:hAnsi="Times New Roman"/>
          <w:sz w:val="17"/>
          <w:szCs w:val="17"/>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17" w:lineRule="exact"/>
        <w:rPr>
          <w:sz w:val="20"/>
          <w:szCs w:val="20"/>
          <w:color w:val="auto"/>
        </w:rPr>
      </w:pPr>
    </w:p>
    <w:p>
      <w:pPr>
        <w:ind w:left="8" w:right="40" w:hanging="8"/>
        <w:spacing w:after="0" w:line="247" w:lineRule="auto"/>
        <w:tabs>
          <w:tab w:leader="none" w:pos="26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828"/>
          </w:cols>
          <w:pgMar w:left="532" w:top="264" w:right="539" w:bottom="1440" w:gutter="0" w:footer="0" w:header="0"/>
        </w:sectPr>
      </w:pPr>
    </w:p>
    <w:bookmarkStart w:id="431" w:name="page432"/>
    <w:bookmarkEnd w:id="431"/>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15240</wp:posOffset>
            </wp:positionV>
            <wp:extent cx="251841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340"/>
          </w:cols>
          <w:pgMar w:left="540" w:top="266" w:right="1019" w:bottom="1440" w:gutter="0" w:footer="0" w:header="0"/>
        </w:sectPr>
      </w:pPr>
    </w:p>
    <w:bookmarkStart w:id="432" w:name="page433"/>
    <w:bookmarkEnd w:id="432"/>
    <w:p>
      <w:pPr>
        <w:jc w:val="center"/>
        <w:ind w:left="97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J</w:t>
      </w:r>
    </w:p>
    <w:p>
      <w:pPr>
        <w:spacing w:after="0" w:line="27"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0"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 under the Credit Agreements referred to below</w:t>
      </w:r>
    </w:p>
    <w:p>
      <w:pPr>
        <w:spacing w:after="0" w:line="244" w:lineRule="exact"/>
        <w:rPr>
          <w:sz w:val="20"/>
          <w:szCs w:val="20"/>
          <w:color w:val="auto"/>
        </w:rPr>
      </w:pPr>
    </w:p>
    <w:p>
      <w:pPr>
        <w:ind w:left="420" w:hanging="419"/>
        <w:spacing w:after="0" w:line="247" w:lineRule="auto"/>
        <w:tabs>
          <w:tab w:leader="none" w:pos="400" w:val="left"/>
        </w:tabs>
        <w:rPr>
          <w:sz w:val="20"/>
          <w:szCs w:val="20"/>
          <w:color w:val="auto"/>
        </w:rPr>
      </w:pPr>
      <w:r>
        <w:rPr>
          <w:rFonts w:ascii="Times New Roman" w:cs="Times New Roman" w:eastAsia="Times New Roman" w:hAnsi="Times New Roman"/>
          <w:sz w:val="18"/>
          <w:szCs w:val="18"/>
          <w:color w:val="auto"/>
        </w:rPr>
        <w:t>Re:</w:t>
        <w:tab/>
        <w:t>(i) the Fifth Amended and Restated Three Year Revolving Credit Agreement, dated as of March 31, 2023 (as amended, restated, amended and restated, renewed, supplemented or modified from time to time, the “3</w:t>
      </w:r>
      <w:r>
        <w:rPr>
          <w:rFonts w:ascii="Times New Roman" w:cs="Times New Roman" w:eastAsia="Times New Roman" w:hAnsi="Times New Roman"/>
          <w:sz w:val="18"/>
          <w:szCs w:val="18"/>
          <w:u w:val="single" w:color="auto"/>
          <w:color w:val="auto"/>
        </w:rPr>
        <w:t>-Year 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3-Year Lenders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for the 3-Year Lenders (in such capacity, together with any successor thereto in such capacity, the “</w:t>
      </w:r>
      <w:r>
        <w:rPr>
          <w:rFonts w:ascii="Times New Roman" w:cs="Times New Roman" w:eastAsia="Times New Roman" w:hAnsi="Times New Roman"/>
          <w:sz w:val="18"/>
          <w:szCs w:val="18"/>
          <w:u w:val="single" w:color="auto"/>
          <w:color w:val="auto"/>
        </w:rPr>
        <w:t>3-Year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the Fourth Amended and Restated Five 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(in such capacity, together with any successor thereto in such capacity,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the Fifth Amended and Restated 364-Day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 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(in such capacity, together with any successor thereto in such capacity,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w:t>
      </w:r>
    </w:p>
    <w:p>
      <w:pPr>
        <w:sectPr>
          <w:pgSz w:w="11900" w:h="16838" w:orient="portrait"/>
          <w:cols w:equalWidth="0" w:num="1">
            <w:col w:w="10820"/>
          </w:cols>
          <w:pgMar w:left="540" w:top="264" w:right="539" w:bottom="1440" w:gutter="0" w:footer="0" w:header="0"/>
        </w:sectPr>
      </w:pPr>
    </w:p>
    <w:bookmarkStart w:id="433" w:name="page434"/>
    <w:bookmarkEnd w:id="433"/>
    <w:p>
      <w:pPr>
        <w:ind w:firstLine="433"/>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This Compliance Certificate (this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xml:space="preserve">”) is furnished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60" w:lineRule="exact"/>
        <w:rPr>
          <w:sz w:val="20"/>
          <w:szCs w:val="20"/>
          <w:color w:val="auto"/>
        </w:rPr>
      </w:pPr>
    </w:p>
    <w:p>
      <w:pPr>
        <w:ind w:left="600" w:hanging="175"/>
        <w:spacing w:after="0"/>
        <w:tabs>
          <w:tab w:leader="none" w:pos="6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[a] duly elected [insert title of Responsible Officer] of the Company;</w:t>
      </w:r>
    </w:p>
    <w:p>
      <w:pPr>
        <w:spacing w:after="0" w:line="217" w:lineRule="exact"/>
        <w:rPr>
          <w:rFonts w:ascii="Times New Roman" w:cs="Times New Roman" w:eastAsia="Times New Roman" w:hAnsi="Times New Roman"/>
          <w:sz w:val="18"/>
          <w:szCs w:val="18"/>
          <w:color w:val="auto"/>
        </w:rPr>
      </w:pPr>
    </w:p>
    <w:p>
      <w:pPr>
        <w:ind w:right="20" w:firstLine="425"/>
        <w:spacing w:after="0" w:line="274" w:lineRule="auto"/>
        <w:tabs>
          <w:tab w:leader="none" w:pos="61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my knowledge, no Default or Event of Default has occurred and is continuing as of the date hereof [, except as set forth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hereto];</w:t>
      </w:r>
    </w:p>
    <w:p>
      <w:pPr>
        <w:spacing w:after="0" w:line="164" w:lineRule="exact"/>
        <w:rPr>
          <w:rFonts w:ascii="Times New Roman" w:cs="Times New Roman" w:eastAsia="Times New Roman" w:hAnsi="Times New Roman"/>
          <w:sz w:val="18"/>
          <w:szCs w:val="18"/>
          <w:color w:val="auto"/>
        </w:rPr>
      </w:pPr>
    </w:p>
    <w:p>
      <w:pPr>
        <w:ind w:right="160" w:firstLine="425"/>
        <w:spacing w:after="0" w:line="274" w:lineRule="auto"/>
        <w:tabs>
          <w:tab w:leader="none" w:pos="61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 and</w:t>
      </w:r>
    </w:p>
    <w:p>
      <w:pPr>
        <w:spacing w:after="0" w:line="164" w:lineRule="exact"/>
        <w:rPr>
          <w:rFonts w:ascii="Times New Roman" w:cs="Times New Roman" w:eastAsia="Times New Roman" w:hAnsi="Times New Roman"/>
          <w:sz w:val="18"/>
          <w:szCs w:val="18"/>
          <w:color w:val="auto"/>
        </w:rPr>
      </w:pPr>
    </w:p>
    <w:p>
      <w:pPr>
        <w:ind w:right="80" w:firstLine="425"/>
        <w:spacing w:after="0" w:line="274" w:lineRule="auto"/>
        <w:tabs>
          <w:tab w:leader="none" w:pos="61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780"/>
          </w:cols>
          <w:pgMar w:left="540" w:top="266" w:right="579" w:bottom="1440" w:gutter="0" w:footer="0" w:header="0"/>
        </w:sectPr>
      </w:pPr>
    </w:p>
    <w:bookmarkStart w:id="434" w:name="page435"/>
    <w:bookmarkEnd w:id="434"/>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15240</wp:posOffset>
            </wp:positionV>
            <wp:extent cx="23837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1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15240</wp:posOffset>
            </wp:positionV>
            <wp:extent cx="23837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1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15240</wp:posOffset>
            </wp:positionV>
            <wp:extent cx="23837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ectPr>
          <w:pgSz w:w="11900" w:h="16838" w:orient="portrait"/>
          <w:cols w:equalWidth="0" w:num="1">
            <w:col w:w="10740"/>
          </w:cols>
          <w:pgMar w:left="540" w:top="266" w:right="619" w:bottom="1440" w:gutter="0" w:footer="0" w:header="0"/>
        </w:sectPr>
      </w:pPr>
    </w:p>
    <w:bookmarkStart w:id="435" w:name="page436"/>
    <w:bookmarkEnd w:id="435"/>
    <w:p>
      <w:pPr>
        <w:ind w:left="956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I</w:t>
      </w:r>
    </w:p>
    <w:p>
      <w:pPr>
        <w:spacing w:after="0" w:line="27" w:lineRule="exact"/>
        <w:rPr>
          <w:sz w:val="20"/>
          <w:szCs w:val="20"/>
          <w:color w:val="auto"/>
        </w:rPr>
      </w:pPr>
    </w:p>
    <w:p>
      <w:pPr>
        <w:ind w:left="10228"/>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198" w:lineRule="exact"/>
        <w:rPr>
          <w:sz w:val="20"/>
          <w:szCs w:val="20"/>
          <w:color w:val="auto"/>
        </w:rPr>
      </w:pPr>
    </w:p>
    <w:p>
      <w:pPr>
        <w:ind w:left="1948"/>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 as of _____________, 20__ (the “Calculation Date”)</w:t>
      </w:r>
      <w:r>
        <w:rPr>
          <w:rFonts w:ascii="Times New Roman" w:cs="Times New Roman" w:eastAsia="Times New Roman" w:hAnsi="Times New Roman"/>
          <w:sz w:val="26"/>
          <w:szCs w:val="26"/>
          <w:u w:val="single" w:color="auto"/>
          <w:color w:val="auto"/>
          <w:vertAlign w:val="superscript"/>
        </w:rPr>
        <w:t>1</w:t>
      </w:r>
    </w:p>
    <w:p>
      <w:pPr>
        <w:spacing w:after="0" w:line="258" w:lineRule="exact"/>
        <w:rPr>
          <w:sz w:val="20"/>
          <w:szCs w:val="20"/>
          <w:color w:val="auto"/>
        </w:rPr>
      </w:pPr>
    </w:p>
    <w:p>
      <w:pPr>
        <w:ind w:left="288" w:hanging="288"/>
        <w:spacing w:after="0"/>
        <w:tabs>
          <w:tab w:leader="none" w:pos="28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3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The Total Available Commitments Under the 364-Day Credit Agreement as of the Calculation Date</w:t>
      </w:r>
    </w:p>
    <w:p>
      <w:pPr>
        <w:spacing w:after="0" w:line="111" w:lineRule="exact"/>
        <w:rPr>
          <w:rFonts w:ascii="Times New Roman" w:cs="Times New Roman" w:eastAsia="Times New Roman" w:hAnsi="Times New Roman"/>
          <w:sz w:val="18"/>
          <w:szCs w:val="18"/>
          <w:u w:val="single" w:color="auto"/>
          <w:color w:val="auto"/>
        </w:rPr>
      </w:pPr>
    </w:p>
    <w:p>
      <w:pPr>
        <w:ind w:left="8"/>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u w:val="single" w:color="auto"/>
          <w:color w:val="auto"/>
        </w:rPr>
      </w:pPr>
    </w:p>
    <w:p>
      <w:pPr>
        <w:jc w:val="both"/>
        <w:ind w:left="8" w:right="3160" w:hanging="8"/>
        <w:spacing w:after="0" w:line="260" w:lineRule="auto"/>
        <w:tabs>
          <w:tab w:leader="none" w:pos="29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Domestic Subsidiary as of the Calculation Date.</w:t>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1" w:lineRule="exact"/>
        <w:rPr>
          <w:sz w:val="20"/>
          <w:szCs w:val="20"/>
          <w:color w:val="auto"/>
        </w:rPr>
      </w:pPr>
    </w:p>
    <w:p>
      <w:pPr>
        <w:ind w:left="8" w:right="2940" w:hanging="8"/>
        <w:spacing w:after="0" w:line="253" w:lineRule="auto"/>
        <w:tabs>
          <w:tab w:leader="none" w:pos="27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76" w:lineRule="exact"/>
        <w:rPr>
          <w:sz w:val="20"/>
          <w:szCs w:val="20"/>
          <w:color w:val="auto"/>
        </w:rPr>
      </w:pPr>
    </w:p>
    <w:p>
      <w:pPr>
        <w:ind w:left="8"/>
        <w:spacing w:after="0"/>
        <w:tabs>
          <w:tab w:leader="none" w:pos="7988" w:val="left"/>
        </w:tabs>
        <w:rPr>
          <w:sz w:val="20"/>
          <w:szCs w:val="20"/>
          <w:color w:val="auto"/>
        </w:rPr>
      </w:pPr>
      <w:r>
        <w:rPr>
          <w:rFonts w:ascii="Times New Roman" w:cs="Times New Roman" w:eastAsia="Times New Roman" w:hAnsi="Times New Roman"/>
          <w:sz w:val="18"/>
          <w:szCs w:val="18"/>
          <w:u w:val="single" w:color="auto"/>
          <w:color w:val="auto"/>
        </w:rPr>
        <w:t>Sum of (A) plus (B) plus (C) plus (D) plus (E): Consolidated Domestic Liquidity:</w:t>
      </w:r>
      <w:r>
        <w:rPr>
          <w:sz w:val="20"/>
          <w:szCs w:val="20"/>
          <w:color w:val="auto"/>
        </w:rPr>
        <w:tab/>
      </w:r>
      <w:r>
        <w:rPr>
          <w:rFonts w:ascii="Times New Roman" w:cs="Times New Roman" w:eastAsia="Times New Roman" w:hAnsi="Times New Roman"/>
          <w:sz w:val="17"/>
          <w:szCs w:val="17"/>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499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71" w:lineRule="exact"/>
        <w:rPr>
          <w:sz w:val="20"/>
          <w:szCs w:val="20"/>
          <w:color w:val="auto"/>
        </w:rPr>
      </w:pPr>
    </w:p>
    <w:p>
      <w:pPr>
        <w:ind w:left="428" w:right="560" w:hanging="428"/>
        <w:spacing w:after="0" w:line="205" w:lineRule="auto"/>
        <w:tabs>
          <w:tab w:leader="none" w:pos="428" w:val="left"/>
        </w:tabs>
        <w:numPr>
          <w:ilvl w:val="0"/>
          <w:numId w:val="3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ectPr>
          <w:pgSz w:w="11900" w:h="16838" w:orient="portrait"/>
          <w:cols w:equalWidth="0" w:num="1">
            <w:col w:w="10828"/>
          </w:cols>
          <w:pgMar w:left="532" w:top="264" w:right="539" w:bottom="1440" w:gutter="0" w:footer="0" w:header="0"/>
        </w:sectPr>
      </w:pPr>
    </w:p>
    <w:bookmarkStart w:id="436" w:name="page437"/>
    <w:bookmarkEnd w:id="436"/>
    <w:p>
      <w:pPr>
        <w:ind w:left="948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II</w:t>
      </w:r>
    </w:p>
    <w:p>
      <w:pPr>
        <w:spacing w:after="0" w:line="27" w:lineRule="exact"/>
        <w:rPr>
          <w:sz w:val="20"/>
          <w:szCs w:val="20"/>
          <w:color w:val="auto"/>
        </w:rPr>
      </w:pPr>
    </w:p>
    <w:p>
      <w:pPr>
        <w:ind w:left="10228"/>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198" w:lineRule="exact"/>
        <w:rPr>
          <w:sz w:val="20"/>
          <w:szCs w:val="20"/>
          <w:color w:val="auto"/>
        </w:rPr>
      </w:pPr>
    </w:p>
    <w:p>
      <w:pPr>
        <w:ind w:left="2428"/>
        <w:spacing w:after="0"/>
        <w:rPr>
          <w:sz w:val="20"/>
          <w:szCs w:val="20"/>
          <w:color w:val="auto"/>
        </w:rPr>
      </w:pPr>
      <w:r>
        <w:rPr>
          <w:rFonts w:ascii="Times New Roman" w:cs="Times New Roman" w:eastAsia="Times New Roman" w:hAnsi="Times New Roman"/>
          <w:sz w:val="18"/>
          <w:szCs w:val="18"/>
          <w:u w:val="single" w:color="auto"/>
          <w:color w:val="auto"/>
        </w:rPr>
        <w:t>Consolidated Global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52" w:lineRule="exact"/>
        <w:rPr>
          <w:sz w:val="20"/>
          <w:szCs w:val="20"/>
          <w:color w:val="auto"/>
        </w:rPr>
      </w:pPr>
    </w:p>
    <w:p>
      <w:pPr>
        <w:ind w:left="288" w:hanging="288"/>
        <w:spacing w:after="0"/>
        <w:tabs>
          <w:tab w:leader="none" w:pos="28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3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The Total Available Commitments Under the 364-Day Credit Agreement as of the Calculation Date</w:t>
      </w:r>
    </w:p>
    <w:p>
      <w:pPr>
        <w:spacing w:after="0" w:line="111" w:lineRule="exact"/>
        <w:rPr>
          <w:rFonts w:ascii="Times New Roman" w:cs="Times New Roman" w:eastAsia="Times New Roman" w:hAnsi="Times New Roman"/>
          <w:sz w:val="18"/>
          <w:szCs w:val="18"/>
          <w:u w:val="single" w:color="auto"/>
          <w:color w:val="auto"/>
        </w:rPr>
      </w:pPr>
    </w:p>
    <w:p>
      <w:pPr>
        <w:ind w:left="8"/>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u w:val="single" w:color="auto"/>
          <w:color w:val="auto"/>
        </w:rPr>
      </w:pPr>
    </w:p>
    <w:p>
      <w:pPr>
        <w:ind w:left="8" w:right="3000" w:hanging="8"/>
        <w:spacing w:after="0" w:line="304" w:lineRule="auto"/>
        <w:tabs>
          <w:tab w:leader="none" w:pos="298"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available commitments (after giving effect to any applicable borrowing base limitations) under other effective committed credit facilities of the Company or any of its Subsidiaries as of the Calculation Date.</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1" w:lineRule="exact"/>
        <w:rPr>
          <w:sz w:val="20"/>
          <w:szCs w:val="20"/>
          <w:color w:val="auto"/>
        </w:rPr>
      </w:pPr>
    </w:p>
    <w:p>
      <w:pPr>
        <w:ind w:left="8" w:right="2960" w:hanging="8"/>
        <w:spacing w:after="0" w:line="255" w:lineRule="auto"/>
        <w:tabs>
          <w:tab w:leader="none" w:pos="278"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5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 of (A) plus (B) plus (C) plus (D) plus (E):</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w:t>
            </w:r>
          </w:p>
        </w:tc>
      </w:tr>
      <w:tr>
        <w:trPr>
          <w:trHeight w:val="192"/>
        </w:trPr>
        <w:tc>
          <w:tcPr>
            <w:tcW w:w="3320" w:type="dxa"/>
            <w:vAlign w:val="bottom"/>
            <w:tcBorders>
              <w:top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color w:val="auto"/>
              </w:rPr>
              <w:t>Consolidated Global Liquidity:</w:t>
            </w:r>
          </w:p>
        </w:tc>
        <w:tc>
          <w:tcPr>
            <w:tcW w:w="2340" w:type="dxa"/>
            <w:vAlign w:val="bottom"/>
          </w:tcPr>
          <w:p>
            <w:pPr>
              <w:spacing w:after="0"/>
              <w:rPr>
                <w:sz w:val="16"/>
                <w:szCs w:val="16"/>
                <w:color w:val="auto"/>
              </w:rPr>
            </w:pPr>
          </w:p>
        </w:tc>
        <w:tc>
          <w:tcPr>
            <w:tcW w:w="4380" w:type="dxa"/>
            <w:vAlign w:val="bottom"/>
          </w:tcPr>
          <w:p>
            <w:pPr>
              <w:spacing w:after="0"/>
              <w:rPr>
                <w:sz w:val="16"/>
                <w:szCs w:val="16"/>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499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87" w:lineRule="exact"/>
        <w:rPr>
          <w:sz w:val="20"/>
          <w:szCs w:val="20"/>
          <w:color w:val="auto"/>
        </w:rPr>
      </w:pPr>
    </w:p>
    <w:p>
      <w:pPr>
        <w:ind w:left="428" w:right="560" w:hanging="428"/>
        <w:spacing w:after="0" w:line="205" w:lineRule="auto"/>
        <w:tabs>
          <w:tab w:leader="none" w:pos="428" w:val="left"/>
        </w:tabs>
        <w:numPr>
          <w:ilvl w:val="0"/>
          <w:numId w:val="3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ectPr>
          <w:pgSz w:w="11900" w:h="16838" w:orient="portrait"/>
          <w:cols w:equalWidth="0" w:num="1">
            <w:col w:w="10828"/>
          </w:cols>
          <w:pgMar w:left="532" w:top="264" w:right="539" w:bottom="1440" w:gutter="0" w:footer="0" w:header="0"/>
        </w:sectPr>
      </w:pPr>
    </w:p>
    <w:bookmarkStart w:id="437" w:name="page438"/>
    <w:bookmarkEnd w:id="437"/>
    <w:p>
      <w:pPr>
        <w:ind w:left="8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1</w:t>
      </w:r>
    </w:p>
    <w:p>
      <w:pPr>
        <w:spacing w:after="0" w:line="27"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9920"/>
          </w:cols>
          <w:pgMar w:left="1440" w:top="264" w:right="539" w:bottom="1440" w:gutter="0" w:footer="0" w:header="0"/>
        </w:sectPr>
      </w:pPr>
    </w:p>
    <w:bookmarkStart w:id="438" w:name="page439"/>
    <w:bookmarkEnd w:id="438"/>
    <w:p>
      <w:pPr>
        <w:ind w:left="9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K</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82"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New York, New York</w:t>
      </w:r>
    </w:p>
    <w:p>
      <w:pPr>
        <w:sectPr>
          <w:pgSz w:w="11900" w:h="16838" w:orient="portrait"/>
          <w:cols w:equalWidth="0" w:num="1">
            <w:col w:w="10820"/>
          </w:cols>
          <w:pgMar w:left="540" w:top="265" w:right="5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 20__</w:t>
      </w:r>
    </w:p>
    <w:p>
      <w:pPr>
        <w:spacing w:after="0" w:line="200" w:lineRule="exact"/>
        <w:rPr>
          <w:sz w:val="20"/>
          <w:szCs w:val="20"/>
          <w:color w:val="auto"/>
        </w:rPr>
      </w:pPr>
    </w:p>
    <w:p>
      <w:pPr>
        <w:sectPr>
          <w:pgSz w:w="11900" w:h="16838" w:orient="portrait"/>
          <w:cols w:equalWidth="0" w:num="2">
            <w:col w:w="8100" w:space="720"/>
            <w:col w:w="2000"/>
          </w:cols>
          <w:pgMar w:left="540" w:top="265" w:right="539" w:bottom="1440" w:gutter="0" w:footer="0" w:header="0"/>
          <w:type w:val="continuous"/>
        </w:sectPr>
      </w:pPr>
    </w:p>
    <w:p>
      <w:pPr>
        <w:spacing w:after="0" w:line="29" w:lineRule="exact"/>
        <w:rPr>
          <w:sz w:val="20"/>
          <w:szCs w:val="20"/>
          <w:color w:val="auto"/>
        </w:rPr>
      </w:pPr>
    </w:p>
    <w:p>
      <w:pPr>
        <w:ind w:right="180" w:firstLine="433"/>
        <w:spacing w:after="0" w:line="257" w:lineRule="auto"/>
        <w:rPr>
          <w:sz w:val="20"/>
          <w:szCs w:val="20"/>
          <w:color w:val="auto"/>
        </w:rPr>
      </w:pPr>
      <w:r>
        <w:rPr>
          <w:rFonts w:ascii="Times New Roman" w:cs="Times New Roman" w:eastAsia="Times New Roman" w:hAnsi="Times New Roman"/>
          <w:sz w:val="18"/>
          <w:szCs w:val="18"/>
          <w:color w:val="auto"/>
        </w:rPr>
        <w:t>FOR VALUE RECEIVED, the undersigned, [NAME OF BORROWER], [JURISDICTION OF INCORPORATION/FORMATION], [TYPE OF ORGANIZATION] (together with its successors and permitted assigns,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hereby unconditionally promises to pay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on the Lender’s Termination Date specified in the Credit Agreement (as hereinafter defined) at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Funding Office specified in such Credit Agreement, in the currency of such Loans and in immediately available funds, the principal amount of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 (__________), or, if less, (b) the unpaid principal amount of the Loans of the Lender outstanding under the Credit Agreement.</w:t>
      </w:r>
    </w:p>
    <w:p>
      <w:pPr>
        <w:spacing w:after="0" w:line="17"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Credit Agreement.</w:t>
      </w:r>
    </w:p>
    <w:p>
      <w:pPr>
        <w:spacing w:after="0" w:line="183" w:lineRule="exact"/>
        <w:rPr>
          <w:sz w:val="20"/>
          <w:szCs w:val="20"/>
          <w:color w:val="auto"/>
        </w:rPr>
      </w:pPr>
    </w:p>
    <w:p>
      <w:pPr>
        <w:ind w:right="60" w:firstLine="433"/>
        <w:spacing w:after="0" w:line="250" w:lineRule="auto"/>
        <w:rPr>
          <w:sz w:val="20"/>
          <w:szCs w:val="20"/>
          <w:color w:val="auto"/>
        </w:rPr>
      </w:pPr>
      <w:r>
        <w:rPr>
          <w:rFonts w:ascii="Times New Roman" w:cs="Times New Roman" w:eastAsia="Times New Roman" w:hAnsi="Times New Roman"/>
          <w:sz w:val="18"/>
          <w:szCs w:val="18"/>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Term Benchmark Loans, the length of each Interest Period with respect thereto. Subject to the provisions of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of the Credit Agreement,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89" w:lineRule="exact"/>
        <w:rPr>
          <w:sz w:val="20"/>
          <w:szCs w:val="20"/>
          <w:color w:val="auto"/>
        </w:rPr>
      </w:pPr>
    </w:p>
    <w:p>
      <w:pPr>
        <w:jc w:val="both"/>
        <w:ind w:right="140" w:firstLine="433"/>
        <w:spacing w:after="0" w:line="275" w:lineRule="auto"/>
        <w:rPr>
          <w:sz w:val="20"/>
          <w:szCs w:val="20"/>
          <w:color w:val="auto"/>
        </w:rPr>
      </w:pPr>
      <w:r>
        <w:rPr>
          <w:rFonts w:ascii="Times New Roman" w:cs="Times New Roman" w:eastAsia="Times New Roman" w:hAnsi="Times New Roman"/>
          <w:sz w:val="17"/>
          <w:szCs w:val="17"/>
          <w:color w:val="auto"/>
        </w:rPr>
        <w:t>This Note (a) is one of the Notes referred to in the Fifth Amended and Restated Three Year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General Motors Financial Company, Inc., a Texas corporation, the Subsidiary Borrowers from time to time party thereto, the Lender, the other lenders from time to time party thereto, JPMorgan Chase Bank, N.A., as Administrative Agent,</w:t>
      </w:r>
    </w:p>
    <w:p>
      <w:pPr>
        <w:sectPr>
          <w:pgSz w:w="11900" w:h="16838" w:orient="portrait"/>
          <w:cols w:equalWidth="0" w:num="1">
            <w:col w:w="10820"/>
          </w:cols>
          <w:pgMar w:left="540" w:top="265" w:right="539" w:bottom="1440" w:gutter="0" w:footer="0" w:header="0"/>
          <w:type w:val="continuous"/>
        </w:sectPr>
      </w:pPr>
    </w:p>
    <w:bookmarkStart w:id="439" w:name="page440"/>
    <w:bookmarkEnd w:id="439"/>
    <w:p>
      <w:pPr>
        <w:jc w:val="both"/>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76" w:lineRule="exact"/>
        <w:rPr>
          <w:sz w:val="20"/>
          <w:szCs w:val="20"/>
          <w:color w:val="auto"/>
        </w:rPr>
      </w:pPr>
    </w:p>
    <w:p>
      <w:pPr>
        <w:ind w:right="60" w:firstLine="433"/>
        <w:spacing w:after="0" w:line="274"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18" w:lineRule="exact"/>
        <w:rPr>
          <w:sz w:val="20"/>
          <w:szCs w:val="20"/>
          <w:color w:val="auto"/>
        </w:rPr>
      </w:pPr>
    </w:p>
    <w:p>
      <w:pPr>
        <w:ind w:right="40" w:firstLine="433"/>
        <w:spacing w:after="0" w:line="260"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460" w:firstLine="433"/>
        <w:spacing w:after="0" w:line="274"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OF APPLICABLE BORROWER].</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By:_______________________________</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Name:_____________________________</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Title:______________________________</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40" w:top="267" w:right="639" w:bottom="1440" w:gutter="0" w:footer="0" w:header="0"/>
        </w:sectPr>
      </w:pPr>
    </w:p>
    <w:bookmarkStart w:id="440" w:name="page441"/>
    <w:bookmarkEnd w:id="440"/>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A</w:t>
      </w:r>
    </w:p>
    <w:p>
      <w:pPr>
        <w:spacing w:after="0" w:line="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280" w:type="dxa"/>
            <w:vAlign w:val="bottom"/>
            <w:gridSpan w:val="2"/>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Amount of Principal</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Amount of ABR</w:t>
            </w: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Unpaid Principal</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108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4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color w:val="auto"/>
              </w:rPr>
              <w:t>Loans Converted to</w:t>
            </w:r>
          </w:p>
        </w:tc>
        <w:tc>
          <w:tcPr>
            <w:tcW w:w="118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1200" w:type="dxa"/>
            <w:vAlign w:val="bottom"/>
          </w:tcPr>
          <w:p>
            <w:pPr>
              <w:spacing w:after="0"/>
              <w:rPr>
                <w:sz w:val="12"/>
                <w:szCs w:val="12"/>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vMerge w:val="restart"/>
          </w:tcPr>
          <w:p>
            <w:pPr>
              <w:spacing w:after="0"/>
              <w:rPr>
                <w:sz w:val="12"/>
                <w:szCs w:val="12"/>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Currency</w:t>
            </w:r>
          </w:p>
        </w:tc>
        <w:tc>
          <w:tcPr>
            <w:tcW w:w="10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Converted to</w:t>
            </w: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of ABR Loans</w:t>
            </w:r>
          </w:p>
        </w:tc>
        <w:tc>
          <w:tcPr>
            <w:tcW w:w="100" w:type="dxa"/>
            <w:vAlign w:val="bottom"/>
          </w:tcPr>
          <w:p>
            <w:pPr>
              <w:spacing w:after="0"/>
              <w:rPr>
                <w:sz w:val="12"/>
                <w:szCs w:val="12"/>
                <w:color w:val="auto"/>
              </w:rPr>
            </w:pPr>
          </w:p>
        </w:tc>
        <w:tc>
          <w:tcPr>
            <w:tcW w:w="12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color w:val="auto"/>
                <w:w w:val="99"/>
              </w:rPr>
              <w:t>Term Benchmark</w:t>
            </w:r>
          </w:p>
        </w:tc>
        <w:tc>
          <w:tcPr>
            <w:tcW w:w="11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Balance</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75"/>
        </w:trPr>
        <w:tc>
          <w:tcPr>
            <w:tcW w:w="280" w:type="dxa"/>
            <w:vAlign w:val="bottom"/>
            <w:tcBorders>
              <w:bottom w:val="single" w:sz="8" w:color="auto"/>
            </w:tcBorders>
            <w:vMerge w:val="continue"/>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ABR Loans</w:t>
            </w: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265" w:right="539" w:bottom="1440" w:gutter="0" w:footer="0" w:header="0"/>
        </w:sectPr>
      </w:pPr>
    </w:p>
    <w:bookmarkStart w:id="441" w:name="page442"/>
    <w:bookmarkEnd w:id="441"/>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B</w:t>
      </w:r>
    </w:p>
    <w:p>
      <w:pPr>
        <w:spacing w:after="0" w:line="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gridSpan w:val="2"/>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Amount of Principal</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Unpaid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gridSpan w:val="2"/>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Amount Converted to</w:t>
            </w: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9"/>
              </w:rPr>
              <w:t>Amount of Term</w:t>
            </w:r>
          </w:p>
        </w:tc>
        <w:tc>
          <w:tcPr>
            <w:tcW w:w="10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color w:val="auto"/>
              </w:rPr>
              <w:t>Principal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6"/>
              </w:rPr>
              <w:t>of Term</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Balance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Interest</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Term</w:t>
            </w: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Benchmark</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w w:val="99"/>
              </w:rPr>
              <w:t>Benchmark</w:t>
            </w:r>
          </w:p>
        </w:tc>
        <w:tc>
          <w:tcPr>
            <w:tcW w:w="10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color w:val="auto"/>
                <w:w w:val="96"/>
              </w:rPr>
              <w:t>of Term</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82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vMerge w:val="restart"/>
          </w:tcPr>
          <w:p>
            <w:pPr>
              <w:spacing w:after="0"/>
              <w:rPr>
                <w:sz w:val="12"/>
                <w:szCs w:val="12"/>
                <w:color w:val="auto"/>
              </w:rPr>
            </w:pP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Currency</w:t>
            </w:r>
          </w:p>
        </w:tc>
        <w:tc>
          <w:tcPr>
            <w:tcW w:w="100" w:type="dxa"/>
            <w:vAlign w:val="bottom"/>
            <w:vMerge w:val="restart"/>
          </w:tcPr>
          <w:p>
            <w:pPr>
              <w:spacing w:after="0"/>
              <w:rPr>
                <w:sz w:val="12"/>
                <w:szCs w:val="12"/>
                <w:color w:val="auto"/>
              </w:rPr>
            </w:pPr>
          </w:p>
        </w:tc>
        <w:tc>
          <w:tcPr>
            <w:tcW w:w="880" w:type="dxa"/>
            <w:vAlign w:val="bottom"/>
            <w:vMerge w:val="continue"/>
          </w:tcPr>
          <w:p>
            <w:pPr>
              <w:spacing w:after="0"/>
              <w:rPr>
                <w:sz w:val="12"/>
                <w:szCs w:val="12"/>
                <w:color w:val="auto"/>
              </w:rPr>
            </w:pPr>
          </w:p>
        </w:tc>
        <w:tc>
          <w:tcPr>
            <w:tcW w:w="1100" w:type="dxa"/>
            <w:vAlign w:val="bottom"/>
            <w:gridSpan w:val="2"/>
          </w:tcPr>
          <w:p>
            <w:pPr>
              <w:jc w:val="center"/>
              <w:ind w:left="9"/>
              <w:spacing w:after="0" w:line="146" w:lineRule="exact"/>
              <w:rPr>
                <w:sz w:val="20"/>
                <w:szCs w:val="20"/>
                <w:color w:val="auto"/>
              </w:rPr>
            </w:pPr>
            <w:r>
              <w:rPr>
                <w:rFonts w:ascii="Times New Roman" w:cs="Times New Roman" w:eastAsia="Times New Roman" w:hAnsi="Times New Roman"/>
                <w:sz w:val="14"/>
                <w:szCs w:val="14"/>
                <w:color w:val="auto"/>
                <w:w w:val="99"/>
              </w:rPr>
              <w:t>Term Benchmark</w:t>
            </w:r>
          </w:p>
        </w:tc>
        <w:tc>
          <w:tcPr>
            <w:tcW w:w="1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Benchmark</w:t>
            </w: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Loans</w:t>
            </w:r>
          </w:p>
        </w:tc>
        <w:tc>
          <w:tcPr>
            <w:tcW w:w="134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color w:val="auto"/>
              </w:rPr>
              <w:t>Loans Converted to</w:t>
            </w:r>
          </w:p>
        </w:tc>
        <w:tc>
          <w:tcPr>
            <w:tcW w:w="10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color w:val="auto"/>
                <w:w w:val="99"/>
              </w:rPr>
              <w:t>Benchmark</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75"/>
        </w:trPr>
        <w:tc>
          <w:tcPr>
            <w:tcW w:w="280" w:type="dxa"/>
            <w:vAlign w:val="bottom"/>
            <w:tcBorders>
              <w:bottom w:val="single" w:sz="8" w:color="auto"/>
            </w:tcBorders>
            <w:vMerge w:val="continue"/>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265" w:right="539" w:bottom="1440" w:gutter="0" w:footer="0" w:header="0"/>
        </w:sectPr>
      </w:pPr>
    </w:p>
    <w:bookmarkStart w:id="442" w:name="page443"/>
    <w:bookmarkEnd w:id="442"/>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C</w:t>
      </w:r>
    </w:p>
    <w:p>
      <w:pPr>
        <w:spacing w:after="0" w:line="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DAILY SIMPLE SOFR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Amount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 Principal</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Daily</w:t>
            </w:r>
          </w:p>
        </w:tc>
        <w:tc>
          <w:tcPr>
            <w:tcW w:w="10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Unpaid Principal</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Converted to</w:t>
            </w:r>
          </w:p>
        </w:tc>
        <w:tc>
          <w:tcPr>
            <w:tcW w:w="13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of Daily Simple</w:t>
            </w: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Simple SOFR</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rPr>
              <w:t>Balance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440" w:type="dxa"/>
            <w:vAlign w:val="bottom"/>
          </w:tcPr>
          <w:p>
            <w:pPr>
              <w:spacing w:after="0"/>
              <w:rPr>
                <w:sz w:val="12"/>
                <w:szCs w:val="12"/>
                <w:color w:val="auto"/>
              </w:rPr>
            </w:pPr>
          </w:p>
        </w:tc>
        <w:tc>
          <w:tcPr>
            <w:tcW w:w="10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vMerge w:val="restart"/>
          </w:tcPr>
          <w:p>
            <w:pPr>
              <w:spacing w:after="0"/>
              <w:rPr>
                <w:sz w:val="12"/>
                <w:szCs w:val="12"/>
                <w:color w:val="auto"/>
              </w:rPr>
            </w:pP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vMerge w:val="restart"/>
          </w:tcPr>
          <w:p>
            <w:pPr>
              <w:spacing w:after="0"/>
              <w:rPr>
                <w:sz w:val="12"/>
                <w:szCs w:val="12"/>
                <w:color w:val="auto"/>
              </w:rPr>
            </w:pPr>
          </w:p>
        </w:tc>
        <w:tc>
          <w:tcPr>
            <w:tcW w:w="12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Daily Simple</w:t>
            </w:r>
          </w:p>
        </w:tc>
        <w:tc>
          <w:tcPr>
            <w:tcW w:w="12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color w:val="auto"/>
                <w:w w:val="99"/>
              </w:rPr>
              <w:t>Daily Simple</w:t>
            </w:r>
          </w:p>
        </w:tc>
        <w:tc>
          <w:tcPr>
            <w:tcW w:w="13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SOFR Loans</w:t>
            </w: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Loans Converted to</w:t>
            </w:r>
          </w:p>
        </w:tc>
        <w:tc>
          <w:tcPr>
            <w:tcW w:w="150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color w:val="auto"/>
              </w:rPr>
              <w:t>of Daily Simple SOFR</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75"/>
        </w:trPr>
        <w:tc>
          <w:tcPr>
            <w:tcW w:w="280" w:type="dxa"/>
            <w:vAlign w:val="bottom"/>
            <w:tcBorders>
              <w:bottom w:val="single" w:sz="8" w:color="auto"/>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SOFR Loans</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265" w:right="539" w:bottom="1440" w:gutter="0" w:footer="0" w:header="0"/>
        </w:sectPr>
      </w:pPr>
    </w:p>
    <w:bookmarkStart w:id="443" w:name="page444"/>
    <w:bookmarkEnd w:id="443"/>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L</w:t>
      </w:r>
    </w:p>
    <w:p>
      <w:pPr>
        <w:spacing w:after="0" w:line="27"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the lenders referred to below</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Telephone: 302-634-3228</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198" w:lineRule="exact"/>
        <w:rPr>
          <w:sz w:val="20"/>
          <w:szCs w:val="20"/>
          <w:color w:val="auto"/>
        </w:rPr>
      </w:pPr>
    </w:p>
    <w:p>
      <w:pPr>
        <w:ind w:left="9588"/>
        <w:spacing w:after="0"/>
        <w:rPr>
          <w:sz w:val="20"/>
          <w:szCs w:val="20"/>
          <w:color w:val="auto"/>
        </w:rPr>
      </w:pPr>
      <w:r>
        <w:rPr>
          <w:rFonts w:ascii="Times New Roman" w:cs="Times New Roman" w:eastAsia="Times New Roman" w:hAnsi="Times New Roman"/>
          <w:sz w:val="17"/>
          <w:szCs w:val="17"/>
          <w:color w:val="auto"/>
        </w:rPr>
        <w:t>_________, 20__</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Ladies/Gentlemen:</w:t>
      </w:r>
    </w:p>
    <w:p>
      <w:pPr>
        <w:spacing w:after="0" w:line="111" w:lineRule="exact"/>
        <w:rPr>
          <w:sz w:val="20"/>
          <w:szCs w:val="20"/>
          <w:color w:val="auto"/>
        </w:rPr>
      </w:pPr>
    </w:p>
    <w:p>
      <w:pPr>
        <w:ind w:left="8" w:right="20" w:firstLine="974"/>
        <w:spacing w:after="0" w:line="249" w:lineRule="auto"/>
        <w:rPr>
          <w:sz w:val="20"/>
          <w:szCs w:val="20"/>
          <w:color w:val="auto"/>
        </w:rPr>
      </w:pPr>
      <w:r>
        <w:rPr>
          <w:rFonts w:ascii="Times New Roman" w:cs="Times New Roman" w:eastAsia="Times New Roman" w:hAnsi="Times New Roman"/>
          <w:sz w:val="18"/>
          <w:szCs w:val="18"/>
          <w:color w:val="auto"/>
        </w:rPr>
        <w:t>The undersigned, [INSERT NAME OF APPLICABLE BORROWER]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[and General Motors Company, a Delaware corporation (“</w:t>
      </w:r>
      <w:r>
        <w:rPr>
          <w:rFonts w:ascii="Times New Roman" w:cs="Times New Roman" w:eastAsia="Times New Roman" w:hAnsi="Times New Roman"/>
          <w:sz w:val="18"/>
          <w:szCs w:val="18"/>
          <w:u w:val="single" w:color="auto"/>
          <w:color w:val="auto"/>
        </w:rPr>
        <w:t>Company/Applicable Borrower”)]</w:t>
      </w:r>
      <w:r>
        <w:rPr>
          <w:rFonts w:ascii="Times New Roman" w:cs="Times New Roman" w:eastAsia="Times New Roman" w:hAnsi="Times New Roman"/>
          <w:sz w:val="18"/>
          <w:szCs w:val="18"/>
          <w:color w:val="auto"/>
        </w:rPr>
        <w:t>1, refer[s] to the Fifth Amended and Restated Three 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Company/the Applicable Borrower]2,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Section[s] [2.2,] [2.4,] [and] [2.8]3 of the Credit Agreement that it requests an Extension of Credit under the Credit Agreement, and in connection sets forth below the terms on which such Extension of Credit is requested to be made[, to which the Company hereby consents]4: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499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41" w:lineRule="exact"/>
        <w:rPr>
          <w:sz w:val="20"/>
          <w:szCs w:val="20"/>
          <w:color w:val="auto"/>
        </w:rPr>
      </w:pPr>
    </w:p>
    <w:p>
      <w:pPr>
        <w:ind w:left="428" w:hanging="428"/>
        <w:spacing w:after="0"/>
        <w:tabs>
          <w:tab w:leader="none" w:pos="428"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if the Company is not the Applicable Borrower.</w:t>
      </w:r>
    </w:p>
    <w:p>
      <w:pPr>
        <w:spacing w:after="0" w:line="25" w:lineRule="exact"/>
        <w:rPr>
          <w:sz w:val="20"/>
          <w:szCs w:val="20"/>
          <w:color w:val="auto"/>
        </w:rPr>
      </w:pPr>
    </w:p>
    <w:p>
      <w:pPr>
        <w:ind w:left="428" w:hanging="428"/>
        <w:spacing w:after="0"/>
        <w:tabs>
          <w:tab w:leader="none" w:pos="42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Borrowing Request from the Company, it is the “Applicable Borrower”.</w:t>
      </w:r>
    </w:p>
    <w:p>
      <w:pPr>
        <w:spacing w:after="0" w:line="5" w:lineRule="exact"/>
        <w:rPr>
          <w:sz w:val="20"/>
          <w:szCs w:val="20"/>
          <w:color w:val="auto"/>
        </w:rPr>
      </w:pPr>
    </w:p>
    <w:p>
      <w:pPr>
        <w:ind w:left="428" w:right="40" w:hanging="428"/>
        <w:spacing w:after="0" w:line="246" w:lineRule="auto"/>
        <w:tabs>
          <w:tab w:leader="none" w:pos="42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describes the procedure for Domestic Commitments. Section 2.4 describes the procedure for Multicurrency Commitments. Section 2.8 describes the procedure for L/C Tranche Commitments.</w:t>
      </w:r>
    </w:p>
    <w:p>
      <w:pPr>
        <w:ind w:left="428" w:right="120" w:hanging="428"/>
        <w:spacing w:after="0" w:line="252" w:lineRule="auto"/>
        <w:tabs>
          <w:tab w:leader="none" w:pos="428"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if the Applicable Borrower is, in the case of a Borrowing Request delivered pursuant to Section 2.2, a Domestic Subsidiary Borrower or, in the case of a Borrowing Request delivered pursuant to Sections 2.4 or 2.8, a Subsidiary Borrower.</w:t>
      </w:r>
    </w:p>
    <w:p>
      <w:pPr>
        <w:sectPr>
          <w:pgSz w:w="11900" w:h="16838" w:orient="portrait"/>
          <w:cols w:equalWidth="0" w:num="1">
            <w:col w:w="10828"/>
          </w:cols>
          <w:pgMar w:left="532" w:top="265" w:right="539" w:bottom="1440" w:gutter="0" w:footer="0" w:header="0"/>
        </w:sectPr>
      </w:pPr>
    </w:p>
    <w:bookmarkStart w:id="444" w:name="page445"/>
    <w:bookmarkEnd w:id="444"/>
    <w:p>
      <w:pPr>
        <w:ind w:left="868" w:hanging="431"/>
        <w:spacing w:after="0"/>
        <w:tabs>
          <w:tab w:leader="none" w:pos="86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Borrowing Date</w:t>
      </w:r>
    </w:p>
    <w:p>
      <w:pPr>
        <w:spacing w:after="0" w:line="24" w:lineRule="exact"/>
        <w:rPr>
          <w:rFonts w:ascii="Times New Roman" w:cs="Times New Roman" w:eastAsia="Times New Roman" w:hAnsi="Times New Roman"/>
          <w:sz w:val="18"/>
          <w:szCs w:val="18"/>
          <w:color w:val="auto"/>
        </w:rPr>
      </w:pPr>
    </w:p>
    <w:p>
      <w:pPr>
        <w:ind w:left="8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Business Day)5</w:t>
      </w:r>
    </w:p>
    <w:p>
      <w:pPr>
        <w:spacing w:after="0" w:line="5" w:lineRule="exact"/>
        <w:rPr>
          <w:rFonts w:ascii="Times New Roman" w:cs="Times New Roman" w:eastAsia="Times New Roman" w:hAnsi="Times New Roman"/>
          <w:sz w:val="18"/>
          <w:szCs w:val="18"/>
          <w:color w:val="auto"/>
        </w:rPr>
      </w:pPr>
    </w:p>
    <w:p>
      <w:pPr>
        <w:ind w:left="868" w:hanging="431"/>
        <w:spacing w:after="0"/>
        <w:tabs>
          <w:tab w:leader="none" w:pos="86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w:t>
      </w:r>
    </w:p>
    <w:p>
      <w:pPr>
        <w:spacing w:after="0" w:line="25" w:lineRule="exact"/>
        <w:rPr>
          <w:rFonts w:ascii="Times New Roman" w:cs="Times New Roman" w:eastAsia="Times New Roman" w:hAnsi="Times New Roman"/>
          <w:sz w:val="18"/>
          <w:szCs w:val="18"/>
          <w:color w:val="auto"/>
        </w:rPr>
      </w:pPr>
    </w:p>
    <w:p>
      <w:pPr>
        <w:ind w:left="868" w:hanging="431"/>
        <w:spacing w:after="0"/>
        <w:tabs>
          <w:tab w:leader="none" w:pos="86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w:t>
      </w:r>
    </w:p>
    <w:p>
      <w:pPr>
        <w:spacing w:after="0" w:line="31" w:lineRule="exact"/>
        <w:rPr>
          <w:rFonts w:ascii="Times New Roman" w:cs="Times New Roman" w:eastAsia="Times New Roman" w:hAnsi="Times New Roman"/>
          <w:sz w:val="18"/>
          <w:szCs w:val="18"/>
          <w:color w:val="auto"/>
        </w:rPr>
      </w:pPr>
    </w:p>
    <w:p>
      <w:pPr>
        <w:ind w:left="868" w:hanging="431"/>
        <w:spacing w:after="0"/>
        <w:tabs>
          <w:tab w:leader="none" w:pos="86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of Extension of Credit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-565785</wp:posOffset>
            </wp:positionV>
            <wp:extent cx="204660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046605" cy="825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-287655</wp:posOffset>
            </wp:positionV>
            <wp:extent cx="204660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046605" cy="825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-135890</wp:posOffset>
            </wp:positionV>
            <wp:extent cx="204660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046605" cy="825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15240</wp:posOffset>
            </wp:positionV>
            <wp:extent cx="204660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0466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74993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98" w:lineRule="exact"/>
        <w:rPr>
          <w:sz w:val="20"/>
          <w:szCs w:val="20"/>
          <w:color w:val="auto"/>
        </w:rPr>
      </w:pPr>
    </w:p>
    <w:p>
      <w:pPr>
        <w:ind w:left="428" w:hanging="428"/>
        <w:spacing w:after="0" w:line="268" w:lineRule="auto"/>
        <w:tabs>
          <w:tab w:leader="none" w:pos="428"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 Request to be delivered to the Administrative Agent in the case of any Domestic Loan prior to (a) 1:00 p.m., New York City time, three U.S. Government Securities Business Days prior to the requested Borrowing Date, in the case of Term Benchmark Loans, (b) in the case of Daily Simple SOFR Loans, 11:00 a.m., New York City time, three U.S. Government Securities Business Days prior to the requested Borrowing Date or</w:t>
      </w:r>
    </w:p>
    <w:p>
      <w:pPr>
        <w:spacing w:after="0" w:line="1" w:lineRule="exact"/>
        <w:rPr>
          <w:rFonts w:ascii="Times New Roman" w:cs="Times New Roman" w:eastAsia="Times New Roman" w:hAnsi="Times New Roman"/>
          <w:sz w:val="17"/>
          <w:szCs w:val="17"/>
          <w:color w:val="auto"/>
        </w:rPr>
      </w:pPr>
    </w:p>
    <w:p>
      <w:pPr>
        <w:ind w:left="428"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1:00 p.m., New York City time, on the date of the proposed borrowing, in the case of ABR Loans. Borrowing Request to be delivered to the Administrative Agent (x) in the case of any Multicurrency Loan denominated in Dollars, written prior to (a) in the case of Term Benchmark Loans and Daily Simple SOFR Loans, 1:00 p.m., New York City time, three Business Days prior to the requested Borrowing Date or (b) 1:00 p.m., New York City time, on the date of the proposed borrowing, in the case of ABR Loans, (y) in the case of any Multicurrency Loan denominated in an Optional Currency (other than Japanese Yen), 1:00 p.m., London time, three Business Days prior to the requested Borrowing Date and (z) in the case of any Multicurrency Loan denominated in Japanese Yen, written prior to 1:00 p.m., London time, four Business Days prior to the requested Borrowing Date. Borrowing Request to be delivered in the case of any L/C Tranche Loan denominated in Dollars, written prior to (a) in the case of Term Benchmark Loans and Daily Simple SOFR Loans, 1:00 p.m., New York City time, three Business Days prior to the requested Borrowing Date, or (b) 1:00 p.m., New York City time, on the date of the proposed borrowing, in the case of ABR Loans, (y) in the case of any L/C Tranche Loan denominated in an Optional Currency (other than Japanese Yen), a written Borrowing Request prior to 1:00 p.m. , London time, three</w:t>
      </w:r>
    </w:p>
    <w:p>
      <w:pPr>
        <w:spacing w:after="0" w:line="5" w:lineRule="exact"/>
        <w:rPr>
          <w:sz w:val="20"/>
          <w:szCs w:val="20"/>
          <w:color w:val="auto"/>
        </w:rPr>
      </w:pPr>
    </w:p>
    <w:p>
      <w:pPr>
        <w:ind w:left="428" w:right="580"/>
        <w:spacing w:after="0" w:line="246" w:lineRule="auto"/>
        <w:rPr>
          <w:sz w:val="20"/>
          <w:szCs w:val="20"/>
          <w:color w:val="auto"/>
        </w:rPr>
      </w:pPr>
      <w:r>
        <w:rPr>
          <w:rFonts w:ascii="Times New Roman" w:cs="Times New Roman" w:eastAsia="Times New Roman" w:hAnsi="Times New Roman"/>
          <w:sz w:val="18"/>
          <w:szCs w:val="18"/>
          <w:color w:val="auto"/>
        </w:rPr>
        <w:t>Business Days prior to the requested Borrowing Date, and (z) in the case of any L/C Tranche Loan denominated in Japanese Yen, a written Borrowing Request prior to 1:00 p.m., London time, four Business Days prior to the requested Borrowing Date.</w:t>
      </w:r>
    </w:p>
    <w:p>
      <w:pPr>
        <w:ind w:left="428" w:right="20" w:hanging="428"/>
        <w:spacing w:after="0" w:line="247" w:lineRule="auto"/>
        <w:tabs>
          <w:tab w:leader="none" w:pos="42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under the Domestic Commitments shall be in an amount equal to $25 million (or, if the Total Available Domestic Commitments at such time are less than $25 million, such lesser amount) or a whole multiple of $5 million in excess thereof.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 $50 million at such time, such lesser amount).</w:t>
      </w:r>
    </w:p>
    <w:p>
      <w:pPr>
        <w:sectPr>
          <w:pgSz w:w="11900" w:h="16838" w:orient="portrait"/>
          <w:cols w:equalWidth="0" w:num="1">
            <w:col w:w="10828"/>
          </w:cols>
          <w:pgMar w:left="532" w:top="267" w:right="539" w:bottom="1440" w:gutter="0" w:footer="0" w:header="0"/>
        </w:sectPr>
      </w:pPr>
    </w:p>
    <w:bookmarkStart w:id="445" w:name="page446"/>
    <w:bookmarkEnd w:id="445"/>
    <w:p>
      <w:pPr>
        <w:ind w:left="448" w:hanging="448"/>
        <w:spacing w:after="0"/>
        <w:tabs>
          <w:tab w:leader="none" w:pos="448"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Type of Extension of Credit 7</w:t>
      </w:r>
    </w:p>
    <w:p>
      <w:pPr>
        <w:spacing w:after="0" w:line="3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and the last day thereof 8</w:t>
      </w:r>
    </w:p>
    <w:p>
      <w:pPr>
        <w:spacing w:after="0" w:line="31" w:lineRule="exact"/>
        <w:rPr>
          <w:rFonts w:ascii="Times New Roman" w:cs="Times New Roman" w:eastAsia="Times New Roman" w:hAnsi="Times New Roman"/>
          <w:sz w:val="18"/>
          <w:szCs w:val="18"/>
          <w:color w:val="auto"/>
        </w:rPr>
      </w:pPr>
    </w:p>
    <w:p>
      <w:pPr>
        <w:jc w:val="both"/>
        <w:ind w:left="448" w:right="7360" w:hanging="448"/>
        <w:spacing w:after="0" w:line="272" w:lineRule="auto"/>
        <w:tabs>
          <w:tab w:leader="none" w:pos="448"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Funds are requested to be disbursed to the Borrower’s account with _____________</w:t>
      </w:r>
    </w:p>
    <w:p>
      <w:pPr>
        <w:ind w:left="44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-569595</wp:posOffset>
            </wp:positionV>
            <wp:extent cx="212280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22805" cy="825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-417830</wp:posOffset>
            </wp:positionV>
            <wp:extent cx="212280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22805" cy="825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-266065</wp:posOffset>
            </wp:positionV>
            <wp:extent cx="212280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22805" cy="8255"/>
                    </a:xfrm>
                    <a:prstGeom prst="rect">
                      <a:avLst/>
                    </a:prstGeom>
                    <a:noFill/>
                  </pic:spPr>
                </pic:pic>
              </a:graphicData>
            </a:graphic>
          </wp:anchor>
        </w:drawing>
      </w:r>
    </w:p>
    <w:p>
      <w:pPr>
        <w:spacing w:after="0" w:line="176"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499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73" w:lineRule="exact"/>
        <w:rPr>
          <w:sz w:val="20"/>
          <w:szCs w:val="20"/>
          <w:color w:val="auto"/>
        </w:rPr>
      </w:pPr>
    </w:p>
    <w:p>
      <w:pPr>
        <w:ind w:left="428" w:hanging="428"/>
        <w:spacing w:after="0"/>
        <w:tabs>
          <w:tab w:leader="none" w:pos="42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Term Benchmark Borrowing, Daily Simple SOFR Borrowing or ABR Borrowing.</w:t>
      </w:r>
    </w:p>
    <w:p>
      <w:pPr>
        <w:spacing w:after="0" w:line="25" w:lineRule="exact"/>
        <w:rPr>
          <w:sz w:val="20"/>
          <w:szCs w:val="20"/>
          <w:color w:val="auto"/>
        </w:rPr>
      </w:pPr>
    </w:p>
    <w:p>
      <w:pPr>
        <w:ind w:left="428" w:hanging="428"/>
        <w:spacing w:after="0"/>
        <w:tabs>
          <w:tab w:leader="none" w:pos="428"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shall be subject to the definition of “Interest Period” and end on or before the Termination Date applicable to such Facility for such Lender.</w:t>
      </w:r>
    </w:p>
    <w:p>
      <w:pPr>
        <w:sectPr>
          <w:pgSz w:w="11900" w:h="16838" w:orient="portrait"/>
          <w:cols w:equalWidth="0" w:num="1">
            <w:col w:w="10788"/>
          </w:cols>
          <w:pgMar w:left="532" w:top="266" w:right="579" w:bottom="1440" w:gutter="0" w:footer="0" w:header="0"/>
        </w:sectPr>
      </w:pPr>
    </w:p>
    <w:bookmarkStart w:id="446" w:name="page447"/>
    <w:bookmarkEnd w:id="446"/>
    <w:p>
      <w:pPr>
        <w:ind w:left="8"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and9] 5.2 of the Credit Agreement have been satisfied.</w:t>
      </w:r>
    </w:p>
    <w:p>
      <w:pPr>
        <w:spacing w:after="0" w:line="191"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[INSERT NAME OF APPLICABLE BORROWER]10</w:t>
      </w:r>
    </w:p>
    <w:p>
      <w:pPr>
        <w:spacing w:after="0" w:line="218"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15240</wp:posOffset>
            </wp:positionV>
            <wp:extent cx="251841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15240</wp:posOffset>
            </wp:positionV>
            <wp:extent cx="251841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12"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499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52" w:lineRule="exact"/>
        <w:rPr>
          <w:sz w:val="20"/>
          <w:szCs w:val="20"/>
          <w:color w:val="auto"/>
        </w:rPr>
      </w:pPr>
    </w:p>
    <w:p>
      <w:pPr>
        <w:ind w:left="428" w:hanging="428"/>
        <w:spacing w:after="0"/>
        <w:tabs>
          <w:tab w:leader="none" w:pos="428"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for Borrowing on the Closing Date.]</w:t>
      </w:r>
    </w:p>
    <w:p>
      <w:pPr>
        <w:spacing w:after="0" w:line="2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8"/>
          <w:szCs w:val="18"/>
          <w:color w:val="auto"/>
        </w:rPr>
        <w:t>10</w:t>
        <w:tab/>
        <w:t>[Insert for Borrowings by an Applicable Borrower other than the Company.]</w:t>
      </w:r>
    </w:p>
    <w:p>
      <w:pPr>
        <w:sectPr>
          <w:pgSz w:w="11900" w:h="16838" w:orient="portrait"/>
          <w:cols w:equalWidth="0" w:num="1">
            <w:col w:w="10568"/>
          </w:cols>
          <w:pgMar w:left="532" w:top="266" w:right="799" w:bottom="1440" w:gutter="0" w:footer="0" w:header="0"/>
        </w:sectPr>
      </w:pPr>
    </w:p>
    <w:bookmarkStart w:id="447" w:name="page448"/>
    <w:bookmarkEnd w:id="447"/>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M</w:t>
      </w:r>
    </w:p>
    <w:p>
      <w:pPr>
        <w:spacing w:after="0" w:line="27"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COMPANY CONSENT</w:t>
      </w:r>
    </w:p>
    <w:p>
      <w:pPr>
        <w:spacing w:after="0" w:line="220"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7"/>
          <w:szCs w:val="17"/>
          <w:color w:val="auto"/>
        </w:rPr>
        <w:t>__________, 20__</w:t>
      </w:r>
    </w:p>
    <w:p>
      <w:pPr>
        <w:spacing w:after="0" w:line="2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w:t>
      </w:r>
      <w:r>
        <w:rPr>
          <w:rFonts w:ascii="Times New Roman" w:cs="Times New Roman" w:eastAsia="Times New Roman" w:hAnsi="Times New Roman"/>
          <w:sz w:val="18"/>
          <w:szCs w:val="18"/>
          <w:i w:val="1"/>
          <w:iCs w:val="1"/>
          <w:color w:val="auto"/>
        </w:rPr>
        <w:t>_____________________________</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w:t>
      </w:r>
    </w:p>
    <w:p>
      <w:pPr>
        <w:spacing w:after="0" w:line="246" w:lineRule="exact"/>
        <w:rPr>
          <w:sz w:val="20"/>
          <w:szCs w:val="20"/>
          <w:color w:val="auto"/>
        </w:rPr>
      </w:pPr>
    </w:p>
    <w:p>
      <w:pPr>
        <w:ind w:left="420" w:hanging="419"/>
        <w:spacing w:after="0" w:line="251" w:lineRule="auto"/>
        <w:tabs>
          <w:tab w:leader="none" w:pos="400" w:val="left"/>
        </w:tabs>
        <w:rPr>
          <w:sz w:val="20"/>
          <w:szCs w:val="20"/>
          <w:color w:val="auto"/>
        </w:rPr>
      </w:pPr>
      <w:r>
        <w:rPr>
          <w:rFonts w:ascii="Times New Roman" w:cs="Times New Roman" w:eastAsia="Times New Roman" w:hAnsi="Times New Roman"/>
          <w:sz w:val="18"/>
          <w:szCs w:val="18"/>
          <w:color w:val="auto"/>
        </w:rPr>
        <w:t>Re:</w:t>
        <w:tab/>
        <w:t>Fifth Amended and Restated Three 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from time to time party thereto, JPMorgan Chase Bank, N.A., as administrative agent, Citibank, N.A., as syndication agent, Bank of America, N.A., as co-syndication agent, and the other agents party thereto. Capitalized terms used and not defined herein shall have the meanings assigned to such terms in the Credit Agreement.</w:t>
      </w:r>
    </w:p>
    <w:p>
      <w:pPr>
        <w:spacing w:after="0" w:line="187" w:lineRule="exact"/>
        <w:rPr>
          <w:sz w:val="20"/>
          <w:szCs w:val="20"/>
          <w:color w:val="auto"/>
        </w:rPr>
      </w:pPr>
    </w:p>
    <w:p>
      <w:pPr>
        <w:ind w:right="260" w:firstLine="433"/>
        <w:spacing w:after="0" w:line="257"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Credit Agreement, the Company hereby consents to the issuance by the Issuing Lender or its Applicable Lending office of a Letter of Credit in the original face amount of ________________ [Insert Currency] requested by and for the account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 (the “</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pursuant to that certain Application dated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 20__] and executed by the Applicable Account Party].</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By:_______________________________</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20"/>
          </w:cols>
          <w:pgMar w:left="540" w:top="264" w:right="539" w:bottom="1440" w:gutter="0" w:footer="0" w:header="0"/>
        </w:sectPr>
      </w:pPr>
    </w:p>
    <w:bookmarkStart w:id="448" w:name="page449"/>
    <w:bookmarkEnd w:id="448"/>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N</w:t>
      </w:r>
    </w:p>
    <w:p>
      <w:pPr>
        <w:spacing w:after="0" w:line="27"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LETTER OF CREDIT ACKNOWLEDGMENT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LETTER OF CREDIT ACKNOWLEDGMENT, dated as of _____________, 20__, is entered into by _________________,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 (the “</w:t>
      </w:r>
      <w:r>
        <w:rPr>
          <w:rFonts w:ascii="Times New Roman" w:cs="Times New Roman" w:eastAsia="Times New Roman" w:hAnsi="Times New Roman"/>
          <w:sz w:val="17"/>
          <w:szCs w:val="17"/>
          <w:u w:val="single" w:color="auto"/>
          <w:color w:val="auto"/>
        </w:rPr>
        <w:t>Applicable Lending Office</w:t>
      </w:r>
      <w:r>
        <w:rPr>
          <w:rFonts w:ascii="Times New Roman" w:cs="Times New Roman" w:eastAsia="Times New Roman" w:hAnsi="Times New Roman"/>
          <w:sz w:val="17"/>
          <w:szCs w:val="17"/>
          <w:color w:val="auto"/>
        </w:rPr>
        <w:t>”), in favor of [INSERT ISSUING LENDER], General Motors Company, a Delaware corporation</w:t>
      </w:r>
    </w:p>
    <w:p>
      <w:pPr>
        <w:spacing w:after="0" w:line="17"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 (the “</w:t>
      </w:r>
      <w:r>
        <w:rPr>
          <w:rFonts w:ascii="Times New Roman" w:cs="Times New Roman" w:eastAsia="Times New Roman" w:hAnsi="Times New Roman"/>
          <w:sz w:val="18"/>
          <w:szCs w:val="18"/>
          <w:u w:val="single" w:color="auto"/>
          <w:color w:val="auto"/>
        </w:rPr>
        <w:t>Applicable Account Party</w:t>
      </w:r>
      <w:r>
        <w:rPr>
          <w:rFonts w:ascii="Times New Roman" w:cs="Times New Roman" w:eastAsia="Times New Roman" w:hAnsi="Times New Roman"/>
          <w:sz w:val="18"/>
          <w:szCs w:val="18"/>
          <w:color w:val="auto"/>
        </w:rPr>
        <w:t>”). Capitalized terms used and not defined herein shall have the meanings assigned to such terms in the Credit Agreement referred to below. This is a “Letter of Credit Acknowledgment” as referenced in the Credit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jc w:val="both"/>
        <w:ind w:right="80" w:firstLine="433"/>
        <w:spacing w:after="0" w:line="255" w:lineRule="auto"/>
        <w:rPr>
          <w:sz w:val="20"/>
          <w:szCs w:val="20"/>
          <w:color w:val="auto"/>
        </w:rPr>
      </w:pPr>
      <w:r>
        <w:rPr>
          <w:rFonts w:ascii="Times New Roman" w:cs="Times New Roman" w:eastAsia="Times New Roman" w:hAnsi="Times New Roman"/>
          <w:sz w:val="18"/>
          <w:szCs w:val="18"/>
          <w:color w:val="auto"/>
        </w:rPr>
        <w:t>WHEREAS, the Company, General Motors Financial Company, Inc., the Subsidiary Borrowers from time to time party thereto, JPMorgan Chase Bank, N.A, as Administrative Agent, and each of the Lenders from time to time party thereto have entered into that certain Fifth Amended and Restated Three-Year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100" w:firstLine="433"/>
        <w:spacing w:after="0" w:line="260" w:lineRule="auto"/>
        <w:rPr>
          <w:sz w:val="20"/>
          <w:szCs w:val="20"/>
          <w:color w:val="auto"/>
        </w:rPr>
      </w:pPr>
      <w:r>
        <w:rPr>
          <w:rFonts w:ascii="Times New Roman" w:cs="Times New Roman" w:eastAsia="Times New Roman" w:hAnsi="Times New Roman"/>
          <w:sz w:val="18"/>
          <w:szCs w:val="18"/>
          <w:color w:val="auto"/>
        </w:rPr>
        <w:t>WHEREAS, pursuant to the terms of the Credit Agreement, the Applicable Account Party has requested that the Applicable Lending Office issue a letter of credit (the “</w:t>
      </w:r>
      <w:r>
        <w:rPr>
          <w:rFonts w:ascii="Times New Roman" w:cs="Times New Roman" w:eastAsia="Times New Roman" w:hAnsi="Times New Roman"/>
          <w:sz w:val="18"/>
          <w:szCs w:val="18"/>
          <w:u w:val="single" w:color="auto"/>
          <w:color w:val="auto"/>
        </w:rPr>
        <w:t>Requested Letter of Credit</w:t>
      </w:r>
      <w:r>
        <w:rPr>
          <w:rFonts w:ascii="Times New Roman" w:cs="Times New Roman" w:eastAsia="Times New Roman" w:hAnsi="Times New Roman"/>
          <w:sz w:val="18"/>
          <w:szCs w:val="18"/>
          <w:color w:val="auto"/>
        </w:rPr>
        <w:t>”) on behalf of the Applicable Account Party, which letter of credit shall be a “Letter of Credit” for all purposes under the Credit Agreement; and</w:t>
      </w:r>
    </w:p>
    <w:p>
      <w:pPr>
        <w:spacing w:after="0" w:line="176" w:lineRule="exact"/>
        <w:rPr>
          <w:sz w:val="20"/>
          <w:szCs w:val="20"/>
          <w:color w:val="auto"/>
        </w:rPr>
      </w:pPr>
    </w:p>
    <w:p>
      <w:pPr>
        <w:ind w:right="160" w:firstLine="433"/>
        <w:spacing w:after="0" w:line="260" w:lineRule="auto"/>
        <w:rPr>
          <w:sz w:val="20"/>
          <w:szCs w:val="20"/>
          <w:color w:val="auto"/>
        </w:rPr>
      </w:pPr>
      <w:r>
        <w:rPr>
          <w:rFonts w:ascii="Times New Roman" w:cs="Times New Roman" w:eastAsia="Times New Roman" w:hAnsi="Times New Roman"/>
          <w:sz w:val="18"/>
          <w:szCs w:val="18"/>
          <w:color w:val="auto"/>
        </w:rPr>
        <w:t>WHEREAS, the Applicable Account Party may in the future request that the Applicable Lending Office issue additional letters of credit (each such letter of credit, a “</w:t>
      </w:r>
      <w:r>
        <w:rPr>
          <w:rFonts w:ascii="Times New Roman" w:cs="Times New Roman" w:eastAsia="Times New Roman" w:hAnsi="Times New Roman"/>
          <w:sz w:val="18"/>
          <w:szCs w:val="18"/>
          <w:u w:val="single" w:color="auto"/>
          <w:color w:val="auto"/>
        </w:rPr>
        <w:t>Future Letter of Credit</w:t>
      </w:r>
      <w:r>
        <w:rPr>
          <w:rFonts w:ascii="Times New Roman" w:cs="Times New Roman" w:eastAsia="Times New Roman" w:hAnsi="Times New Roman"/>
          <w:sz w:val="18"/>
          <w:szCs w:val="18"/>
          <w:color w:val="auto"/>
        </w:rPr>
        <w:t>”) on behalf of the Applicable Account Party, each such Future Letter of Credit to be a “Letter of Credit” for all purposes under the Credit Agreement upon the issuance thereof.</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18" w:lineRule="exact"/>
        <w:rPr>
          <w:sz w:val="20"/>
          <w:szCs w:val="20"/>
          <w:color w:val="auto"/>
        </w:rPr>
      </w:pPr>
    </w:p>
    <w:p>
      <w:pPr>
        <w:ind w:firstLine="966"/>
        <w:spacing w:after="0" w:line="255" w:lineRule="auto"/>
        <w:tabs>
          <w:tab w:leader="none" w:pos="115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Each of the Applicable Lending Office, [INSERT ISSUING LENDER], the Company and the Applicable Account Party hereby acknowledge that, upon the issuance thereof pursuant to the terms of the Credit Agreement, the Requested Letter of Credit and any Future Letter of Credit shall constitute and shall be deemed to be a Letter of Credit for all purposes under the Credit Agreement and shall be subject to the terms thereof, as such terms may be amended solely pursuant to Section 2 below.</w:t>
      </w:r>
    </w:p>
    <w:p>
      <w:pPr>
        <w:spacing w:after="0" w:line="182" w:lineRule="exact"/>
        <w:rPr>
          <w:sz w:val="20"/>
          <w:szCs w:val="20"/>
          <w:color w:val="auto"/>
        </w:rPr>
      </w:pPr>
    </w:p>
    <w:p>
      <w:pPr>
        <w:ind w:right="560" w:firstLine="1407"/>
        <w:spacing w:after="0" w:line="274" w:lineRule="auto"/>
        <w:rPr>
          <w:sz w:val="20"/>
          <w:szCs w:val="20"/>
          <w:color w:val="auto"/>
        </w:rPr>
      </w:pPr>
      <w:r>
        <w:rPr>
          <w:rFonts w:ascii="Times New Roman" w:cs="Times New Roman" w:eastAsia="Times New Roman" w:hAnsi="Times New Roman"/>
          <w:sz w:val="18"/>
          <w:szCs w:val="18"/>
          <w:color w:val="auto"/>
        </w:rPr>
        <w:t>The Applicable Lending Office hereby agrees to be bound by the terms and conditions of the Credit Agreement (including all representations, warranties, and covenants), derive rights and assume the obligations thereunder.</w:t>
      </w:r>
    </w:p>
    <w:p>
      <w:pPr>
        <w:sectPr>
          <w:pgSz w:w="11900" w:h="16838" w:orient="portrait"/>
          <w:cols w:equalWidth="0" w:num="1">
            <w:col w:w="10820"/>
          </w:cols>
          <w:pgMar w:left="540" w:top="264" w:right="539" w:bottom="1440" w:gutter="0" w:footer="0" w:header="0"/>
        </w:sectPr>
      </w:pPr>
    </w:p>
    <w:bookmarkStart w:id="449" w:name="page450"/>
    <w:bookmarkEnd w:id="449"/>
    <w:p>
      <w:pPr>
        <w:ind w:left="-420" w:right="100" w:firstLine="966"/>
        <w:spacing w:after="0" w:line="274" w:lineRule="auto"/>
        <w:tabs>
          <w:tab w:leader="none" w:pos="73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Amendments</w:t>
      </w:r>
      <w:r>
        <w:rPr>
          <w:rFonts w:ascii="Times New Roman" w:cs="Times New Roman" w:eastAsia="Times New Roman" w:hAnsi="Times New Roman"/>
          <w:sz w:val="18"/>
          <w:szCs w:val="18"/>
          <w:color w:val="auto"/>
        </w:rPr>
        <w:t>. Solely with respect to the Requested Letter of Credit and any Future Letter of Credit, the terms of the Credit Agreement governing Letters of Credit shall be amended as follows:</w:t>
      </w:r>
    </w:p>
    <w:p>
      <w:pPr>
        <w:spacing w:after="0" w:line="160" w:lineRule="exact"/>
        <w:rPr>
          <w:sz w:val="20"/>
          <w:szCs w:val="20"/>
          <w:color w:val="auto"/>
        </w:rPr>
      </w:pPr>
    </w:p>
    <w:p>
      <w:pPr>
        <w:ind w:right="60" w:firstLine="35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[Insert any amendments to the Letter of Credit provisions set forth in Section 3 of the Credit Agreement necessary to the extent (i) of any operational terms required by the Applicable Lending Office for similarly situated applicants that do not have a material impact on its ability to issue Letters of Credit and are not materially inconsistent with the terms of the Credit Agreement and the L/C Fee Letter or (ii) required pursuant to any applicable Requirements of Law.]</w:t>
      </w:r>
    </w:p>
    <w:p>
      <w:pPr>
        <w:spacing w:after="0" w:line="179" w:lineRule="exact"/>
        <w:rPr>
          <w:sz w:val="20"/>
          <w:szCs w:val="20"/>
          <w:color w:val="auto"/>
        </w:rPr>
      </w:pPr>
    </w:p>
    <w:p>
      <w:pPr>
        <w:ind w:left="-420" w:right="20" w:firstLine="966"/>
        <w:spacing w:after="0" w:line="253" w:lineRule="auto"/>
        <w:tabs>
          <w:tab w:leader="none" w:pos="731"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The Company hereby confirms that the Credit Agreement (other than as specifically amended hereby solely with respect to the Requested Letter of Credit and any Future Letter of Credit) remains in full force and effect and will continue to constitute legal, valid and binding obligations of the Company in accordance with its terms. Each of the Company and the Applicable Lending Office represents and warrants that it has the full power and authority, and has taken all actions necessary to execute and deliver this Letter of Credit Acknowledgment and to consummate the transactions contemplated hereunder.</w:t>
      </w:r>
    </w:p>
    <w:p>
      <w:pPr>
        <w:spacing w:after="0" w:line="180" w:lineRule="exact"/>
        <w:rPr>
          <w:rFonts w:ascii="Times New Roman" w:cs="Times New Roman" w:eastAsia="Times New Roman" w:hAnsi="Times New Roman"/>
          <w:sz w:val="18"/>
          <w:szCs w:val="18"/>
          <w:color w:val="auto"/>
        </w:rPr>
      </w:pPr>
    </w:p>
    <w:p>
      <w:pPr>
        <w:ind w:left="-420" w:firstLine="425"/>
        <w:spacing w:after="0" w:line="256" w:lineRule="auto"/>
        <w:tabs>
          <w:tab w:leader="none" w:pos="19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Etc</w:t>
      </w:r>
      <w:r>
        <w:rPr>
          <w:rFonts w:ascii="Times New Roman" w:cs="Times New Roman" w:eastAsia="Times New Roman" w:hAnsi="Times New Roman"/>
          <w:sz w:val="18"/>
          <w:szCs w:val="18"/>
          <w:color w:val="auto"/>
        </w:rPr>
        <w:t xml:space="preserve">. This Letter of Credit Acknowledgment shall be governed in accordance with the laws of the State of New York </w:t>
      </w:r>
      <w:r>
        <w:rPr>
          <w:rFonts w:ascii="Times New Roman" w:cs="Times New Roman" w:eastAsia="Times New Roman" w:hAnsi="Times New Roman"/>
          <w:sz w:val="18"/>
          <w:szCs w:val="18"/>
          <w:i w:val="1"/>
          <w:iCs w:val="1"/>
          <w:color w:val="auto"/>
        </w:rPr>
        <w:t>[or local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 if Acknowledgement would be unenforceable if governed by New York law]</w:t>
      </w:r>
      <w:r>
        <w:rPr>
          <w:rFonts w:ascii="Times New Roman" w:cs="Times New Roman" w:eastAsia="Times New Roman" w:hAnsi="Times New Roman"/>
          <w:sz w:val="18"/>
          <w:szCs w:val="18"/>
          <w:color w:val="auto"/>
        </w:rPr>
        <w:t>. This Letter of Credit Acknowledgment may be executed in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which taken together shall constitute one agreement. Any signature delivered by facsimile or by email (in “pdf” or similar format) shall be deemed an original signature hereto.</w:t>
      </w:r>
    </w:p>
    <w:p>
      <w:pPr>
        <w:sectPr>
          <w:pgSz w:w="11900" w:h="16838" w:orient="portrait"/>
          <w:cols w:equalWidth="0" w:num="1">
            <w:col w:w="10340"/>
          </w:cols>
          <w:pgMar w:left="960" w:top="266" w:right="599" w:bottom="1440" w:gutter="0" w:footer="0" w:header="0"/>
        </w:sectPr>
      </w:pPr>
    </w:p>
    <w:bookmarkStart w:id="450" w:name="page451"/>
    <w:bookmarkEnd w:id="450"/>
    <w:p>
      <w:pPr>
        <w:ind w:left="65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[APPLICABLE ACCOUNT PARTY]</w:t>
      </w:r>
    </w:p>
    <w:p>
      <w:pPr>
        <w:spacing w:after="0" w:line="25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-9525</wp:posOffset>
            </wp:positionV>
            <wp:extent cx="18243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824355" cy="825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124460</wp:posOffset>
            </wp:positionV>
            <wp:extent cx="84201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19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Title:</w:t>
      </w:r>
    </w:p>
    <w:p>
      <w:pPr>
        <w:spacing w:after="0" w:line="2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-9525</wp:posOffset>
            </wp:positionV>
            <wp:extent cx="18243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824355" cy="825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124460</wp:posOffset>
            </wp:positionV>
            <wp:extent cx="84201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19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Title: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-9525</wp:posOffset>
            </wp:positionV>
            <wp:extent cx="252603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LENDING OFFICE]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-9525</wp:posOffset>
            </wp:positionV>
            <wp:extent cx="252603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919"/>
          </w:cols>
          <w:pgMar w:left="540" w:top="266" w:right="1440" w:bottom="1440" w:gutter="0" w:footer="0" w:header="0"/>
        </w:sectPr>
      </w:pPr>
    </w:p>
    <w:bookmarkStart w:id="451" w:name="page452"/>
    <w:bookmarkEnd w:id="451"/>
    <w:p>
      <w:pPr>
        <w:ind w:left="970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2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FIFTH AMENDED AND RESTATED 364-DAY REVOLVING CREDIT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March 31, 2023</w:t>
      </w:r>
    </w:p>
    <w:p>
      <w:pPr>
        <w:sectPr>
          <w:pgSz w:w="11900" w:h="16838" w:orient="portrait"/>
          <w:cols w:equalWidth="0" w:num="1">
            <w:col w:w="10820"/>
          </w:cols>
          <w:pgMar w:left="540" w:top="118" w:right="539" w:bottom="1440" w:gutter="0" w:footer="0" w:header="0"/>
        </w:sectPr>
      </w:pPr>
    </w:p>
    <w:p>
      <w:pPr>
        <w:spacing w:after="0" w:line="24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i w:val="1"/>
          <w:iCs w:val="1"/>
          <w:color w:val="auto"/>
        </w:rPr>
        <w:t>as Administrative Agent, Global Coordinator,</w:t>
      </w:r>
    </w:p>
    <w:p>
      <w:pPr>
        <w:spacing w:after="0" w:line="1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Joint Lead Arranger and Joint Bookrunner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CITIBANK, N.A.,</w:t>
      </w:r>
    </w:p>
    <w:p>
      <w:pPr>
        <w:spacing w:after="0" w:line="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as Syndication Agent and as Global Coordinator,</w:t>
      </w:r>
    </w:p>
    <w:p>
      <w:pPr>
        <w:spacing w:after="0" w:line="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Joint Lead Arranger and Joint Bookrunner</w:t>
      </w:r>
    </w:p>
    <w:p>
      <w:pPr>
        <w:spacing w:after="0" w:line="200" w:lineRule="exact"/>
        <w:rPr>
          <w:sz w:val="20"/>
          <w:szCs w:val="20"/>
          <w:color w:val="auto"/>
        </w:rPr>
      </w:pPr>
    </w:p>
    <w:p>
      <w:pPr>
        <w:sectPr>
          <w:pgSz w:w="11900" w:h="16838" w:orient="portrait"/>
          <w:cols w:equalWidth="0" w:num="2">
            <w:col w:w="5760" w:space="720"/>
            <w:col w:w="4340"/>
          </w:cols>
          <w:pgMar w:left="540" w:top="118" w:right="539" w:bottom="1440" w:gutter="0" w:footer="0" w:header="0"/>
          <w:type w:val="continuous"/>
        </w:sectPr>
      </w:pPr>
    </w:p>
    <w:p>
      <w:pPr>
        <w:spacing w:after="0" w:line="3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LLOYDS BANK PLC</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THE TORONTO</w:t>
      </w:r>
    </w:p>
    <w:p>
      <w:pPr>
        <w:spacing w:after="0" w:line="25"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DOMINION BANK,</w:t>
      </w:r>
    </w:p>
    <w:p>
      <w:pPr>
        <w:spacing w:after="0" w:line="5"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NEW YORK BRANCH</w:t>
      </w:r>
      <w:r>
        <w:rPr>
          <w:rFonts w:ascii="Times New Roman" w:cs="Times New Roman" w:eastAsia="Times New Roman" w:hAnsi="Times New Roman"/>
          <w:sz w:val="12"/>
          <w:szCs w:val="12"/>
          <w:color w:val="auto"/>
        </w:rPr>
        <w:t>1,2</w:t>
      </w:r>
    </w:p>
    <w:p>
      <w:pPr>
        <w:spacing w:after="0" w:line="200" w:lineRule="exact"/>
        <w:rPr>
          <w:sz w:val="20"/>
          <w:szCs w:val="20"/>
          <w:color w:val="auto"/>
        </w:rPr>
      </w:pPr>
    </w:p>
    <w:p>
      <w:pPr>
        <w:sectPr>
          <w:pgSz w:w="11900" w:h="16838" w:orient="portrait"/>
          <w:cols w:equalWidth="0" w:num="2">
            <w:col w:w="6000" w:space="720"/>
            <w:col w:w="4100"/>
          </w:cols>
          <w:pgMar w:left="540" w:top="118" w:right="539" w:bottom="1440" w:gutter="0" w:footer="0" w:header="0"/>
          <w:type w:val="continuous"/>
        </w:sectPr>
      </w:pPr>
    </w:p>
    <w:p>
      <w:pPr>
        <w:spacing w:after="0" w:line="21"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i w:val="1"/>
          <w:iCs w:val="1"/>
          <w:color w:val="auto"/>
        </w:rPr>
        <w:t>as European Regional Coordinator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7"/>
          <w:szCs w:val="17"/>
          <w:i w:val="1"/>
          <w:iCs w:val="1"/>
          <w:color w:val="auto"/>
        </w:rPr>
        <w:t>as North American Regional</w:t>
      </w:r>
    </w:p>
    <w:p>
      <w:pPr>
        <w:spacing w:after="0" w:line="38"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i w:val="1"/>
          <w:iCs w:val="1"/>
          <w:color w:val="auto"/>
        </w:rPr>
        <w:t>Coordinator</w:t>
      </w:r>
    </w:p>
    <w:p>
      <w:pPr>
        <w:spacing w:after="0" w:line="200" w:lineRule="exact"/>
        <w:rPr>
          <w:sz w:val="20"/>
          <w:szCs w:val="20"/>
          <w:color w:val="auto"/>
        </w:rPr>
      </w:pPr>
    </w:p>
    <w:p>
      <w:pPr>
        <w:sectPr>
          <w:pgSz w:w="11900" w:h="16838" w:orient="portrait"/>
          <w:cols w:equalWidth="0" w:num="2">
            <w:col w:w="5920" w:space="720"/>
            <w:col w:w="4180"/>
          </w:cols>
          <w:pgMar w:left="540" w:top="118" w:right="539" w:bottom="1440" w:gutter="0" w:footer="0" w:header="0"/>
          <w:type w:val="continuous"/>
        </w:sectPr>
      </w:pPr>
    </w:p>
    <w:p>
      <w:pPr>
        <w:spacing w:after="0" w:line="38"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7"/>
          <w:szCs w:val="17"/>
          <w:color w:val="auto"/>
        </w:rPr>
        <w:t>BARCLAYS BANK PLC</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BANCO BILBAO</w:t>
      </w:r>
    </w:p>
    <w:p>
      <w:pPr>
        <w:spacing w:after="0" w:line="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VIZCAYA</w:t>
      </w:r>
    </w:p>
    <w:p>
      <w:pPr>
        <w:spacing w:after="0" w:line="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ARGENTARIA, S.A.</w:t>
      </w:r>
    </w:p>
    <w:p>
      <w:pPr>
        <w:spacing w:after="0" w:line="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NEW YORK</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BNP PARIBAS</w:t>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CREDIT AGRICOLE CORPORATE AND</w:t>
      </w:r>
    </w:p>
    <w:p>
      <w:pPr>
        <w:spacing w:after="0" w:line="3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xml:space="preserve">INVESTMENT BANK </w:t>
      </w:r>
      <w:r>
        <w:rPr>
          <w:rFonts w:ascii="Times New Roman" w:cs="Times New Roman" w:eastAsia="Times New Roman" w:hAnsi="Times New Roman"/>
          <w:sz w:val="13"/>
          <w:szCs w:val="13"/>
          <w:color w:val="auto"/>
        </w:rPr>
        <w:t>1,2</w:t>
      </w:r>
    </w:p>
    <w:p>
      <w:pPr>
        <w:spacing w:after="0" w:line="429" w:lineRule="exact"/>
        <w:rPr>
          <w:sz w:val="20"/>
          <w:szCs w:val="20"/>
          <w:color w:val="auto"/>
        </w:rPr>
      </w:pPr>
    </w:p>
    <w:p>
      <w:pPr>
        <w:sectPr>
          <w:pgSz w:w="11900" w:h="16838" w:orient="portrait"/>
          <w:cols w:equalWidth="0" w:num="4">
            <w:col w:w="1080" w:space="720"/>
            <w:col w:w="1800" w:space="720"/>
            <w:col w:w="2060" w:space="720"/>
            <w:col w:w="3720"/>
          </w:cols>
          <w:pgMar w:left="540" w:top="118" w:right="53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7"/>
          <w:szCs w:val="17"/>
          <w:color w:val="auto"/>
        </w:rPr>
        <w:t>BRANCH</w:t>
      </w:r>
      <w:r>
        <w:rPr>
          <w:rFonts w:ascii="Times New Roman" w:cs="Times New Roman" w:eastAsia="Times New Roman" w:hAnsi="Times New Roman"/>
          <w:sz w:val="12"/>
          <w:szCs w:val="12"/>
          <w:color w:val="auto"/>
        </w:rPr>
        <w:t>1,2</w:t>
      </w:r>
    </w:p>
    <w:p>
      <w:pPr>
        <w:sectPr>
          <w:pgSz w:w="11900" w:h="16838" w:orient="portrait"/>
          <w:cols w:equalWidth="0" w:num="1">
            <w:col w:w="10820"/>
          </w:cols>
          <w:pgMar w:left="540" w:top="118" w:right="53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SECURITIES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GOLDMAN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SACHS BANK</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USA</w:t>
      </w: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BANK OF AMERICA, N.A.</w:t>
      </w:r>
      <w:r>
        <w:rPr>
          <w:rFonts w:ascii="Times New Roman" w:cs="Times New Roman" w:eastAsia="Times New Roman" w:hAnsi="Times New Roman"/>
          <w:sz w:val="12"/>
          <w:szCs w:val="12"/>
          <w:color w:val="auto"/>
        </w:rPr>
        <w:t>1</w:t>
      </w:r>
    </w:p>
    <w:p>
      <w:pPr>
        <w:spacing w:after="0" w:line="3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as Co-Syndication Agent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MIZUHO BANK,</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240"/>
        <w:spacing w:after="0" w:line="260" w:lineRule="auto"/>
        <w:rPr>
          <w:sz w:val="20"/>
          <w:szCs w:val="20"/>
          <w:color w:val="auto"/>
        </w:rPr>
      </w:pPr>
      <w:r>
        <w:rPr>
          <w:rFonts w:ascii="Times New Roman" w:cs="Times New Roman" w:eastAsia="Times New Roman" w:hAnsi="Times New Roman"/>
          <w:sz w:val="18"/>
          <w:szCs w:val="18"/>
          <w:color w:val="auto"/>
        </w:rPr>
        <w:t>MORGAN STANLEY SENIOR FUNDING, INC.</w:t>
      </w:r>
      <w:r>
        <w:rPr>
          <w:rFonts w:ascii="Times New Roman" w:cs="Times New Roman" w:eastAsia="Times New Roman" w:hAnsi="Times New Roman"/>
          <w:sz w:val="13"/>
          <w:szCs w:val="13"/>
          <w:color w:val="auto"/>
        </w:rPr>
        <w:t>1,2</w:t>
      </w:r>
    </w:p>
    <w:p>
      <w:pPr>
        <w:sectPr>
          <w:pgSz w:w="11900" w:h="16838" w:orient="portrait"/>
          <w:cols w:equalWidth="0" w:num="5">
            <w:col w:w="1540" w:space="480"/>
            <w:col w:w="1140" w:space="720"/>
            <w:col w:w="2300" w:space="720"/>
            <w:col w:w="1340" w:space="720"/>
            <w:col w:w="1860"/>
          </w:cols>
          <w:pgMar w:left="540" w:top="118" w:right="539" w:bottom="1440" w:gutter="0" w:footer="0" w:header="0"/>
          <w:type w:val="continuous"/>
        </w:sectPr>
      </w:pPr>
    </w:p>
    <w:bookmarkStart w:id="452" w:name="page453"/>
    <w:bookmarkEnd w:id="452"/>
    <w:tbl>
      <w:tblPr>
        <w:tblLayout w:type="fixed"/>
        <w:tblInd w:w="100" w:type="dxa"/>
        <w:tblCellMar>
          <w:top w:w="0" w:type="dxa"/>
          <w:left w:w="0" w:type="dxa"/>
          <w:bottom w:w="0" w:type="dxa"/>
          <w:right w:w="0" w:type="dxa"/>
        </w:tblCellMar>
      </w:tblPr>
      <w:tr>
        <w:trPr>
          <w:trHeight w:val="212"/>
        </w:trPr>
        <w:tc>
          <w:tcPr>
            <w:tcW w:w="15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6"/>
              </w:rPr>
              <w:t>RBC CAPITAL</w:t>
            </w:r>
          </w:p>
        </w:tc>
        <w:tc>
          <w:tcPr>
            <w:tcW w:w="21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7"/>
              </w:rPr>
              <w:t>SUMITOMO</w:t>
            </w:r>
          </w:p>
        </w:tc>
        <w:tc>
          <w:tcPr>
            <w:tcW w:w="262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9"/>
              </w:rPr>
              <w:t>SOCIÉTÉ</w:t>
            </w:r>
          </w:p>
        </w:tc>
        <w:tc>
          <w:tcPr>
            <w:tcW w:w="242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THE BANK</w:t>
            </w:r>
          </w:p>
        </w:tc>
        <w:tc>
          <w:tcPr>
            <w:tcW w:w="17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BANCO</w:t>
            </w:r>
          </w:p>
        </w:tc>
      </w:tr>
      <w:tr>
        <w:trPr>
          <w:trHeight w:val="212"/>
        </w:trPr>
        <w:tc>
          <w:tcPr>
            <w:tcW w:w="15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6"/>
              </w:rPr>
              <w:t>MARKETS1</w:t>
            </w:r>
          </w:p>
        </w:tc>
        <w:tc>
          <w:tcPr>
            <w:tcW w:w="216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8"/>
              </w:rPr>
              <w:t>MITSUI BANKING</w:t>
            </w:r>
          </w:p>
        </w:tc>
        <w:tc>
          <w:tcPr>
            <w:tcW w:w="262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8"/>
              </w:rPr>
              <w:t>GÉNÉRALE1,2</w:t>
            </w:r>
          </w:p>
        </w:tc>
        <w:tc>
          <w:tcPr>
            <w:tcW w:w="24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5"/>
              </w:rPr>
              <w:t>OF NOVA</w:t>
            </w:r>
          </w:p>
        </w:tc>
        <w:tc>
          <w:tcPr>
            <w:tcW w:w="17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6"/>
              </w:rPr>
              <w:t>SANTANDER,</w:t>
            </w:r>
          </w:p>
        </w:tc>
      </w:tr>
      <w:tr>
        <w:trPr>
          <w:trHeight w:val="212"/>
        </w:trPr>
        <w:tc>
          <w:tcPr>
            <w:tcW w:w="15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6"/>
              </w:rPr>
              <w:t>ROYAL BANK OF</w:t>
            </w:r>
          </w:p>
        </w:tc>
        <w:tc>
          <w:tcPr>
            <w:tcW w:w="216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CORPORATION1,2</w:t>
            </w:r>
          </w:p>
        </w:tc>
        <w:tc>
          <w:tcPr>
            <w:tcW w:w="2620" w:type="dxa"/>
            <w:vAlign w:val="bottom"/>
          </w:tcPr>
          <w:p>
            <w:pPr>
              <w:spacing w:after="0"/>
              <w:rPr>
                <w:sz w:val="18"/>
                <w:szCs w:val="18"/>
                <w:color w:val="auto"/>
              </w:rPr>
            </w:pPr>
          </w:p>
        </w:tc>
        <w:tc>
          <w:tcPr>
            <w:tcW w:w="242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8"/>
              </w:rPr>
              <w:t>SCOTIA1,2</w:t>
            </w:r>
          </w:p>
        </w:tc>
        <w:tc>
          <w:tcPr>
            <w:tcW w:w="17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7"/>
              </w:rPr>
              <w:t>S.A., NEW</w:t>
            </w:r>
          </w:p>
        </w:tc>
      </w:tr>
      <w:tr>
        <w:trPr>
          <w:trHeight w:val="212"/>
        </w:trPr>
        <w:tc>
          <w:tcPr>
            <w:tcW w:w="15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CANADA2</w:t>
            </w:r>
          </w:p>
        </w:tc>
        <w:tc>
          <w:tcPr>
            <w:tcW w:w="2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YORK</w:t>
            </w:r>
          </w:p>
        </w:tc>
      </w:tr>
      <w:tr>
        <w:trPr>
          <w:trHeight w:val="355"/>
        </w:trPr>
        <w:tc>
          <w:tcPr>
            <w:tcW w:w="1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5"/>
              </w:rPr>
              <w:t>BRANCH</w:t>
            </w:r>
            <w:r>
              <w:rPr>
                <w:rFonts w:ascii="Times New Roman" w:cs="Times New Roman" w:eastAsia="Times New Roman" w:hAnsi="Times New Roman"/>
                <w:sz w:val="26"/>
                <w:szCs w:val="26"/>
                <w:color w:val="auto"/>
                <w:w w:val="95"/>
                <w:vertAlign w:val="superscript"/>
              </w:rPr>
              <w:t>1</w:t>
            </w: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xml:space="preserve">As Joint Bookrunners and Joint Lead Arrangers when noted ( </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 and as Documentation Agents when noted ( </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xml:space="preserve"> )</w:t>
      </w:r>
    </w:p>
    <w:p>
      <w:pPr>
        <w:spacing w:after="0" w:line="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540" w:top="266" w:right="759" w:bottom="1440" w:gutter="0" w:footer="0" w:header="0"/>
        </w:sectPr>
      </w:pPr>
    </w:p>
    <w:bookmarkStart w:id="453" w:name="page454"/>
    <w:bookmarkEnd w:id="453"/>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78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r>
      <w:tr>
        <w:trPr>
          <w:trHeight w:val="373"/>
        </w:trPr>
        <w:tc>
          <w:tcPr>
            <w:tcW w:w="6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1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Borrowing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2.9</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2.10</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Facility Fees,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Prepayments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on Term Benchmark Tranches and Daily Simple SOFR Borrowings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2.19</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2.20</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Requirements of Law</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Incremental Commitments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Conversion; Repayment of Converted Term Loans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58"/>
        </w:trPr>
        <w:tc>
          <w:tcPr>
            <w:tcW w:w="660" w:type="dxa"/>
            <w:vAlign w:val="bottom"/>
          </w:tcPr>
          <w:p>
            <w:pPr>
              <w:spacing w:after="0"/>
              <w:rPr>
                <w:sz w:val="24"/>
                <w:szCs w:val="24"/>
                <w:color w:val="auto"/>
              </w:rPr>
            </w:pPr>
          </w:p>
        </w:tc>
        <w:tc>
          <w:tcPr>
            <w:tcW w:w="77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i</w:t>
            </w:r>
          </w:p>
        </w:tc>
        <w:tc>
          <w:tcPr>
            <w:tcW w:w="2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20"/>
          </w:cols>
          <w:pgMar w:left="540" w:top="264" w:right="53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bookmarkStart w:id="454" w:name="page455"/>
    <w:bookmarkEnd w:id="454"/>
    <w:tbl>
      <w:tblPr>
        <w:tblLayout w:type="fixed"/>
        <w:tblInd w:w="0" w:type="dxa"/>
        <w:tblCellMar>
          <w:top w:w="0" w:type="dxa"/>
          <w:left w:w="0" w:type="dxa"/>
          <w:bottom w:w="0" w:type="dxa"/>
          <w:right w:w="0" w:type="dxa"/>
        </w:tblCellMar>
      </w:tblPr>
      <w:tr>
        <w:trPr>
          <w:trHeight w:val="232"/>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Condition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Change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4.3</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Existence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4.4</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4.5</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Legal Bar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4.6</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4.7</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Default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of Property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4.9</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Regulations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4.11</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4.12</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 Act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4.13</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of the Subsidiary Borrowers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4.14</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4.15</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5.1</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5.2</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6.1</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6.2</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Certificates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6.3</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6.4</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Insurance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6.5</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6.6</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Guarantors, etc.</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6.7</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Books and Records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6.8</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Ratings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Minimum Liquidity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7.2</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Indebtedness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7.3</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 Sale Restrictions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7.4</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Fundamental Changes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7.5</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THE AGENTS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99"/>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9.1</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2"/>
        </w:trPr>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9.2</w:t>
            </w:r>
          </w:p>
        </w:tc>
        <w:tc>
          <w:tcPr>
            <w:tcW w:w="6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Delegation of Duties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60"/>
          </w:cols>
          <w:pgMar w:left="540" w:top="266" w:right="599"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9.3</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Exculpatory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9.4</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9.5</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9.6</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9.7</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9.8</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9.10</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9.11</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Bookrunners, Lead Arrangers, Global and Regional Coordinators, Documentation Agents, Syndication Agent and Co-Syndication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9.12</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ERISA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9.13</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Acknowledgements of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8"/>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9"/>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10.10</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Integration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10.11</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10.12</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10.13</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Judgment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10.14</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10.15</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Releases of Guarantees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10.16</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10.17</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 OF JURY TRIAL</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10.18</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USA Patriot Act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10.19</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Novation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10.20</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10.21</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2"/>
        </w:trPr>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10.22</w:t>
            </w:r>
          </w:p>
        </w:tc>
        <w:tc>
          <w:tcPr>
            <w:tcW w:w="9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Limitations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760"/>
          </w:cols>
          <w:pgMar w:left="540" w:top="266" w:right="59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7"/>
          <w:szCs w:val="17"/>
          <w:color w:val="auto"/>
        </w:rPr>
        <w:t>SCHEDULES: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Commitments; Scheme Reference Number and Jurisdiction of Tax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-406400</wp:posOffset>
            </wp:positionV>
            <wp:extent cx="7176770" cy="3746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Excluded Subsidiaries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Pricing Grid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Subsidiary Businesses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Guarantee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Incremental Loan Activation Notice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Closing Certificate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Borrower Joinder Agreement</w:t>
      </w:r>
    </w:p>
    <w:p>
      <w:pPr>
        <w:spacing w:after="0" w:line="5" w:lineRule="exact"/>
        <w:rPr>
          <w:sz w:val="20"/>
          <w:szCs w:val="20"/>
          <w:color w:val="auto"/>
        </w:rPr>
      </w:pPr>
    </w:p>
    <w:p>
      <w:pPr>
        <w:ind w:right="3639"/>
        <w:spacing w:after="0" w:line="260" w:lineRule="auto"/>
        <w:rPr>
          <w:sz w:val="20"/>
          <w:szCs w:val="20"/>
          <w:color w:val="auto"/>
        </w:rPr>
      </w:pPr>
      <w:r>
        <w:rPr>
          <w:rFonts w:ascii="Times New Roman" w:cs="Times New Roman" w:eastAsia="Times New Roman" w:hAnsi="Times New Roman"/>
          <w:sz w:val="17"/>
          <w:szCs w:val="17"/>
          <w:color w:val="auto"/>
        </w:rPr>
        <w:t>Form of Exemption Certificate for Non-Partnership Non-U.S. Lenders Form of Exemption Certificate for Partnership Non-U.S.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Exemption Certificate for Non-Partnership Non-U.S. Participants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Exemption Certificate for Partnership Non-U.S. Participants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Company Consent</w:t>
      </w:r>
    </w:p>
    <w:p>
      <w:pPr>
        <w:spacing w:after="0" w:line="1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2">
            <w:col w:w="1060" w:space="240"/>
            <w:col w:w="8619"/>
          </w:cols>
          <w:pgMar w:left="540" w:top="266" w:right="1440" w:bottom="1440" w:gutter="0" w:footer="0" w:header="0"/>
        </w:sectPr>
      </w:pPr>
    </w:p>
    <w:bookmarkStart w:id="457" w:name="page458"/>
    <w:bookmarkEnd w:id="457"/>
    <w:p>
      <w:pPr>
        <w:ind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FIFTH AMENDED AND RESTATED 364-DAY REVOLVING CREDIT AGREEMENT, dated as of March 31, 2023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(as defined herein) from time to time parties hereto, the several banks and other financial institutions or entities from time to time parties hereto,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(and any of its branches and affiliates acting on its behalf in such capacity),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and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974"/>
        <w:spacing w:after="0" w:line="282" w:lineRule="auto"/>
        <w:rPr>
          <w:sz w:val="20"/>
          <w:szCs w:val="20"/>
          <w:color w:val="auto"/>
        </w:rPr>
      </w:pPr>
      <w:r>
        <w:rPr>
          <w:rFonts w:ascii="Times New Roman" w:cs="Times New Roman" w:eastAsia="Times New Roman" w:hAnsi="Times New Roman"/>
          <w:sz w:val="17"/>
          <w:szCs w:val="17"/>
          <w:color w:val="auto"/>
        </w:rPr>
        <w:t>WHEREAS, the Company entered into that certain Fourth Amended and Restated 364-Day Revolving Credit Agreement, dated as of April 5, 2022 (the “</w:t>
      </w:r>
      <w:r>
        <w:rPr>
          <w:rFonts w:ascii="Times New Roman" w:cs="Times New Roman" w:eastAsia="Times New Roman" w:hAnsi="Times New Roman"/>
          <w:sz w:val="17"/>
          <w:szCs w:val="17"/>
          <w:u w:val="single" w:color="auto"/>
          <w:color w:val="auto"/>
        </w:rPr>
        <w:t>Existing 364-Day Credit Agreement</w:t>
      </w:r>
      <w:r>
        <w:rPr>
          <w:rFonts w:ascii="Times New Roman" w:cs="Times New Roman" w:eastAsia="Times New Roman" w:hAnsi="Times New Roman"/>
          <w:sz w:val="17"/>
          <w:szCs w:val="17"/>
          <w:color w:val="auto"/>
        </w:rPr>
        <w:t>”), with GMF, the other Subsidiary Borrowers (as defined therein) from time to time party thereto, the several lenders from time to time party thereto, JPMorgan Chase Bank, N.A., as administrative agent and the other agents party thereto; and</w:t>
      </w:r>
    </w:p>
    <w:p>
      <w:pPr>
        <w:spacing w:after="0" w:line="160"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WHEREAS, the parties hereto have agreed to amend and restate the Existing 364-Day Credit Agreement as provided in this Agreement, which Agreement shall become effective upon the satisfaction of the conditions set forth in Section 5.1;</w:t>
      </w:r>
    </w:p>
    <w:p>
      <w:pPr>
        <w:spacing w:after="0" w:line="164"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that on the Closing Date (as defined below), the Existing 364-Day Credit Agreement shall be amended and restated in its entirety as 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2022 10-K</w:t>
      </w:r>
      <w:r>
        <w:rPr>
          <w:rFonts w:ascii="Times New Roman" w:cs="Times New Roman" w:eastAsia="Times New Roman" w:hAnsi="Times New Roman"/>
          <w:sz w:val="18"/>
          <w:szCs w:val="18"/>
          <w:color w:val="auto"/>
        </w:rPr>
        <w:t>” has the meaning assigned to such term in Section 4.1.</w:t>
      </w:r>
    </w:p>
    <w:p>
      <w:pPr>
        <w:spacing w:after="0" w:line="218" w:lineRule="exact"/>
        <w:rPr>
          <w:sz w:val="20"/>
          <w:szCs w:val="20"/>
          <w:color w:val="auto"/>
        </w:rPr>
      </w:pPr>
    </w:p>
    <w:p>
      <w:pPr>
        <w:ind w:right="80" w:firstLine="97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3-Year Revolving Credit Agreement</w:t>
      </w:r>
      <w:r>
        <w:rPr>
          <w:rFonts w:ascii="Times New Roman" w:cs="Times New Roman" w:eastAsia="Times New Roman" w:hAnsi="Times New Roman"/>
          <w:sz w:val="17"/>
          <w:szCs w:val="17"/>
          <w:color w:val="auto"/>
        </w:rPr>
        <w:t>” means (i) that certain Fifth Amended and Restated Three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Fifth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76" w:lineRule="exact"/>
        <w:rPr>
          <w:sz w:val="20"/>
          <w:szCs w:val="20"/>
          <w:color w:val="auto"/>
        </w:rPr>
      </w:pPr>
    </w:p>
    <w:p>
      <w:pPr>
        <w:ind w:right="26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Available Commitments</w:t>
      </w:r>
      <w:r>
        <w:rPr>
          <w:rFonts w:ascii="Times New Roman" w:cs="Times New Roman" w:eastAsia="Times New Roman" w:hAnsi="Times New Roman"/>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ectPr>
          <w:pgSz w:w="11900" w:h="16838" w:orient="portrait"/>
          <w:cols w:equalWidth="0" w:num="1">
            <w:col w:w="10800"/>
          </w:cols>
          <w:pgMar w:left="540" w:top="266" w:right="559" w:bottom="1440" w:gutter="0" w:footer="0" w:header="0"/>
        </w:sectPr>
      </w:pPr>
    </w:p>
    <w:bookmarkStart w:id="458" w:name="page459"/>
    <w:bookmarkEnd w:id="458"/>
    <w:p>
      <w:pPr>
        <w:ind w:right="40" w:firstLine="974"/>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5-Year Revolving Credit Agreement</w:t>
      </w:r>
      <w:r>
        <w:rPr>
          <w:rFonts w:ascii="Times New Roman" w:cs="Times New Roman" w:eastAsia="Times New Roman" w:hAnsi="Times New Roman"/>
          <w:sz w:val="17"/>
          <w:szCs w:val="17"/>
          <w:color w:val="auto"/>
        </w:rPr>
        <w:t>” means (i) that certain Fourth Amended and Restated Five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Fourth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76" w:lineRule="exact"/>
        <w:rPr>
          <w:sz w:val="20"/>
          <w:szCs w:val="20"/>
          <w:color w:val="auto"/>
        </w:rPr>
      </w:pPr>
    </w:p>
    <w:p>
      <w:pPr>
        <w:ind w:right="2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Available Commitments</w:t>
      </w:r>
      <w:r>
        <w:rPr>
          <w:rFonts w:ascii="Times New Roman" w:cs="Times New Roman" w:eastAsia="Times New Roman" w:hAnsi="Times New Roman"/>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2"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ABR</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18"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0"/>
          </w:cols>
          <w:pgMar w:left="540" w:top="267" w:right="599" w:bottom="1440" w:gutter="0" w:footer="0" w:header="0"/>
        </w:sectPr>
      </w:pPr>
    </w:p>
    <w:bookmarkStart w:id="459" w:name="page460"/>
    <w:bookmarkEnd w:id="459"/>
    <w:p>
      <w:pPr>
        <w:ind w:right="4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18" w:lineRule="exact"/>
        <w:rPr>
          <w:sz w:val="20"/>
          <w:szCs w:val="20"/>
          <w:color w:val="auto"/>
        </w:rPr>
      </w:pPr>
    </w:p>
    <w:p>
      <w:pPr>
        <w:ind w:right="5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18" w:lineRule="exact"/>
        <w:rPr>
          <w:sz w:val="20"/>
          <w:szCs w:val="20"/>
          <w:color w:val="auto"/>
        </w:rPr>
      </w:pPr>
    </w:p>
    <w:p>
      <w:pPr>
        <w:ind w:right="8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Daily Simple SOFR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Facility Rating</w:t>
      </w:r>
      <w:r>
        <w:rPr>
          <w:rFonts w:ascii="Times New Roman" w:cs="Times New Roman" w:eastAsia="Times New Roman" w:hAnsi="Times New Roman"/>
          <w:sz w:val="18"/>
          <w:szCs w:val="18"/>
          <w:color w:val="auto"/>
        </w:rPr>
        <w:t>” has the meaning set forth in the Applicable Pricing Grid.</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18" w:lineRule="exact"/>
        <w:rPr>
          <w:sz w:val="20"/>
          <w:szCs w:val="20"/>
          <w:color w:val="auto"/>
        </w:rPr>
      </w:pPr>
    </w:p>
    <w:p>
      <w:pPr>
        <w:jc w:val="both"/>
        <w:ind w:right="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Daily Simple SOFR Loan or Term Benchmark Loan, as the case may be, the applicable rate per annum set forth under the relevant column heading in the Applicable Pricing Grid, based upon the Applicable Rating in effect on such day.</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means the table set forth on Schedule 1.1C.</w:t>
      </w:r>
    </w:p>
    <w:p>
      <w:pPr>
        <w:spacing w:after="0" w:line="218" w:lineRule="exact"/>
        <w:rPr>
          <w:sz w:val="20"/>
          <w:szCs w:val="20"/>
          <w:color w:val="auto"/>
        </w:rPr>
      </w:pPr>
    </w:p>
    <w:p>
      <w:pPr>
        <w:ind w:right="40" w:firstLine="97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Rating</w:t>
      </w:r>
      <w:r>
        <w:rPr>
          <w:rFonts w:ascii="Times New Roman" w:cs="Times New Roman" w:eastAsia="Times New Roman" w:hAnsi="Times New Roman"/>
          <w:sz w:val="17"/>
          <w:szCs w:val="17"/>
          <w:color w:val="auto"/>
        </w:rPr>
        <w:t xml:space="preserve">” means the Index Debt Rating;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the Company has obtained or maintained an Applicable Facility Rating from at least two of Moody’s, S&amp;P or Fitch, the “Applicable Rating” shall be the Applicable Facility Rating in effect at any time of determination;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Applicable Rating that applied under the Existing 364-Day Credit Agreement immediately prior to the Closing Date shall be deemed to continue to apply until (but not including) the earlier of (i) June 15, 2023 and (ii) the first date upon which at least two of S&amp;P, Moody’s and Fitch have issued an Index Debt Rating that is lower than the Index Debt Rating issued by such rating agency as of the Closing Date.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18"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540" w:top="267" w:right="619" w:bottom="1440" w:gutter="0" w:footer="0" w:header="0"/>
        </w:sectPr>
      </w:pPr>
    </w:p>
    <w:bookmarkStart w:id="460" w:name="page461"/>
    <w:bookmarkEnd w:id="460"/>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assigned to such term in Section 9.11.</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18" w:lineRule="exact"/>
        <w:rPr>
          <w:sz w:val="20"/>
          <w:szCs w:val="20"/>
          <w:color w:val="auto"/>
        </w:rPr>
      </w:pPr>
    </w:p>
    <w:p>
      <w:pPr>
        <w:ind w:right="34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82" w:lineRule="exact"/>
        <w:rPr>
          <w:sz w:val="20"/>
          <w:szCs w:val="20"/>
          <w:color w:val="auto"/>
        </w:rPr>
      </w:pPr>
    </w:p>
    <w:p>
      <w:pPr>
        <w:ind w:right="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4" w:lineRule="exact"/>
        <w:rPr>
          <w:sz w:val="20"/>
          <w:szCs w:val="20"/>
          <w:color w:val="auto"/>
        </w:rPr>
      </w:pPr>
    </w:p>
    <w:p>
      <w:pPr>
        <w:ind w:right="8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(i) Daily Simple SOFR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2.18.</w:t>
      </w:r>
    </w:p>
    <w:p>
      <w:pPr>
        <w:spacing w:after="0" w:line="182" w:lineRule="exact"/>
        <w:rPr>
          <w:sz w:val="20"/>
          <w:szCs w:val="20"/>
          <w:color w:val="auto"/>
        </w:rPr>
      </w:pPr>
    </w:p>
    <w:p>
      <w:pPr>
        <w:ind w:right="3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540" w:top="266" w:right="579" w:bottom="1440" w:gutter="0" w:footer="0" w:header="0"/>
        </w:sectPr>
      </w:pPr>
    </w:p>
    <w:bookmarkStart w:id="461" w:name="page462"/>
    <w:bookmarkEnd w:id="461"/>
    <w:p>
      <w:pPr>
        <w:ind w:left="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selection or recommendation of a replacement benchmark rate or the mechanism for determining such a rate by the Relevant Governmental Body or</w:t>
      </w:r>
    </w:p>
    <w:p>
      <w:pPr>
        <w:spacing w:after="0" w:line="25" w:lineRule="exact"/>
        <w:rPr>
          <w:sz w:val="20"/>
          <w:szCs w:val="20"/>
          <w:color w:val="auto"/>
        </w:rPr>
      </w:pPr>
    </w:p>
    <w:p>
      <w:pPr>
        <w:ind w:left="8" w:right="280" w:hanging="8"/>
        <w:spacing w:after="0" w:line="252" w:lineRule="auto"/>
        <w:tabs>
          <w:tab w:leader="none" w:pos="26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3" w:lineRule="exact"/>
        <w:rPr>
          <w:sz w:val="20"/>
          <w:szCs w:val="20"/>
          <w:color w:val="auto"/>
        </w:rPr>
      </w:pPr>
    </w:p>
    <w:p>
      <w:pPr>
        <w:ind w:left="8" w:right="180" w:firstLine="974"/>
        <w:spacing w:after="0" w:line="274" w:lineRule="auto"/>
        <w:rPr>
          <w:sz w:val="20"/>
          <w:szCs w:val="20"/>
          <w:color w:val="auto"/>
        </w:rPr>
      </w:pPr>
      <w:r>
        <w:rPr>
          <w:rFonts w:ascii="Times New Roman" w:cs="Times New Roman" w:eastAsia="Times New Roman" w:hAnsi="Times New Roman"/>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164" w:lineRule="exact"/>
        <w:rPr>
          <w:sz w:val="20"/>
          <w:szCs w:val="20"/>
          <w:color w:val="auto"/>
        </w:rPr>
      </w:pPr>
    </w:p>
    <w:p>
      <w:pPr>
        <w:ind w:left="8" w:right="4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0" w:lineRule="exact"/>
        <w:rPr>
          <w:sz w:val="20"/>
          <w:szCs w:val="20"/>
          <w:color w:val="auto"/>
        </w:rPr>
      </w:pPr>
    </w:p>
    <w:p>
      <w:pPr>
        <w:ind w:left="8"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7" w:lineRule="exact"/>
        <w:rPr>
          <w:sz w:val="20"/>
          <w:szCs w:val="20"/>
          <w:color w:val="auto"/>
        </w:rPr>
      </w:pPr>
    </w:p>
    <w:p>
      <w:pPr>
        <w:ind w:left="8"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8" w:lineRule="exact"/>
        <w:rPr>
          <w:sz w:val="20"/>
          <w:szCs w:val="20"/>
          <w:color w:val="auto"/>
        </w:rPr>
      </w:pPr>
    </w:p>
    <w:p>
      <w:pPr>
        <w:ind w:left="8" w:right="220" w:firstLine="966"/>
        <w:spacing w:after="0" w:line="260" w:lineRule="auto"/>
        <w:tabs>
          <w:tab w:leader="none" w:pos="1233"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18"/>
          <w:szCs w:val="18"/>
          <w:color w:val="auto"/>
        </w:rPr>
      </w:pPr>
    </w:p>
    <w:p>
      <w:pPr>
        <w:ind w:left="8" w:right="60" w:firstLine="966"/>
        <w:spacing w:after="0" w:line="253" w:lineRule="auto"/>
        <w:tabs>
          <w:tab w:leader="none" w:pos="1233"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1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8"/>
          </w:cols>
          <w:pgMar w:left="532" w:top="266" w:right="559" w:bottom="1440" w:gutter="0" w:footer="0" w:header="0"/>
        </w:sectPr>
      </w:pPr>
    </w:p>
    <w:bookmarkStart w:id="462" w:name="page463"/>
    <w:bookmarkEnd w:id="462"/>
    <w:p>
      <w:pPr>
        <w:ind w:right="140" w:firstLine="43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8" w:lineRule="exact"/>
        <w:rPr>
          <w:sz w:val="20"/>
          <w:szCs w:val="20"/>
          <w:color w:val="auto"/>
        </w:rPr>
      </w:pPr>
    </w:p>
    <w:p>
      <w:pPr>
        <w:jc w:val="both"/>
        <w:ind w:right="80" w:firstLine="966"/>
        <w:spacing w:after="0" w:line="255" w:lineRule="auto"/>
        <w:tabs>
          <w:tab w:leader="none" w:pos="122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18"/>
          <w:szCs w:val="18"/>
          <w:color w:val="auto"/>
        </w:rPr>
      </w:pPr>
    </w:p>
    <w:p>
      <w:pPr>
        <w:ind w:firstLine="966"/>
        <w:spacing w:after="0" w:line="267" w:lineRule="auto"/>
        <w:tabs>
          <w:tab w:leader="none" w:pos="1224"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5" w:lineRule="exact"/>
        <w:rPr>
          <w:rFonts w:ascii="Times New Roman" w:cs="Times New Roman" w:eastAsia="Times New Roman" w:hAnsi="Times New Roman"/>
          <w:sz w:val="17"/>
          <w:szCs w:val="17"/>
          <w:color w:val="auto"/>
        </w:rPr>
      </w:pPr>
    </w:p>
    <w:p>
      <w:pPr>
        <w:ind w:firstLine="966"/>
        <w:spacing w:after="0" w:line="260" w:lineRule="auto"/>
        <w:tabs>
          <w:tab w:leader="none" w:pos="122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1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40" w:top="266" w:right="559" w:bottom="1440" w:gutter="0" w:footer="0" w:header="0"/>
        </w:sectPr>
      </w:pPr>
    </w:p>
    <w:bookmarkStart w:id="463" w:name="page464"/>
    <w:bookmarkEnd w:id="463"/>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18" w:lineRule="exact"/>
        <w:rPr>
          <w:sz w:val="20"/>
          <w:szCs w:val="20"/>
          <w:color w:val="auto"/>
        </w:rPr>
      </w:pPr>
    </w:p>
    <w:p>
      <w:pPr>
        <w:ind w:right="1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GMF or any other Subsidiary Borrower designated from time to time by the Company until (in the case of any Subsidiary Borrower) such time as such Subsidiary Borrower is removed as a party hereto pursuant to Section 10.1(d).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means a joinder agreement substantially in the form of Exhibit H.</w:t>
      </w:r>
    </w:p>
    <w:p>
      <w:pPr>
        <w:spacing w:after="0" w:line="218" w:lineRule="exact"/>
        <w:rPr>
          <w:sz w:val="20"/>
          <w:szCs w:val="20"/>
          <w:color w:val="auto"/>
        </w:rPr>
      </w:pPr>
    </w:p>
    <w:p>
      <w:pPr>
        <w:ind w:right="1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Term Benchmark Loans, as to which a single Interest Period is in effect.</w:t>
      </w:r>
    </w:p>
    <w:p>
      <w:pPr>
        <w:spacing w:after="0" w:line="164"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any Business Day specified by the Company or any Subsidiary Borrower as a date on which the Company or such Subsidiary Borrower requests the relevant Lenders to make Loans hereunder.</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Loan in substantially the form of Exhibit L.</w:t>
      </w:r>
    </w:p>
    <w:p>
      <w:pPr>
        <w:spacing w:after="0" w:line="218"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in addition to the foregoing, a Business Day shall be (a) in relation to Daily Simple SOFR Loans and any interest rate setting, fundings, disbursements, settlements or payments of any such Daily Simple SOFR Loan, or any other dealings of such Daily Simple SOFR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87"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2" w:lineRule="exact"/>
        <w:rPr>
          <w:sz w:val="20"/>
          <w:szCs w:val="20"/>
          <w:color w:val="auto"/>
        </w:rPr>
      </w:pPr>
    </w:p>
    <w:p>
      <w:pPr>
        <w:ind w:right="1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540" w:top="267" w:right="539" w:bottom="1440" w:gutter="0" w:footer="0" w:header="0"/>
        </w:sectPr>
      </w:pPr>
    </w:p>
    <w:bookmarkStart w:id="464" w:name="page465"/>
    <w:bookmarkEnd w:id="464"/>
    <w:p>
      <w:pPr>
        <w:ind w:firstLine="97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87" w:lineRule="exact"/>
        <w:rPr>
          <w:sz w:val="20"/>
          <w:szCs w:val="20"/>
          <w:color w:val="auto"/>
        </w:rPr>
      </w:pPr>
    </w:p>
    <w:p>
      <w:pPr>
        <w:ind w:right="40" w:firstLine="9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events: (a) any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(as such terms are used in Sections 13(d) and 14(d) of the Exchange Act) shall become, or obtain rights (whether by means of warrants, options or otherwise) to become,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65" w:lineRule="exact"/>
        <w:rPr>
          <w:sz w:val="20"/>
          <w:szCs w:val="20"/>
          <w:color w:val="auto"/>
        </w:rPr>
      </w:pPr>
    </w:p>
    <w:p>
      <w:pPr>
        <w:ind w:right="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4" w:lineRule="exact"/>
        <w:rPr>
          <w:sz w:val="20"/>
          <w:szCs w:val="20"/>
          <w:color w:val="auto"/>
        </w:rPr>
      </w:pPr>
    </w:p>
    <w:p>
      <w:pPr>
        <w:ind w:right="7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set forth in Section 5.1 shall have been satisfied, which date is March 31, 2023.</w:t>
      </w:r>
    </w:p>
    <w:p>
      <w:pPr>
        <w:spacing w:after="0" w:line="164" w:lineRule="exact"/>
        <w:rPr>
          <w:sz w:val="20"/>
          <w:szCs w:val="20"/>
          <w:color w:val="auto"/>
        </w:rPr>
      </w:pPr>
    </w:p>
    <w:p>
      <w:pPr>
        <w:ind w:right="1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18"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 including pursuant to any Commitment Increase permitted pursuant to Section 2.27(a) hereof.</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4" w:lineRule="exact"/>
        <w:rPr>
          <w:sz w:val="20"/>
          <w:szCs w:val="20"/>
          <w:color w:val="auto"/>
        </w:rPr>
      </w:pPr>
    </w:p>
    <w:p>
      <w:pPr>
        <w:ind w:right="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540" w:top="267" w:right="559" w:bottom="1440" w:gutter="0" w:footer="0" w:header="0"/>
        </w:sectPr>
      </w:pPr>
    </w:p>
    <w:bookmarkStart w:id="465" w:name="page466"/>
    <w:bookmarkEnd w:id="465"/>
    <w:p>
      <w:pPr>
        <w:ind w:right="24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w:t>
      </w:r>
    </w:p>
    <w:p>
      <w:pPr>
        <w:spacing w:after="0" w:line="218" w:lineRule="exact"/>
        <w:rPr>
          <w:sz w:val="20"/>
          <w:szCs w:val="20"/>
          <w:color w:val="auto"/>
        </w:rPr>
      </w:pPr>
    </w:p>
    <w:p>
      <w:pPr>
        <w:ind w:right="14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Domestic Liquidity</w:t>
      </w:r>
      <w:r>
        <w:rPr>
          <w:rFonts w:ascii="Times New Roman" w:cs="Times New Roman" w:eastAsia="Times New Roman" w:hAnsi="Times New Roman"/>
          <w:sz w:val="18"/>
          <w:szCs w:val="18"/>
          <w:color w:val="auto"/>
        </w:rPr>
        <w:t xml:space="preserve">” means, as of any date of determination, the sum of (a) the 3-Year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total available commitments (after giving effect to any applicable borrowing base limitations) under other then-effective committed credit facilities of the Company or any Domestic Subsidiary,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85" w:lineRule="exact"/>
        <w:rPr>
          <w:sz w:val="20"/>
          <w:szCs w:val="20"/>
          <w:color w:val="auto"/>
        </w:rPr>
      </w:pPr>
    </w:p>
    <w:p>
      <w:pPr>
        <w:ind w:right="2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3-Year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total available commitments (after giving effect to any applicable borrowing base limitations) under other then-effective committed credit facilities of the Company or any of its Subsidiaries,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7" w:lineRule="exact"/>
        <w:rPr>
          <w:sz w:val="20"/>
          <w:szCs w:val="20"/>
          <w:color w:val="auto"/>
        </w:rPr>
      </w:pPr>
    </w:p>
    <w:p>
      <w:pPr>
        <w:jc w:val="both"/>
        <w:ind w:right="4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4"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0"/>
          </w:cols>
          <w:pgMar w:left="540" w:top="267" w:right="559" w:bottom="1440" w:gutter="0" w:footer="0" w:header="0"/>
        </w:sectPr>
      </w:pPr>
    </w:p>
    <w:bookmarkStart w:id="466" w:name="page467"/>
    <w:bookmarkEnd w:id="466"/>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4" w:lineRule="exact"/>
        <w:rPr>
          <w:sz w:val="20"/>
          <w:szCs w:val="20"/>
          <w:color w:val="auto"/>
        </w:rPr>
      </w:pPr>
    </w:p>
    <w:p>
      <w:pPr>
        <w:ind w:right="4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Term Loan</w:t>
      </w:r>
      <w:r>
        <w:rPr>
          <w:rFonts w:ascii="Times New Roman" w:cs="Times New Roman" w:eastAsia="Times New Roman" w:hAnsi="Times New Roman"/>
          <w:sz w:val="18"/>
          <w:szCs w:val="18"/>
          <w:color w:val="auto"/>
        </w:rPr>
        <w:t>” has the meaning assigned to such term in Section 2.28(a).</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Term Loan Maturity Date</w:t>
      </w:r>
      <w:r>
        <w:rPr>
          <w:rFonts w:ascii="Times New Roman" w:cs="Times New Roman" w:eastAsia="Times New Roman" w:hAnsi="Times New Roman"/>
          <w:sz w:val="18"/>
          <w:szCs w:val="18"/>
          <w:color w:val="auto"/>
        </w:rPr>
        <w:t>” means March 28, 2025, which date is the first anniversary of the Termination Date.</w:t>
      </w:r>
    </w:p>
    <w:p>
      <w:pPr>
        <w:spacing w:after="0" w:line="218" w:lineRule="exact"/>
        <w:rPr>
          <w:sz w:val="20"/>
          <w:szCs w:val="20"/>
          <w:color w:val="auto"/>
        </w:rPr>
      </w:pPr>
    </w:p>
    <w:p>
      <w:pPr>
        <w:ind w:right="6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1" w:lineRule="exact"/>
        <w:rPr>
          <w:sz w:val="20"/>
          <w:szCs w:val="20"/>
          <w:color w:val="auto"/>
        </w:rPr>
      </w:pPr>
    </w:p>
    <w:p>
      <w:pPr>
        <w:ind w:left="1180" w:hanging="214"/>
        <w:spacing w:after="0"/>
        <w:tabs>
          <w:tab w:leader="none" w:pos="11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17"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17"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180"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w:t>
      </w:r>
    </w:p>
    <w:p>
      <w:pPr>
        <w:spacing w:after="0" w:line="187" w:lineRule="exact"/>
        <w:rPr>
          <w:sz w:val="20"/>
          <w:szCs w:val="20"/>
          <w:color w:val="auto"/>
        </w:rPr>
      </w:pPr>
    </w:p>
    <w:p>
      <w:pPr>
        <w:ind w:right="3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198"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20"/>
          </w:cols>
          <w:pgMar w:left="540" w:top="267" w:right="539" w:bottom="1440" w:gutter="0" w:footer="0" w:header="0"/>
        </w:sectPr>
      </w:pPr>
    </w:p>
    <w:bookmarkStart w:id="467" w:name="page468"/>
    <w:bookmarkEnd w:id="467"/>
    <w:p>
      <w:pPr>
        <w:jc w:val="both"/>
        <w:ind w:left="8"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82" w:lineRule="exact"/>
        <w:rPr>
          <w:sz w:val="20"/>
          <w:szCs w:val="20"/>
          <w:color w:val="auto"/>
        </w:rPr>
      </w:pPr>
    </w:p>
    <w:p>
      <w:pPr>
        <w:ind w:left="8"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Principal Trade Name</w:t>
      </w:r>
      <w:r>
        <w:rPr>
          <w:rFonts w:ascii="Times New Roman" w:cs="Times New Roman" w:eastAsia="Times New Roman" w:hAnsi="Times New Roman"/>
          <w:sz w:val="18"/>
          <w:szCs w:val="18"/>
          <w:color w:val="auto"/>
        </w:rPr>
        <w:t xml:space="preserv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p>
    <w:p>
      <w:pPr>
        <w:spacing w:after="0" w:line="176" w:lineRule="exact"/>
        <w:rPr>
          <w:sz w:val="20"/>
          <w:szCs w:val="20"/>
          <w:color w:val="auto"/>
        </w:rPr>
      </w:pPr>
    </w:p>
    <w:p>
      <w:pPr>
        <w:jc w:val="both"/>
        <w:ind w:left="8" w:right="8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5" w:lineRule="exact"/>
        <w:rPr>
          <w:sz w:val="20"/>
          <w:szCs w:val="20"/>
          <w:color w:val="auto"/>
        </w:rPr>
      </w:pPr>
    </w:p>
    <w:p>
      <w:pPr>
        <w:ind w:left="8" w:right="40" w:hanging="8"/>
        <w:spacing w:after="0" w:line="247" w:lineRule="auto"/>
        <w:tabs>
          <w:tab w:leader="none" w:pos="25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218" w:lineRule="exact"/>
        <w:rPr>
          <w:sz w:val="20"/>
          <w:szCs w:val="20"/>
          <w:color w:val="auto"/>
        </w:rPr>
      </w:pPr>
    </w:p>
    <w:p>
      <w:pPr>
        <w:jc w:val="both"/>
        <w:ind w:left="8" w:right="3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means any Subsidiary Borrower which is a Domestic Subsidiary.</w:t>
      </w:r>
    </w:p>
    <w:p>
      <w:pPr>
        <w:spacing w:after="0" w:line="218" w:lineRule="exact"/>
        <w:rPr>
          <w:sz w:val="20"/>
          <w:szCs w:val="20"/>
          <w:color w:val="auto"/>
        </w:rPr>
      </w:pPr>
    </w:p>
    <w:p>
      <w:pPr>
        <w:ind w:left="8" w:right="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5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8"/>
          </w:cols>
          <w:pgMar w:left="532" w:top="267" w:right="639" w:bottom="1440" w:gutter="0" w:footer="0" w:header="0"/>
        </w:sectPr>
      </w:pPr>
    </w:p>
    <w:bookmarkStart w:id="468" w:name="page469"/>
    <w:bookmarkEnd w:id="468"/>
    <w:p>
      <w:pPr>
        <w:ind w:left="8"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4" w:lineRule="exact"/>
        <w:rPr>
          <w:sz w:val="20"/>
          <w:szCs w:val="20"/>
          <w:color w:val="auto"/>
        </w:rPr>
      </w:pPr>
    </w:p>
    <w:p>
      <w:pPr>
        <w:ind w:left="8" w:right="6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4" w:lineRule="exact"/>
        <w:rPr>
          <w:sz w:val="20"/>
          <w:szCs w:val="20"/>
          <w:color w:val="auto"/>
        </w:rPr>
      </w:pPr>
    </w:p>
    <w:p>
      <w:pPr>
        <w:ind w:left="8" w:right="12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18" w:lineRule="exact"/>
        <w:rPr>
          <w:sz w:val="20"/>
          <w:szCs w:val="20"/>
          <w:color w:val="auto"/>
        </w:rPr>
      </w:pPr>
    </w:p>
    <w:p>
      <w:pPr>
        <w:ind w:left="8" w:right="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ind w:left="8" w:right="20" w:firstLine="974"/>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Default</w:t>
      </w:r>
      <w:r>
        <w:rPr>
          <w:rFonts w:ascii="Times New Roman" w:cs="Times New Roman" w:eastAsia="Times New Roman" w:hAnsi="Times New Roman"/>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8" w:lineRule="exact"/>
        <w:rPr>
          <w:sz w:val="20"/>
          <w:szCs w:val="20"/>
          <w:color w:val="auto"/>
        </w:rPr>
      </w:pPr>
    </w:p>
    <w:p>
      <w:pPr>
        <w:ind w:left="8" w:right="300" w:hanging="8"/>
        <w:spacing w:after="0" w:line="249" w:lineRule="auto"/>
        <w:tabs>
          <w:tab w:leader="none" w:pos="308"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85" w:lineRule="exact"/>
        <w:rPr>
          <w:sz w:val="20"/>
          <w:szCs w:val="20"/>
          <w:color w:val="auto"/>
        </w:rPr>
      </w:pPr>
    </w:p>
    <w:p>
      <w:pPr>
        <w:ind w:left="8" w:right="6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4" w:lineRule="exact"/>
        <w:rPr>
          <w:sz w:val="20"/>
          <w:szCs w:val="20"/>
          <w:color w:val="auto"/>
        </w:rPr>
      </w:pPr>
    </w:p>
    <w:p>
      <w:pPr>
        <w:ind w:left="8" w:right="3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218" w:lineRule="exact"/>
        <w:rPr>
          <w:sz w:val="20"/>
          <w:szCs w:val="20"/>
          <w:color w:val="auto"/>
        </w:rPr>
      </w:pPr>
    </w:p>
    <w:p>
      <w:pPr>
        <w:jc w:val="both"/>
        <w:ind w:left="8" w:right="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for any day with respect to any currency (other than Dollars), the rate at which such currency may be exchanged into Dollars, as set forth at 11:00 A.M., London time, on such day on the applicable Reuters currency page with respect to such currency on such day. In the event</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28"/>
          </w:cols>
          <w:pgMar w:left="532" w:top="267" w:right="539" w:bottom="1440" w:gutter="0" w:footer="0" w:header="0"/>
        </w:sectPr>
      </w:pPr>
    </w:p>
    <w:bookmarkStart w:id="469" w:name="page470"/>
    <w:bookmarkEnd w:id="469"/>
    <w:p>
      <w:pPr>
        <w:ind w:left="8"/>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5" w:lineRule="exact"/>
        <w:rPr>
          <w:sz w:val="20"/>
          <w:szCs w:val="20"/>
          <w:color w:val="auto"/>
        </w:rPr>
      </w:pPr>
    </w:p>
    <w:p>
      <w:pPr>
        <w:ind w:left="8" w:right="80" w:hanging="8"/>
        <w:spacing w:after="0" w:line="260" w:lineRule="auto"/>
        <w:tabs>
          <w:tab w:leader="none" w:pos="219"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spacing w:after="0" w:line="3" w:lineRule="exact"/>
        <w:rPr>
          <w:rFonts w:ascii="Times New Roman" w:cs="Times New Roman" w:eastAsia="Times New Roman" w:hAnsi="Times New Roman"/>
          <w:sz w:val="17"/>
          <w:szCs w:val="17"/>
          <w:color w:val="auto"/>
        </w:rPr>
      </w:pPr>
    </w:p>
    <w:p>
      <w:pPr>
        <w:ind w:left="8" w:right="80" w:hanging="8"/>
        <w:spacing w:after="0" w:line="247" w:lineRule="auto"/>
        <w:tabs>
          <w:tab w:leader="none" w:pos="258"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means the businesses and/or Subsidiaries indicated on Schedule 1.1E.</w:t>
      </w:r>
    </w:p>
    <w:p>
      <w:pPr>
        <w:spacing w:after="0" w:line="218" w:lineRule="exact"/>
        <w:rPr>
          <w:sz w:val="20"/>
          <w:szCs w:val="20"/>
          <w:color w:val="auto"/>
        </w:rPr>
      </w:pPr>
    </w:p>
    <w:p>
      <w:pPr>
        <w:ind w:left="8" w:right="20" w:firstLine="97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(b) any branch profit Taxes imposed by the United States or any similar Tax imposed by any other Governmental Authority in a jurisdiction described in clause</w:t>
      </w:r>
    </w:p>
    <w:p>
      <w:pPr>
        <w:spacing w:after="0" w:line="3" w:lineRule="exact"/>
        <w:rPr>
          <w:sz w:val="20"/>
          <w:szCs w:val="20"/>
          <w:color w:val="auto"/>
        </w:rPr>
      </w:pPr>
    </w:p>
    <w:p>
      <w:pPr>
        <w:ind w:left="8" w:right="100" w:hanging="8"/>
        <w:spacing w:after="0" w:line="264" w:lineRule="auto"/>
        <w:tabs>
          <w:tab w:leader="none" w:pos="249"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2.24) or (ii) such Lender changes its Applicable Lending Office, except in each case to the extent that, pursuant to Section 2.21, amounts with respect to such Taxes were payable either to such Lender’s assignor immediately before such Lender became a party hereto or to such Lender immediately before it changed its lending office, (d) Taxes attributable to such Recipient’s failure to comply with Section 2.21(d) to the extent such Recipient is legally entitled to so comply and (e) any Taxes imposed under FATCA.</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28"/>
          </w:cols>
          <w:pgMar w:left="532" w:top="267" w:right="539" w:bottom="1440" w:gutter="0" w:footer="0" w:header="0"/>
        </w:sectPr>
      </w:pPr>
    </w:p>
    <w:bookmarkStart w:id="470" w:name="page471"/>
    <w:bookmarkEnd w:id="470"/>
    <w:p>
      <w:pPr>
        <w:ind w:left="9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“Existing 364-Day Credit Agreement”</w:t>
      </w:r>
      <w:r>
        <w:rPr>
          <w:rFonts w:ascii="Times New Roman" w:cs="Times New Roman" w:eastAsia="Times New Roman" w:hAnsi="Times New Roman"/>
          <w:sz w:val="18"/>
          <w:szCs w:val="18"/>
          <w:color w:val="auto"/>
        </w:rPr>
        <w:t xml:space="preserve"> has the meaning assigned to such term in the recitals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means any “Loan” under and as defined in the Existing 364-Day Credit Agreement.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Required Lenders</w:t>
      </w:r>
      <w:r>
        <w:rPr>
          <w:rFonts w:ascii="Times New Roman" w:cs="Times New Roman" w:eastAsia="Times New Roman" w:hAnsi="Times New Roman"/>
          <w:sz w:val="18"/>
          <w:szCs w:val="18"/>
          <w:color w:val="auto"/>
        </w:rPr>
        <w:t>” means the “Required Lenders” under and as defined in the Existing 364-Day Credit Agreement.</w:t>
      </w:r>
    </w:p>
    <w:p>
      <w:pPr>
        <w:spacing w:after="0" w:line="218" w:lineRule="exact"/>
        <w:rPr>
          <w:sz w:val="20"/>
          <w:szCs w:val="20"/>
          <w:color w:val="auto"/>
        </w:rPr>
      </w:pPr>
    </w:p>
    <w:p>
      <w:pPr>
        <w:jc w:val="both"/>
        <w:ind w:right="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as to any Lender at any time, (a) prior to the Termination Date, an amount equal to the aggregate principal amount of all Loans held by such Lender then outstanding and (b) thereafter, the aggregate unpaid principal amount of all Converted Term Loans held by such Lender then outstanding.</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Commitments and the extensions of credit made thereunder.</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assigned to such term in Section 2.10(a).</w:t>
      </w:r>
    </w:p>
    <w:p>
      <w:pPr>
        <w:spacing w:after="0" w:line="218" w:lineRule="exact"/>
        <w:rPr>
          <w:sz w:val="20"/>
          <w:szCs w:val="20"/>
          <w:color w:val="auto"/>
        </w:rPr>
      </w:pPr>
    </w:p>
    <w:p>
      <w:pPr>
        <w:jc w:val="both"/>
        <w:ind w:right="2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Facility Fee Rate</w:t>
      </w:r>
      <w:r>
        <w:rPr>
          <w:rFonts w:ascii="Times New Roman" w:cs="Times New Roman" w:eastAsia="Times New Roman" w:hAnsi="Times New Roman"/>
          <w:sz w:val="17"/>
          <w:szCs w:val="17"/>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Rating</w:t>
      </w:r>
      <w:r>
        <w:rPr>
          <w:rFonts w:ascii="Times New Roman" w:cs="Times New Roman" w:eastAsia="Times New Roman" w:hAnsi="Times New Roman"/>
          <w:sz w:val="18"/>
          <w:szCs w:val="18"/>
          <w:color w:val="auto"/>
        </w:rPr>
        <w:t>” means, as of any date, the credit rating provided by Moody’s, S&amp;P or Fitch, as applicable, for the Facility provided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198" w:lineRule="exact"/>
        <w:rPr>
          <w:sz w:val="20"/>
          <w:szCs w:val="20"/>
          <w:color w:val="auto"/>
        </w:rPr>
      </w:pPr>
    </w:p>
    <w:p>
      <w:pPr>
        <w:ind w:right="20" w:firstLine="97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0" w:lineRule="exact"/>
        <w:rPr>
          <w:sz w:val="20"/>
          <w:szCs w:val="20"/>
          <w:color w:val="auto"/>
        </w:rPr>
      </w:pPr>
    </w:p>
    <w:p>
      <w:pPr>
        <w:ind w:right="1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shall be less than zero, such rate shall be deemed to be zero for purposes of this Agreement.</w:t>
      </w:r>
    </w:p>
    <w:p>
      <w:pPr>
        <w:spacing w:after="0" w:line="182" w:lineRule="exact"/>
        <w:rPr>
          <w:sz w:val="20"/>
          <w:szCs w:val="20"/>
          <w:color w:val="auto"/>
        </w:rPr>
      </w:pPr>
    </w:p>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means (a) the first day of each January, April, July and October (or, if any such day is not a Business Day, the next succeeding Business Day) and (b) the last day of the final Fee Payment Period.</w:t>
      </w:r>
    </w:p>
    <w:p>
      <w:pPr>
        <w:spacing w:after="0" w:line="164"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w:t>
      </w:r>
      <w:r>
        <w:rPr>
          <w:rFonts w:ascii="Times New Roman" w:cs="Times New Roman" w:eastAsia="Times New Roman" w:hAnsi="Times New Roman"/>
          <w:sz w:val="18"/>
          <w:szCs w:val="18"/>
          <w:color w:val="auto"/>
        </w:rPr>
        <w:t>”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80"/>
          </w:cols>
          <w:pgMar w:left="540" w:top="267" w:right="679" w:bottom="1440" w:gutter="0" w:footer="0" w:header="0"/>
        </w:sectPr>
      </w:pPr>
    </w:p>
    <w:bookmarkStart w:id="471" w:name="page472"/>
    <w:bookmarkEnd w:id="471"/>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Fee Payment Period End Date</w:t>
      </w:r>
      <w:r>
        <w:rPr>
          <w:rFonts w:ascii="Times New Roman" w:cs="Times New Roman" w:eastAsia="Times New Roman" w:hAnsi="Times New Roman"/>
          <w:sz w:val="18"/>
          <w:szCs w:val="18"/>
          <w:color w:val="auto"/>
        </w:rPr>
        <w:t>” means the fifteenth day of each March, June, September and December of each year.</w:t>
      </w:r>
    </w:p>
    <w:p>
      <w:pPr>
        <w:spacing w:after="0" w:line="218" w:lineRule="exact"/>
        <w:rPr>
          <w:sz w:val="20"/>
          <w:szCs w:val="20"/>
          <w:color w:val="auto"/>
        </w:rPr>
      </w:pPr>
    </w:p>
    <w:p>
      <w:pPr>
        <w:ind w:right="20" w:firstLine="9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Finance Subsidiary</w:t>
      </w:r>
      <w:r>
        <w:rPr>
          <w:rFonts w:ascii="Times New Roman" w:cs="Times New Roman" w:eastAsia="Times New Roman" w:hAnsi="Times New Roman"/>
          <w:sz w:val="17"/>
          <w:szCs w:val="17"/>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 Global Treasury Centre Limited shall not be considered a Finance Subsidiary.</w:t>
      </w:r>
    </w:p>
    <w:p>
      <w:pPr>
        <w:spacing w:after="0" w:line="165"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218" w:lineRule="exact"/>
        <w:rPr>
          <w:sz w:val="20"/>
          <w:szCs w:val="20"/>
          <w:color w:val="auto"/>
        </w:rPr>
      </w:pPr>
    </w:p>
    <w:p>
      <w:pPr>
        <w:ind w:right="2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0.00%.</w:t>
      </w:r>
    </w:p>
    <w:p>
      <w:pPr>
        <w:spacing w:after="0" w:line="182"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76" w:lineRule="exact"/>
        <w:rPr>
          <w:sz w:val="20"/>
          <w:szCs w:val="20"/>
          <w:color w:val="auto"/>
        </w:rPr>
      </w:pPr>
    </w:p>
    <w:p>
      <w:pPr>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76" w:lineRule="exact"/>
        <w:rPr>
          <w:sz w:val="20"/>
          <w:szCs w:val="20"/>
          <w:color w:val="auto"/>
        </w:rPr>
      </w:pPr>
    </w:p>
    <w:p>
      <w:pPr>
        <w:jc w:val="both"/>
        <w:ind w:right="3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right="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76"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Fifth Amended and Restated Guarantee Agreement to be executed and delivered by the Company, substantially in the form of Exhibit A.</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0"/>
          </w:cols>
          <w:pgMar w:left="540" w:top="267" w:right="579" w:bottom="1440" w:gutter="0" w:footer="0" w:header="0"/>
        </w:sectPr>
      </w:pPr>
    </w:p>
    <w:bookmarkStart w:id="472" w:name="page473"/>
    <w:bookmarkEnd w:id="47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18"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89" w:lineRule="exact"/>
        <w:rPr>
          <w:sz w:val="20"/>
          <w:szCs w:val="20"/>
          <w:color w:val="auto"/>
        </w:rPr>
      </w:pPr>
    </w:p>
    <w:p>
      <w:pPr>
        <w:ind w:right="7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Company (with respect to the Obligations of any Subsidiary Borrower) and any Subsidiary Guarantors (if applicable). For the avoidance of doubt, GM Holdings does not and shall not constitute a Guarantor.</w:t>
      </w:r>
    </w:p>
    <w:p>
      <w:pPr>
        <w:spacing w:after="0" w:line="164" w:lineRule="exact"/>
        <w:rPr>
          <w:sz w:val="20"/>
          <w:szCs w:val="20"/>
          <w:color w:val="auto"/>
        </w:rPr>
      </w:pPr>
    </w:p>
    <w:p>
      <w:pPr>
        <w:ind w:right="4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87" w:lineRule="exact"/>
        <w:rPr>
          <w:sz w:val="20"/>
          <w:szCs w:val="20"/>
          <w:color w:val="auto"/>
        </w:rPr>
      </w:pPr>
    </w:p>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as to each Incremental Lender, in respect of any Commitment Increase, the obligation of such Incremental Lender on and after the applicable Commitment Increase Date to make Incremental Loans under this Facility in a principal amount equal to the amount set forth under the heading “Incremental Commitment” opposite such Incremental Lender’s name on the applicable Incremental Loan Activation Notice.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00"/>
          </w:cols>
          <w:pgMar w:left="540" w:top="267" w:right="559" w:bottom="1440" w:gutter="0" w:footer="0" w:header="0"/>
        </w:sectPr>
      </w:pPr>
    </w:p>
    <w:bookmarkStart w:id="473" w:name="page474"/>
    <w:bookmarkEnd w:id="473"/>
    <w:p>
      <w:pPr>
        <w:ind w:left="8" w:right="2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means (a) any Lender designated by the Company,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and the Administrative Agent and (c) each Lender which has made, or acquired pursuant to an assignment made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an Incremental Commitment.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Activation Notice</w:t>
      </w:r>
      <w:r>
        <w:rPr>
          <w:rFonts w:ascii="Times New Roman" w:cs="Times New Roman" w:eastAsia="Times New Roman" w:hAnsi="Times New Roman"/>
          <w:sz w:val="18"/>
          <w:szCs w:val="18"/>
          <w:color w:val="auto"/>
        </w:rPr>
        <w:t>” means a notice substantially in the form of Exhibit E.</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2.27(b)</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firstLine="974"/>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spacing w:after="0" w:line="4" w:lineRule="exact"/>
        <w:rPr>
          <w:sz w:val="20"/>
          <w:szCs w:val="20"/>
          <w:color w:val="auto"/>
        </w:rPr>
      </w:pPr>
    </w:p>
    <w:p>
      <w:pPr>
        <w:ind w:left="8" w:right="120" w:hanging="8"/>
        <w:spacing w:after="0" w:line="248" w:lineRule="auto"/>
        <w:tabs>
          <w:tab w:leader="none" w:pos="22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w:t>
      </w:r>
    </w:p>
    <w:p>
      <w:pPr>
        <w:spacing w:after="0" w:line="218" w:lineRule="exact"/>
        <w:rPr>
          <w:sz w:val="20"/>
          <w:szCs w:val="20"/>
          <w:color w:val="auto"/>
        </w:rPr>
      </w:pPr>
    </w:p>
    <w:p>
      <w:pPr>
        <w:ind w:left="8" w:right="20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4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w:t>
      </w:r>
    </w:p>
    <w:p>
      <w:pPr>
        <w:spacing w:after="0" w:line="218" w:lineRule="exact"/>
        <w:rPr>
          <w:sz w:val="20"/>
          <w:szCs w:val="20"/>
          <w:color w:val="auto"/>
        </w:rPr>
      </w:pPr>
    </w:p>
    <w:p>
      <w:pPr>
        <w:ind w:left="8" w:right="3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164"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1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88"/>
          </w:cols>
          <w:pgMar w:left="532" w:top="267" w:right="579" w:bottom="1440" w:gutter="0" w:footer="0" w:header="0"/>
        </w:sectPr>
      </w:pPr>
    </w:p>
    <w:bookmarkStart w:id="474" w:name="page475"/>
    <w:bookmarkEnd w:id="474"/>
    <w:p>
      <w:pPr>
        <w:ind w:left="8" w:firstLine="97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means each Subsidiary listed on Schedule 1.1B.</w:t>
      </w:r>
    </w:p>
    <w:p>
      <w:pPr>
        <w:spacing w:after="0" w:line="218" w:lineRule="exact"/>
        <w:rPr>
          <w:sz w:val="20"/>
          <w:szCs w:val="20"/>
          <w:color w:val="auto"/>
        </w:rPr>
      </w:pPr>
    </w:p>
    <w:p>
      <w:pPr>
        <w:ind w:left="8" w:right="16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Section 2.14.</w:t>
      </w:r>
    </w:p>
    <w:p>
      <w:pPr>
        <w:spacing w:after="0" w:line="198" w:lineRule="exact"/>
        <w:rPr>
          <w:sz w:val="20"/>
          <w:szCs w:val="20"/>
          <w:color w:val="auto"/>
        </w:rPr>
      </w:pPr>
    </w:p>
    <w:p>
      <w:pPr>
        <w:ind w:left="8" w:right="140" w:firstLine="97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(2) the Termination Date and (3) the Converted Term Loan Maturity Date,</w:t>
      </w:r>
    </w:p>
    <w:p>
      <w:pPr>
        <w:spacing w:after="0" w:line="3" w:lineRule="exact"/>
        <w:rPr>
          <w:sz w:val="20"/>
          <w:szCs w:val="20"/>
          <w:color w:val="auto"/>
        </w:rPr>
      </w:pPr>
    </w:p>
    <w:p>
      <w:pPr>
        <w:ind w:left="8" w:right="40" w:hanging="8"/>
        <w:spacing w:after="0" w:line="267" w:lineRule="auto"/>
        <w:tabs>
          <w:tab w:leader="none" w:pos="249"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the Termination Date and the Converted Term Loan Maturity Date and (d) as to any Loan, the date of any repayment or prepayment made in respect thereof (to the extent of such repayment or prepayment).</w:t>
      </w:r>
    </w:p>
    <w:p>
      <w:pPr>
        <w:spacing w:after="0" w:line="172" w:lineRule="exact"/>
        <w:rPr>
          <w:sz w:val="20"/>
          <w:szCs w:val="20"/>
          <w:color w:val="auto"/>
        </w:rPr>
      </w:pPr>
    </w:p>
    <w:p>
      <w:pPr>
        <w:ind w:left="8" w:right="60"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as selected by the Company or relevant Subsidiary Borrower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as selected by the Company or relevant Subsidiary Borrower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84" w:lineRule="exact"/>
        <w:rPr>
          <w:sz w:val="20"/>
          <w:szCs w:val="20"/>
          <w:color w:val="auto"/>
        </w:rPr>
      </w:pPr>
    </w:p>
    <w:p>
      <w:pPr>
        <w:ind w:left="968" w:right="60" w:firstLine="400"/>
        <w:spacing w:after="0" w:line="260" w:lineRule="auto"/>
        <w:tabs>
          <w:tab w:leader="none" w:pos="165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1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88"/>
          </w:cols>
          <w:pgMar w:left="532" w:top="267" w:right="579" w:bottom="1440" w:gutter="0" w:footer="0" w:header="0"/>
        </w:sectPr>
      </w:pPr>
    </w:p>
    <w:bookmarkStart w:id="475" w:name="page476"/>
    <w:bookmarkEnd w:id="475"/>
    <w:p>
      <w:pPr>
        <w:ind w:left="960" w:right="40" w:firstLine="400"/>
        <w:spacing w:after="0" w:line="257" w:lineRule="auto"/>
        <w:tabs>
          <w:tab w:leader="none" w:pos="163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Company or relevant Subsidiary Borrower may not select an Interest Period under the Facility that would extend beyond the earliest Termination Date then in effect for the Facility unless the Loans are converted into Converted Term Loans pursuant to</w:t>
      </w:r>
    </w:p>
    <w:p>
      <w:pPr>
        <w:ind w:left="9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2.28, in which case the applicable Borrower may not select an Interest Period that would extend beyond the Converted Term Loan Maturity Date;</w:t>
      </w:r>
    </w:p>
    <w:p>
      <w:pPr>
        <w:spacing w:after="0" w:line="76" w:lineRule="exact"/>
        <w:rPr>
          <w:rFonts w:ascii="Times New Roman" w:cs="Times New Roman" w:eastAsia="Times New Roman" w:hAnsi="Times New Roman"/>
          <w:sz w:val="18"/>
          <w:szCs w:val="18"/>
          <w:color w:val="auto"/>
        </w:rPr>
      </w:pPr>
    </w:p>
    <w:p>
      <w:pPr>
        <w:ind w:left="960" w:right="200" w:firstLine="400"/>
        <w:spacing w:after="0" w:line="304" w:lineRule="auto"/>
        <w:tabs>
          <w:tab w:leader="none" w:pos="1634"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35" w:lineRule="exact"/>
        <w:rPr>
          <w:rFonts w:ascii="Times New Roman" w:cs="Times New Roman" w:eastAsia="Times New Roman" w:hAnsi="Times New Roman"/>
          <w:sz w:val="17"/>
          <w:szCs w:val="17"/>
          <w:color w:val="auto"/>
        </w:rPr>
      </w:pPr>
    </w:p>
    <w:p>
      <w:pPr>
        <w:ind w:left="960" w:right="260" w:firstLine="400"/>
        <w:spacing w:after="0" w:line="260" w:lineRule="auto"/>
        <w:tabs>
          <w:tab w:leader="none" w:pos="164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18"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liabilities of any kind.</w:t>
      </w:r>
    </w:p>
    <w:p>
      <w:pPr>
        <w:spacing w:after="0" w:line="218" w:lineRule="exact"/>
        <w:rPr>
          <w:sz w:val="20"/>
          <w:szCs w:val="20"/>
          <w:color w:val="auto"/>
        </w:rPr>
      </w:pPr>
    </w:p>
    <w:p>
      <w:pPr>
        <w:ind w:right="4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164"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Guarantee, the Notes, each Borrower Joinder Agreement, each Guarantee Joinder and any amendment, waiver, supplement or other modification to any of the foregoing.</w:t>
      </w:r>
    </w:p>
    <w:p>
      <w:pPr>
        <w:spacing w:after="0" w:line="164" w:lineRule="exact"/>
        <w:rPr>
          <w:sz w:val="20"/>
          <w:szCs w:val="20"/>
          <w:color w:val="auto"/>
        </w:rPr>
      </w:pPr>
    </w:p>
    <w:p>
      <w:pPr>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collectively, the Company, each Subsidiary Borrower and each Subsidiary Guarantor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40"/>
          </w:cols>
          <w:pgMar w:left="540" w:top="267" w:right="619" w:bottom="1440" w:gutter="0" w:footer="0" w:header="0"/>
        </w:sectPr>
      </w:pPr>
    </w:p>
    <w:bookmarkStart w:id="476" w:name="page477"/>
    <w:bookmarkEnd w:id="476"/>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right="40" w:firstLine="974"/>
        <w:spacing w:after="0" w:line="30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Indebtedness</w:t>
      </w:r>
      <w:r>
        <w:rPr>
          <w:rFonts w:ascii="Times New Roman" w:cs="Times New Roman" w:eastAsia="Times New Roman" w:hAnsi="Times New Roman"/>
          <w:sz w:val="17"/>
          <w:szCs w:val="17"/>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42"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the Company and (b) any Subsidiary Guarantor (if any) that, at the time of determination, has Consolidated Total Assets equal to at least 10% of the Consolidated Total Assets of the Company at such time, as reflected initially in the 2022 10-K and thereafter in the most recent annual consolidated financial statements of the Company delivered or deemed delivered pursuant to Section 6.1.</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10.22.</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18" w:lineRule="exact"/>
        <w:rPr>
          <w:sz w:val="20"/>
          <w:szCs w:val="20"/>
          <w:color w:val="auto"/>
        </w:rPr>
      </w:pPr>
    </w:p>
    <w:p>
      <w:pPr>
        <w:ind w:right="10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right="6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that is not a U.S. person.</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Section 2.19(g).</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20"/>
          </w:cols>
          <w:pgMar w:left="540" w:top="267" w:right="539" w:bottom="1440" w:gutter="0" w:footer="0" w:header="0"/>
        </w:sectPr>
      </w:pPr>
    </w:p>
    <w:bookmarkStart w:id="477" w:name="page478"/>
    <w:bookmarkEnd w:id="477"/>
    <w:p>
      <w:pPr>
        <w:ind w:left="8" w:right="60" w:firstLine="97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2"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18" w:lineRule="exact"/>
        <w:rPr>
          <w:sz w:val="20"/>
          <w:szCs w:val="20"/>
          <w:color w:val="auto"/>
        </w:rPr>
      </w:pPr>
    </w:p>
    <w:p>
      <w:pPr>
        <w:ind w:left="8" w:right="20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5" w:lineRule="exact"/>
        <w:rPr>
          <w:sz w:val="20"/>
          <w:szCs w:val="20"/>
          <w:color w:val="auto"/>
        </w:rPr>
      </w:pPr>
    </w:p>
    <w:p>
      <w:pPr>
        <w:ind w:left="8" w:right="360" w:hanging="8"/>
        <w:spacing w:after="0" w:line="252" w:lineRule="auto"/>
        <w:tabs>
          <w:tab w:leader="none" w:pos="258"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83" w:lineRule="exact"/>
        <w:rPr>
          <w:sz w:val="20"/>
          <w:szCs w:val="20"/>
          <w:color w:val="auto"/>
        </w:rPr>
      </w:pPr>
    </w:p>
    <w:p>
      <w:pPr>
        <w:ind w:left="8" w:right="24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Bank Funding Rate shall be less than zero, such rate shall be deemed to be zero for purposes of this Agreement.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9.13(c).</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9.13(c).</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151"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08"/>
          </w:cols>
          <w:pgMar w:left="532" w:top="266" w:right="559" w:bottom="1440" w:gutter="0" w:footer="0" w:header="0"/>
        </w:sectPr>
      </w:pPr>
    </w:p>
    <w:bookmarkStart w:id="478" w:name="page479"/>
    <w:bookmarkEnd w:id="478"/>
    <w:p>
      <w:pPr>
        <w:ind w:right="120"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of such Lender then outstanding constitutes of the aggregate Outstanding Amount of Extensions of Credit of the Lenders then outstanding.</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1" w:lineRule="exact"/>
        <w:rPr>
          <w:sz w:val="20"/>
          <w:szCs w:val="20"/>
          <w:color w:val="auto"/>
        </w:rPr>
      </w:pPr>
    </w:p>
    <w:p>
      <w:pPr>
        <w:ind w:left="960" w:firstLine="400"/>
        <w:spacing w:after="0" w:line="255" w:lineRule="auto"/>
        <w:tabs>
          <w:tab w:leader="none" w:pos="159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and to the extent required by GAAP, adequate reserves with respect thereto are maintained on the books of the relevant Person in conformity with GAAP;</w:t>
      </w:r>
    </w:p>
    <w:p>
      <w:pPr>
        <w:spacing w:after="0" w:line="75" w:lineRule="exact"/>
        <w:rPr>
          <w:rFonts w:ascii="Times New Roman" w:cs="Times New Roman" w:eastAsia="Times New Roman" w:hAnsi="Times New Roman"/>
          <w:sz w:val="18"/>
          <w:szCs w:val="18"/>
          <w:color w:val="auto"/>
        </w:rPr>
      </w:pPr>
    </w:p>
    <w:p>
      <w:pPr>
        <w:ind w:left="960" w:right="100" w:firstLine="400"/>
        <w:spacing w:after="0" w:line="260" w:lineRule="auto"/>
        <w:tabs>
          <w:tab w:leader="none" w:pos="160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70" w:lineRule="exact"/>
        <w:rPr>
          <w:rFonts w:ascii="Times New Roman" w:cs="Times New Roman" w:eastAsia="Times New Roman" w:hAnsi="Times New Roman"/>
          <w:sz w:val="18"/>
          <w:szCs w:val="18"/>
          <w:color w:val="auto"/>
        </w:rPr>
      </w:pPr>
    </w:p>
    <w:p>
      <w:pPr>
        <w:ind w:left="1600" w:hanging="240"/>
        <w:spacing w:after="0"/>
        <w:tabs>
          <w:tab w:leader="none" w:pos="16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111" w:lineRule="exact"/>
        <w:rPr>
          <w:rFonts w:ascii="Times New Roman" w:cs="Times New Roman" w:eastAsia="Times New Roman" w:hAnsi="Times New Roman"/>
          <w:sz w:val="18"/>
          <w:szCs w:val="18"/>
          <w:color w:val="auto"/>
        </w:rPr>
      </w:pPr>
    </w:p>
    <w:p>
      <w:pPr>
        <w:jc w:val="both"/>
        <w:ind w:left="960" w:right="140" w:firstLine="400"/>
        <w:spacing w:after="0" w:line="260" w:lineRule="auto"/>
        <w:tabs>
          <w:tab w:leader="none" w:pos="160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0" w:lineRule="exact"/>
        <w:rPr>
          <w:rFonts w:ascii="Times New Roman" w:cs="Times New Roman" w:eastAsia="Times New Roman" w:hAnsi="Times New Roman"/>
          <w:sz w:val="18"/>
          <w:szCs w:val="18"/>
          <w:color w:val="auto"/>
        </w:rPr>
      </w:pPr>
    </w:p>
    <w:p>
      <w:pPr>
        <w:ind w:left="960" w:firstLine="400"/>
        <w:spacing w:after="0" w:line="253" w:lineRule="auto"/>
        <w:tabs>
          <w:tab w:leader="none" w:pos="159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76" w:lineRule="exact"/>
        <w:rPr>
          <w:rFonts w:ascii="Times New Roman" w:cs="Times New Roman" w:eastAsia="Times New Roman" w:hAnsi="Times New Roman"/>
          <w:sz w:val="18"/>
          <w:szCs w:val="18"/>
          <w:color w:val="auto"/>
        </w:rPr>
      </w:pPr>
    </w:p>
    <w:p>
      <w:pPr>
        <w:ind w:left="960" w:right="620" w:firstLine="400"/>
        <w:spacing w:after="0" w:line="304" w:lineRule="auto"/>
        <w:tabs>
          <w:tab w:leader="none" w:pos="1575"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35" w:lineRule="exact"/>
        <w:rPr>
          <w:rFonts w:ascii="Times New Roman" w:cs="Times New Roman" w:eastAsia="Times New Roman" w:hAnsi="Times New Roman"/>
          <w:sz w:val="17"/>
          <w:szCs w:val="17"/>
          <w:color w:val="auto"/>
        </w:rPr>
      </w:pPr>
    </w:p>
    <w:p>
      <w:pPr>
        <w:ind w:left="960" w:right="20" w:firstLine="400"/>
        <w:spacing w:after="0" w:line="251" w:lineRule="auto"/>
        <w:tabs>
          <w:tab w:leader="none" w:pos="160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20"/>
          </w:cols>
          <w:pgMar w:left="540" w:top="266" w:right="539" w:bottom="1440" w:gutter="0" w:footer="0" w:header="0"/>
        </w:sectPr>
      </w:pPr>
    </w:p>
    <w:bookmarkStart w:id="479" w:name="page480"/>
    <w:bookmarkEnd w:id="479"/>
    <w:p>
      <w:pPr>
        <w:ind w:left="60" w:right="20" w:firstLine="400"/>
        <w:spacing w:after="0" w:line="260" w:lineRule="auto"/>
        <w:tabs>
          <w:tab w:leader="none" w:pos="70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0" w:lineRule="exact"/>
        <w:rPr>
          <w:rFonts w:ascii="Times New Roman" w:cs="Times New Roman" w:eastAsia="Times New Roman" w:hAnsi="Times New Roman"/>
          <w:sz w:val="18"/>
          <w:szCs w:val="18"/>
          <w:color w:val="auto"/>
        </w:rPr>
      </w:pPr>
    </w:p>
    <w:p>
      <w:pPr>
        <w:ind w:left="60" w:right="280" w:firstLine="400"/>
        <w:spacing w:after="0" w:line="250" w:lineRule="auto"/>
        <w:tabs>
          <w:tab w:leader="none" w:pos="66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82" w:lineRule="exact"/>
        <w:rPr>
          <w:rFonts w:ascii="Times New Roman" w:cs="Times New Roman" w:eastAsia="Times New Roman" w:hAnsi="Times New Roman"/>
          <w:sz w:val="18"/>
          <w:szCs w:val="18"/>
          <w:color w:val="auto"/>
        </w:rPr>
      </w:pPr>
    </w:p>
    <w:p>
      <w:pPr>
        <w:ind w:left="60" w:right="160" w:firstLine="400"/>
        <w:spacing w:after="0" w:line="260" w:lineRule="auto"/>
        <w:tabs>
          <w:tab w:leader="none" w:pos="66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listed on Schedule 1.1D,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70" w:lineRule="exact"/>
        <w:rPr>
          <w:rFonts w:ascii="Times New Roman" w:cs="Times New Roman" w:eastAsia="Times New Roman" w:hAnsi="Times New Roman"/>
          <w:sz w:val="18"/>
          <w:szCs w:val="18"/>
          <w:color w:val="auto"/>
        </w:rPr>
      </w:pPr>
    </w:p>
    <w:p>
      <w:pPr>
        <w:ind w:left="60" w:right="60" w:firstLine="400"/>
        <w:spacing w:after="0" w:line="282" w:lineRule="auto"/>
        <w:tabs>
          <w:tab w:leader="none" w:pos="704" w:val="left"/>
        </w:tabs>
        <w:numPr>
          <w:ilvl w:val="0"/>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property or Capital Stock of a Person at the time such Person becomes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Liens are not created, incurred or assumed in connection with, or in contemplation of, such other Person becoming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Lien may not extend to any other property owned by the Company or any Principal Domestic Subsidiary;</w:t>
      </w:r>
    </w:p>
    <w:p>
      <w:pPr>
        <w:spacing w:after="0" w:line="53" w:lineRule="exact"/>
        <w:rPr>
          <w:rFonts w:ascii="Times New Roman" w:cs="Times New Roman" w:eastAsia="Times New Roman" w:hAnsi="Times New Roman"/>
          <w:sz w:val="17"/>
          <w:szCs w:val="17"/>
          <w:color w:val="auto"/>
        </w:rPr>
      </w:pPr>
    </w:p>
    <w:p>
      <w:pPr>
        <w:ind w:left="60" w:right="100" w:firstLine="400"/>
        <w:spacing w:after="0" w:line="255" w:lineRule="auto"/>
        <w:tabs>
          <w:tab w:leader="none" w:pos="66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the Company or any Principal Domestic Subsidiary;</w:t>
      </w:r>
    </w:p>
    <w:p>
      <w:pPr>
        <w:spacing w:after="0" w:line="75" w:lineRule="exact"/>
        <w:rPr>
          <w:rFonts w:ascii="Times New Roman" w:cs="Times New Roman" w:eastAsia="Times New Roman" w:hAnsi="Times New Roman"/>
          <w:sz w:val="18"/>
          <w:szCs w:val="18"/>
          <w:color w:val="auto"/>
        </w:rPr>
      </w:pPr>
    </w:p>
    <w:p>
      <w:pPr>
        <w:ind w:left="60" w:firstLine="400"/>
        <w:spacing w:after="0" w:line="260" w:lineRule="auto"/>
        <w:tabs>
          <w:tab w:leader="none" w:pos="75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70" w:lineRule="exact"/>
        <w:rPr>
          <w:rFonts w:ascii="Times New Roman" w:cs="Times New Roman" w:eastAsia="Times New Roman" w:hAnsi="Times New Roman"/>
          <w:sz w:val="18"/>
          <w:szCs w:val="18"/>
          <w:color w:val="auto"/>
        </w:rPr>
      </w:pPr>
    </w:p>
    <w:p>
      <w:pPr>
        <w:ind w:left="60" w:right="140" w:firstLine="400"/>
        <w:spacing w:after="0" w:line="274" w:lineRule="auto"/>
        <w:tabs>
          <w:tab w:leader="none" w:pos="70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out of claims under a judgment rendered, decree or claim filed so long as such judgments, decrees or claims do not constitute an Event of Default;</w:t>
      </w:r>
    </w:p>
    <w:p>
      <w:pPr>
        <w:spacing w:after="0" w:line="58"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111"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1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900"/>
          </w:cols>
          <w:pgMar w:left="1440" w:top="266" w:right="559" w:bottom="1440" w:gutter="0" w:footer="0" w:header="0"/>
        </w:sectPr>
      </w:pPr>
    </w:p>
    <w:bookmarkStart w:id="480" w:name="page481"/>
    <w:bookmarkEnd w:id="480"/>
    <w:p>
      <w:pPr>
        <w:ind w:left="60" w:right="140" w:firstLine="400"/>
        <w:spacing w:after="0" w:line="264" w:lineRule="auto"/>
        <w:tabs>
          <w:tab w:leader="none" w:pos="704"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(vii) purchasing and supply agreements,</w:t>
      </w:r>
    </w:p>
    <w:p>
      <w:pPr>
        <w:spacing w:after="0" w:line="2" w:lineRule="exact"/>
        <w:rPr>
          <w:rFonts w:ascii="Times New Roman" w:cs="Times New Roman" w:eastAsia="Times New Roman" w:hAnsi="Times New Roman"/>
          <w:sz w:val="17"/>
          <w:szCs w:val="17"/>
          <w:color w:val="auto"/>
        </w:rPr>
      </w:pPr>
    </w:p>
    <w:p>
      <w:pPr>
        <w:ind w:left="460" w:hanging="394"/>
        <w:spacing w:after="0"/>
        <w:tabs>
          <w:tab w:leader="none" w:pos="4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deposits, (ix) judicial appeals and (x) service contracts;</w:t>
      </w:r>
    </w:p>
    <w:p>
      <w:pPr>
        <w:spacing w:after="0" w:line="92" w:lineRule="exact"/>
        <w:rPr>
          <w:rFonts w:ascii="Times New Roman" w:cs="Times New Roman" w:eastAsia="Times New Roman" w:hAnsi="Times New Roman"/>
          <w:sz w:val="18"/>
          <w:szCs w:val="18"/>
          <w:color w:val="auto"/>
        </w:rPr>
      </w:pPr>
    </w:p>
    <w:p>
      <w:pPr>
        <w:ind w:left="680" w:hanging="220"/>
        <w:spacing w:after="0"/>
        <w:tabs>
          <w:tab w:leader="none" w:pos="68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Subsidiary owing to the Company or any Principal Domestic Subsidiary;</w:t>
      </w:r>
    </w:p>
    <w:p>
      <w:pPr>
        <w:spacing w:after="0" w:line="111" w:lineRule="exact"/>
        <w:rPr>
          <w:rFonts w:ascii="Times New Roman" w:cs="Times New Roman" w:eastAsia="Times New Roman" w:hAnsi="Times New Roman"/>
          <w:sz w:val="18"/>
          <w:szCs w:val="18"/>
          <w:color w:val="auto"/>
        </w:rPr>
      </w:pPr>
    </w:p>
    <w:p>
      <w:pPr>
        <w:ind w:left="60" w:right="40" w:firstLine="400"/>
        <w:spacing w:after="0" w:line="260" w:lineRule="auto"/>
        <w:tabs>
          <w:tab w:leader="none" w:pos="684"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0" w:lineRule="exact"/>
        <w:rPr>
          <w:rFonts w:ascii="Times New Roman" w:cs="Times New Roman" w:eastAsia="Times New Roman" w:hAnsi="Times New Roman"/>
          <w:sz w:val="18"/>
          <w:szCs w:val="18"/>
          <w:color w:val="auto"/>
        </w:rPr>
      </w:pPr>
    </w:p>
    <w:p>
      <w:pPr>
        <w:ind w:left="60" w:right="220" w:firstLine="400"/>
        <w:spacing w:after="0" w:line="255" w:lineRule="auto"/>
        <w:tabs>
          <w:tab w:leader="none" w:pos="665"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75" w:lineRule="exact"/>
        <w:rPr>
          <w:rFonts w:ascii="Times New Roman" w:cs="Times New Roman" w:eastAsia="Times New Roman" w:hAnsi="Times New Roman"/>
          <w:sz w:val="18"/>
          <w:szCs w:val="18"/>
          <w:color w:val="auto"/>
        </w:rPr>
      </w:pPr>
    </w:p>
    <w:p>
      <w:pPr>
        <w:ind w:left="720" w:hanging="260"/>
        <w:spacing w:after="0"/>
        <w:tabs>
          <w:tab w:leader="none" w:pos="7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111" w:lineRule="exact"/>
        <w:rPr>
          <w:rFonts w:ascii="Times New Roman" w:cs="Times New Roman" w:eastAsia="Times New Roman" w:hAnsi="Times New Roman"/>
          <w:sz w:val="18"/>
          <w:szCs w:val="18"/>
          <w:color w:val="auto"/>
        </w:rPr>
      </w:pPr>
    </w:p>
    <w:p>
      <w:pPr>
        <w:ind w:left="60" w:right="180" w:firstLine="400"/>
        <w:spacing w:after="0" w:line="260" w:lineRule="auto"/>
        <w:tabs>
          <w:tab w:leader="none" w:pos="704"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0" w:lineRule="exact"/>
        <w:rPr>
          <w:rFonts w:ascii="Times New Roman" w:cs="Times New Roman" w:eastAsia="Times New Roman" w:hAnsi="Times New Roman"/>
          <w:sz w:val="18"/>
          <w:szCs w:val="18"/>
          <w:color w:val="auto"/>
        </w:rPr>
      </w:pPr>
    </w:p>
    <w:p>
      <w:pPr>
        <w:ind w:left="60" w:right="40" w:firstLine="400"/>
        <w:spacing w:after="0" w:line="274" w:lineRule="auto"/>
        <w:tabs>
          <w:tab w:leader="none" w:pos="743"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58" w:lineRule="exact"/>
        <w:rPr>
          <w:rFonts w:ascii="Times New Roman" w:cs="Times New Roman" w:eastAsia="Times New Roman" w:hAnsi="Times New Roman"/>
          <w:sz w:val="18"/>
          <w:szCs w:val="18"/>
          <w:color w:val="auto"/>
        </w:rPr>
      </w:pPr>
    </w:p>
    <w:p>
      <w:pPr>
        <w:ind w:left="60" w:right="120" w:firstLine="400"/>
        <w:spacing w:after="0" w:line="274" w:lineRule="auto"/>
        <w:tabs>
          <w:tab w:leader="none" w:pos="704"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licensing agreements for use of Intellectual Property or licenses or sublicenses of Intellectual Property, in each case, entered into in the ordinary course of business;</w:t>
      </w:r>
    </w:p>
    <w:p>
      <w:pPr>
        <w:spacing w:after="0" w:line="58" w:lineRule="exact"/>
        <w:rPr>
          <w:rFonts w:ascii="Times New Roman" w:cs="Times New Roman" w:eastAsia="Times New Roman" w:hAnsi="Times New Roman"/>
          <w:sz w:val="18"/>
          <w:szCs w:val="18"/>
          <w:color w:val="auto"/>
        </w:rPr>
      </w:pPr>
    </w:p>
    <w:p>
      <w:pPr>
        <w:ind w:left="60" w:right="460" w:firstLine="400"/>
        <w:spacing w:after="0" w:line="274" w:lineRule="auto"/>
        <w:tabs>
          <w:tab w:leader="none" w:pos="704"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arising under Article 2 of the UCC or similar provisions of applicable law in the ordinary course of business; and</w:t>
      </w:r>
    </w:p>
    <w:p>
      <w:pPr>
        <w:spacing w:after="0" w:line="58" w:lineRule="exact"/>
        <w:rPr>
          <w:rFonts w:ascii="Times New Roman" w:cs="Times New Roman" w:eastAsia="Times New Roman" w:hAnsi="Times New Roman"/>
          <w:sz w:val="18"/>
          <w:szCs w:val="18"/>
          <w:color w:val="auto"/>
        </w:rPr>
      </w:pPr>
    </w:p>
    <w:p>
      <w:pPr>
        <w:ind w:left="60" w:firstLine="400"/>
        <w:spacing w:after="0" w:line="255" w:lineRule="auto"/>
        <w:tabs>
          <w:tab w:leader="none" w:pos="694"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920"/>
          </w:cols>
          <w:pgMar w:left="1440" w:top="266" w:right="539" w:bottom="1440" w:gutter="0" w:footer="0" w:header="0"/>
        </w:sectPr>
      </w:pPr>
    </w:p>
    <w:bookmarkStart w:id="481" w:name="page482"/>
    <w:bookmarkEnd w:id="481"/>
    <w:p>
      <w:pPr>
        <w:ind w:right="80" w:firstLine="974"/>
        <w:spacing w:after="0" w:line="30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Principal Trade Name Transfer</w:t>
      </w:r>
      <w:r>
        <w:rPr>
          <w:rFonts w:ascii="Times New Roman" w:cs="Times New Roman" w:eastAsia="Times New Roman" w:hAnsi="Times New Roman"/>
          <w:sz w:val="17"/>
          <w:szCs w:val="17"/>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42" w:lineRule="exact"/>
        <w:rPr>
          <w:sz w:val="20"/>
          <w:szCs w:val="20"/>
          <w:color w:val="auto"/>
        </w:rPr>
      </w:pPr>
    </w:p>
    <w:p>
      <w:pPr>
        <w:ind w:right="1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303 of ERISA, but excluding any Multiemployer Plan, (a) which is sponsored, established, contributed to or maintained by the Company or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Affiliate, (b) for which the Company or any ERISA Affiliate could have any liability, whether actual or contingent (whether pursuant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4069 of ERISA or otherwise) or (c) for which the Company or any ERISA Affiliate is (or, if such Plan were terminated, would under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4062 or Section 4069 of ERISA be deemed to be) an “employer” as defined in Section 3(5) of ERISA.</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 Asset Regulations</w:t>
      </w:r>
      <w:r>
        <w:rPr>
          <w:rFonts w:ascii="Times New Roman" w:cs="Times New Roman" w:eastAsia="Times New Roman" w:hAnsi="Times New Roman"/>
          <w:sz w:val="17"/>
          <w:szCs w:val="17"/>
          <w:color w:val="auto"/>
        </w:rPr>
        <w:t>” means of 29 CFR § 2510.3-101 et seq., as modified by Section 3(42) of ERISA, as amended from time to time.</w:t>
      </w:r>
    </w:p>
    <w:p>
      <w:pPr>
        <w:spacing w:after="0" w:line="229"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76" w:lineRule="exact"/>
        <w:rPr>
          <w:sz w:val="20"/>
          <w:szCs w:val="20"/>
          <w:color w:val="auto"/>
        </w:rPr>
      </w:pPr>
    </w:p>
    <w:p>
      <w:pPr>
        <w:ind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2"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Domestic Subsidiary</w:t>
      </w:r>
      <w:r>
        <w:rPr>
          <w:rFonts w:ascii="Times New Roman" w:cs="Times New Roman" w:eastAsia="Times New Roman" w:hAnsi="Times New Roman"/>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2022 10-K), (B) at least 80% or more of the Capital Stock or Voting Stock of such Domestic Subsidiary is owned, directly or indirectly, by the Company and (C) none of the Capital Stock of such Domestic Subsidiary is publicly held.</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18" w:lineRule="exact"/>
        <w:rPr>
          <w:sz w:val="20"/>
          <w:szCs w:val="20"/>
          <w:color w:val="auto"/>
        </w:rPr>
      </w:pPr>
    </w:p>
    <w:p>
      <w:pPr>
        <w:ind w:right="2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20"/>
          </w:cols>
          <w:pgMar w:left="540" w:top="266" w:right="539" w:bottom="1440" w:gutter="0" w:footer="0" w:header="0"/>
        </w:sectPr>
      </w:pPr>
    </w:p>
    <w:bookmarkStart w:id="482" w:name="page483"/>
    <w:bookmarkEnd w:id="482"/>
    <w:p>
      <w:pPr>
        <w:ind w:right="12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218" w:lineRule="exact"/>
        <w:rPr>
          <w:sz w:val="20"/>
          <w:szCs w:val="20"/>
          <w:color w:val="auto"/>
        </w:rPr>
      </w:pPr>
    </w:p>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Daily Simple SOFR, then two Business Days prior to such setting or (3) if such Benchmark is none of the Term SOFR Rate or Daily Simple SOFR, the time determined by the Administrative Agent in its reasonable discretion.</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218" w:lineRule="exact"/>
        <w:rPr>
          <w:sz w:val="20"/>
          <w:szCs w:val="20"/>
          <w:color w:val="auto"/>
        </w:rPr>
      </w:pPr>
    </w:p>
    <w:p>
      <w:pPr>
        <w:ind w:right="2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4" w:lineRule="exact"/>
        <w:rPr>
          <w:sz w:val="20"/>
          <w:szCs w:val="20"/>
          <w:color w:val="auto"/>
        </w:rPr>
      </w:pPr>
    </w:p>
    <w:p>
      <w:pPr>
        <w:ind w:right="1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or a committee officially endorsed or convened by the Federal Reserve Board and/or the NYFRB or, in each case, any successor thereto.</w:t>
      </w:r>
    </w:p>
    <w:p>
      <w:pPr>
        <w:spacing w:after="0" w:line="164" w:lineRule="exact"/>
        <w:rPr>
          <w:sz w:val="20"/>
          <w:szCs w:val="20"/>
          <w:color w:val="auto"/>
        </w:rPr>
      </w:pPr>
    </w:p>
    <w:p>
      <w:pPr>
        <w:ind w:right="4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the Adjusted Term SOFR Rate or (ii) with respect to any Daily Simple SOFR Borrowing, the Adjusted Daily Simple SOFR, as applicable.</w:t>
      </w:r>
    </w:p>
    <w:p>
      <w:pPr>
        <w:spacing w:after="0" w:line="164"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64"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Resolution Authority</w:t>
      </w:r>
      <w:r>
        <w:rPr>
          <w:rFonts w:ascii="Times New Roman" w:cs="Times New Roman" w:eastAsia="Times New Roman" w:hAnsi="Times New Roman"/>
          <w:sz w:val="17"/>
          <w:szCs w:val="17"/>
          <w:color w:val="auto"/>
        </w:rPr>
        <w:t>” means an EEA Resolution Authority or, with respect to any UK Financial Institution, a UK Resolution Authority.</w:t>
      </w:r>
    </w:p>
    <w:p>
      <w:pPr>
        <w:spacing w:after="0" w:line="229" w:lineRule="exact"/>
        <w:rPr>
          <w:sz w:val="20"/>
          <w:szCs w:val="20"/>
          <w:color w:val="auto"/>
        </w:rPr>
      </w:pPr>
    </w:p>
    <w:p>
      <w:pPr>
        <w:ind w:right="3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00"/>
          </w:cols>
          <w:pgMar w:left="540" w:top="266" w:right="559" w:bottom="1440" w:gutter="0" w:footer="0" w:header="0"/>
        </w:sectPr>
      </w:pPr>
    </w:p>
    <w:bookmarkStart w:id="483" w:name="page484"/>
    <w:bookmarkEnd w:id="483"/>
    <w:p>
      <w:pPr>
        <w:jc w:val="both"/>
        <w:ind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18" w:lineRule="exact"/>
        <w:rPr>
          <w:sz w:val="20"/>
          <w:szCs w:val="20"/>
          <w:color w:val="auto"/>
        </w:rPr>
      </w:pPr>
    </w:p>
    <w:p>
      <w:pPr>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18"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18" w:lineRule="exact"/>
        <w:rPr>
          <w:sz w:val="20"/>
          <w:szCs w:val="20"/>
          <w:color w:val="auto"/>
        </w:rPr>
      </w:pPr>
    </w:p>
    <w:p>
      <w:pPr>
        <w:ind w:right="100" w:firstLine="97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right="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means GMF and any other Domestic Subsidiary that becomes a party hereto pursuant to Section 10.1(d) until such time as such Subsidiary Borrower is removed as a party hereto pursuant to Section 10.1(d).</w:t>
      </w:r>
    </w:p>
    <w:p>
      <w:pPr>
        <w:spacing w:after="0" w:line="164" w:lineRule="exact"/>
        <w:rPr>
          <w:sz w:val="20"/>
          <w:szCs w:val="20"/>
          <w:color w:val="auto"/>
        </w:rPr>
      </w:pPr>
    </w:p>
    <w:p>
      <w:pPr>
        <w:ind w:right="4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the Guarantee pursuant to Section 6.6(a) or Section 10.1(b).</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00"/>
          </w:cols>
          <w:pgMar w:left="540" w:top="266" w:right="559" w:bottom="1440" w:gutter="0" w:footer="0" w:header="0"/>
        </w:sectPr>
      </w:pPr>
    </w:p>
    <w:bookmarkStart w:id="484" w:name="page485"/>
    <w:bookmarkEnd w:id="48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18" w:lineRule="exact"/>
        <w:rPr>
          <w:sz w:val="20"/>
          <w:szCs w:val="20"/>
          <w:color w:val="auto"/>
        </w:rPr>
      </w:pPr>
    </w:p>
    <w:p>
      <w:pPr>
        <w:ind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ind w:right="6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4"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Tranche</w:t>
      </w:r>
      <w:r>
        <w:rPr>
          <w:rFonts w:ascii="Times New Roman" w:cs="Times New Roman" w:eastAsia="Times New Roman" w:hAnsi="Times New Roman"/>
          <w:sz w:val="18"/>
          <w:szCs w:val="18"/>
          <w:color w:val="auto"/>
        </w:rPr>
        <w:t>” means the collective reference to Term Benchmark Loans under the Facility,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18" w:lineRule="exact"/>
        <w:rPr>
          <w:sz w:val="20"/>
          <w:szCs w:val="20"/>
          <w:color w:val="auto"/>
        </w:rPr>
      </w:pPr>
    </w:p>
    <w:p>
      <w:pPr>
        <w:ind w:right="520" w:firstLine="974"/>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60" w:lineRule="exact"/>
        <w:rPr>
          <w:sz w:val="20"/>
          <w:szCs w:val="20"/>
          <w:color w:val="auto"/>
        </w:rPr>
      </w:pPr>
    </w:p>
    <w:p>
      <w:pPr>
        <w:ind w:firstLine="974"/>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Reference Rate</w:t>
      </w:r>
      <w:r>
        <w:rPr>
          <w:rFonts w:ascii="Times New Roman" w:cs="Times New Roman" w:eastAsia="Times New Roman" w:hAnsi="Times New Roman"/>
          <w:sz w:val="17"/>
          <w:szCs w:val="17"/>
          <w:color w:val="auto"/>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U.S. Government Securities Business Days prior to such Term SOFR Determination Day.</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March 29, 2024 which is the date which is 364 calendar days following the Closing Date.</w:t>
      </w:r>
    </w:p>
    <w:p>
      <w:pPr>
        <w:spacing w:after="0" w:line="218" w:lineRule="exact"/>
        <w:rPr>
          <w:sz w:val="20"/>
          <w:szCs w:val="20"/>
          <w:color w:val="auto"/>
        </w:rPr>
      </w:pPr>
    </w:p>
    <w:p>
      <w:pPr>
        <w:ind w:right="2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Commitments</w:t>
      </w:r>
      <w:r>
        <w:rPr>
          <w:rFonts w:ascii="Times New Roman" w:cs="Times New Roman" w:eastAsia="Times New Roman" w:hAnsi="Times New Roman"/>
          <w:sz w:val="18"/>
          <w:szCs w:val="18"/>
          <w:color w:val="auto"/>
        </w:rPr>
        <w:t xml:space="preserve">” means, at any time, an amount equal to the excess, if any, of (a) the Total Commitments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Total Extensions of Credit then outstanding.</w:t>
      </w:r>
    </w:p>
    <w:p>
      <w:pPr>
        <w:spacing w:after="0" w:line="164" w:lineRule="exact"/>
        <w:rPr>
          <w:sz w:val="20"/>
          <w:szCs w:val="20"/>
          <w:color w:val="auto"/>
        </w:rPr>
      </w:pPr>
    </w:p>
    <w:p>
      <w:pPr>
        <w:ind w:right="4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$2.0 billion.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means, at any time, the aggregate Outstanding Amount of the Extensions of Credit of the Lenders at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80"/>
          </w:cols>
          <w:pgMar w:left="540" w:top="266" w:right="579" w:bottom="1440" w:gutter="0" w:footer="0" w:header="0"/>
        </w:sectPr>
      </w:pPr>
    </w:p>
    <w:bookmarkStart w:id="485" w:name="page486"/>
    <w:bookmarkEnd w:id="485"/>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its nature as an ABR Loan, a Term Benchmark Loan or a Daily Simple SOFR Loan.</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18" w:lineRule="exact"/>
        <w:rPr>
          <w:sz w:val="20"/>
          <w:szCs w:val="20"/>
          <w:color w:val="auto"/>
        </w:rPr>
      </w:pPr>
    </w:p>
    <w:p>
      <w:pPr>
        <w:ind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2" w:lineRule="exact"/>
        <w:rPr>
          <w:sz w:val="20"/>
          <w:szCs w:val="20"/>
          <w:color w:val="auto"/>
        </w:rPr>
      </w:pPr>
    </w:p>
    <w:p>
      <w:pPr>
        <w:ind w:right="70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198" w:lineRule="exact"/>
        <w:rPr>
          <w:sz w:val="20"/>
          <w:szCs w:val="20"/>
          <w:color w:val="auto"/>
        </w:rPr>
      </w:pPr>
    </w:p>
    <w:p>
      <w:pPr>
        <w:jc w:val="both"/>
        <w:ind w:right="120" w:firstLine="974"/>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18" w:lineRule="exact"/>
        <w:rPr>
          <w:sz w:val="20"/>
          <w:szCs w:val="20"/>
          <w:color w:val="auto"/>
        </w:rPr>
      </w:pPr>
    </w:p>
    <w:p>
      <w:pPr>
        <w:ind w:right="44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218" w:lineRule="exact"/>
        <w:rPr>
          <w:sz w:val="20"/>
          <w:szCs w:val="20"/>
          <w:color w:val="auto"/>
        </w:rPr>
      </w:pPr>
    </w:p>
    <w:p>
      <w:pPr>
        <w:ind w:right="32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164" w:lineRule="exact"/>
        <w:rPr>
          <w:sz w:val="20"/>
          <w:szCs w:val="20"/>
          <w:color w:val="auto"/>
        </w:rPr>
      </w:pPr>
    </w:p>
    <w:p>
      <w:pPr>
        <w:ind w:right="120" w:firstLine="974"/>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Write-Down and Conversion Powers</w:t>
      </w:r>
      <w:r>
        <w:rPr>
          <w:rFonts w:ascii="Times New Roman" w:cs="Times New Roman" w:eastAsia="Times New Roman" w:hAnsi="Times New Roman"/>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80"/>
          </w:cols>
          <w:pgMar w:left="540" w:top="266" w:right="579" w:bottom="1440" w:gutter="0" w:footer="0" w:header="0"/>
        </w:sectPr>
      </w:pPr>
    </w:p>
    <w:bookmarkStart w:id="486" w:name="page487"/>
    <w:bookmarkEnd w:id="486"/>
    <w:p>
      <w:pPr>
        <w:ind w:left="8" w:right="520"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64" w:lineRule="exact"/>
        <w:rPr>
          <w:sz w:val="20"/>
          <w:szCs w:val="20"/>
          <w:color w:val="auto"/>
        </w:rPr>
      </w:pPr>
    </w:p>
    <w:p>
      <w:pPr>
        <w:ind w:left="1228" w:hanging="254"/>
        <w:spacing w:after="0"/>
        <w:tabs>
          <w:tab w:leader="none" w:pos="1228" w:val="left"/>
        </w:tabs>
        <w:numPr>
          <w:ilvl w:val="1"/>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and in the other Loan Documents, and any certificate or other document made or delivered pursuant hereto or thereto,</w:t>
      </w:r>
    </w:p>
    <w:p>
      <w:pPr>
        <w:spacing w:after="0" w:line="36" w:lineRule="exact"/>
        <w:rPr>
          <w:rFonts w:ascii="Times New Roman" w:cs="Times New Roman" w:eastAsia="Times New Roman" w:hAnsi="Times New Roman"/>
          <w:sz w:val="17"/>
          <w:szCs w:val="17"/>
          <w:color w:val="auto"/>
        </w:rPr>
      </w:pPr>
    </w:p>
    <w:p>
      <w:pPr>
        <w:ind w:left="8" w:right="80" w:hanging="8"/>
        <w:spacing w:after="0" w:line="246" w:lineRule="auto"/>
        <w:tabs>
          <w:tab w:leader="none" w:pos="21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93" w:lineRule="exact"/>
        <w:rPr>
          <w:rFonts w:ascii="Times New Roman" w:cs="Times New Roman" w:eastAsia="Times New Roman" w:hAnsi="Times New Roman"/>
          <w:sz w:val="18"/>
          <w:szCs w:val="18"/>
          <w:color w:val="auto"/>
        </w:rPr>
      </w:pPr>
    </w:p>
    <w:p>
      <w:pPr>
        <w:ind w:left="8" w:firstLine="966"/>
        <w:spacing w:after="0" w:line="260" w:lineRule="auto"/>
        <w:tabs>
          <w:tab w:leader="none" w:pos="1223"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76" w:lineRule="exact"/>
        <w:rPr>
          <w:rFonts w:ascii="Times New Roman" w:cs="Times New Roman" w:eastAsia="Times New Roman" w:hAnsi="Times New Roman"/>
          <w:sz w:val="18"/>
          <w:szCs w:val="18"/>
          <w:color w:val="auto"/>
        </w:rPr>
      </w:pPr>
    </w:p>
    <w:p>
      <w:pPr>
        <w:ind w:left="1228" w:hanging="254"/>
        <w:spacing w:after="0"/>
        <w:tabs>
          <w:tab w:leader="none" w:pos="1228"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1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8" w:right="40" w:firstLine="966"/>
        <w:spacing w:after="0" w:line="255" w:lineRule="auto"/>
        <w:tabs>
          <w:tab w:leader="none" w:pos="122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1" w:lineRule="exact"/>
        <w:rPr>
          <w:rFonts w:ascii="Times New Roman" w:cs="Times New Roman" w:eastAsia="Times New Roman" w:hAnsi="Times New Roman"/>
          <w:sz w:val="18"/>
          <w:szCs w:val="18"/>
          <w:color w:val="auto"/>
        </w:rPr>
      </w:pPr>
    </w:p>
    <w:p>
      <w:pPr>
        <w:ind w:left="8" w:right="160" w:firstLine="966"/>
        <w:spacing w:after="0" w:line="260" w:lineRule="auto"/>
        <w:tabs>
          <w:tab w:leader="none" w:pos="123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76" w:lineRule="exact"/>
        <w:rPr>
          <w:rFonts w:ascii="Times New Roman" w:cs="Times New Roman" w:eastAsia="Times New Roman" w:hAnsi="Times New Roman"/>
          <w:sz w:val="18"/>
          <w:szCs w:val="18"/>
          <w:color w:val="auto"/>
        </w:rPr>
      </w:pPr>
    </w:p>
    <w:p>
      <w:pPr>
        <w:jc w:val="both"/>
        <w:ind w:left="8" w:right="180" w:firstLine="966"/>
        <w:spacing w:after="0" w:line="260" w:lineRule="auto"/>
        <w:tabs>
          <w:tab w:leader="none" w:pos="122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1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88"/>
          </w:cols>
          <w:pgMar w:left="532" w:top="267" w:right="579" w:bottom="1440" w:gutter="0" w:footer="0" w:header="0"/>
        </w:sectPr>
      </w:pPr>
    </w:p>
    <w:bookmarkStart w:id="487" w:name="page488"/>
    <w:bookmarkEnd w:id="487"/>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76"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8"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AMOUNT AND TERMS OF COMMITMENTS</w:t>
      </w:r>
    </w:p>
    <w:p>
      <w:pPr>
        <w:spacing w:after="0" w:line="218" w:lineRule="exact"/>
        <w:rPr>
          <w:sz w:val="20"/>
          <w:szCs w:val="20"/>
          <w:color w:val="auto"/>
        </w:rPr>
      </w:pPr>
    </w:p>
    <w:p>
      <w:pPr>
        <w:ind w:right="80" w:firstLine="974"/>
        <w:spacing w:after="0" w:line="266"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 (a) Subject to the terms and conditions hereof, each Lender severally agrees to make (or cause its Applicable Lending Office to make) revolving loans (“</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xml:space="preserve">”) in Dollars to the Company or any Subsidiary Borrower from time to time during the Commitment Period of such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Term Benchmark Loans, Daily Simple SOFR Loans or ABR Loans or any combination of the foregoing, as determined by the Company or the relevant Subsidiary Borrower and notified to the Administrative Agent in accordance with Section 2.2 and 2.14.</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00"/>
          </w:cols>
          <w:pgMar w:left="540" w:top="266" w:right="559" w:bottom="1440" w:gutter="0" w:footer="0" w:header="0"/>
        </w:sectPr>
      </w:pPr>
    </w:p>
    <w:bookmarkStart w:id="488" w:name="page489"/>
    <w:bookmarkEnd w:id="488"/>
    <w:p>
      <w:pPr>
        <w:jc w:val="both"/>
        <w:ind w:right="100" w:firstLine="966"/>
        <w:spacing w:after="0" w:line="255" w:lineRule="auto"/>
        <w:tabs>
          <w:tab w:leader="none" w:pos="122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Company and, to the extent of its borrowings, any relevant Subsidiary Borrower shall repay all outstanding Loans of a Lender on the Termination Date for such Lender under the Facility unless Loans are converted into Converted Term Loans pursuant to Section 2.28, in which case the Company and, to the extent of its borrowings, any relevant Subsidiary Borrower shall repay all outstanding Converted Term Loans of a Lender on the Converted Term Loan Maturity Date.</w:t>
      </w:r>
    </w:p>
    <w:p>
      <w:pPr>
        <w:spacing w:after="0" w:line="288" w:lineRule="exact"/>
        <w:rPr>
          <w:sz w:val="20"/>
          <w:szCs w:val="20"/>
          <w:color w:val="auto"/>
        </w:rPr>
      </w:pPr>
    </w:p>
    <w:p>
      <w:pPr>
        <w:ind w:firstLine="974"/>
        <w:spacing w:after="0" w:line="24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 for Borrowing</w:t>
      </w:r>
      <w:r>
        <w:rPr>
          <w:rFonts w:ascii="Times New Roman" w:cs="Times New Roman" w:eastAsia="Times New Roman" w:hAnsi="Times New Roman"/>
          <w:sz w:val="18"/>
          <w:szCs w:val="18"/>
          <w:color w:val="auto"/>
        </w:rPr>
        <w:t xml:space="preserve">. The Company and any Subsidiary Borrower may borrow under the Commitments during the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or the relevant Subsidiary Borrower shall give the Administrative Agent a written Borrowing Request prior to (a) in the case of Term Benchmark Loans, 11:00 a.m., New York City time, three U.S. Government Securities Business Days prior to the requested Borrowing Date, (b) in the case of Daily Simple SOFR Loans, 11:00 a.m., New York City time, three U.S. Government Securities Business Days prior to the requested Borrowing Date or (c) in the case of ABR Loans, 11:00 a.m., New York City time, on the date of the proposed borrowing, specifying (i) the amount and Type of Loans to be borrowed, (ii) the requested Borrowing Date and (iii) in the case of Term Benchmark Loans, the respective lengths of the initial Interest Period(s)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Borrowing Request submitted by a Subsidiary Borrower shall include the written consent of the Company. If no election as to the Type of a Loan is specified in any such notice, then the requested borrowing shall be an ABR Loan. If no Interest Period with respect to a Term Benchmark Loan is specified in any such notice, then the Company or the relevant Subsidiary Borrower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such borrowing available to the Administrative Agent for the account of the Company or the relevant Subsidiary Borrower at the Funding Office prior to 1:00 P.M. (or, in the case of an ABR Loan requested on the proposed Borrowing Date, 3:00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 specify to the Administrative Agent with the aggregate of the amounts made available to the Administrative Agent by the Lenders and in like funds as received by the Administrative Agent.</w:t>
      </w:r>
    </w:p>
    <w:p>
      <w:pPr>
        <w:spacing w:after="0" w:line="19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firstLine="974"/>
        <w:spacing w:after="0" w:line="260"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Facility Fees, etc.</w:t>
      </w:r>
      <w:r>
        <w:rPr>
          <w:rFonts w:ascii="Times New Roman" w:cs="Times New Roman" w:eastAsia="Times New Roman" w:hAnsi="Times New Roman"/>
          <w:sz w:val="18"/>
          <w:szCs w:val="18"/>
          <w:color w:val="auto"/>
        </w:rPr>
        <w:t>. (a) The Company agrees to pay to the Administrative Agent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20"/>
          </w:cols>
          <w:pgMar w:left="540" w:top="267" w:right="539" w:bottom="1440" w:gutter="0" w:footer="0" w:header="0"/>
        </w:sectPr>
      </w:pPr>
    </w:p>
    <w:bookmarkStart w:id="489" w:name="page490"/>
    <w:bookmarkEnd w:id="489"/>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under the Facility have been terminated, computed at the Facility Fee Rate on the average daily amount of the Commitments of such Lender (whether used or unused) under the Facility, or, if such Commitments have been terminated, on the daily average Extensions of Credit of such Lender under the Facility during the related Fee Payment Period for which payment is made, payable in arrears on each Fee Payment Date, commencing on the first such date to occur after the Closing Date.</w:t>
      </w:r>
    </w:p>
    <w:p>
      <w:pPr>
        <w:spacing w:after="0" w:line="182" w:lineRule="exact"/>
        <w:rPr>
          <w:sz w:val="20"/>
          <w:szCs w:val="20"/>
          <w:color w:val="auto"/>
        </w:rPr>
      </w:pPr>
    </w:p>
    <w:p>
      <w:pPr>
        <w:ind w:right="500" w:firstLine="966"/>
        <w:spacing w:after="0" w:line="274" w:lineRule="auto"/>
        <w:tabs>
          <w:tab w:leader="none" w:pos="122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Administrative Agent the fees in the amounts and on the dates as set forth in the Arranger Fee Letter, dated as of January 25, 2023, between the Company and the Administrative Agent.</w:t>
      </w:r>
    </w:p>
    <w:p>
      <w:pPr>
        <w:spacing w:after="0" w:line="164" w:lineRule="exact"/>
        <w:rPr>
          <w:sz w:val="20"/>
          <w:szCs w:val="20"/>
          <w:color w:val="auto"/>
        </w:rPr>
      </w:pPr>
    </w:p>
    <w:p>
      <w:pPr>
        <w:ind w:firstLine="974"/>
        <w:spacing w:after="0" w:line="264"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 xml:space="preserve">. The Company shall have the right, upon not less than three Business Days’ notice to the Administrative Agent, to terminate the Commitments under the Facility or, from time to time, to reduce the amount of Commitments under the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79" w:lineRule="exact"/>
        <w:rPr>
          <w:sz w:val="20"/>
          <w:szCs w:val="20"/>
          <w:color w:val="auto"/>
        </w:rPr>
      </w:pPr>
    </w:p>
    <w:p>
      <w:pPr>
        <w:ind w:right="20" w:firstLine="974"/>
        <w:spacing w:after="0" w:line="24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Company and any relevant Subsidiary Borrower may at any time and from time to time prepay the Loans, in whole or in part, without premium or penalty, upon irrevocable notice delivered to the Administrative Agent no later than 11:00 a.m., New York City time, three Business Days prior thereto, in the case of Term Benchmark Loans and Daily Simple SOFR Loans, and no later than 11:00 a.m., New York City time, on the day of such prepayment, in the case of ABR Loans, in each case which notice shall specify the date and amount of prepayment and whether the prepayment is of Term Benchmark Loans, Daily Simple SOFR Loans 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Benchmark Loan is prepaid on any day other than the last day of the Interest Period applicable thereto, the Company or the relevant Subsidiary Borrower shall also pay any amounts owing pursuant to Section 2.22;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Converted Term Loans may not be reborrowed.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20"/>
          </w:cols>
          <w:pgMar w:left="540" w:top="266" w:right="539" w:bottom="1440" w:gutter="0" w:footer="0" w:header="0"/>
        </w:sectPr>
      </w:pPr>
    </w:p>
    <w:bookmarkStart w:id="490" w:name="page491"/>
    <w:bookmarkEnd w:id="490"/>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2.13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0" w:firstLine="974"/>
        <w:spacing w:after="0" w:line="248"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 xml:space="preserve"> (a) The Company or any Subsidiary Borrower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Benchmark Loans that is not made on the last day of an Interest Period with respect thereto shall be subject to Section 2.22. The Company or any Subsidiary Borrower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or any Subsidiary Borrower may elect from time to time to convert ABR Loans or Daily Simple SOFR Loans to Term Benchmark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ABR Loan may be converted into a Term Benchmark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89" w:lineRule="exact"/>
        <w:rPr>
          <w:sz w:val="20"/>
          <w:szCs w:val="20"/>
          <w:color w:val="auto"/>
        </w:rPr>
      </w:pPr>
    </w:p>
    <w:p>
      <w:pPr>
        <w:ind w:firstLine="966"/>
        <w:spacing w:after="0" w:line="248" w:lineRule="auto"/>
        <w:tabs>
          <w:tab w:leader="none" w:pos="122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Term Benchmark Loan under the Facility shall be converted to an ABR Loan at the end of the Interest Period applicable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or such Subsidiary Borrower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94" w:lineRule="exact"/>
        <w:rPr>
          <w:sz w:val="20"/>
          <w:szCs w:val="20"/>
          <w:color w:val="auto"/>
        </w:rPr>
      </w:pPr>
    </w:p>
    <w:p>
      <w:pPr>
        <w:ind w:firstLine="974"/>
        <w:spacing w:after="0" w:line="271" w:lineRule="auto"/>
        <w:rPr>
          <w:sz w:val="20"/>
          <w:szCs w:val="20"/>
          <w:color w:val="auto"/>
        </w:rPr>
      </w:pPr>
      <w:r>
        <w:rPr>
          <w:rFonts w:ascii="Times New Roman" w:cs="Times New Roman" w:eastAsia="Times New Roman" w:hAnsi="Times New Roman"/>
          <w:sz w:val="17"/>
          <w:szCs w:val="17"/>
          <w:color w:val="auto"/>
        </w:rPr>
        <w:t xml:space="preserve">2.15 </w:t>
      </w:r>
      <w:r>
        <w:rPr>
          <w:rFonts w:ascii="Times New Roman" w:cs="Times New Roman" w:eastAsia="Times New Roman" w:hAnsi="Times New Roman"/>
          <w:sz w:val="17"/>
          <w:szCs w:val="17"/>
          <w:u w:val="single" w:color="auto"/>
          <w:color w:val="auto"/>
        </w:rPr>
        <w:t>Limitations on Term Benchmark Tranches and Daily Simple SOFR Borrowings</w:t>
      </w:r>
      <w:r>
        <w:rPr>
          <w:rFonts w:ascii="Times New Roman" w:cs="Times New Roman" w:eastAsia="Times New Roman" w:hAnsi="Times New Roman"/>
          <w:sz w:val="17"/>
          <w:szCs w:val="17"/>
          <w:color w:val="auto"/>
        </w:rPr>
        <w:t>. Notwithstanding anything to the contrary in this Agreement, all borrowings, conversions and continuations of Term Benchmark Loans and all selections of Interest Periods shall be in such amounts and be made pursuant to such elections so that no more than ten (10) Term Benchmark Tranches shall be outstanding at any one time. Notwithstanding anything to the contrary in this Agreement, all borrowings, conversions and continuations of Daily Simple SOFR Loans shall be in such amounts and be made pursuant to such elections so that no more than ten (10) Daily Simple SOFR Borrowings shall be outstanding at any one time.</w:t>
      </w:r>
    </w:p>
    <w:p>
      <w:pPr>
        <w:spacing w:after="0" w:line="170" w:lineRule="exact"/>
        <w:rPr>
          <w:sz w:val="20"/>
          <w:szCs w:val="20"/>
          <w:color w:val="auto"/>
        </w:rPr>
      </w:pPr>
    </w:p>
    <w:p>
      <w:pPr>
        <w:ind w:right="320" w:firstLine="974"/>
        <w:spacing w:after="0" w:line="272" w:lineRule="auto"/>
        <w:rPr>
          <w:sz w:val="20"/>
          <w:szCs w:val="20"/>
          <w:color w:val="auto"/>
        </w:rPr>
      </w:pPr>
      <w:r>
        <w:rPr>
          <w:rFonts w:ascii="Times New Roman" w:cs="Times New Roman" w:eastAsia="Times New Roman" w:hAnsi="Times New Roman"/>
          <w:sz w:val="17"/>
          <w:szCs w:val="17"/>
          <w:color w:val="auto"/>
        </w:rPr>
        <w:t xml:space="preserve">2.16 </w:t>
      </w:r>
      <w:r>
        <w:rPr>
          <w:rFonts w:ascii="Times New Roman" w:cs="Times New Roman" w:eastAsia="Times New Roman" w:hAnsi="Times New Roman"/>
          <w:sz w:val="17"/>
          <w:szCs w:val="17"/>
          <w:u w:val="single" w:color="auto"/>
          <w:color w:val="auto"/>
        </w:rPr>
        <w:t>Interest Rates and Payment Dates.</w:t>
      </w:r>
      <w:r>
        <w:rPr>
          <w:rFonts w:ascii="Times New Roman" w:cs="Times New Roman" w:eastAsia="Times New Roman" w:hAnsi="Times New Roman"/>
          <w:sz w:val="17"/>
          <w:szCs w:val="17"/>
          <w:color w:val="auto"/>
        </w:rPr>
        <w:t xml:space="preserve"> (a) Each (x) Term Benchmark Loan shall bear interest for each day during each Interest Period with respect thereto at a rate per annum equal to the Adjusted Term SOFR Rate determined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Margin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(y) Daily Simple SOFR Loan shall bear interest for each day at a rate per annum equal to the Adjusted Daily Simple SOFR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Margin.</w:t>
      </w:r>
    </w:p>
    <w:p>
      <w:pPr>
        <w:spacing w:after="0" w:line="210" w:lineRule="exact"/>
        <w:rPr>
          <w:sz w:val="20"/>
          <w:szCs w:val="20"/>
          <w:color w:val="auto"/>
        </w:rPr>
      </w:pPr>
    </w:p>
    <w:p>
      <w:pPr>
        <w:ind w:left="5320" w:right="2400" w:hanging="4354"/>
        <w:spacing w:after="0" w:line="443" w:lineRule="auto"/>
        <w:tabs>
          <w:tab w:leader="none" w:pos="122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34</w:t>
      </w:r>
    </w:p>
    <w:p>
      <w:pPr>
        <w:sectPr>
          <w:pgSz w:w="11900" w:h="16838" w:orient="portrait"/>
          <w:cols w:equalWidth="0" w:num="1">
            <w:col w:w="10780"/>
          </w:cols>
          <w:pgMar w:left="540" w:top="267" w:right="579" w:bottom="1440" w:gutter="0" w:footer="0" w:header="0"/>
        </w:sectPr>
      </w:pPr>
    </w:p>
    <w:bookmarkStart w:id="491" w:name="page492"/>
    <w:bookmarkEnd w:id="491"/>
    <w:p>
      <w:pPr>
        <w:ind w:left="8" w:right="80" w:firstLine="966"/>
        <w:spacing w:after="0" w:line="251" w:lineRule="auto"/>
        <w:tabs>
          <w:tab w:leader="none" w:pos="122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(after as well as before judgment).</w:t>
      </w:r>
    </w:p>
    <w:p>
      <w:pPr>
        <w:spacing w:after="0" w:line="186" w:lineRule="exact"/>
        <w:rPr>
          <w:rFonts w:ascii="Times New Roman" w:cs="Times New Roman" w:eastAsia="Times New Roman" w:hAnsi="Times New Roman"/>
          <w:sz w:val="18"/>
          <w:szCs w:val="18"/>
          <w:color w:val="auto"/>
        </w:rPr>
      </w:pPr>
    </w:p>
    <w:p>
      <w:pPr>
        <w:ind w:left="8" w:right="140" w:firstLine="966"/>
        <w:spacing w:after="0" w:line="274" w:lineRule="auto"/>
        <w:tabs>
          <w:tab w:leader="none" w:pos="123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2.16(c) shall be payable from time to time on demand.</w:t>
      </w:r>
    </w:p>
    <w:p>
      <w:pPr>
        <w:spacing w:after="0" w:line="164" w:lineRule="exact"/>
        <w:rPr>
          <w:rFonts w:ascii="Times New Roman" w:cs="Times New Roman" w:eastAsia="Times New Roman" w:hAnsi="Times New Roman"/>
          <w:sz w:val="18"/>
          <w:szCs w:val="18"/>
          <w:color w:val="auto"/>
        </w:rPr>
      </w:pPr>
    </w:p>
    <w:p>
      <w:pPr>
        <w:ind w:left="1208" w:hanging="234"/>
        <w:spacing w:after="0"/>
        <w:tabs>
          <w:tab w:leader="none" w:pos="1208"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paid in Dollars.</w:t>
      </w:r>
    </w:p>
    <w:p>
      <w:pPr>
        <w:spacing w:after="0" w:line="218" w:lineRule="exact"/>
        <w:rPr>
          <w:sz w:val="20"/>
          <w:szCs w:val="20"/>
          <w:color w:val="auto"/>
        </w:rPr>
      </w:pPr>
    </w:p>
    <w:p>
      <w:pPr>
        <w:ind w:left="8" w:firstLine="974"/>
        <w:spacing w:after="0" w:line="248"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Daily Simple SOFR Rate or Daily Simple SOFR shall be determined by the Administrative Agent, and such determination shall be conclusive absent manifest error. The Administrative Agent shall as soon as practicable notify the Company or relevant Subsidiary Borrower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The Administrative Agent shall, at the request of the Company, or any Subsidiary Borrower, deliver to the Company or such Subsidiary Borrower a statement showing the quotations used by the Administrative Agent in determining any interest rate pursuant to this Section 2.17.</w:t>
      </w:r>
    </w:p>
    <w:p>
      <w:pPr>
        <w:spacing w:after="0" w:line="193"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xml:space="preserve"> (a) Subject to clauses (b), (c), (d), (e) and (f) of this Section 2.18, if:</w:t>
      </w:r>
    </w:p>
    <w:p>
      <w:pPr>
        <w:spacing w:after="0" w:line="111" w:lineRule="exact"/>
        <w:rPr>
          <w:sz w:val="20"/>
          <w:szCs w:val="20"/>
          <w:color w:val="auto"/>
        </w:rPr>
      </w:pPr>
    </w:p>
    <w:p>
      <w:pPr>
        <w:ind w:left="8" w:firstLine="966"/>
        <w:spacing w:after="0" w:line="268" w:lineRule="auto"/>
        <w:tabs>
          <w:tab w:leader="none" w:pos="1193" w:val="left"/>
        </w:tabs>
        <w:numPr>
          <w:ilvl w:val="1"/>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w:t>
      </w:r>
    </w:p>
    <w:p>
      <w:pPr>
        <w:spacing w:after="0" w:line="1" w:lineRule="exact"/>
        <w:rPr>
          <w:rFonts w:ascii="Times New Roman" w:cs="Times New Roman" w:eastAsia="Times New Roman" w:hAnsi="Times New Roman"/>
          <w:sz w:val="17"/>
          <w:szCs w:val="17"/>
          <w:color w:val="auto"/>
        </w:rPr>
      </w:pPr>
    </w:p>
    <w:p>
      <w:pPr>
        <w:ind w:left="288" w:hanging="288"/>
        <w:spacing w:after="0"/>
        <w:tabs>
          <w:tab w:leader="none" w:pos="288"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that adequate and reasonable means do not exist for ascertaining the applicable Adjusted Daily Simple SOFR or Daily Simple SOFR; or</w:t>
      </w:r>
    </w:p>
    <w:p>
      <w:pPr>
        <w:spacing w:after="0" w:line="209" w:lineRule="exact"/>
        <w:rPr>
          <w:rFonts w:ascii="Times New Roman" w:cs="Times New Roman" w:eastAsia="Times New Roman" w:hAnsi="Times New Roman"/>
          <w:sz w:val="17"/>
          <w:szCs w:val="17"/>
          <w:color w:val="auto"/>
        </w:rPr>
      </w:pPr>
    </w:p>
    <w:p>
      <w:pPr>
        <w:ind w:left="8" w:right="140" w:firstLine="966"/>
        <w:spacing w:after="0" w:line="253" w:lineRule="auto"/>
        <w:tabs>
          <w:tab w:leader="none" w:pos="1243"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or the Term SOFR Rate for such Interest Period will not adequately and fairly reflect the cost to such Lenders of making or maintaining their Loans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82" w:lineRule="exact"/>
        <w:rPr>
          <w:sz w:val="20"/>
          <w:szCs w:val="20"/>
          <w:color w:val="auto"/>
        </w:rPr>
      </w:pPr>
    </w:p>
    <w:p>
      <w:pPr>
        <w:ind w:left="8" w:right="20"/>
        <w:spacing w:after="0" w:line="253"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relevant Borrower delivers a new Interest Election Request in accordance with the terms of Section 2.14 or a new Borrowing Request in accordance with the terms of Section 2.2, (1) any</w:t>
      </w:r>
    </w:p>
    <w:p>
      <w:pPr>
        <w:spacing w:after="0" w:line="1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28"/>
          </w:cols>
          <w:pgMar w:left="532" w:top="266" w:right="539" w:bottom="1440" w:gutter="0" w:footer="0" w:header="0"/>
        </w:sectPr>
      </w:pPr>
    </w:p>
    <w:bookmarkStart w:id="492" w:name="page493"/>
    <w:bookmarkEnd w:id="492"/>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2.18(a)(i) or (ii) above or (y) an ABR Borrowing if the Adjusted Daily Simple SOFR also is the subject of Section 2.18(a)(i) or (ii) above and (2) any Borrowing Request that requests a Daily Simple SOFR Borrowing shall instead be deemed to be a Borrowing Request for an ABR Borrowing; provided that if the circumstances giving rise to such notice affect only one Type of Borrowings, then all other Types of Borrowings shall be permitted. Furthermore, if any Term Benchmark Loan or Daily Simple SOFR Loan is outstanding on the date of the Company’s receipt of the notice from the Administrative Agent referred to in this Section 2.18(a) with respect to a Relevant Rate applicable to such Term Benchmark Loan or Daily Simple SOFR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2.14 or a new Borrowing Request in accordance with the terms of Section 2.2,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also the subject of Section 2.18(a)(i) or (ii) above or (y) an ABR Loan if the Adjusted Daily Simple SOFR also is the subject of Section 2.18(a)(i) or (ii) above, on such day and (2) any Daily Simple SOFR Loan shall on and from such day be converted by the Administrative Agent to, and shall constitute an ABR Loan.</w:t>
      </w:r>
    </w:p>
    <w:p>
      <w:pPr>
        <w:spacing w:after="0" w:line="188" w:lineRule="exact"/>
        <w:rPr>
          <w:sz w:val="20"/>
          <w:szCs w:val="20"/>
          <w:color w:val="auto"/>
        </w:rPr>
      </w:pPr>
    </w:p>
    <w:p>
      <w:pPr>
        <w:ind w:right="20" w:firstLine="966"/>
        <w:spacing w:after="0" w:line="269" w:lineRule="auto"/>
        <w:tabs>
          <w:tab w:leader="none" w:pos="1224"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1" w:lineRule="exact"/>
        <w:rPr>
          <w:rFonts w:ascii="Times New Roman" w:cs="Times New Roman" w:eastAsia="Times New Roman" w:hAnsi="Times New Roman"/>
          <w:sz w:val="17"/>
          <w:szCs w:val="17"/>
          <w:color w:val="auto"/>
        </w:rPr>
      </w:pPr>
    </w:p>
    <w:p>
      <w:pPr>
        <w:jc w:val="both"/>
        <w:ind w:right="120" w:firstLine="966"/>
        <w:spacing w:after="0" w:line="255" w:lineRule="auto"/>
        <w:tabs>
          <w:tab w:leader="none" w:pos="121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1" w:lineRule="exact"/>
        <w:rPr>
          <w:rFonts w:ascii="Times New Roman" w:cs="Times New Roman" w:eastAsia="Times New Roman" w:hAnsi="Times New Roman"/>
          <w:sz w:val="18"/>
          <w:szCs w:val="18"/>
          <w:color w:val="auto"/>
        </w:rPr>
      </w:pPr>
    </w:p>
    <w:p>
      <w:pPr>
        <w:ind w:right="20" w:firstLine="966"/>
        <w:spacing w:after="0" w:line="250" w:lineRule="auto"/>
        <w:tabs>
          <w:tab w:leader="none" w:pos="122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Company and any relevant Subsidiary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20"/>
          </w:cols>
          <w:pgMar w:left="540" w:top="267" w:right="539" w:bottom="1440" w:gutter="0" w:footer="0" w:header="0"/>
        </w:sectPr>
      </w:pPr>
    </w:p>
    <w:bookmarkStart w:id="493" w:name="page494"/>
    <w:bookmarkEnd w:id="493"/>
    <w:p>
      <w:pPr>
        <w:ind w:right="20" w:firstLine="966"/>
        <w:spacing w:after="0" w:line="249" w:lineRule="auto"/>
        <w:tabs>
          <w:tab w:leader="none" w:pos="121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7" w:lineRule="exact"/>
        <w:rPr>
          <w:rFonts w:ascii="Times New Roman" w:cs="Times New Roman" w:eastAsia="Times New Roman" w:hAnsi="Times New Roman"/>
          <w:sz w:val="18"/>
          <w:szCs w:val="18"/>
          <w:color w:val="auto"/>
        </w:rPr>
      </w:pPr>
    </w:p>
    <w:p>
      <w:pPr>
        <w:ind w:firstLine="966"/>
        <w:spacing w:after="0" w:line="247" w:lineRule="auto"/>
        <w:tabs>
          <w:tab w:leader="none" w:pos="119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Company’s and any relevant Subsidiary Borrower’s receipt of notice of the commencement of a Benchmark Unavailability Period, the applicable Borrower may revoke any request for a Term Benchmark Borrowing or Daily Simple SOFR Borrowing of, or any request for the conversion to or continuation of Term Benchmark Loans to be made, converted or continued during any Benchmark Unavailability Period and, failing that, such Borrower will be deemed to have converted any request for (1) a Term Benchmark Borrowing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and any relevant Subsidiary Borrower’s receipt of notice of the commencement of a Benchmark Unavailability Period with respect to the Relevant Rate applicable to such Term Benchmark Loan or Daily Simple SOFR Loan, then until such time as a Benchmark Replacement is implemented pursuant to this Section 2.18,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 (2) any Daily Simple SOFR Loan shall on and from such day be converted by the Administrative Agent to, and shall constitute, an ABR Loan.</w:t>
      </w:r>
    </w:p>
    <w:p>
      <w:pPr>
        <w:spacing w:after="0" w:line="200"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Pro Rata Treatment and Payments; Evidence of Debt.</w:t>
      </w:r>
      <w:r>
        <w:rPr>
          <w:rFonts w:ascii="Times New Roman" w:cs="Times New Roman" w:eastAsia="Times New Roman" w:hAnsi="Times New Roman"/>
          <w:sz w:val="18"/>
          <w:szCs w:val="18"/>
          <w:color w:val="auto"/>
        </w:rPr>
        <w:t xml:space="preserve"> (a) Each borrowing of Loans under the Facility by the Company or any Subsidiary Borrower from the Lenders under the Facility, each payment by the Company or any Subsidiary Borrower on account of any Facility Fee and any reduction of the Commitments of the Lenders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under the Facility, of the relevant Lenders in the Facility except to the extent required or permitted pursuant to Sections 2.11, 2.24 and 2.25.</w:t>
      </w:r>
    </w:p>
    <w:p>
      <w:pPr>
        <w:spacing w:after="0" w:line="182" w:lineRule="exact"/>
        <w:rPr>
          <w:sz w:val="20"/>
          <w:szCs w:val="20"/>
          <w:color w:val="auto"/>
        </w:rPr>
      </w:pPr>
    </w:p>
    <w:p>
      <w:pPr>
        <w:jc w:val="both"/>
        <w:ind w:right="80" w:firstLine="966"/>
        <w:spacing w:after="0" w:line="255" w:lineRule="auto"/>
        <w:tabs>
          <w:tab w:leader="none" w:pos="122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Company or any Subsidiary Borrower on account of principal of and interest on the Loans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the Lenders under the Facility according to the respective outstanding principal amounts of the Loans under the Facility then held by the Lenders under the Facility except to the extent required or permitted pursuant to Sections 2.11, 2.24 and 2.25. Each such payment shall be paid in Dollars.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20"/>
          </w:cols>
          <w:pgMar w:left="540" w:top="266" w:right="539" w:bottom="1440" w:gutter="0" w:footer="0" w:header="0"/>
        </w:sectPr>
      </w:pPr>
    </w:p>
    <w:bookmarkStart w:id="494" w:name="page495"/>
    <w:bookmarkEnd w:id="494"/>
    <w:p>
      <w:pPr>
        <w:ind w:firstLine="966"/>
        <w:spacing w:after="0" w:line="265" w:lineRule="auto"/>
        <w:tabs>
          <w:tab w:leader="none" w:pos="1215"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6" w:lineRule="exact"/>
        <w:rPr>
          <w:rFonts w:ascii="Times New Roman" w:cs="Times New Roman" w:eastAsia="Times New Roman" w:hAnsi="Times New Roman"/>
          <w:sz w:val="17"/>
          <w:szCs w:val="17"/>
          <w:color w:val="auto"/>
        </w:rPr>
      </w:pPr>
    </w:p>
    <w:p>
      <w:pPr>
        <w:ind w:right="40" w:firstLine="966"/>
        <w:spacing w:after="0" w:line="265" w:lineRule="auto"/>
        <w:tabs>
          <w:tab w:leader="none" w:pos="1224"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w:t>
      </w:r>
    </w:p>
    <w:p>
      <w:pPr>
        <w:spacing w:after="0" w:line="172" w:lineRule="exact"/>
        <w:rPr>
          <w:rFonts w:ascii="Times New Roman" w:cs="Times New Roman" w:eastAsia="Times New Roman" w:hAnsi="Times New Roman"/>
          <w:sz w:val="17"/>
          <w:szCs w:val="17"/>
          <w:color w:val="auto"/>
        </w:rPr>
      </w:pPr>
    </w:p>
    <w:p>
      <w:pPr>
        <w:ind w:right="20" w:firstLine="966"/>
        <w:spacing w:after="0" w:line="249" w:lineRule="auto"/>
        <w:tabs>
          <w:tab w:leader="none" w:pos="121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w:t>
      </w:r>
    </w:p>
    <w:p>
      <w:pPr>
        <w:spacing w:after="0" w:line="189" w:lineRule="exact"/>
        <w:rPr>
          <w:rFonts w:ascii="Times New Roman" w:cs="Times New Roman" w:eastAsia="Times New Roman" w:hAnsi="Times New Roman"/>
          <w:sz w:val="18"/>
          <w:szCs w:val="18"/>
          <w:color w:val="auto"/>
        </w:rPr>
      </w:pPr>
    </w:p>
    <w:p>
      <w:pPr>
        <w:ind w:right="120" w:firstLine="966"/>
        <w:spacing w:after="0" w:line="260" w:lineRule="auto"/>
        <w:tabs>
          <w:tab w:leader="none" w:pos="119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20"/>
          </w:cols>
          <w:pgMar w:left="540" w:top="266" w:right="539" w:bottom="1440" w:gutter="0" w:footer="0" w:header="0"/>
        </w:sectPr>
      </w:pPr>
    </w:p>
    <w:bookmarkStart w:id="495" w:name="page496"/>
    <w:bookmarkEnd w:id="495"/>
    <w:p>
      <w:pPr>
        <w:jc w:val="both"/>
        <w:ind w:right="80" w:firstLine="966"/>
        <w:spacing w:after="0" w:line="255" w:lineRule="auto"/>
        <w:tabs>
          <w:tab w:leader="none" w:pos="1224"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111" w:lineRule="exact"/>
        <w:rPr>
          <w:sz w:val="20"/>
          <w:szCs w:val="20"/>
          <w:color w:val="auto"/>
        </w:rPr>
      </w:pPr>
    </w:p>
    <w:p>
      <w:pPr>
        <w:ind w:right="80" w:firstLine="966"/>
        <w:spacing w:after="0" w:line="260" w:lineRule="auto"/>
        <w:tabs>
          <w:tab w:leader="none" w:pos="118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Adjusted Term SOFR Rate; or</w:t>
      </w:r>
    </w:p>
    <w:p>
      <w:pPr>
        <w:spacing w:after="0" w:line="176" w:lineRule="exact"/>
        <w:rPr>
          <w:rFonts w:ascii="Times New Roman" w:cs="Times New Roman" w:eastAsia="Times New Roman" w:hAnsi="Times New Roman"/>
          <w:sz w:val="18"/>
          <w:szCs w:val="18"/>
          <w:color w:val="auto"/>
        </w:rPr>
      </w:pPr>
    </w:p>
    <w:p>
      <w:pPr>
        <w:ind w:left="1220" w:hanging="254"/>
        <w:spacing w:after="0"/>
        <w:tabs>
          <w:tab w:leader="none" w:pos="12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such Lender or any interbank market any other condition;</w:t>
      </w:r>
    </w:p>
    <w:p>
      <w:pPr>
        <w:spacing w:after="0" w:line="2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Term Benchmark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90" w:lineRule="exact"/>
        <w:rPr>
          <w:sz w:val="20"/>
          <w:szCs w:val="20"/>
          <w:color w:val="auto"/>
        </w:rPr>
      </w:pPr>
    </w:p>
    <w:p>
      <w:pPr>
        <w:ind w:firstLine="966"/>
        <w:spacing w:after="0" w:line="266" w:lineRule="auto"/>
        <w:tabs>
          <w:tab w:leader="none" w:pos="1224"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76" w:lineRule="exact"/>
        <w:rPr>
          <w:rFonts w:ascii="Times New Roman" w:cs="Times New Roman" w:eastAsia="Times New Roman" w:hAnsi="Times New Roman"/>
          <w:sz w:val="17"/>
          <w:szCs w:val="17"/>
          <w:color w:val="auto"/>
        </w:rPr>
      </w:pPr>
    </w:p>
    <w:p>
      <w:pPr>
        <w:jc w:val="both"/>
        <w:ind w:right="140" w:firstLine="966"/>
        <w:spacing w:after="0" w:line="260" w:lineRule="auto"/>
        <w:tabs>
          <w:tab w:leader="none" w:pos="121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00"/>
          </w:cols>
          <w:pgMar w:left="540" w:top="266" w:right="559" w:bottom="1440" w:gutter="0" w:footer="0" w:header="0"/>
        </w:sectPr>
      </w:pPr>
    </w:p>
    <w:bookmarkStart w:id="496" w:name="page497"/>
    <w:bookmarkEnd w:id="496"/>
    <w:p>
      <w:pPr>
        <w:ind w:left="8"/>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87" w:lineRule="exact"/>
        <w:rPr>
          <w:sz w:val="20"/>
          <w:szCs w:val="20"/>
          <w:color w:val="auto"/>
        </w:rPr>
      </w:pPr>
    </w:p>
    <w:p>
      <w:pPr>
        <w:ind w:left="8" w:right="2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189" w:lineRule="exact"/>
        <w:rPr>
          <w:sz w:val="20"/>
          <w:szCs w:val="20"/>
          <w:color w:val="auto"/>
        </w:rPr>
      </w:pPr>
    </w:p>
    <w:p>
      <w:pPr>
        <w:ind w:left="1228" w:hanging="254"/>
        <w:spacing w:after="0"/>
        <w:tabs>
          <w:tab w:leader="none" w:pos="1228" w:val="left"/>
        </w:tabs>
        <w:numPr>
          <w:ilvl w:val="1"/>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Loan Party shall pay any Other Taxes over to the relevant Governmental Authority in accordance with applicable law.</w:t>
      </w:r>
    </w:p>
    <w:p>
      <w:pPr>
        <w:spacing w:after="0" w:line="229" w:lineRule="exact"/>
        <w:rPr>
          <w:rFonts w:ascii="Times New Roman" w:cs="Times New Roman" w:eastAsia="Times New Roman" w:hAnsi="Times New Roman"/>
          <w:sz w:val="17"/>
          <w:szCs w:val="17"/>
          <w:color w:val="auto"/>
        </w:rPr>
      </w:pPr>
    </w:p>
    <w:p>
      <w:pPr>
        <w:ind w:left="8" w:right="40" w:firstLine="966"/>
        <w:spacing w:after="0" w:line="268" w:lineRule="auto"/>
        <w:tabs>
          <w:tab w:leader="none" w:pos="1223" w:val="left"/>
        </w:tabs>
        <w:numPr>
          <w:ilvl w:val="1"/>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w:t>
      </w:r>
    </w:p>
    <w:p>
      <w:pPr>
        <w:spacing w:after="0" w:line="1" w:lineRule="exact"/>
        <w:rPr>
          <w:rFonts w:ascii="Times New Roman" w:cs="Times New Roman" w:eastAsia="Times New Roman" w:hAnsi="Times New Roman"/>
          <w:sz w:val="17"/>
          <w:szCs w:val="17"/>
          <w:color w:val="auto"/>
        </w:rPr>
      </w:pPr>
    </w:p>
    <w:p>
      <w:pPr>
        <w:ind w:left="8" w:hanging="8"/>
        <w:spacing w:after="0" w:line="247" w:lineRule="auto"/>
        <w:tabs>
          <w:tab w:leader="none" w:pos="219"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makes a written demand therefor (together with a reasonably detailed calculation of such amounts).</w:t>
      </w:r>
    </w:p>
    <w:p>
      <w:pPr>
        <w:spacing w:after="0" w:line="187" w:lineRule="exact"/>
        <w:rPr>
          <w:rFonts w:ascii="Times New Roman" w:cs="Times New Roman" w:eastAsia="Times New Roman" w:hAnsi="Times New Roman"/>
          <w:sz w:val="18"/>
          <w:szCs w:val="18"/>
          <w:color w:val="auto"/>
        </w:rPr>
      </w:pPr>
    </w:p>
    <w:p>
      <w:pPr>
        <w:ind w:left="8" w:right="80" w:firstLine="966"/>
        <w:spacing w:after="0" w:line="267" w:lineRule="auto"/>
        <w:tabs>
          <w:tab w:leader="none" w:pos="1233"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08"/>
          </w:cols>
          <w:pgMar w:left="532" w:top="266" w:right="559" w:bottom="1440" w:gutter="0" w:footer="0" w:header="0"/>
        </w:sectPr>
      </w:pPr>
    </w:p>
    <w:bookmarkStart w:id="497" w:name="page498"/>
    <w:bookmarkEnd w:id="497"/>
    <w:p>
      <w:pPr>
        <w:ind w:right="2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execution and submission of such documentation (other than such documentation set forth in paragraphs (A), (B) and (D) of Section 2.21(d)(ii))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111" w:lineRule="exact"/>
        <w:rPr>
          <w:sz w:val="20"/>
          <w:szCs w:val="20"/>
          <w:color w:val="auto"/>
        </w:rPr>
      </w:pPr>
    </w:p>
    <w:p>
      <w:pPr>
        <w:ind w:left="1400" w:right="20" w:firstLine="376"/>
        <w:spacing w:after="0" w:line="250" w:lineRule="auto"/>
        <w:tabs>
          <w:tab w:leader="none" w:pos="206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Non-U.S. Lender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79" w:lineRule="exact"/>
        <w:rPr>
          <w:rFonts w:ascii="Times New Roman" w:cs="Times New Roman" w:eastAsia="Times New Roman" w:hAnsi="Times New Roman"/>
          <w:sz w:val="18"/>
          <w:szCs w:val="18"/>
          <w:color w:val="auto"/>
        </w:rPr>
      </w:pPr>
    </w:p>
    <w:p>
      <w:pPr>
        <w:ind w:left="1400" w:right="80" w:firstLine="376"/>
        <w:spacing w:after="0" w:line="255" w:lineRule="auto"/>
        <w:tabs>
          <w:tab w:leader="none" w:pos="2057"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Each Lender that is a U.S. Person shall deliver to the Company, any relevant Domestic Subsidiary Borrower and the Administrative Agent (or in the case of a Participant, to the Lender from which the related participation shall have been purchased) two properly completed and duly executed copies of IRS Form W-9 certifying that such Lender is exempt from U.S. federal backup withholding tax.</w:t>
      </w:r>
    </w:p>
    <w:p>
      <w:pPr>
        <w:spacing w:after="0" w:line="75" w:lineRule="exact"/>
        <w:rPr>
          <w:rFonts w:ascii="Times New Roman" w:cs="Times New Roman" w:eastAsia="Times New Roman" w:hAnsi="Times New Roman"/>
          <w:sz w:val="18"/>
          <w:szCs w:val="18"/>
          <w:color w:val="auto"/>
        </w:rPr>
      </w:pPr>
    </w:p>
    <w:p>
      <w:pPr>
        <w:ind w:left="1400" w:right="20" w:firstLine="376"/>
        <w:spacing w:after="0" w:line="267" w:lineRule="auto"/>
        <w:tabs>
          <w:tab w:leader="none" w:pos="2057" w:val="left"/>
        </w:tabs>
        <w:numPr>
          <w:ilvl w:val="0"/>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w:t>
      </w:r>
    </w:p>
    <w:p>
      <w:pPr>
        <w:spacing w:after="0" w:line="69" w:lineRule="exact"/>
        <w:rPr>
          <w:rFonts w:ascii="Times New Roman" w:cs="Times New Roman" w:eastAsia="Times New Roman" w:hAnsi="Times New Roman"/>
          <w:sz w:val="17"/>
          <w:szCs w:val="17"/>
          <w:color w:val="auto"/>
        </w:rPr>
      </w:pPr>
    </w:p>
    <w:p>
      <w:pPr>
        <w:ind w:left="1400" w:firstLine="376"/>
        <w:spacing w:after="0" w:line="265" w:lineRule="auto"/>
        <w:tabs>
          <w:tab w:leader="none" w:pos="2066" w:val="left"/>
        </w:tabs>
        <w:numPr>
          <w:ilvl w:val="0"/>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w:t>
      </w:r>
    </w:p>
    <w:p>
      <w:pPr>
        <w:spacing w:after="0" w:line="1" w:lineRule="exact"/>
        <w:rPr>
          <w:rFonts w:ascii="Times New Roman" w:cs="Times New Roman" w:eastAsia="Times New Roman" w:hAnsi="Times New Roman"/>
          <w:sz w:val="17"/>
          <w:szCs w:val="17"/>
          <w:color w:val="auto"/>
        </w:rPr>
      </w:pPr>
    </w:p>
    <w:p>
      <w:pPr>
        <w:ind w:left="1400" w:right="4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00"/>
          </w:cols>
          <w:pgMar w:left="540" w:top="266" w:right="559" w:bottom="1440" w:gutter="0" w:footer="0" w:header="0"/>
        </w:sectPr>
      </w:pPr>
    </w:p>
    <w:bookmarkStart w:id="498" w:name="page499"/>
    <w:bookmarkEnd w:id="498"/>
    <w:p>
      <w:pPr>
        <w:jc w:val="both"/>
        <w:ind w:left="1340" w:right="38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70" w:lineRule="exact"/>
        <w:rPr>
          <w:sz w:val="20"/>
          <w:szCs w:val="20"/>
          <w:color w:val="auto"/>
        </w:rPr>
      </w:pPr>
    </w:p>
    <w:p>
      <w:pPr>
        <w:ind w:left="1340" w:firstLine="377"/>
        <w:spacing w:after="0" w:line="250" w:lineRule="auto"/>
        <w:rPr>
          <w:sz w:val="20"/>
          <w:szCs w:val="20"/>
          <w:color w:val="auto"/>
        </w:rPr>
      </w:pPr>
      <w:r>
        <w:rPr>
          <w:rFonts w:ascii="Times New Roman" w:cs="Times New Roman" w:eastAsia="Times New Roman" w:hAnsi="Times New Roman"/>
          <w:sz w:val="18"/>
          <w:szCs w:val="18"/>
          <w:color w:val="auto"/>
        </w:rPr>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w:t>
      </w:r>
    </w:p>
    <w:p>
      <w:pPr>
        <w:spacing w:after="0" w:line="189" w:lineRule="exact"/>
        <w:rPr>
          <w:sz w:val="20"/>
          <w:szCs w:val="20"/>
          <w:color w:val="auto"/>
        </w:rPr>
      </w:pPr>
    </w:p>
    <w:p>
      <w:pPr>
        <w:ind w:left="-60" w:firstLine="966"/>
        <w:spacing w:after="0" w:line="263" w:lineRule="auto"/>
        <w:tabs>
          <w:tab w:leader="none" w:pos="1155"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Indemnified Taxes giving rise to such refund), net of all out-of-pocket expenses of the Administrative Agent, such Transferee or such Lender and without interest (other than any interest paid by the relevant Governmental Authority with respect to such refund); provided,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84" w:lineRule="exact"/>
        <w:rPr>
          <w:rFonts w:ascii="Times New Roman" w:cs="Times New Roman" w:eastAsia="Times New Roman" w:hAnsi="Times New Roman"/>
          <w:sz w:val="17"/>
          <w:szCs w:val="17"/>
          <w:color w:val="auto"/>
        </w:rPr>
      </w:pPr>
    </w:p>
    <w:p>
      <w:pPr>
        <w:ind w:left="-60" w:firstLine="966"/>
        <w:spacing w:after="0" w:line="251" w:lineRule="auto"/>
        <w:tabs>
          <w:tab w:leader="none" w:pos="113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6" w:lineRule="exact"/>
        <w:rPr>
          <w:rFonts w:ascii="Times New Roman" w:cs="Times New Roman" w:eastAsia="Times New Roman" w:hAnsi="Times New Roman"/>
          <w:sz w:val="18"/>
          <w:szCs w:val="18"/>
          <w:color w:val="auto"/>
        </w:rPr>
      </w:pPr>
    </w:p>
    <w:p>
      <w:pPr>
        <w:ind w:left="1160" w:hanging="254"/>
        <w:spacing w:after="0"/>
        <w:tabs>
          <w:tab w:leader="none" w:pos="11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2.21.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680"/>
          </w:cols>
          <w:pgMar w:left="600" w:top="266" w:right="619" w:bottom="1440" w:gutter="0" w:footer="0" w:header="0"/>
        </w:sectPr>
      </w:pPr>
    </w:p>
    <w:bookmarkStart w:id="499" w:name="page500"/>
    <w:bookmarkEnd w:id="499"/>
    <w:p>
      <w:pPr>
        <w:jc w:val="both"/>
        <w:ind w:right="300" w:firstLine="966"/>
        <w:spacing w:after="0" w:line="260" w:lineRule="auto"/>
        <w:tabs>
          <w:tab w:leader="none" w:pos="122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agreements in this Section 2.21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76"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w:t>
      </w:r>
    </w:p>
    <w:p>
      <w:pPr>
        <w:spacing w:after="0" w:line="189" w:lineRule="exact"/>
        <w:rPr>
          <w:sz w:val="20"/>
          <w:szCs w:val="20"/>
          <w:color w:val="auto"/>
        </w:rPr>
      </w:pPr>
    </w:p>
    <w:p>
      <w:pPr>
        <w:jc w:val="both"/>
        <w:ind w:right="160" w:firstLine="974"/>
        <w:spacing w:after="0" w:line="255" w:lineRule="auto"/>
        <w:rPr>
          <w:sz w:val="20"/>
          <w:szCs w:val="20"/>
          <w:color w:val="auto"/>
        </w:rPr>
      </w:pPr>
      <w:r>
        <w:rPr>
          <w:rFonts w:ascii="Times New Roman" w:cs="Times New Roman" w:eastAsia="Times New Roman" w:hAnsi="Times New Roman"/>
          <w:sz w:val="18"/>
          <w:szCs w:val="18"/>
          <w:color w:val="auto"/>
        </w:rPr>
        <w:t>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82" w:lineRule="exact"/>
        <w:rPr>
          <w:sz w:val="20"/>
          <w:szCs w:val="20"/>
          <w:color w:val="auto"/>
        </w:rPr>
      </w:pPr>
    </w:p>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Replacement/Termination of Lenders</w:t>
      </w:r>
      <w:r>
        <w:rPr>
          <w:rFonts w:ascii="Times New Roman" w:cs="Times New Roman" w:eastAsia="Times New Roman" w:hAnsi="Times New Roman"/>
          <w:sz w:val="18"/>
          <w:szCs w:val="18"/>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or the Converted Term Loan Maturity Date to which the Required Lenders have consented;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 the replacement financial institution or the Company, as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00"/>
          </w:cols>
          <w:pgMar w:left="540" w:top="266" w:right="559" w:bottom="1440" w:gutter="0" w:footer="0" w:header="0"/>
        </w:sectPr>
      </w:pPr>
    </w:p>
    <w:bookmarkStart w:id="500" w:name="page501"/>
    <w:bookmarkEnd w:id="500"/>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700" w:firstLine="974"/>
        <w:spacing w:after="0" w:line="274"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58" w:lineRule="exact"/>
        <w:rPr>
          <w:sz w:val="20"/>
          <w:szCs w:val="20"/>
          <w:color w:val="auto"/>
        </w:rPr>
      </w:pPr>
    </w:p>
    <w:p>
      <w:pPr>
        <w:ind w:left="1200" w:hanging="234"/>
        <w:spacing w:after="0"/>
        <w:tabs>
          <w:tab w:leader="none" w:pos="120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Fees, if any, shall cease to accrue on the unfunded Commitment of such Defaulting Lender pursuant to Section 2.10; and</w:t>
      </w:r>
    </w:p>
    <w:p>
      <w:pPr>
        <w:spacing w:after="0" w:line="217" w:lineRule="exact"/>
        <w:rPr>
          <w:rFonts w:ascii="Times New Roman" w:cs="Times New Roman" w:eastAsia="Times New Roman" w:hAnsi="Times New Roman"/>
          <w:sz w:val="18"/>
          <w:szCs w:val="18"/>
          <w:color w:val="auto"/>
        </w:rPr>
      </w:pPr>
    </w:p>
    <w:p>
      <w:pPr>
        <w:ind w:right="40" w:firstLine="966"/>
        <w:spacing w:after="0" w:line="249" w:lineRule="auto"/>
        <w:tabs>
          <w:tab w:leader="none" w:pos="122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90" w:lineRule="exact"/>
        <w:rPr>
          <w:sz w:val="20"/>
          <w:szCs w:val="20"/>
          <w:color w:val="auto"/>
        </w:rPr>
      </w:pPr>
    </w:p>
    <w:p>
      <w:pPr>
        <w:ind w:right="100" w:firstLine="974"/>
        <w:spacing w:after="0" w:line="251"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Reallocation of Payments for the Account of Defaulting Lenders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amounts owed by such Defaulting Lender to the Administrative Agent);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as the Company may request (so long as no Event of Default has occurred and is continuing), to the funding of any Loan under the Facility in respect of which such Defaulting Lender has failed to fund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80"/>
          </w:cols>
          <w:pgMar w:left="540" w:top="266" w:right="579" w:bottom="1440" w:gutter="0" w:footer="0" w:header="0"/>
        </w:sectPr>
      </w:pPr>
    </w:p>
    <w:bookmarkStart w:id="501" w:name="page502"/>
    <w:bookmarkEnd w:id="501"/>
    <w:p>
      <w:pPr>
        <w:ind w:right="2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its portion thereof as required by this Agreement, as determined by the Administrative Agent; </w:t>
      </w: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xml:space="preserve">, to such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76" w:lineRule="exact"/>
        <w:rPr>
          <w:sz w:val="20"/>
          <w:szCs w:val="20"/>
          <w:color w:val="auto"/>
        </w:rPr>
      </w:pPr>
    </w:p>
    <w:p>
      <w:pPr>
        <w:ind w:right="40" w:firstLine="974"/>
        <w:spacing w:after="0" w:line="250"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increasing the existing Commitments under the Facility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by executing and delivering to the Administrative Agent an Incremental Loan Activation Notice signed by such Lenders or such additional lenders and specifying (i) the respective Incremental Commitments of such Incremental Lenders and (ii) the applicable Commitment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Commitment Increase (including the incurrence of any Incremental Loans on the applicable Commitment Increase Date and use of proceeds thereof) (x) no Default or Event of Default shall be continuing and (y) the sum of the Total Commitments then in effect (including, for the avoidance of doubt, Incremental Commitments) shall not exceed $2 billion.</w:t>
      </w:r>
    </w:p>
    <w:p>
      <w:pPr>
        <w:spacing w:after="0" w:line="185" w:lineRule="exact"/>
        <w:rPr>
          <w:sz w:val="20"/>
          <w:szCs w:val="20"/>
          <w:color w:val="auto"/>
        </w:rPr>
      </w:pPr>
    </w:p>
    <w:p>
      <w:pPr>
        <w:ind w:right="40" w:firstLine="966"/>
        <w:spacing w:after="0" w:line="251" w:lineRule="auto"/>
        <w:tabs>
          <w:tab w:leader="none" w:pos="122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that is a signatory to an Incremental Loan Activation Notice severally agrees, on the terms and conditions of this Agreement, to make revolving credit loans (each,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xml:space="preserve">”) to the Company and/or the applicable Subsidiary Borrowers from time to time on or after the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shall be construed to obligate any Lender to execute an Incremental Loan Activation Notice.</w:t>
      </w:r>
    </w:p>
    <w:p>
      <w:pPr>
        <w:spacing w:after="0" w:line="186" w:lineRule="exact"/>
        <w:rPr>
          <w:rFonts w:ascii="Times New Roman" w:cs="Times New Roman" w:eastAsia="Times New Roman" w:hAnsi="Times New Roman"/>
          <w:sz w:val="18"/>
          <w:szCs w:val="18"/>
          <w:color w:val="auto"/>
        </w:rPr>
      </w:pPr>
    </w:p>
    <w:p>
      <w:pPr>
        <w:ind w:firstLine="966"/>
        <w:spacing w:after="0" w:line="250" w:lineRule="auto"/>
        <w:tabs>
          <w:tab w:leader="none" w:pos="121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Commitment Increase Date, in the event any Loans under the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the Facility of other relevant Lenders, the Loans under the Facility to be held ratably by all Lenders with Commitments in the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20"/>
          </w:cols>
          <w:pgMar w:left="540" w:top="266" w:right="539" w:bottom="1440" w:gutter="0" w:footer="0" w:header="0"/>
        </w:sectPr>
      </w:pPr>
    </w:p>
    <w:bookmarkStart w:id="502" w:name="page503"/>
    <w:bookmarkEnd w:id="50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2.28 </w:t>
      </w:r>
      <w:r>
        <w:rPr>
          <w:rFonts w:ascii="Times New Roman" w:cs="Times New Roman" w:eastAsia="Times New Roman" w:hAnsi="Times New Roman"/>
          <w:sz w:val="18"/>
          <w:szCs w:val="18"/>
          <w:u w:val="single" w:color="auto"/>
          <w:color w:val="auto"/>
        </w:rPr>
        <w:t>Term Loan Conversion; Repayment of Converted Term Loans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40" w:firstLine="966"/>
        <w:spacing w:after="0" w:line="248" w:lineRule="auto"/>
        <w:tabs>
          <w:tab w:leader="none" w:pos="121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are any Loans outstanding on the Termination Date, at the option of the applicable Borrower or the Company, all or a portion of such Loans may be converted to term loans (each, a “</w:t>
      </w:r>
      <w:r>
        <w:rPr>
          <w:rFonts w:ascii="Times New Roman" w:cs="Times New Roman" w:eastAsia="Times New Roman" w:hAnsi="Times New Roman"/>
          <w:sz w:val="18"/>
          <w:szCs w:val="18"/>
          <w:u w:val="single" w:color="auto"/>
          <w:color w:val="auto"/>
        </w:rPr>
        <w:t>Converted Term Loan</w:t>
      </w:r>
      <w:r>
        <w:rPr>
          <w:rFonts w:ascii="Times New Roman" w:cs="Times New Roman" w:eastAsia="Times New Roman" w:hAnsi="Times New Roman"/>
          <w:sz w:val="18"/>
          <w:szCs w:val="18"/>
          <w:color w:val="auto"/>
        </w:rPr>
        <w:t xml:space="preserve">”) on such date and the Commitments shall automatically terminate. Upon the conversion of such Loans to Converted Term Loans, (i) each Borrower’s obligations in respect of such Loans shall remain in effect except as otherwise expressly provided for herein and (ii) each Lender shall be deemed to hold its applicable Percentage (determined immediately prior to giving effect to the Termination Date) of each of the Converted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immediately before and after giving effect to such conversion each of the representations and warranties made by the Company in or pursuant to the Loan Documents shall be true and correct in all material respects on and as of such date of conversion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 (ii) that immediately before and after giving effect to such conversion no Default or Event of Default shall have occurred and be continuing and (iii) the applicable Borrower or the Company shall have paid a fee to the Administrative Agent, for the account of each Lender holding Converted Term Loans, in an amount equal to 1.00% of aggregate principal amount of such Converted Term Loans held by such Lender.</w:t>
      </w:r>
    </w:p>
    <w:p>
      <w:pPr>
        <w:spacing w:after="0" w:line="192" w:lineRule="exact"/>
        <w:rPr>
          <w:rFonts w:ascii="Times New Roman" w:cs="Times New Roman" w:eastAsia="Times New Roman" w:hAnsi="Times New Roman"/>
          <w:sz w:val="18"/>
          <w:szCs w:val="18"/>
          <w:color w:val="auto"/>
        </w:rPr>
      </w:pPr>
    </w:p>
    <w:p>
      <w:pPr>
        <w:ind w:firstLine="966"/>
        <w:spacing w:after="0" w:line="251" w:lineRule="auto"/>
        <w:tabs>
          <w:tab w:leader="none" w:pos="1224"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Converted Term Loan shall continue to bear interest at the same rate as, and contain such other terms that are identical to, the Loan from which such Converted Term Loan was converted (including, in the case of a Converted Term Loan that was converted from a Loan that was a Term Benchmark Loan at the time of conversion, the same Interest Period applicable to such Loan at the time of conversion) and each reference herein to “Loans” shall be deemed to be a reference to “Converted Term Loans” as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amounts paid or prepaid in respect of Converted Term Loans may not be reborrowed. To the extent not previously paid, all Converted Term Loans shall be due and payable on the Converted Term Loan Maturity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[RESERVED]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the Company hereby represents and warrants to each Lender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2" w:lineRule="exact"/>
        <w:rPr>
          <w:sz w:val="20"/>
          <w:szCs w:val="20"/>
          <w:color w:val="auto"/>
        </w:rPr>
      </w:pPr>
    </w:p>
    <w:p>
      <w:pPr>
        <w:ind w:right="20" w:firstLine="974"/>
        <w:spacing w:after="0" w:line="25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consolidated financial statements of the Company included in its Annual Report on Form 10-K, for the twelve-month period ended December 31, 2022 (the “</w:t>
      </w:r>
      <w:r>
        <w:rPr>
          <w:rFonts w:ascii="Times New Roman" w:cs="Times New Roman" w:eastAsia="Times New Roman" w:hAnsi="Times New Roman"/>
          <w:sz w:val="18"/>
          <w:szCs w:val="18"/>
          <w:u w:val="single" w:color="auto"/>
          <w:color w:val="auto"/>
        </w:rPr>
        <w:t>2022 10-K</w:t>
      </w:r>
      <w:r>
        <w:rPr>
          <w:rFonts w:ascii="Times New Roman" w:cs="Times New Roman" w:eastAsia="Times New Roman" w:hAnsi="Times New Roman"/>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right="82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Between the date of the financial statements included in the 2022 10-K and the Closing Date, there has been no development or event which has had a Material Adverse Effect.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20"/>
          </w:cols>
          <w:pgMar w:left="540" w:top="266" w:right="539" w:bottom="1440" w:gutter="0" w:footer="0" w:header="0"/>
        </w:sectPr>
      </w:pPr>
    </w:p>
    <w:bookmarkStart w:id="503" w:name="page504"/>
    <w:bookmarkEnd w:id="503"/>
    <w:p>
      <w:pPr>
        <w:ind w:left="8" w:right="200" w:firstLine="97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4.3 </w:t>
      </w:r>
      <w:r>
        <w:rPr>
          <w:rFonts w:ascii="Times New Roman" w:cs="Times New Roman" w:eastAsia="Times New Roman" w:hAnsi="Times New Roman"/>
          <w:sz w:val="17"/>
          <w:szCs w:val="17"/>
          <w:u w:val="single" w:color="auto"/>
          <w:color w:val="auto"/>
        </w:rPr>
        <w:t>Existence</w:t>
      </w:r>
      <w:r>
        <w:rPr>
          <w:rFonts w:ascii="Times New Roman" w:cs="Times New Roman" w:eastAsia="Times New Roman" w:hAnsi="Times New Roman"/>
          <w:sz w:val="17"/>
          <w:szCs w:val="17"/>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 and (c) would not, in the aggregate, reasonably be expected to have a Material Adverse Effect.</w:t>
      </w:r>
    </w:p>
    <w:p>
      <w:pPr>
        <w:spacing w:after="0" w:line="198" w:lineRule="exact"/>
        <w:rPr>
          <w:sz w:val="20"/>
          <w:szCs w:val="20"/>
          <w:color w:val="auto"/>
        </w:rPr>
      </w:pPr>
    </w:p>
    <w:p>
      <w:pPr>
        <w:ind w:left="8" w:right="60" w:firstLine="974"/>
        <w:spacing w:after="0" w:line="268"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Power; Authorization; Enforceable Obligations</w:t>
      </w:r>
      <w:r>
        <w:rPr>
          <w:rFonts w:ascii="Times New Roman" w:cs="Times New Roman" w:eastAsia="Times New Roman" w:hAnsi="Times New Roman"/>
          <w:sz w:val="17"/>
          <w:szCs w:val="17"/>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8" w:right="120" w:hanging="8"/>
        <w:spacing w:after="0" w:line="270" w:lineRule="auto"/>
        <w:tabs>
          <w:tab w:leader="none" w:pos="258"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0" w:lineRule="exact"/>
        <w:rPr>
          <w:sz w:val="20"/>
          <w:szCs w:val="20"/>
          <w:color w:val="auto"/>
        </w:rPr>
      </w:pPr>
    </w:p>
    <w:p>
      <w:pPr>
        <w:ind w:left="8" w:right="160" w:firstLine="974"/>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2" w:lineRule="exact"/>
        <w:rPr>
          <w:sz w:val="20"/>
          <w:szCs w:val="20"/>
          <w:color w:val="auto"/>
        </w:rPr>
      </w:pPr>
    </w:p>
    <w:p>
      <w:pPr>
        <w:ind w:left="8" w:firstLine="974"/>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4.6 and except as set forth in the 2022 10-K or on any Current Report on Form 8-K of the Company filed with the SEC after December 31, 2022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Closing Date no Default or Event of Default has occurred and is continuing.</w:t>
      </w:r>
    </w:p>
    <w:p>
      <w:pPr>
        <w:spacing w:after="0" w:line="218" w:lineRule="exact"/>
        <w:rPr>
          <w:sz w:val="20"/>
          <w:szCs w:val="20"/>
          <w:color w:val="auto"/>
        </w:rPr>
      </w:pPr>
    </w:p>
    <w:p>
      <w:pPr>
        <w:ind w:left="8" w:right="40" w:firstLine="974"/>
        <w:spacing w:after="0" w:line="250"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85" w:lineRule="exact"/>
        <w:rPr>
          <w:sz w:val="20"/>
          <w:szCs w:val="20"/>
          <w:color w:val="auto"/>
        </w:rPr>
      </w:pPr>
    </w:p>
    <w:p>
      <w:pPr>
        <w:jc w:val="both"/>
        <w:ind w:left="8" w:right="240" w:firstLine="974"/>
        <w:spacing w:after="0" w:line="260"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ind w:left="8" w:right="8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and no other extensions of credit hereunder, will be used for any purpose that violates the provisions of Regulation T, U or X of the Board.</w:t>
      </w:r>
    </w:p>
    <w:p>
      <w:pPr>
        <w:spacing w:after="0" w:line="9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88"/>
          </w:cols>
          <w:pgMar w:left="532" w:top="266" w:right="579" w:bottom="1440" w:gutter="0" w:footer="0" w:header="0"/>
        </w:sectPr>
      </w:pPr>
    </w:p>
    <w:bookmarkStart w:id="504" w:name="page505"/>
    <w:bookmarkEnd w:id="504"/>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218" w:lineRule="exact"/>
        <w:rPr>
          <w:sz w:val="20"/>
          <w:szCs w:val="20"/>
          <w:color w:val="auto"/>
        </w:rPr>
      </w:pPr>
    </w:p>
    <w:p>
      <w:pPr>
        <w:ind w:left="8" w:right="36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4" w:lineRule="exact"/>
        <w:rPr>
          <w:sz w:val="20"/>
          <w:szCs w:val="20"/>
          <w:color w:val="auto"/>
        </w:rPr>
      </w:pPr>
    </w:p>
    <w:p>
      <w:pPr>
        <w:ind w:left="8" w:right="420" w:firstLine="974"/>
        <w:spacing w:after="0" w:line="27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Ownership of the Subsidiary Borrowers</w:t>
      </w:r>
      <w:r>
        <w:rPr>
          <w:rFonts w:ascii="Times New Roman" w:cs="Times New Roman" w:eastAsia="Times New Roman" w:hAnsi="Times New Roman"/>
          <w:sz w:val="18"/>
          <w:szCs w:val="18"/>
          <w:color w:val="auto"/>
        </w:rPr>
        <w:t>. As of the Closing Date, each Subsidiary Borrower is a direct or indirect wholly-owned Subsidiary of the Company.</w:t>
      </w:r>
    </w:p>
    <w:p>
      <w:pPr>
        <w:spacing w:after="0" w:line="164" w:lineRule="exact"/>
        <w:rPr>
          <w:sz w:val="20"/>
          <w:szCs w:val="20"/>
          <w:color w:val="auto"/>
        </w:rPr>
      </w:pPr>
    </w:p>
    <w:p>
      <w:pPr>
        <w:jc w:val="both"/>
        <w:ind w:left="8" w:right="180" w:firstLine="974"/>
        <w:spacing w:after="0" w:line="260"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76" w:lineRule="exact"/>
        <w:rPr>
          <w:sz w:val="20"/>
          <w:szCs w:val="20"/>
          <w:color w:val="auto"/>
        </w:rPr>
      </w:pPr>
    </w:p>
    <w:p>
      <w:pPr>
        <w:ind w:left="8" w:right="60" w:firstLine="974"/>
        <w:spacing w:after="0" w:line="264"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“Sanctions Lists”). Neither the Company nor any of its Subsidiaries has a physical place of business, or is organized or resident, in</w:t>
      </w:r>
    </w:p>
    <w:p>
      <w:pPr>
        <w:spacing w:after="0" w:line="3" w:lineRule="exact"/>
        <w:rPr>
          <w:sz w:val="20"/>
          <w:szCs w:val="20"/>
          <w:color w:val="auto"/>
        </w:rPr>
      </w:pPr>
    </w:p>
    <w:p>
      <w:pPr>
        <w:ind w:left="8" w:hanging="8"/>
        <w:spacing w:after="0" w:line="246" w:lineRule="auto"/>
        <w:tabs>
          <w:tab w:leader="none" w:pos="249"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Kherson, or Zaporizhzhia regions of Ukraine, the so-called Donetsk People’s Republic or the so-called Luhansk People’s Republic or (b) in any other Sanctioned Country. The Company and its Subsidiary Borrowers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9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218" w:lineRule="exact"/>
        <w:rPr>
          <w:sz w:val="20"/>
          <w:szCs w:val="20"/>
          <w:color w:val="auto"/>
        </w:rPr>
      </w:pPr>
    </w:p>
    <w:p>
      <w:pPr>
        <w:jc w:val="both"/>
        <w:ind w:left="8"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76" w:lineRule="exact"/>
        <w:rPr>
          <w:sz w:val="20"/>
          <w:szCs w:val="20"/>
          <w:color w:val="auto"/>
        </w:rPr>
      </w:pPr>
    </w:p>
    <w:p>
      <w:pPr>
        <w:ind w:left="5328" w:right="4240" w:hanging="4354"/>
        <w:spacing w:after="0" w:line="443" w:lineRule="auto"/>
        <w:tabs>
          <w:tab w:leader="none" w:pos="121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The Company shall have executed and delivered the Guarantee. 48</w:t>
      </w:r>
    </w:p>
    <w:p>
      <w:pPr>
        <w:sectPr>
          <w:pgSz w:w="11900" w:h="16838" w:orient="portrait"/>
          <w:cols w:equalWidth="0" w:num="1">
            <w:col w:w="10788"/>
          </w:cols>
          <w:pgMar w:left="532" w:top="266" w:right="579" w:bottom="1440" w:gutter="0" w:footer="0" w:header="0"/>
        </w:sectPr>
      </w:pPr>
    </w:p>
    <w:bookmarkStart w:id="505" w:name="page506"/>
    <w:bookmarkEnd w:id="505"/>
    <w:p>
      <w:pPr>
        <w:ind w:left="8" w:right="140" w:firstLine="966"/>
        <w:spacing w:after="0" w:line="274" w:lineRule="auto"/>
        <w:tabs>
          <w:tab w:leader="none" w:pos="1232"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64" w:lineRule="exact"/>
        <w:rPr>
          <w:rFonts w:ascii="Times New Roman" w:cs="Times New Roman" w:eastAsia="Times New Roman" w:hAnsi="Times New Roman"/>
          <w:sz w:val="18"/>
          <w:szCs w:val="18"/>
          <w:color w:val="auto"/>
        </w:rPr>
      </w:pPr>
    </w:p>
    <w:p>
      <w:pPr>
        <w:ind w:left="1208" w:hanging="234"/>
        <w:spacing w:after="0"/>
        <w:tabs>
          <w:tab w:leader="none" w:pos="1208"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4" w:lineRule="exact"/>
        <w:rPr>
          <w:rFonts w:ascii="Times New Roman" w:cs="Times New Roman" w:eastAsia="Times New Roman" w:hAnsi="Times New Roman"/>
          <w:sz w:val="18"/>
          <w:szCs w:val="18"/>
          <w:color w:val="auto"/>
        </w:rPr>
      </w:pPr>
    </w:p>
    <w:p>
      <w:pPr>
        <w:jc w:val="both"/>
        <w:ind w:left="8" w:right="140" w:hanging="8"/>
        <w:spacing w:after="0" w:line="265" w:lineRule="auto"/>
        <w:tabs>
          <w:tab w:leader="none" w:pos="219"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74" w:lineRule="exact"/>
        <w:rPr>
          <w:rFonts w:ascii="Times New Roman" w:cs="Times New Roman" w:eastAsia="Times New Roman" w:hAnsi="Times New Roman"/>
          <w:sz w:val="17"/>
          <w:szCs w:val="17"/>
          <w:color w:val="auto"/>
        </w:rPr>
      </w:pPr>
    </w:p>
    <w:p>
      <w:pPr>
        <w:ind w:left="8" w:right="260" w:firstLine="966"/>
        <w:spacing w:after="0" w:line="274" w:lineRule="auto"/>
        <w:tabs>
          <w:tab w:leader="none" w:pos="1232"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executed legal opinion of (i) in house counsel to the Loan Parties and (ii) Mayer Brown LLP, counsel to the Loan Parties, each in form and substance reasonably acceptable to the Administrative Agent.</w:t>
      </w:r>
    </w:p>
    <w:p>
      <w:pPr>
        <w:spacing w:after="0" w:line="164" w:lineRule="exact"/>
        <w:rPr>
          <w:rFonts w:ascii="Times New Roman" w:cs="Times New Roman" w:eastAsia="Times New Roman" w:hAnsi="Times New Roman"/>
          <w:sz w:val="18"/>
          <w:szCs w:val="18"/>
          <w:color w:val="auto"/>
        </w:rPr>
      </w:pPr>
    </w:p>
    <w:p>
      <w:pPr>
        <w:ind w:left="8" w:right="40" w:firstLine="966"/>
        <w:spacing w:after="0" w:line="275" w:lineRule="auto"/>
        <w:tabs>
          <w:tab w:leader="none" w:pos="1223" w:val="left"/>
        </w:tabs>
        <w:numPr>
          <w:ilvl w:val="1"/>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364-Day Credit Agreement</w:t>
      </w:r>
      <w:r>
        <w:rPr>
          <w:rFonts w:ascii="Times New Roman" w:cs="Times New Roman" w:eastAsia="Times New Roman" w:hAnsi="Times New Roman"/>
          <w:sz w:val="17"/>
          <w:szCs w:val="17"/>
          <w:color w:val="auto"/>
        </w:rPr>
        <w:t>. The Administrative Agent shall have received reasonably satisfactory evidence that all Existing Loans shall be repaid, the commitments of the lenders under the Existing 364-Day Credit Agreement that are not Lenders hereunder shall have been terminated (and the Commitments of all continuing Lenders shall be as set forth on Schedule 1.1(A)) and all accrued interest and fees under the Existing 364-Day Credit Agreement shall have been paid, or arrangements satisfactory to the Administrative Agent in respect thereof shall have been made.</w:t>
      </w:r>
    </w:p>
    <w:p>
      <w:pPr>
        <w:spacing w:after="0" w:line="165" w:lineRule="exact"/>
        <w:rPr>
          <w:rFonts w:ascii="Times New Roman" w:cs="Times New Roman" w:eastAsia="Times New Roman" w:hAnsi="Times New Roman"/>
          <w:sz w:val="17"/>
          <w:szCs w:val="17"/>
          <w:color w:val="auto"/>
        </w:rPr>
      </w:pPr>
    </w:p>
    <w:p>
      <w:pPr>
        <w:ind w:left="8" w:firstLine="966"/>
        <w:spacing w:after="0" w:line="260" w:lineRule="auto"/>
        <w:tabs>
          <w:tab w:leader="none" w:pos="1203"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w:t>
      </w:r>
    </w:p>
    <w:p>
      <w:pPr>
        <w:spacing w:after="0" w:line="176" w:lineRule="exact"/>
        <w:rPr>
          <w:sz w:val="20"/>
          <w:szCs w:val="20"/>
          <w:color w:val="auto"/>
        </w:rPr>
      </w:pPr>
    </w:p>
    <w:p>
      <w:pPr>
        <w:ind w:left="8" w:right="120" w:firstLine="974"/>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75" w:lineRule="exact"/>
        <w:rPr>
          <w:sz w:val="20"/>
          <w:szCs w:val="20"/>
          <w:color w:val="auto"/>
        </w:rPr>
      </w:pPr>
    </w:p>
    <w:p>
      <w:pPr>
        <w:jc w:val="both"/>
        <w:ind w:left="8" w:right="380" w:firstLine="966"/>
        <w:spacing w:after="0" w:line="255" w:lineRule="auto"/>
        <w:tabs>
          <w:tab w:leader="none" w:pos="122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81" w:lineRule="exact"/>
        <w:rPr>
          <w:rFonts w:ascii="Times New Roman" w:cs="Times New Roman" w:eastAsia="Times New Roman" w:hAnsi="Times New Roman"/>
          <w:sz w:val="18"/>
          <w:szCs w:val="18"/>
          <w:color w:val="auto"/>
        </w:rPr>
      </w:pPr>
    </w:p>
    <w:p>
      <w:pPr>
        <w:ind w:left="8" w:right="100" w:firstLine="966"/>
        <w:spacing w:after="0" w:line="274" w:lineRule="auto"/>
        <w:tabs>
          <w:tab w:leader="none" w:pos="1232"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64" w:lineRule="exact"/>
        <w:rPr>
          <w:rFonts w:ascii="Times New Roman" w:cs="Times New Roman" w:eastAsia="Times New Roman" w:hAnsi="Times New Roman"/>
          <w:sz w:val="18"/>
          <w:szCs w:val="18"/>
          <w:color w:val="auto"/>
        </w:rPr>
      </w:pPr>
    </w:p>
    <w:p>
      <w:pPr>
        <w:ind w:left="8" w:right="40" w:firstLine="966"/>
        <w:spacing w:after="0" w:line="260" w:lineRule="auto"/>
        <w:tabs>
          <w:tab w:leader="none" w:pos="122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Subsidiary Borrower Bankruptcy Events</w:t>
      </w:r>
      <w:r>
        <w:rPr>
          <w:rFonts w:ascii="Times New Roman" w:cs="Times New Roman" w:eastAsia="Times New Roman" w:hAnsi="Times New Roman"/>
          <w:sz w:val="18"/>
          <w:szCs w:val="18"/>
          <w:color w:val="auto"/>
        </w:rPr>
        <w:t>. With respect to any Loan made to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28"/>
          </w:cols>
          <w:pgMar w:left="532" w:top="266" w:right="539" w:bottom="1440" w:gutter="0" w:footer="0" w:header="0"/>
        </w:sectPr>
      </w:pPr>
    </w:p>
    <w:bookmarkStart w:id="506" w:name="page507"/>
    <w:bookmarkEnd w:id="506"/>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70" w:lineRule="exact"/>
        <w:rPr>
          <w:sz w:val="20"/>
          <w:szCs w:val="20"/>
          <w:color w:val="auto"/>
        </w:rPr>
      </w:pPr>
    </w:p>
    <w:p>
      <w:pPr>
        <w:ind w:right="180" w:firstLine="974"/>
        <w:spacing w:after="0" w:line="274" w:lineRule="auto"/>
        <w:rPr>
          <w:sz w:val="20"/>
          <w:szCs w:val="20"/>
          <w:color w:val="auto"/>
        </w:rPr>
      </w:pPr>
      <w:r>
        <w:rPr>
          <w:rFonts w:ascii="Times New Roman" w:cs="Times New Roman" w:eastAsia="Times New Roman" w:hAnsi="Times New Roman"/>
          <w:sz w:val="18"/>
          <w:szCs w:val="18"/>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AFFIRMATIVE COVENANTS</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58" w:lineRule="exact"/>
        <w:rPr>
          <w:sz w:val="20"/>
          <w:szCs w:val="20"/>
          <w:color w:val="auto"/>
        </w:rPr>
      </w:pPr>
    </w:p>
    <w:p>
      <w:pPr>
        <w:ind w:right="20" w:firstLine="974"/>
        <w:spacing w:after="0" w:line="24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be deemed to be delivered upon the filing with the SEC of its Form 10-K or Form 10-Q for the relevant fiscal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restatement of previously delivered (or deemed delivered) financial statements shall not constitute a breach or violation of this Section 6.1.</w:t>
      </w:r>
    </w:p>
    <w:p>
      <w:pPr>
        <w:spacing w:after="0" w:line="190" w:lineRule="exact"/>
        <w:rPr>
          <w:sz w:val="20"/>
          <w:szCs w:val="20"/>
          <w:color w:val="auto"/>
        </w:rPr>
      </w:pPr>
    </w:p>
    <w:p>
      <w:pPr>
        <w:ind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2"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2" w:lineRule="exact"/>
        <w:rPr>
          <w:sz w:val="20"/>
          <w:szCs w:val="20"/>
          <w:color w:val="auto"/>
        </w:rPr>
      </w:pPr>
    </w:p>
    <w:p>
      <w:pPr>
        <w:ind w:right="40" w:firstLine="974"/>
        <w:spacing w:after="0" w:line="25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00"/>
          </w:cols>
          <w:pgMar w:left="540" w:top="267" w:right="559" w:bottom="1440" w:gutter="0" w:footer="0" w:header="0"/>
        </w:sectPr>
      </w:pPr>
    </w:p>
    <w:bookmarkStart w:id="507" w:name="page508"/>
    <w:bookmarkEnd w:id="507"/>
    <w:p>
      <w:pPr>
        <w:ind w:firstLine="97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2" w:lineRule="exact"/>
        <w:rPr>
          <w:sz w:val="20"/>
          <w:szCs w:val="20"/>
          <w:color w:val="auto"/>
        </w:rPr>
      </w:pPr>
    </w:p>
    <w:p>
      <w:pPr>
        <w:ind w:right="80" w:firstLine="974"/>
        <w:spacing w:after="0" w:line="255"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Guarantors, etc</w:t>
      </w:r>
      <w:r>
        <w:rPr>
          <w:rFonts w:ascii="Times New Roman" w:cs="Times New Roman" w:eastAsia="Times New Roman" w:hAnsi="Times New Roman"/>
          <w:sz w:val="18"/>
          <w:szCs w:val="18"/>
          <w:color w:val="auto"/>
        </w:rPr>
        <w:t>. (a) 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a Guarantee Joinder, executed and delivered by such Principal Domestic Subsidiary (other than an Excluded Subsidiary), together with customary secretary’s certificates, resolutions and legal opinions.</w:t>
      </w:r>
    </w:p>
    <w:p>
      <w:pPr>
        <w:spacing w:after="0" w:line="182" w:lineRule="exact"/>
        <w:rPr>
          <w:sz w:val="20"/>
          <w:szCs w:val="20"/>
          <w:color w:val="auto"/>
        </w:rPr>
      </w:pPr>
    </w:p>
    <w:p>
      <w:pPr>
        <w:ind w:right="660" w:firstLine="966"/>
        <w:spacing w:after="0" w:line="274" w:lineRule="auto"/>
        <w:tabs>
          <w:tab w:leader="none" w:pos="122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64" w:lineRule="exact"/>
        <w:rPr>
          <w:sz w:val="20"/>
          <w:szCs w:val="20"/>
          <w:color w:val="auto"/>
        </w:rPr>
      </w:pPr>
    </w:p>
    <w:p>
      <w:pPr>
        <w:ind w:right="160" w:firstLine="974"/>
        <w:spacing w:after="0" w:line="260"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76" w:lineRule="exact"/>
        <w:rPr>
          <w:sz w:val="20"/>
          <w:szCs w:val="20"/>
          <w:color w:val="auto"/>
        </w:rPr>
      </w:pPr>
    </w:p>
    <w:p>
      <w:pPr>
        <w:jc w:val="both"/>
        <w:ind w:right="80" w:firstLine="974"/>
        <w:spacing w:after="0" w:line="260"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to obtain or maintain, as applicable, a specific Index Debt Rating.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58" w:lineRule="exact"/>
        <w:rPr>
          <w:sz w:val="20"/>
          <w:szCs w:val="20"/>
          <w:color w:val="auto"/>
        </w:rPr>
      </w:pPr>
    </w:p>
    <w:p>
      <w:pPr>
        <w:ind w:right="380" w:firstLine="974"/>
        <w:spacing w:after="0" w:line="27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4" w:lineRule="exact"/>
        <w:rPr>
          <w:sz w:val="20"/>
          <w:szCs w:val="20"/>
          <w:color w:val="auto"/>
        </w:rPr>
      </w:pPr>
    </w:p>
    <w:p>
      <w:pPr>
        <w:ind w:firstLine="974"/>
        <w:spacing w:after="0" w:line="271"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00"/>
          </w:cols>
          <w:pgMar w:left="540" w:top="266" w:right="559" w:bottom="1440" w:gutter="0" w:footer="0" w:header="0"/>
        </w:sectPr>
      </w:pPr>
    </w:p>
    <w:bookmarkStart w:id="508" w:name="page509"/>
    <w:bookmarkEnd w:id="508"/>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40" w:firstLine="966"/>
        <w:spacing w:after="0" w:line="251" w:lineRule="auto"/>
        <w:tabs>
          <w:tab w:leader="none" w:pos="122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186" w:lineRule="exact"/>
        <w:rPr>
          <w:rFonts w:ascii="Times New Roman" w:cs="Times New Roman" w:eastAsia="Times New Roman" w:hAnsi="Times New Roman"/>
          <w:sz w:val="18"/>
          <w:szCs w:val="18"/>
          <w:color w:val="auto"/>
        </w:rPr>
      </w:pPr>
    </w:p>
    <w:p>
      <w:pPr>
        <w:ind w:left="8" w:right="180" w:firstLine="966"/>
        <w:spacing w:after="0" w:line="253" w:lineRule="auto"/>
        <w:tabs>
          <w:tab w:leader="none" w:pos="1232"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8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40" w:firstLine="966"/>
        <w:spacing w:after="0" w:line="265" w:lineRule="auto"/>
        <w:tabs>
          <w:tab w:leader="none" w:pos="1223"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such Borrower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6" w:lineRule="exact"/>
        <w:rPr>
          <w:rFonts w:ascii="Times New Roman" w:cs="Times New Roman" w:eastAsia="Times New Roman" w:hAnsi="Times New Roman"/>
          <w:sz w:val="17"/>
          <w:szCs w:val="17"/>
          <w:color w:val="auto"/>
        </w:rPr>
      </w:pPr>
    </w:p>
    <w:p>
      <w:pPr>
        <w:ind w:left="8" w:firstLine="966"/>
        <w:spacing w:after="0" w:line="265" w:lineRule="auto"/>
        <w:tabs>
          <w:tab w:leader="none" w:pos="1233"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w:t>
      </w:r>
    </w:p>
    <w:p>
      <w:pPr>
        <w:spacing w:after="0" w:line="1" w:lineRule="exact"/>
        <w:rPr>
          <w:rFonts w:ascii="Times New Roman" w:cs="Times New Roman" w:eastAsia="Times New Roman" w:hAnsi="Times New Roman"/>
          <w:sz w:val="17"/>
          <w:szCs w:val="17"/>
          <w:color w:val="auto"/>
        </w:rPr>
      </w:pPr>
    </w:p>
    <w:p>
      <w:pPr>
        <w:ind w:left="8" w:right="20" w:hanging="8"/>
        <w:spacing w:after="0" w:line="248" w:lineRule="auto"/>
        <w:tabs>
          <w:tab w:leader="none" w:pos="28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6" w:lineRule="exact"/>
        <w:rPr>
          <w:sz w:val="20"/>
          <w:szCs w:val="20"/>
          <w:color w:val="auto"/>
        </w:rPr>
      </w:pPr>
    </w:p>
    <w:p>
      <w:pPr>
        <w:ind w:left="8" w:right="20" w:firstLine="974"/>
        <w:spacing w:after="0" w:line="253"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Company and its Subsidiary Borrowers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w:t>
      </w:r>
    </w:p>
    <w:p>
      <w:pPr>
        <w:spacing w:after="0" w:line="1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28"/>
          </w:cols>
          <w:pgMar w:left="532" w:top="267" w:right="539" w:bottom="1440" w:gutter="0" w:footer="0" w:header="0"/>
        </w:sectPr>
      </w:pPr>
    </w:p>
    <w:bookmarkStart w:id="509" w:name="page510"/>
    <w:bookmarkEnd w:id="509"/>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8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SECTION 8. EVENTS OF DEFAULT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111" w:lineRule="exact"/>
        <w:rPr>
          <w:sz w:val="20"/>
          <w:szCs w:val="20"/>
          <w:color w:val="auto"/>
        </w:rPr>
      </w:pPr>
    </w:p>
    <w:p>
      <w:pPr>
        <w:jc w:val="both"/>
        <w:ind w:right="200" w:firstLine="966"/>
        <w:spacing w:after="0" w:line="255" w:lineRule="auto"/>
        <w:tabs>
          <w:tab w:leader="none" w:pos="121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81" w:lineRule="exact"/>
        <w:rPr>
          <w:rFonts w:ascii="Times New Roman" w:cs="Times New Roman" w:eastAsia="Times New Roman" w:hAnsi="Times New Roman"/>
          <w:sz w:val="18"/>
          <w:szCs w:val="18"/>
          <w:color w:val="auto"/>
        </w:rPr>
      </w:pPr>
    </w:p>
    <w:p>
      <w:pPr>
        <w:ind w:right="40" w:firstLine="966"/>
        <w:spacing w:after="0" w:line="304" w:lineRule="auto"/>
        <w:tabs>
          <w:tab w:leader="none" w:pos="1224"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41" w:lineRule="exact"/>
        <w:rPr>
          <w:rFonts w:ascii="Times New Roman" w:cs="Times New Roman" w:eastAsia="Times New Roman" w:hAnsi="Times New Roman"/>
          <w:sz w:val="17"/>
          <w:szCs w:val="17"/>
          <w:color w:val="auto"/>
        </w:rPr>
      </w:pPr>
    </w:p>
    <w:p>
      <w:pPr>
        <w:jc w:val="both"/>
        <w:ind w:firstLine="966"/>
        <w:spacing w:after="0" w:line="275" w:lineRule="auto"/>
        <w:tabs>
          <w:tab w:leader="none" w:pos="1215"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that is not a Principal Domestic Subsidiary, to Section 7.4 and 7.5) or in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165" w:lineRule="exact"/>
        <w:rPr>
          <w:rFonts w:ascii="Times New Roman" w:cs="Times New Roman" w:eastAsia="Times New Roman" w:hAnsi="Times New Roman"/>
          <w:sz w:val="17"/>
          <w:szCs w:val="17"/>
          <w:color w:val="auto"/>
        </w:rPr>
      </w:pPr>
    </w:p>
    <w:p>
      <w:pPr>
        <w:ind w:right="100" w:firstLine="966"/>
        <w:spacing w:after="0" w:line="250" w:lineRule="auto"/>
        <w:tabs>
          <w:tab w:leader="none" w:pos="122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8" w:lineRule="exact"/>
        <w:rPr>
          <w:rFonts w:ascii="Times New Roman" w:cs="Times New Roman" w:eastAsia="Times New Roman" w:hAnsi="Times New Roman"/>
          <w:sz w:val="18"/>
          <w:szCs w:val="18"/>
          <w:color w:val="auto"/>
        </w:rPr>
      </w:pPr>
    </w:p>
    <w:p>
      <w:pPr>
        <w:ind w:right="120" w:firstLine="966"/>
        <w:spacing w:after="0" w:line="267" w:lineRule="auto"/>
        <w:tabs>
          <w:tab w:leader="none" w:pos="1215"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800"/>
          </w:cols>
          <w:pgMar w:left="540" w:top="266" w:right="559" w:bottom="1440" w:gutter="0" w:footer="0" w:header="0"/>
        </w:sectPr>
      </w:pPr>
    </w:p>
    <w:bookmarkStart w:id="510" w:name="page511"/>
    <w:bookmarkEnd w:id="510"/>
    <w:p>
      <w:pPr>
        <w:ind w:left="1180" w:hanging="214"/>
        <w:spacing w:after="0"/>
        <w:tabs>
          <w:tab w:leader="none" w:pos="11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683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6770" cy="36830"/>
                    </a:xfrm>
                    <a:prstGeom prst="rect">
                      <a:avLst/>
                    </a:prstGeom>
                    <a:noFill/>
                  </pic:spPr>
                </pic:pic>
              </a:graphicData>
            </a:graphic>
          </wp:anchor>
        </w:drawing>
        <w:t>the occurrence of an ERISA Default; or</w:t>
      </w:r>
    </w:p>
    <w:p>
      <w:pPr>
        <w:spacing w:after="0" w:line="217" w:lineRule="exact"/>
        <w:rPr>
          <w:rFonts w:ascii="Times New Roman" w:cs="Times New Roman" w:eastAsia="Times New Roman" w:hAnsi="Times New Roman"/>
          <w:sz w:val="18"/>
          <w:szCs w:val="18"/>
          <w:color w:val="auto"/>
        </w:rPr>
      </w:pPr>
    </w:p>
    <w:p>
      <w:pPr>
        <w:ind w:firstLine="966"/>
        <w:spacing w:after="0" w:line="255" w:lineRule="auto"/>
        <w:tabs>
          <w:tab w:leader="none" w:pos="122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1" w:lineRule="exact"/>
        <w:rPr>
          <w:rFonts w:ascii="Times New Roman" w:cs="Times New Roman" w:eastAsia="Times New Roman" w:hAnsi="Times New Roman"/>
          <w:sz w:val="18"/>
          <w:szCs w:val="18"/>
          <w:color w:val="auto"/>
        </w:rPr>
      </w:pPr>
    </w:p>
    <w:p>
      <w:pPr>
        <w:ind w:right="500" w:firstLine="966"/>
        <w:spacing w:after="0" w:line="274" w:lineRule="auto"/>
        <w:tabs>
          <w:tab w:leader="none" w:pos="122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of the Company or any Subsidiary Guarantor shall cease to be in full force and effect (other than pursuant to or as provided by the terms hereof or any other Loan Document); or</w:t>
      </w:r>
    </w:p>
    <w:p>
      <w:pPr>
        <w:spacing w:after="0" w:line="164" w:lineRule="exact"/>
        <w:rPr>
          <w:rFonts w:ascii="Times New Roman" w:cs="Times New Roman" w:eastAsia="Times New Roman" w:hAnsi="Times New Roman"/>
          <w:sz w:val="18"/>
          <w:szCs w:val="18"/>
          <w:color w:val="auto"/>
        </w:rPr>
      </w:pPr>
    </w:p>
    <w:p>
      <w:pPr>
        <w:ind w:left="1180" w:hanging="214"/>
        <w:spacing w:after="0"/>
        <w:tabs>
          <w:tab w:leader="none" w:pos="11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w:t>
      </w:r>
    </w:p>
    <w:p>
      <w:pPr>
        <w:spacing w:after="0" w:line="21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 THE AGENTS</w:t>
      </w:r>
    </w:p>
    <w:p>
      <w:pPr>
        <w:spacing w:after="0" w:line="218" w:lineRule="exact"/>
        <w:rPr>
          <w:sz w:val="20"/>
          <w:szCs w:val="20"/>
          <w:color w:val="auto"/>
        </w:rPr>
      </w:pPr>
    </w:p>
    <w:p>
      <w:pPr>
        <w:ind w:right="120" w:firstLine="974"/>
        <w:spacing w:after="0" w:line="250"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5" w:lineRule="exact"/>
        <w:rPr>
          <w:sz w:val="20"/>
          <w:szCs w:val="20"/>
          <w:color w:val="auto"/>
        </w:rPr>
      </w:pPr>
    </w:p>
    <w:p>
      <w:pPr>
        <w:ind w:right="20" w:firstLine="974"/>
        <w:spacing w:after="0" w:line="26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800"/>
          </w:cols>
          <w:pgMar w:left="540" w:top="266" w:right="559" w:bottom="1440" w:gutter="0" w:footer="0" w:header="0"/>
        </w:sectPr>
      </w:pPr>
    </w:p>
    <w:bookmarkStart w:id="511" w:name="page512"/>
    <w:bookmarkEnd w:id="511"/>
    <w:p>
      <w:pPr>
        <w:ind w:left="8" w:right="160" w:firstLine="97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9.3 </w:t>
      </w:r>
      <w:r>
        <w:rPr>
          <w:rFonts w:ascii="Times New Roman" w:cs="Times New Roman" w:eastAsia="Times New Roman" w:hAnsi="Times New Roman"/>
          <w:sz w:val="17"/>
          <w:szCs w:val="17"/>
          <w:u w:val="single" w:color="auto"/>
          <w:color w:val="auto"/>
        </w:rPr>
        <w:t>Exculpatory Provisions</w:t>
      </w:r>
      <w:r>
        <w:rPr>
          <w:rFonts w:ascii="Times New Roman" w:cs="Times New Roman" w:eastAsia="Times New Roman" w:hAnsi="Times New Roman"/>
          <w:sz w:val="17"/>
          <w:szCs w:val="17"/>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spacing w:after="0" w:line="1" w:lineRule="exact"/>
        <w:rPr>
          <w:sz w:val="20"/>
          <w:szCs w:val="20"/>
          <w:color w:val="auto"/>
        </w:rPr>
      </w:pPr>
    </w:p>
    <w:p>
      <w:pPr>
        <w:ind w:left="8" w:hanging="8"/>
        <w:spacing w:after="0" w:line="247" w:lineRule="auto"/>
        <w:tabs>
          <w:tab w:leader="none" w:pos="26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88" w:lineRule="exact"/>
        <w:rPr>
          <w:sz w:val="20"/>
          <w:szCs w:val="20"/>
          <w:color w:val="auto"/>
        </w:rPr>
      </w:pPr>
    </w:p>
    <w:p>
      <w:pPr>
        <w:ind w:left="8" w:right="20" w:firstLine="974"/>
        <w:spacing w:after="0" w:line="24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91" w:lineRule="exact"/>
        <w:rPr>
          <w:sz w:val="20"/>
          <w:szCs w:val="20"/>
          <w:color w:val="auto"/>
        </w:rPr>
      </w:pPr>
    </w:p>
    <w:p>
      <w:pPr>
        <w:ind w:left="8" w:firstLine="974"/>
        <w:spacing w:after="0" w:line="250"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5" w:lineRule="exact"/>
        <w:rPr>
          <w:sz w:val="20"/>
          <w:szCs w:val="20"/>
          <w:color w:val="auto"/>
        </w:rPr>
      </w:pPr>
    </w:p>
    <w:p>
      <w:pPr>
        <w:ind w:left="8" w:right="20" w:firstLine="974"/>
        <w:spacing w:after="0" w:line="271"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Non-Reliance on Agents and Other Lenders</w:t>
      </w:r>
      <w:r>
        <w:rPr>
          <w:rFonts w:ascii="Times New Roman" w:cs="Times New Roman" w:eastAsia="Times New Roman" w:hAnsi="Times New Roman"/>
          <w:sz w:val="17"/>
          <w:szCs w:val="17"/>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w:t>
      </w:r>
    </w:p>
    <w:p>
      <w:pPr>
        <w:spacing w:after="0" w:line="10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88"/>
          </w:cols>
          <w:pgMar w:left="532" w:top="266" w:right="579" w:bottom="1440" w:gutter="0" w:footer="0" w:header="0"/>
        </w:sectPr>
      </w:pPr>
    </w:p>
    <w:bookmarkStart w:id="512" w:name="page513"/>
    <w:bookmarkEnd w:id="512"/>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87" w:lineRule="exact"/>
        <w:rPr>
          <w:sz w:val="20"/>
          <w:szCs w:val="20"/>
          <w:color w:val="auto"/>
        </w:rPr>
      </w:pPr>
    </w:p>
    <w:p>
      <w:pPr>
        <w:ind w:right="20" w:firstLine="974"/>
        <w:spacing w:after="0" w:line="264"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xml:space="preserve">.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79" w:lineRule="exact"/>
        <w:rPr>
          <w:sz w:val="20"/>
          <w:szCs w:val="20"/>
          <w:color w:val="auto"/>
        </w:rPr>
      </w:pPr>
    </w:p>
    <w:p>
      <w:pPr>
        <w:ind w:right="80" w:firstLine="974"/>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Administrative 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2" w:lineRule="exact"/>
        <w:rPr>
          <w:sz w:val="20"/>
          <w:szCs w:val="20"/>
          <w:color w:val="auto"/>
        </w:rPr>
      </w:pPr>
    </w:p>
    <w:p>
      <w:pPr>
        <w:ind w:right="160" w:firstLine="974"/>
        <w:spacing w:after="0" w:line="250"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80"/>
          </w:cols>
          <w:pgMar w:left="540" w:top="267" w:right="579" w:bottom="1440" w:gutter="0" w:footer="0" w:header="0"/>
        </w:sectPr>
      </w:pPr>
    </w:p>
    <w:bookmarkStart w:id="513" w:name="page514"/>
    <w:bookmarkEnd w:id="513"/>
    <w:p>
      <w:pPr>
        <w:ind w:left="8" w:right="2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9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firstLine="974"/>
        <w:spacing w:after="0" w:line="271" w:lineRule="auto"/>
        <w:rPr>
          <w:sz w:val="20"/>
          <w:szCs w:val="20"/>
          <w:color w:val="auto"/>
        </w:rPr>
      </w:pPr>
      <w:r>
        <w:rPr>
          <w:rFonts w:ascii="Times New Roman" w:cs="Times New Roman" w:eastAsia="Times New Roman" w:hAnsi="Times New Roman"/>
          <w:sz w:val="17"/>
          <w:szCs w:val="17"/>
          <w:color w:val="auto"/>
        </w:rPr>
        <w:t xml:space="preserve">9.11 </w:t>
      </w:r>
      <w:r>
        <w:rPr>
          <w:rFonts w:ascii="Times New Roman" w:cs="Times New Roman" w:eastAsia="Times New Roman" w:hAnsi="Times New Roman"/>
          <w:sz w:val="17"/>
          <w:szCs w:val="17"/>
          <w:u w:val="single" w:color="auto"/>
          <w:color w:val="auto"/>
        </w:rPr>
        <w:t>Bookrunners, Lead Arrangers, Global and Regional Coordinators, Documentation Agents, Syndication Agent and Co-Syndication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cs="Times New Roman" w:eastAsia="Times New Roman" w:hAnsi="Times New Roman"/>
          <w:sz w:val="17"/>
          <w:szCs w:val="17"/>
          <w:u w:val="single" w:color="auto"/>
          <w:color w:val="auto"/>
        </w:rPr>
        <w:t>Arrangers</w:t>
      </w:r>
      <w:r>
        <w:rPr>
          <w:rFonts w:ascii="Times New Roman" w:cs="Times New Roman" w:eastAsia="Times New Roman" w:hAnsi="Times New Roman"/>
          <w:sz w:val="17"/>
          <w:szCs w:val="17"/>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70"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 xml:space="preserve">9.12 </w:t>
      </w:r>
      <w:r>
        <w:rPr>
          <w:rFonts w:ascii="Times New Roman" w:cs="Times New Roman" w:eastAsia="Times New Roman" w:hAnsi="Times New Roman"/>
          <w:sz w:val="17"/>
          <w:szCs w:val="17"/>
          <w:u w:val="single" w:color="auto"/>
          <w:color w:val="auto"/>
        </w:rPr>
        <w:t>Certain ERISA Matters.</w:t>
      </w:r>
      <w:r>
        <w:rPr>
          <w:rFonts w:ascii="Times New Roman" w:cs="Times New Roman" w:eastAsia="Times New Roman" w:hAnsi="Times New Roman"/>
          <w:sz w:val="17"/>
          <w:szCs w:val="17"/>
          <w:color w:val="auto"/>
        </w:rPr>
        <w:t xml:space="preserve"> (a) Each Lender (x) represents and warrants, as of the date such Person became a Lender party hereto, to, and</w:t>
      </w:r>
    </w:p>
    <w:p>
      <w:pPr>
        <w:spacing w:after="0" w:line="36" w:lineRule="exact"/>
        <w:rPr>
          <w:sz w:val="20"/>
          <w:szCs w:val="20"/>
          <w:color w:val="auto"/>
        </w:rPr>
      </w:pPr>
    </w:p>
    <w:p>
      <w:pPr>
        <w:ind w:left="8" w:right="20" w:hanging="8"/>
        <w:spacing w:after="0" w:line="249" w:lineRule="auto"/>
        <w:tabs>
          <w:tab w:leader="none" w:pos="25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79" w:lineRule="exact"/>
        <w:rPr>
          <w:rFonts w:ascii="Times New Roman" w:cs="Times New Roman" w:eastAsia="Times New Roman" w:hAnsi="Times New Roman"/>
          <w:sz w:val="18"/>
          <w:szCs w:val="18"/>
          <w:color w:val="auto"/>
        </w:rPr>
      </w:pPr>
    </w:p>
    <w:p>
      <w:pPr>
        <w:ind w:left="968" w:right="620" w:firstLine="400"/>
        <w:spacing w:after="0" w:line="274" w:lineRule="auto"/>
        <w:tabs>
          <w:tab w:leader="none" w:pos="1573"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or the Commitments,</w:t>
      </w:r>
    </w:p>
    <w:p>
      <w:pPr>
        <w:spacing w:after="0" w:line="58" w:lineRule="exact"/>
        <w:rPr>
          <w:rFonts w:ascii="Times New Roman" w:cs="Times New Roman" w:eastAsia="Times New Roman" w:hAnsi="Times New Roman"/>
          <w:sz w:val="18"/>
          <w:szCs w:val="18"/>
          <w:color w:val="auto"/>
        </w:rPr>
      </w:pPr>
    </w:p>
    <w:p>
      <w:pPr>
        <w:ind w:left="968" w:right="100" w:firstLine="400"/>
        <w:spacing w:after="0" w:line="251" w:lineRule="auto"/>
        <w:tabs>
          <w:tab w:leader="none" w:pos="1622"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80" w:lineRule="exact"/>
        <w:rPr>
          <w:rFonts w:ascii="Times New Roman" w:cs="Times New Roman" w:eastAsia="Times New Roman" w:hAnsi="Times New Roman"/>
          <w:sz w:val="18"/>
          <w:szCs w:val="18"/>
          <w:color w:val="auto"/>
        </w:rPr>
      </w:pPr>
    </w:p>
    <w:p>
      <w:pPr>
        <w:ind w:left="968" w:right="80" w:firstLine="400"/>
        <w:spacing w:after="0" w:line="255" w:lineRule="auto"/>
        <w:tabs>
          <w:tab w:leader="none" w:pos="1671"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08"/>
          </w:cols>
          <w:pgMar w:left="532" w:top="266" w:right="559" w:bottom="1440" w:gutter="0" w:footer="0" w:header="0"/>
        </w:sectPr>
      </w:pPr>
    </w:p>
    <w:bookmarkStart w:id="514" w:name="page515"/>
    <w:bookmarkEnd w:id="514"/>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Loans, the Commitments and this Agreement satisfies the requirements of sub-sections (b) through (g) of Part I of PTE 84-14 and</w:t>
      </w:r>
    </w:p>
    <w:p>
      <w:pPr>
        <w:spacing w:after="0" w:line="25" w:lineRule="exact"/>
        <w:rPr>
          <w:sz w:val="20"/>
          <w:szCs w:val="20"/>
          <w:color w:val="auto"/>
        </w:rPr>
      </w:pPr>
    </w:p>
    <w:p>
      <w:pPr>
        <w:ind w:left="968" w:right="400" w:firstLine="6"/>
        <w:spacing w:after="0" w:line="281" w:lineRule="auto"/>
        <w:tabs>
          <w:tab w:leader="none" w:pos="1258"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53" w:lineRule="exact"/>
        <w:rPr>
          <w:rFonts w:ascii="Times New Roman" w:cs="Times New Roman" w:eastAsia="Times New Roman" w:hAnsi="Times New Roman"/>
          <w:sz w:val="17"/>
          <w:szCs w:val="17"/>
          <w:color w:val="auto"/>
        </w:rPr>
      </w:pPr>
    </w:p>
    <w:p>
      <w:pPr>
        <w:ind w:left="968" w:right="400" w:firstLine="400"/>
        <w:spacing w:after="0" w:line="274" w:lineRule="auto"/>
        <w:tabs>
          <w:tab w:leader="none" w:pos="1661"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4" w:lineRule="exact"/>
        <w:rPr>
          <w:sz w:val="20"/>
          <w:szCs w:val="20"/>
          <w:color w:val="auto"/>
        </w:rPr>
      </w:pPr>
    </w:p>
    <w:p>
      <w:pPr>
        <w:ind w:left="8" w:right="100" w:firstLine="966"/>
        <w:spacing w:after="0" w:line="272" w:lineRule="auto"/>
        <w:tabs>
          <w:tab w:leader="none" w:pos="1233" w:val="left"/>
        </w:tabs>
        <w:numPr>
          <w:ilvl w:val="1"/>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ind w:left="8" w:right="60" w:hanging="8"/>
        <w:spacing w:after="0" w:line="247" w:lineRule="auto"/>
        <w:tabs>
          <w:tab w:leader="none" w:pos="258"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none of the Administrative Agent, or any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to hereto or thereto).</w:t>
      </w:r>
    </w:p>
    <w:p>
      <w:pPr>
        <w:spacing w:after="0" w:line="188"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Acknowledgements of Lenders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60" w:firstLine="966"/>
        <w:spacing w:after="0" w:line="266" w:lineRule="auto"/>
        <w:tabs>
          <w:tab w:leader="none" w:pos="1223"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purchasing, acquiring or holding any other type of financial instrument (and each Lender agrees not to assert a claim in contravention of the foregoing),</w:t>
      </w:r>
    </w:p>
    <w:p>
      <w:pPr>
        <w:spacing w:after="0" w:line="1" w:lineRule="exact"/>
        <w:rPr>
          <w:rFonts w:ascii="Times New Roman" w:cs="Times New Roman" w:eastAsia="Times New Roman" w:hAnsi="Times New Roman"/>
          <w:sz w:val="17"/>
          <w:szCs w:val="17"/>
          <w:color w:val="auto"/>
        </w:rPr>
      </w:pPr>
    </w:p>
    <w:p>
      <w:pPr>
        <w:ind w:left="8" w:hanging="8"/>
        <w:spacing w:after="0" w:line="246" w:lineRule="auto"/>
        <w:tabs>
          <w:tab w:leader="none" w:pos="31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independently and without reliance upon the Administrative Agent, any Arranger, any Syndication Agent, any Co-Syndication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any Co-Syndication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rFonts w:ascii="Times New Roman" w:cs="Times New Roman" w:eastAsia="Times New Roman" w:hAnsi="Times New Roman"/>
          <w:sz w:val="18"/>
          <w:szCs w:val="18"/>
          <w:color w:val="auto"/>
        </w:rPr>
      </w:pPr>
    </w:p>
    <w:p>
      <w:pPr>
        <w:jc w:val="both"/>
        <w:ind w:left="8" w:right="40" w:firstLine="966"/>
        <w:spacing w:after="0" w:line="255" w:lineRule="auto"/>
        <w:tabs>
          <w:tab w:leader="none" w:pos="1233"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1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88"/>
          </w:cols>
          <w:pgMar w:left="532" w:top="267" w:right="579" w:bottom="1440" w:gutter="0" w:footer="0" w:header="0"/>
        </w:sectPr>
      </w:pPr>
    </w:p>
    <w:bookmarkStart w:id="515" w:name="page516"/>
    <w:bookmarkEnd w:id="515"/>
    <w:p>
      <w:pPr>
        <w:ind w:firstLine="966"/>
        <w:spacing w:after="0" w:line="248" w:lineRule="auto"/>
        <w:tabs>
          <w:tab w:leader="none" w:pos="121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w:t>
      </w:r>
    </w:p>
    <w:p>
      <w:pPr>
        <w:spacing w:after="0" w:line="193" w:lineRule="exact"/>
        <w:rPr>
          <w:sz w:val="20"/>
          <w:szCs w:val="20"/>
          <w:color w:val="auto"/>
        </w:rPr>
      </w:pPr>
    </w:p>
    <w:p>
      <w:pPr>
        <w:ind w:right="20" w:firstLine="966"/>
        <w:spacing w:after="0" w:line="249" w:lineRule="auto"/>
        <w:tabs>
          <w:tab w:leader="none" w:pos="123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i w:val="1"/>
          <w:iCs w:val="1"/>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87" w:lineRule="exact"/>
        <w:rPr>
          <w:rFonts w:ascii="Times New Roman" w:cs="Times New Roman" w:eastAsia="Times New Roman" w:hAnsi="Times New Roman"/>
          <w:sz w:val="18"/>
          <w:szCs w:val="18"/>
          <w:color w:val="auto"/>
        </w:rPr>
      </w:pPr>
    </w:p>
    <w:p>
      <w:pPr>
        <w:ind w:firstLine="966"/>
        <w:spacing w:after="0" w:line="251" w:lineRule="auto"/>
        <w:tabs>
          <w:tab w:leader="none" w:pos="128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Payment is, and solely with respect to the amount of such Payment that is, comprised of funds of such Borrower or any other Loan Party (including, for the avoidance of doubt, the proceeds of any financing or contribution incurred or obtained by such Borrower or any Loan Party).</w:t>
      </w:r>
    </w:p>
    <w:p>
      <w:pPr>
        <w:spacing w:after="0" w:line="186" w:lineRule="exact"/>
        <w:rPr>
          <w:rFonts w:ascii="Times New Roman" w:cs="Times New Roman" w:eastAsia="Times New Roman" w:hAnsi="Times New Roman"/>
          <w:sz w:val="18"/>
          <w:szCs w:val="18"/>
          <w:color w:val="auto"/>
        </w:rPr>
      </w:pPr>
    </w:p>
    <w:p>
      <w:pPr>
        <w:ind w:right="220" w:firstLine="966"/>
        <w:spacing w:after="0" w:line="260" w:lineRule="auto"/>
        <w:tabs>
          <w:tab w:leader="none" w:pos="127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820"/>
          </w:cols>
          <w:pgMar w:left="540" w:top="267" w:right="539" w:bottom="1440" w:gutter="0" w:footer="0" w:header="0"/>
        </w:sectPr>
      </w:pPr>
    </w:p>
    <w:bookmarkStart w:id="516" w:name="page517"/>
    <w:bookmarkEnd w:id="51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SECTION 10. MISCELLANEOUS</w:t>
      </w:r>
    </w:p>
    <w:p>
      <w:pPr>
        <w:spacing w:after="0" w:line="218"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Subject to Section 2.18(b) and (c) and Section 10.1(e), neither this Agreement, any other Loan Document, nor any terms hereof or thereof may be amended, supplemented or modified except in accordance with the provisions of this Section 10.1 or as otherwise expressly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83" w:lineRule="exact"/>
        <w:rPr>
          <w:sz w:val="20"/>
          <w:szCs w:val="20"/>
          <w:color w:val="auto"/>
        </w:rPr>
      </w:pPr>
    </w:p>
    <w:p>
      <w:pPr>
        <w:ind w:left="960" w:firstLine="400"/>
        <w:spacing w:after="0" w:line="253" w:lineRule="auto"/>
        <w:tabs>
          <w:tab w:leader="none" w:pos="1643"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76" w:lineRule="exact"/>
        <w:rPr>
          <w:rFonts w:ascii="Times New Roman" w:cs="Times New Roman" w:eastAsia="Times New Roman" w:hAnsi="Times New Roman"/>
          <w:sz w:val="18"/>
          <w:szCs w:val="18"/>
          <w:color w:val="auto"/>
        </w:rPr>
      </w:pPr>
    </w:p>
    <w:p>
      <w:pPr>
        <w:ind w:left="1640" w:hanging="280"/>
        <w:spacing w:after="0"/>
        <w:tabs>
          <w:tab w:leader="none" w:pos="164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11" w:lineRule="exact"/>
        <w:rPr>
          <w:rFonts w:ascii="Times New Roman" w:cs="Times New Roman" w:eastAsia="Times New Roman" w:hAnsi="Times New Roman"/>
          <w:sz w:val="18"/>
          <w:szCs w:val="18"/>
          <w:color w:val="auto"/>
        </w:rPr>
      </w:pPr>
    </w:p>
    <w:p>
      <w:pPr>
        <w:ind w:left="960" w:firstLine="400"/>
        <w:spacing w:after="0" w:line="253" w:lineRule="auto"/>
        <w:tabs>
          <w:tab w:leader="none" w:pos="163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76" w:lineRule="exact"/>
        <w:rPr>
          <w:rFonts w:ascii="Times New Roman" w:cs="Times New Roman" w:eastAsia="Times New Roman" w:hAnsi="Times New Roman"/>
          <w:sz w:val="18"/>
          <w:szCs w:val="18"/>
          <w:color w:val="auto"/>
        </w:rPr>
      </w:pPr>
    </w:p>
    <w:p>
      <w:pPr>
        <w:ind w:left="1640" w:hanging="280"/>
        <w:spacing w:after="0"/>
        <w:tabs>
          <w:tab w:leader="none" w:pos="164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Required Lenders without the written consent of all Lenders;</w:t>
      </w:r>
    </w:p>
    <w:p>
      <w:pPr>
        <w:spacing w:after="0" w:line="111" w:lineRule="exact"/>
        <w:rPr>
          <w:rFonts w:ascii="Times New Roman" w:cs="Times New Roman" w:eastAsia="Times New Roman" w:hAnsi="Times New Roman"/>
          <w:sz w:val="18"/>
          <w:szCs w:val="18"/>
          <w:color w:val="auto"/>
        </w:rPr>
      </w:pPr>
    </w:p>
    <w:p>
      <w:pPr>
        <w:ind w:left="1620" w:hanging="260"/>
        <w:spacing w:after="0"/>
        <w:tabs>
          <w:tab w:leader="none" w:pos="162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1" w:lineRule="exact"/>
        <w:rPr>
          <w:rFonts w:ascii="Times New Roman" w:cs="Times New Roman" w:eastAsia="Times New Roman" w:hAnsi="Times New Roman"/>
          <w:sz w:val="18"/>
          <w:szCs w:val="18"/>
          <w:color w:val="auto"/>
        </w:rPr>
      </w:pPr>
    </w:p>
    <w:p>
      <w:pPr>
        <w:ind w:left="960" w:right="80" w:firstLine="400"/>
        <w:spacing w:after="0" w:line="274" w:lineRule="auto"/>
        <w:tabs>
          <w:tab w:leader="none" w:pos="161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9 in a manner adverse to the Administrative Agent without the written consent of the Administrative Agent;</w:t>
      </w:r>
    </w:p>
    <w:p>
      <w:pPr>
        <w:spacing w:after="0" w:line="58" w:lineRule="exact"/>
        <w:rPr>
          <w:rFonts w:ascii="Times New Roman" w:cs="Times New Roman" w:eastAsia="Times New Roman" w:hAnsi="Times New Roman"/>
          <w:sz w:val="18"/>
          <w:szCs w:val="18"/>
          <w:color w:val="auto"/>
        </w:rPr>
      </w:pPr>
    </w:p>
    <w:p>
      <w:pPr>
        <w:ind w:left="1640" w:hanging="280"/>
        <w:spacing w:after="0"/>
        <w:tabs>
          <w:tab w:leader="none" w:pos="164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00"/>
          </w:cols>
          <w:pgMar w:left="540" w:top="267" w:right="559" w:bottom="1440" w:gutter="0" w:footer="0" w:header="0"/>
        </w:sectPr>
      </w:pPr>
    </w:p>
    <w:bookmarkStart w:id="517" w:name="page518"/>
    <w:bookmarkEnd w:id="517"/>
    <w:p>
      <w:pPr>
        <w:ind w:left="968" w:right="480" w:firstLine="400"/>
        <w:spacing w:after="0" w:line="274" w:lineRule="auto"/>
        <w:tabs>
          <w:tab w:leader="none" w:pos="1652"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amend, modify or waive any provision of Section 2.19(a) or (b) or Section 10.7 without the written consent of each Lender adversely affected thereby;</w:t>
      </w:r>
    </w:p>
    <w:p>
      <w:pPr>
        <w:spacing w:after="0" w:line="58" w:lineRule="exact"/>
        <w:rPr>
          <w:rFonts w:ascii="Times New Roman" w:cs="Times New Roman" w:eastAsia="Times New Roman" w:hAnsi="Times New Roman"/>
          <w:sz w:val="18"/>
          <w:szCs w:val="18"/>
          <w:color w:val="auto"/>
        </w:rPr>
      </w:pPr>
    </w:p>
    <w:p>
      <w:pPr>
        <w:ind w:left="1588" w:hanging="220"/>
        <w:spacing w:after="0"/>
        <w:tabs>
          <w:tab w:leader="none" w:pos="1588"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1" w:lineRule="exact"/>
        <w:rPr>
          <w:rFonts w:ascii="Times New Roman" w:cs="Times New Roman" w:eastAsia="Times New Roman" w:hAnsi="Times New Roman"/>
          <w:sz w:val="18"/>
          <w:szCs w:val="18"/>
          <w:color w:val="auto"/>
        </w:rPr>
      </w:pPr>
    </w:p>
    <w:p>
      <w:pPr>
        <w:ind w:left="1608" w:hanging="240"/>
        <w:spacing w:after="0"/>
        <w:tabs>
          <w:tab w:leader="none" w:pos="1608"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the Facility without the written consent of each Lender directly affected thereby.</w:t>
      </w:r>
    </w:p>
    <w:p>
      <w:pPr>
        <w:spacing w:after="0" w:line="218" w:lineRule="exact"/>
        <w:rPr>
          <w:sz w:val="20"/>
          <w:szCs w:val="20"/>
          <w:color w:val="auto"/>
        </w:rPr>
      </w:pPr>
    </w:p>
    <w:p>
      <w:pPr>
        <w:ind w:left="8" w:right="100"/>
        <w:spacing w:after="0" w:line="253" w:lineRule="auto"/>
        <w:rPr>
          <w:sz w:val="20"/>
          <w:szCs w:val="20"/>
          <w:color w:val="auto"/>
        </w:rPr>
      </w:pPr>
      <w:r>
        <w:rPr>
          <w:rFonts w:ascii="Times New Roman" w:cs="Times New Roman" w:eastAsia="Times New Roman" w:hAnsi="Times New Roman"/>
          <w:sz w:val="18"/>
          <w:szCs w:val="18"/>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2" w:lineRule="exact"/>
        <w:rPr>
          <w:sz w:val="20"/>
          <w:szCs w:val="20"/>
          <w:color w:val="auto"/>
        </w:rPr>
      </w:pPr>
    </w:p>
    <w:p>
      <w:pPr>
        <w:ind w:left="8" w:right="60" w:firstLine="966"/>
        <w:spacing w:after="0" w:line="265" w:lineRule="auto"/>
        <w:tabs>
          <w:tab w:leader="none" w:pos="1233"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Administrative Agent shall notify the Lenders of any such amendment, modification, supplement or waiver consummated in accordance with this clause (ii) promptly after consummation thereof.</w:t>
      </w:r>
    </w:p>
    <w:p>
      <w:pPr>
        <w:spacing w:after="0" w:line="176" w:lineRule="exact"/>
        <w:rPr>
          <w:rFonts w:ascii="Times New Roman" w:cs="Times New Roman" w:eastAsia="Times New Roman" w:hAnsi="Times New Roman"/>
          <w:sz w:val="17"/>
          <w:szCs w:val="17"/>
          <w:color w:val="auto"/>
        </w:rPr>
      </w:pPr>
    </w:p>
    <w:p>
      <w:pPr>
        <w:ind w:left="8" w:firstLine="966"/>
        <w:spacing w:after="0" w:line="251" w:lineRule="auto"/>
        <w:tabs>
          <w:tab w:leader="none" w:pos="1223"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86" w:lineRule="exact"/>
        <w:rPr>
          <w:rFonts w:ascii="Times New Roman" w:cs="Times New Roman" w:eastAsia="Times New Roman" w:hAnsi="Times New Roman"/>
          <w:sz w:val="18"/>
          <w:szCs w:val="18"/>
          <w:color w:val="auto"/>
        </w:rPr>
      </w:pPr>
    </w:p>
    <w:p>
      <w:pPr>
        <w:ind w:left="8" w:right="120" w:firstLine="966"/>
        <w:spacing w:after="0" w:line="274" w:lineRule="auto"/>
        <w:tabs>
          <w:tab w:leader="none" w:pos="1233"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58" w:lineRule="exact"/>
        <w:rPr>
          <w:sz w:val="20"/>
          <w:szCs w:val="20"/>
          <w:color w:val="auto"/>
        </w:rPr>
      </w:pPr>
    </w:p>
    <w:p>
      <w:pPr>
        <w:ind w:left="8" w:right="380" w:firstLine="966"/>
        <w:spacing w:after="0" w:line="272" w:lineRule="auto"/>
        <w:tabs>
          <w:tab w:leader="none" w:pos="1193"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designate any Domestic Subsidiary of the Company as a Subsidiary Borrower upon (A) ten Business Days’ prior notice to the Administrative Agent (such notice to contain the name, primary business address and taxpayer identification number of such Domestic Subsidiary),</w:t>
      </w:r>
    </w:p>
    <w:p>
      <w:pPr>
        <w:ind w:left="8" w:right="200" w:hanging="8"/>
        <w:spacing w:after="0" w:line="249" w:lineRule="auto"/>
        <w:tabs>
          <w:tab w:leader="none" w:pos="28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such Domestic Subsidiary and the Administrative Agent of a Borrower Joinder Agreement, providing for such Domestic Subsidiary to become a Subsidiary Borrower, (C) the agreement and acknowledgment by the Company and each Subsidiary Guarantor (if any), that the Guarantee covers the Obligations of such Domestic Subsidiary, (D) the delivery to the Administrative</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828"/>
          </w:cols>
          <w:pgMar w:left="532" w:top="267" w:right="539" w:bottom="1440" w:gutter="0" w:footer="0" w:header="0"/>
        </w:sectPr>
      </w:pPr>
    </w:p>
    <w:bookmarkStart w:id="518" w:name="page519"/>
    <w:bookmarkEnd w:id="51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Agent of corporate or other applicable resolutions, other corporate or other applicable documents, certificates and legal opinions in respect of such Domestic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anti-money-laundering Requirement of Law; and</w:t>
      </w:r>
    </w:p>
    <w:p>
      <w:pPr>
        <w:spacing w:after="0" w:line="182" w:lineRule="exact"/>
        <w:rPr>
          <w:sz w:val="20"/>
          <w:szCs w:val="20"/>
          <w:color w:val="auto"/>
        </w:rPr>
      </w:pPr>
    </w:p>
    <w:p>
      <w:pPr>
        <w:ind w:right="40" w:firstLine="966"/>
        <w:spacing w:after="0" w:line="271" w:lineRule="auto"/>
        <w:tabs>
          <w:tab w:leader="none" w:pos="1234" w:val="left"/>
        </w:tabs>
        <w:numPr>
          <w:ilvl w:val="0"/>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70" w:lineRule="exact"/>
        <w:rPr>
          <w:sz w:val="20"/>
          <w:szCs w:val="20"/>
          <w:color w:val="auto"/>
        </w:rPr>
      </w:pPr>
    </w:p>
    <w:p>
      <w:pPr>
        <w:ind w:right="840" w:firstLine="966"/>
        <w:spacing w:after="0" w:line="274" w:lineRule="auto"/>
        <w:tabs>
          <w:tab w:leader="none" w:pos="121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Loan Document to the contrary, this Agreement may be amended, supplemented or otherwise modified as set forth in Section 2.18.</w:t>
      </w:r>
    </w:p>
    <w:p>
      <w:pPr>
        <w:spacing w:after="0" w:line="164" w:lineRule="exact"/>
        <w:rPr>
          <w:sz w:val="20"/>
          <w:szCs w:val="20"/>
          <w:color w:val="auto"/>
        </w:rPr>
      </w:pPr>
    </w:p>
    <w:p>
      <w:pPr>
        <w:ind w:firstLine="974"/>
        <w:spacing w:after="0" w:line="25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pacing w:after="0" w:line="213"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18"/>
          <w:szCs w:val="18"/>
          <w:color w:val="auto"/>
        </w:rPr>
        <w:t>Any Borrower:</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Attention: Treasurer</w:t>
      </w:r>
    </w:p>
    <w:p>
      <w:pPr>
        <w:sectPr>
          <w:pgSz w:w="11900" w:h="16838" w:orient="portrait"/>
          <w:cols w:equalWidth="0" w:num="1">
            <w:col w:w="10800"/>
          </w:cols>
          <w:pgMar w:left="540" w:top="267" w:right="559" w:bottom="1440" w:gutter="0" w:footer="0" w:header="0"/>
        </w:sectPr>
      </w:pPr>
    </w:p>
    <w:p>
      <w:pPr>
        <w:spacing w:after="0" w:line="10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482-C26-D41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Treasurer</w:t>
      </w:r>
    </w:p>
    <w:p>
      <w:pPr>
        <w:spacing w:after="0" w:line="117" w:lineRule="exact"/>
        <w:rPr>
          <w:sz w:val="20"/>
          <w:szCs w:val="20"/>
          <w:color w:val="auto"/>
        </w:rPr>
      </w:pPr>
    </w:p>
    <w:p>
      <w:pPr>
        <w:sectPr>
          <w:pgSz w:w="11900" w:h="16838" w:orient="portrait"/>
          <w:cols w:equalWidth="0" w:num="2">
            <w:col w:w="2200" w:space="720"/>
            <w:col w:w="7880"/>
          </w:cols>
          <w:pgMar w:left="540" w:top="267" w:right="559" w:bottom="1440" w:gutter="0" w:footer="0" w:header="0"/>
          <w:type w:val="continuous"/>
        </w:sectPr>
      </w:pPr>
    </w:p>
    <w:p>
      <w:pPr>
        <w:spacing w:after="0"/>
        <w:tabs>
          <w:tab w:leader="none" w:pos="2900" w:val="left"/>
        </w:tabs>
        <w:rPr>
          <w:sz w:val="20"/>
          <w:szCs w:val="20"/>
          <w:color w:val="auto"/>
        </w:rPr>
      </w:pPr>
      <w:r>
        <w:rPr>
          <w:rFonts w:ascii="Times New Roman" w:cs="Times New Roman" w:eastAsia="Times New Roman" w:hAnsi="Times New Roman"/>
          <w:sz w:val="18"/>
          <w:szCs w:val="18"/>
          <w:color w:val="auto"/>
        </w:rPr>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5"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Detroit Treasury Office</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Mail code: 482-C26-C18</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color w:val="auto"/>
        </w:rPr>
        <w:t>Attention: Director, Capital Markets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00"/>
          </w:cols>
          <w:pgMar w:left="540" w:top="267" w:right="559" w:bottom="1440" w:gutter="0" w:footer="0" w:header="0"/>
          <w:type w:val="continuous"/>
        </w:sectPr>
      </w:pPr>
    </w:p>
    <w:bookmarkStart w:id="519" w:name="page520"/>
    <w:bookmarkEnd w:id="519"/>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-278765</wp:posOffset>
            </wp:positionV>
            <wp:extent cx="7176770" cy="3746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482-C26-B98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Treasury Operations</w:t>
      </w:r>
    </w:p>
    <w:p>
      <w:pPr>
        <w:spacing w:after="0" w:line="117" w:lineRule="exact"/>
        <w:rPr>
          <w:sz w:val="20"/>
          <w:szCs w:val="20"/>
          <w:color w:val="auto"/>
        </w:rPr>
      </w:pPr>
    </w:p>
    <w:p>
      <w:pPr>
        <w:sectPr>
          <w:pgSz w:w="11900" w:h="16838" w:orient="portrait"/>
          <w:cols w:equalWidth="0" w:num="2">
            <w:col w:w="2700" w:space="220"/>
            <w:col w:w="7800"/>
          </w:cols>
          <w:pgMar w:left="540" w:top="373" w:right="639" w:bottom="1440" w:gutter="0" w:footer="0" w:header="0"/>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482-C39-B40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craig.glidden@gm.com</w:t>
      </w:r>
    </w:p>
    <w:p>
      <w:pPr>
        <w:spacing w:after="0" w:line="117" w:lineRule="exact"/>
        <w:rPr>
          <w:sz w:val="20"/>
          <w:szCs w:val="20"/>
          <w:color w:val="auto"/>
        </w:rPr>
      </w:pPr>
    </w:p>
    <w:p>
      <w:pPr>
        <w:sectPr>
          <w:pgSz w:w="11900" w:h="16838" w:orient="portrait"/>
          <w:cols w:equalWidth="0" w:num="2">
            <w:col w:w="2700" w:space="220"/>
            <w:col w:w="7800"/>
          </w:cols>
          <w:pgMar w:left="540" w:top="373" w:right="639"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482-C23-A68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Corporate Secretary &amp; Lead Counsel – Corporate Finance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John.S.Kim@gm.com</w:t>
      </w:r>
    </w:p>
    <w:p>
      <w:pPr>
        <w:spacing w:after="0" w:line="105" w:lineRule="exact"/>
        <w:rPr>
          <w:sz w:val="20"/>
          <w:szCs w:val="20"/>
          <w:color w:val="auto"/>
        </w:rPr>
      </w:pPr>
    </w:p>
    <w:p>
      <w:pPr>
        <w:sectPr>
          <w:pgSz w:w="11900" w:h="16838" w:orient="portrait"/>
          <w:cols w:equalWidth="0" w:num="2">
            <w:col w:w="2700" w:space="220"/>
            <w:col w:w="7800"/>
          </w:cols>
          <w:pgMar w:left="540" w:top="373"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JPMorgan Chase Bank, N.A., as Administrative Agent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302-634-3228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105" w:lineRule="exact"/>
        <w:rPr>
          <w:sz w:val="20"/>
          <w:szCs w:val="20"/>
          <w:color w:val="auto"/>
        </w:rPr>
      </w:pPr>
    </w:p>
    <w:p>
      <w:pPr>
        <w:sectPr>
          <w:pgSz w:w="11900" w:h="16838" w:orient="portrait"/>
          <w:cols w:equalWidth="0" w:num="2">
            <w:col w:w="2600" w:space="320"/>
            <w:col w:w="7800"/>
          </w:cols>
          <w:pgMar w:left="540" w:top="373"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8181 Communications Pkwy, Bldg B, Floor 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Plano, TX, 75024, United States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Sean.Bodkin@jpmorgan.com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972-324-1749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Sean Bodkin</w:t>
      </w:r>
    </w:p>
    <w:p>
      <w:pPr>
        <w:spacing w:after="0" w:line="200" w:lineRule="exact"/>
        <w:rPr>
          <w:sz w:val="20"/>
          <w:szCs w:val="20"/>
          <w:color w:val="auto"/>
        </w:rPr>
      </w:pPr>
    </w:p>
    <w:p>
      <w:pPr>
        <w:sectPr>
          <w:pgSz w:w="11900" w:h="16838" w:orient="portrait"/>
          <w:cols w:equalWidth="0" w:num="2">
            <w:col w:w="2200" w:space="720"/>
            <w:col w:w="7800"/>
          </w:cols>
          <w:pgMar w:left="540" w:top="373" w:right="639" w:bottom="1440" w:gutter="0" w:footer="0" w:header="0"/>
          <w:type w:val="continuous"/>
        </w:sectPr>
      </w:pPr>
    </w:p>
    <w:p>
      <w:pPr>
        <w:spacing w:after="0" w:line="1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request or demand to or upon the Administrative Agent or the Lenders pursuant to Section 2.2, 2.11, 2.12 or 2.14 shall not be effective until received.</w:t>
      </w:r>
    </w:p>
    <w:p>
      <w:pPr>
        <w:spacing w:after="0" w:line="164" w:lineRule="exact"/>
        <w:rPr>
          <w:sz w:val="20"/>
          <w:szCs w:val="20"/>
          <w:color w:val="auto"/>
        </w:rPr>
      </w:pPr>
    </w:p>
    <w:p>
      <w:pPr>
        <w:ind w:firstLine="966"/>
        <w:spacing w:after="0" w:line="260" w:lineRule="auto"/>
        <w:tabs>
          <w:tab w:leader="none" w:pos="122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by posting such Communications on IntraLinks™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80" w:firstLine="966"/>
        <w:spacing w:after="0" w:line="260" w:lineRule="auto"/>
        <w:tabs>
          <w:tab w:leader="none" w:pos="121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w:t>
      </w:r>
    </w:p>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720"/>
          </w:cols>
          <w:pgMar w:left="540" w:top="373" w:right="639" w:bottom="1440" w:gutter="0" w:footer="0" w:header="0"/>
          <w:type w:val="continuous"/>
        </w:sectPr>
      </w:pPr>
    </w:p>
    <w:bookmarkStart w:id="520" w:name="page521"/>
    <w:bookmarkEnd w:id="520"/>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82" w:lineRule="exact"/>
        <w:rPr>
          <w:sz w:val="20"/>
          <w:szCs w:val="20"/>
          <w:color w:val="auto"/>
        </w:rPr>
      </w:pPr>
    </w:p>
    <w:p>
      <w:pPr>
        <w:ind w:right="80" w:firstLine="966"/>
        <w:spacing w:after="0" w:line="250" w:lineRule="auto"/>
        <w:tabs>
          <w:tab w:leader="none" w:pos="122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85" w:lineRule="exact"/>
        <w:rPr>
          <w:rFonts w:ascii="Times New Roman" w:cs="Times New Roman" w:eastAsia="Times New Roman" w:hAnsi="Times New Roman"/>
          <w:sz w:val="18"/>
          <w:szCs w:val="18"/>
          <w:color w:val="auto"/>
        </w:rPr>
      </w:pPr>
    </w:p>
    <w:p>
      <w:pPr>
        <w:ind w:right="320" w:firstLine="966"/>
        <w:spacing w:after="0" w:line="260" w:lineRule="auto"/>
        <w:tabs>
          <w:tab w:leader="none" w:pos="121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ind w:right="160" w:firstLine="974"/>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2" w:lineRule="exact"/>
        <w:rPr>
          <w:sz w:val="20"/>
          <w:szCs w:val="20"/>
          <w:color w:val="auto"/>
        </w:rPr>
      </w:pPr>
    </w:p>
    <w:p>
      <w:pPr>
        <w:ind w:right="8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66"/>
        <w:spacing w:after="0" w:line="250" w:lineRule="auto"/>
        <w:tabs>
          <w:tab w:leader="none" w:pos="1214"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780"/>
          </w:cols>
          <w:pgMar w:left="540" w:top="267" w:right="579" w:bottom="1440" w:gutter="0" w:footer="0" w:header="0"/>
        </w:sectPr>
      </w:pPr>
    </w:p>
    <w:bookmarkStart w:id="521" w:name="page522"/>
    <w:bookmarkEnd w:id="521"/>
    <w:p>
      <w:pPr>
        <w:ind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85" w:lineRule="exact"/>
        <w:rPr>
          <w:sz w:val="20"/>
          <w:szCs w:val="20"/>
          <w:color w:val="auto"/>
        </w:rPr>
      </w:pPr>
    </w:p>
    <w:p>
      <w:pPr>
        <w:ind w:firstLine="966"/>
        <w:spacing w:after="0" w:line="251" w:lineRule="auto"/>
        <w:tabs>
          <w:tab w:leader="none" w:pos="122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provided,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6" w:lineRule="exact"/>
        <w:rPr>
          <w:rFonts w:ascii="Times New Roman" w:cs="Times New Roman" w:eastAsia="Times New Roman" w:hAnsi="Times New Roman"/>
          <w:sz w:val="18"/>
          <w:szCs w:val="18"/>
          <w:color w:val="auto"/>
        </w:rPr>
      </w:pPr>
    </w:p>
    <w:p>
      <w:pPr>
        <w:ind w:firstLine="966"/>
        <w:spacing w:after="0" w:line="248" w:lineRule="auto"/>
        <w:tabs>
          <w:tab w:leader="none" w:pos="121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shall pay, indemnify or reimburse each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collectively,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90" w:lineRule="exact"/>
        <w:rPr>
          <w:rFonts w:ascii="Times New Roman" w:cs="Times New Roman" w:eastAsia="Times New Roman" w:hAnsi="Times New Roman"/>
          <w:sz w:val="18"/>
          <w:szCs w:val="18"/>
          <w:color w:val="auto"/>
        </w:rPr>
      </w:pPr>
    </w:p>
    <w:p>
      <w:pPr>
        <w:ind w:right="20" w:firstLine="966"/>
        <w:spacing w:after="0" w:line="250" w:lineRule="auto"/>
        <w:tabs>
          <w:tab w:leader="none" w:pos="122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80"/>
          </w:cols>
          <w:pgMar w:left="540" w:top="267" w:right="579" w:bottom="1440" w:gutter="0" w:footer="0" w:header="0"/>
        </w:sectPr>
      </w:pPr>
    </w:p>
    <w:bookmarkStart w:id="522" w:name="page523"/>
    <w:bookmarkEnd w:id="522"/>
    <w:p>
      <w:pPr>
        <w:ind w:left="8"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82" w:lineRule="exact"/>
        <w:rPr>
          <w:sz w:val="20"/>
          <w:szCs w:val="20"/>
          <w:color w:val="auto"/>
        </w:rPr>
      </w:pPr>
    </w:p>
    <w:p>
      <w:pPr>
        <w:ind w:left="8" w:right="20" w:firstLine="966"/>
        <w:spacing w:after="0" w:line="250" w:lineRule="auto"/>
        <w:tabs>
          <w:tab w:leader="none" w:pos="1223"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79" w:lineRule="exact"/>
        <w:rPr>
          <w:sz w:val="20"/>
          <w:szCs w:val="20"/>
          <w:color w:val="auto"/>
        </w:rPr>
      </w:pPr>
    </w:p>
    <w:p>
      <w:pPr>
        <w:ind w:left="8" w:right="40" w:firstLine="974"/>
        <w:spacing w:after="0" w:line="266"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Successors and Assigns; Participations and Assignments.</w:t>
      </w:r>
      <w:r>
        <w:rPr>
          <w:rFonts w:ascii="Times New Roman" w:cs="Times New Roman" w:eastAsia="Times New Roman" w:hAnsi="Times New Roman"/>
          <w:sz w:val="17"/>
          <w:szCs w:val="17"/>
          <w:color w:val="auto"/>
        </w:rPr>
        <w:t xml:space="preserve"> (a) The provisions of this Agreement shall be binding upon and inure to the benefit of the 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w:t>
      </w:r>
    </w:p>
    <w:p>
      <w:pPr>
        <w:spacing w:after="0" w:line="2" w:lineRule="exact"/>
        <w:rPr>
          <w:sz w:val="20"/>
          <w:szCs w:val="20"/>
          <w:color w:val="auto"/>
        </w:rPr>
      </w:pPr>
    </w:p>
    <w:p>
      <w:pPr>
        <w:ind w:left="268" w:hanging="268"/>
        <w:spacing w:after="0"/>
        <w:tabs>
          <w:tab w:leader="none" w:pos="26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may assign or otherwise transfer its rights or obligations hereunder except in accordance with this Section 10.6.</w:t>
      </w:r>
    </w:p>
    <w:p>
      <w:pPr>
        <w:spacing w:after="0" w:line="92" w:lineRule="exact"/>
        <w:rPr>
          <w:rFonts w:ascii="Times New Roman" w:cs="Times New Roman" w:eastAsia="Times New Roman" w:hAnsi="Times New Roman"/>
          <w:sz w:val="18"/>
          <w:szCs w:val="18"/>
          <w:color w:val="auto"/>
        </w:rPr>
      </w:pPr>
    </w:p>
    <w:p>
      <w:pPr>
        <w:ind w:left="8" w:right="80" w:firstLine="966"/>
        <w:spacing w:after="0" w:line="255" w:lineRule="auto"/>
        <w:tabs>
          <w:tab w:leader="none" w:pos="1233"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5" w:lineRule="exact"/>
        <w:rPr>
          <w:rFonts w:ascii="Times New Roman" w:cs="Times New Roman" w:eastAsia="Times New Roman" w:hAnsi="Times New Roman"/>
          <w:sz w:val="18"/>
          <w:szCs w:val="18"/>
          <w:color w:val="auto"/>
        </w:rPr>
      </w:pPr>
    </w:p>
    <w:p>
      <w:pPr>
        <w:jc w:val="both"/>
        <w:ind w:left="968" w:right="120" w:firstLine="400"/>
        <w:spacing w:after="0" w:line="260" w:lineRule="auto"/>
        <w:tabs>
          <w:tab w:leader="none" w:pos="1612" w:val="left"/>
        </w:tabs>
        <w:numPr>
          <w:ilvl w:val="2"/>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70" w:lineRule="exact"/>
        <w:rPr>
          <w:rFonts w:ascii="Times New Roman" w:cs="Times New Roman" w:eastAsia="Times New Roman" w:hAnsi="Times New Roman"/>
          <w:sz w:val="18"/>
          <w:szCs w:val="18"/>
          <w:color w:val="auto"/>
        </w:rPr>
      </w:pPr>
    </w:p>
    <w:p>
      <w:pPr>
        <w:ind w:left="1628" w:hanging="260"/>
        <w:spacing w:after="0"/>
        <w:tabs>
          <w:tab w:leader="none" w:pos="1628" w:val="left"/>
        </w:tabs>
        <w:numPr>
          <w:ilvl w:val="2"/>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w:t>
      </w:r>
    </w:p>
    <w:p>
      <w:pPr>
        <w:spacing w:after="0" w:line="111"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consent provided for in clause (2) above shall be required for an assignment to a Lender or an affiliate thereof and</w:t>
      </w:r>
    </w:p>
    <w:p>
      <w:pPr>
        <w:spacing w:after="0" w:line="25" w:lineRule="exact"/>
        <w:rPr>
          <w:sz w:val="20"/>
          <w:szCs w:val="20"/>
          <w:color w:val="auto"/>
        </w:rPr>
      </w:pPr>
    </w:p>
    <w:p>
      <w:pPr>
        <w:ind w:left="968" w:right="440" w:firstLine="6"/>
        <w:spacing w:after="0" w:line="252" w:lineRule="auto"/>
        <w:tabs>
          <w:tab w:leader="none" w:pos="1218"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the Company provided for in clause (1) above shall be required if an Event of Default under Section 8(a) or (e) has occurred and is continuing.</w:t>
      </w:r>
    </w:p>
    <w:p>
      <w:pPr>
        <w:spacing w:after="0" w:line="183" w:lineRule="exact"/>
        <w:rPr>
          <w:sz w:val="20"/>
          <w:szCs w:val="20"/>
          <w:color w:val="auto"/>
        </w:rPr>
      </w:pPr>
    </w:p>
    <w:p>
      <w:pPr>
        <w:ind w:left="8" w:firstLine="974"/>
        <w:spacing w:after="0" w:line="260" w:lineRule="auto"/>
        <w:rPr>
          <w:sz w:val="20"/>
          <w:szCs w:val="20"/>
          <w:color w:val="auto"/>
        </w:rPr>
      </w:pPr>
      <w:r>
        <w:rPr>
          <w:rFonts w:ascii="Times New Roman" w:cs="Times New Roman" w:eastAsia="Times New Roman" w:hAnsi="Times New Roman"/>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1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788"/>
          </w:cols>
          <w:pgMar w:left="532" w:top="267" w:right="579" w:bottom="1440" w:gutter="0" w:footer="0" w:header="0"/>
        </w:sectPr>
      </w:pPr>
    </w:p>
    <w:bookmarkStart w:id="523" w:name="page524"/>
    <w:bookmarkEnd w:id="523"/>
    <w:p>
      <w:pPr>
        <w:ind w:left="800" w:hanging="254"/>
        <w:spacing w:after="0"/>
        <w:tabs>
          <w:tab w:leader="none" w:pos="80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Assignments shall be subject to the following additional conditions:</w:t>
      </w:r>
    </w:p>
    <w:p>
      <w:pPr>
        <w:spacing w:after="0" w:line="111" w:lineRule="exact"/>
        <w:rPr>
          <w:rFonts w:ascii="Times New Roman" w:cs="Times New Roman" w:eastAsia="Times New Roman" w:hAnsi="Times New Roman"/>
          <w:sz w:val="18"/>
          <w:szCs w:val="18"/>
          <w:color w:val="auto"/>
        </w:rPr>
      </w:pPr>
    </w:p>
    <w:p>
      <w:pPr>
        <w:ind w:left="540" w:firstLine="400"/>
        <w:spacing w:after="0" w:line="269" w:lineRule="auto"/>
        <w:tabs>
          <w:tab w:leader="none" w:pos="1223" w:val="left"/>
        </w:tabs>
        <w:numPr>
          <w:ilvl w:val="2"/>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64" w:lineRule="exact"/>
        <w:rPr>
          <w:rFonts w:ascii="Times New Roman" w:cs="Times New Roman" w:eastAsia="Times New Roman" w:hAnsi="Times New Roman"/>
          <w:sz w:val="17"/>
          <w:szCs w:val="17"/>
          <w:color w:val="auto"/>
        </w:rPr>
      </w:pPr>
    </w:p>
    <w:p>
      <w:pPr>
        <w:ind w:left="540" w:right="220" w:firstLine="400"/>
        <w:spacing w:after="0" w:line="253" w:lineRule="auto"/>
        <w:tabs>
          <w:tab w:leader="none" w:pos="1214"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76" w:lineRule="exact"/>
        <w:rPr>
          <w:rFonts w:ascii="Times New Roman" w:cs="Times New Roman" w:eastAsia="Times New Roman" w:hAnsi="Times New Roman"/>
          <w:sz w:val="18"/>
          <w:szCs w:val="18"/>
          <w:color w:val="auto"/>
        </w:rPr>
      </w:pPr>
    </w:p>
    <w:p>
      <w:pPr>
        <w:ind w:left="540" w:right="860" w:firstLine="400"/>
        <w:spacing w:after="0" w:line="274" w:lineRule="auto"/>
        <w:tabs>
          <w:tab w:leader="none" w:pos="1214"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58" w:lineRule="exact"/>
        <w:rPr>
          <w:rFonts w:ascii="Times New Roman" w:cs="Times New Roman" w:eastAsia="Times New Roman" w:hAnsi="Times New Roman"/>
          <w:sz w:val="18"/>
          <w:szCs w:val="18"/>
          <w:color w:val="auto"/>
        </w:rPr>
      </w:pPr>
    </w:p>
    <w:p>
      <w:pPr>
        <w:ind w:right="100" w:firstLine="420"/>
        <w:spacing w:after="0" w:line="249" w:lineRule="auto"/>
        <w:tabs>
          <w:tab w:leader="none" w:pos="72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83" w:lineRule="exact"/>
        <w:rPr>
          <w:rFonts w:ascii="Times New Roman" w:cs="Times New Roman" w:eastAsia="Times New Roman" w:hAnsi="Times New Roman"/>
          <w:sz w:val="18"/>
          <w:szCs w:val="18"/>
          <w:color w:val="auto"/>
        </w:rPr>
      </w:pPr>
    </w:p>
    <w:p>
      <w:pPr>
        <w:ind w:right="40" w:firstLine="420"/>
        <w:spacing w:after="0" w:line="250" w:lineRule="auto"/>
        <w:tabs>
          <w:tab w:leader="none" w:pos="71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380"/>
          </w:cols>
          <w:pgMar w:left="960" w:top="267" w:right="559" w:bottom="1440" w:gutter="0" w:footer="0" w:header="0"/>
        </w:sectPr>
      </w:pPr>
    </w:p>
    <w:bookmarkStart w:id="524" w:name="page525"/>
    <w:bookmarkEnd w:id="524"/>
    <w:p>
      <w:pPr>
        <w:ind w:left="420" w:firstLine="420"/>
        <w:spacing w:after="0" w:line="269" w:lineRule="auto"/>
        <w:tabs>
          <w:tab w:leader="none" w:pos="1086"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1" w:lineRule="exact"/>
        <w:rPr>
          <w:rFonts w:ascii="Times New Roman" w:cs="Times New Roman" w:eastAsia="Times New Roman" w:hAnsi="Times New Roman"/>
          <w:sz w:val="17"/>
          <w:szCs w:val="17"/>
          <w:color w:val="auto"/>
        </w:rPr>
      </w:pPr>
    </w:p>
    <w:p>
      <w:pPr>
        <w:ind w:right="20" w:firstLine="966"/>
        <w:spacing w:after="0" w:line="262" w:lineRule="auto"/>
        <w:tabs>
          <w:tab w:leader="none" w:pos="1215" w:val="left"/>
        </w:tabs>
        <w:numPr>
          <w:ilvl w:val="1"/>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Lender may, without the consent of the Company or the Administrative Agent, sell participations to one or more banks or other entities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400" w:lineRule="exact"/>
        <w:rPr>
          <w:sz w:val="20"/>
          <w:szCs w:val="20"/>
          <w:color w:val="auto"/>
        </w:rPr>
      </w:pPr>
    </w:p>
    <w:p>
      <w:pPr>
        <w:ind w:left="420" w:right="20" w:firstLine="420"/>
        <w:spacing w:after="0" w:line="251" w:lineRule="auto"/>
        <w:tabs>
          <w:tab w:leader="none" w:pos="109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800"/>
          </w:cols>
          <w:pgMar w:left="540" w:top="267" w:right="559" w:bottom="1440" w:gutter="0" w:footer="0" w:header="0"/>
        </w:sectPr>
      </w:pPr>
    </w:p>
    <w:bookmarkStart w:id="525" w:name="page526"/>
    <w:bookmarkEnd w:id="525"/>
    <w:p>
      <w:pPr>
        <w:ind w:firstLine="966"/>
        <w:spacing w:after="0" w:line="253" w:lineRule="auto"/>
        <w:tabs>
          <w:tab w:leader="none" w:pos="122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2" w:lineRule="exact"/>
        <w:rPr>
          <w:rFonts w:ascii="Times New Roman" w:cs="Times New Roman" w:eastAsia="Times New Roman" w:hAnsi="Times New Roman"/>
          <w:sz w:val="18"/>
          <w:szCs w:val="18"/>
          <w:color w:val="auto"/>
        </w:rPr>
      </w:pPr>
    </w:p>
    <w:p>
      <w:pPr>
        <w:ind w:right="20" w:firstLine="966"/>
        <w:spacing w:after="0" w:line="251" w:lineRule="auto"/>
        <w:tabs>
          <w:tab w:leader="none" w:pos="121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7" w:lineRule="exact"/>
        <w:rPr>
          <w:sz w:val="20"/>
          <w:szCs w:val="20"/>
          <w:color w:val="auto"/>
        </w:rPr>
      </w:pPr>
    </w:p>
    <w:p>
      <w:pPr>
        <w:ind w:right="20" w:firstLine="974"/>
        <w:spacing w:after="0" w:line="249"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10.8 Counterparts</w:t>
      </w:r>
      <w:r>
        <w:rPr>
          <w:rFonts w:ascii="Times New Roman" w:cs="Times New Roman" w:eastAsia="Times New Roman" w:hAnsi="Times New Roman"/>
          <w:sz w:val="18"/>
          <w:szCs w:val="18"/>
          <w:u w:val="single" w:color="auto"/>
          <w:color w:val="auto"/>
        </w:rPr>
        <w:t>; Electronic Execution.</w:t>
      </w:r>
    </w:p>
    <w:p>
      <w:pPr>
        <w:spacing w:after="0" w:line="218" w:lineRule="exact"/>
        <w:rPr>
          <w:sz w:val="20"/>
          <w:szCs w:val="20"/>
          <w:color w:val="auto"/>
        </w:rPr>
      </w:pPr>
    </w:p>
    <w:p>
      <w:pPr>
        <w:ind w:firstLine="966"/>
        <w:spacing w:after="0" w:line="255" w:lineRule="auto"/>
        <w:tabs>
          <w:tab w:leader="none" w:pos="121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81" w:lineRule="exact"/>
        <w:rPr>
          <w:rFonts w:ascii="Times New Roman" w:cs="Times New Roman" w:eastAsia="Times New Roman" w:hAnsi="Times New Roman"/>
          <w:sz w:val="18"/>
          <w:szCs w:val="18"/>
          <w:color w:val="auto"/>
        </w:rPr>
      </w:pPr>
    </w:p>
    <w:p>
      <w:pPr>
        <w:ind w:firstLine="966"/>
        <w:spacing w:after="0" w:line="267" w:lineRule="auto"/>
        <w:tabs>
          <w:tab w:leader="none" w:pos="1224" w:val="left"/>
        </w:tabs>
        <w:numPr>
          <w:ilvl w:val="0"/>
          <w:numId w:val="4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Times New Roman" w:cs="Times New Roman" w:eastAsia="Times New Roman" w:hAnsi="Times New Roman"/>
          <w:sz w:val="17"/>
          <w:szCs w:val="17"/>
          <w:u w:val="single" w:color="auto"/>
          <w:color w:val="auto"/>
        </w:rPr>
        <w:t>Ancillary Document</w:t>
      </w:r>
      <w:r>
        <w:rPr>
          <w:rFonts w:ascii="Times New Roman" w:cs="Times New Roman" w:eastAsia="Times New Roman" w:hAnsi="Times New Roman"/>
          <w:sz w:val="17"/>
          <w:szCs w:val="17"/>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800"/>
          </w:cols>
          <w:pgMar w:left="540" w:top="266" w:right="559" w:bottom="1440" w:gutter="0" w:footer="0" w:header="0"/>
        </w:sectPr>
      </w:pPr>
    </w:p>
    <w:bookmarkStart w:id="526" w:name="page527"/>
    <w:bookmarkEnd w:id="526"/>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193" w:lineRule="exact"/>
        <w:rPr>
          <w:sz w:val="20"/>
          <w:szCs w:val="20"/>
          <w:color w:val="auto"/>
        </w:rPr>
      </w:pPr>
    </w:p>
    <w:p>
      <w:pPr>
        <w:ind w:right="12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firstLine="974"/>
        <w:spacing w:after="0" w:line="282"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60" w:lineRule="exact"/>
        <w:rPr>
          <w:sz w:val="20"/>
          <w:szCs w:val="20"/>
          <w:color w:val="auto"/>
        </w:rPr>
      </w:pPr>
    </w:p>
    <w:p>
      <w:pPr>
        <w:ind w:right="24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00"/>
          </w:cols>
          <w:pgMar w:left="540" w:top="266" w:right="559" w:bottom="1440" w:gutter="0" w:footer="0" w:header="0"/>
        </w:sectPr>
      </w:pPr>
    </w:p>
    <w:bookmarkStart w:id="527" w:name="page528"/>
    <w:bookmarkEnd w:id="527"/>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10.12 </w:t>
      </w:r>
      <w:r>
        <w:rPr>
          <w:rFonts w:ascii="Times New Roman" w:cs="Times New Roman" w:eastAsia="Times New Roman" w:hAnsi="Times New Roman"/>
          <w:sz w:val="18"/>
          <w:szCs w:val="18"/>
          <w:u w:val="single" w:color="auto"/>
          <w:color w:val="auto"/>
        </w:rPr>
        <w:t>Submission to Jurisdiction; Waivers.</w:t>
      </w:r>
    </w:p>
    <w:p>
      <w:pPr>
        <w:spacing w:after="0" w:line="218" w:lineRule="exact"/>
        <w:rPr>
          <w:sz w:val="20"/>
          <w:szCs w:val="20"/>
          <w:color w:val="auto"/>
        </w:rPr>
      </w:pPr>
    </w:p>
    <w:p>
      <w:pPr>
        <w:ind w:right="60" w:firstLine="966"/>
        <w:spacing w:after="0" w:line="274" w:lineRule="auto"/>
        <w:tabs>
          <w:tab w:leader="none" w:pos="121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Administrative Agent, the Lenders, the Company, each Subsidiary Borrower and each other Loan Party hereby irrevocably and unconditionally:</w:t>
      </w:r>
    </w:p>
    <w:p>
      <w:pPr>
        <w:spacing w:after="0" w:line="58" w:lineRule="exact"/>
        <w:rPr>
          <w:rFonts w:ascii="Times New Roman" w:cs="Times New Roman" w:eastAsia="Times New Roman" w:hAnsi="Times New Roman"/>
          <w:sz w:val="18"/>
          <w:szCs w:val="18"/>
          <w:color w:val="auto"/>
        </w:rPr>
      </w:pPr>
    </w:p>
    <w:p>
      <w:pPr>
        <w:ind w:left="960" w:firstLine="400"/>
        <w:spacing w:after="0" w:line="255" w:lineRule="auto"/>
        <w:tabs>
          <w:tab w:leader="none" w:pos="1565"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75" w:lineRule="exact"/>
        <w:rPr>
          <w:rFonts w:ascii="Times New Roman" w:cs="Times New Roman" w:eastAsia="Times New Roman" w:hAnsi="Times New Roman"/>
          <w:sz w:val="18"/>
          <w:szCs w:val="18"/>
          <w:color w:val="auto"/>
        </w:rPr>
      </w:pPr>
    </w:p>
    <w:p>
      <w:pPr>
        <w:ind w:left="960" w:right="60" w:firstLine="400"/>
        <w:spacing w:after="0" w:line="260" w:lineRule="auto"/>
        <w:tabs>
          <w:tab w:leader="none" w:pos="1614"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0" w:lineRule="exact"/>
        <w:rPr>
          <w:rFonts w:ascii="Times New Roman" w:cs="Times New Roman" w:eastAsia="Times New Roman" w:hAnsi="Times New Roman"/>
          <w:sz w:val="18"/>
          <w:szCs w:val="18"/>
          <w:color w:val="auto"/>
        </w:rPr>
      </w:pPr>
    </w:p>
    <w:p>
      <w:pPr>
        <w:ind w:left="960" w:right="20" w:firstLine="400"/>
        <w:spacing w:after="0" w:line="274" w:lineRule="auto"/>
        <w:tabs>
          <w:tab w:leader="none" w:pos="1663"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4" w:lineRule="exact"/>
        <w:rPr>
          <w:rFonts w:ascii="Times New Roman" w:cs="Times New Roman" w:eastAsia="Times New Roman" w:hAnsi="Times New Roman"/>
          <w:sz w:val="18"/>
          <w:szCs w:val="18"/>
          <w:color w:val="auto"/>
        </w:rPr>
      </w:pPr>
    </w:p>
    <w:p>
      <w:pPr>
        <w:ind w:right="80" w:firstLine="966"/>
        <w:spacing w:after="0" w:line="253" w:lineRule="auto"/>
        <w:tabs>
          <w:tab w:leader="none" w:pos="1224"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82" w:lineRule="exact"/>
        <w:rPr>
          <w:sz w:val="20"/>
          <w:szCs w:val="20"/>
          <w:color w:val="auto"/>
        </w:rPr>
      </w:pPr>
    </w:p>
    <w:p>
      <w:pPr>
        <w:ind w:right="40" w:firstLine="974"/>
        <w:spacing w:after="0" w:line="249"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Each of the Company and the Subsidiary Borrowers hereby acknowledges that:</w:t>
      </w:r>
    </w:p>
    <w:p>
      <w:pPr>
        <w:spacing w:after="0" w:line="111" w:lineRule="exact"/>
        <w:rPr>
          <w:sz w:val="20"/>
          <w:szCs w:val="20"/>
          <w:color w:val="auto"/>
        </w:rPr>
      </w:pPr>
    </w:p>
    <w:p>
      <w:pPr>
        <w:ind w:left="1200" w:hanging="234"/>
        <w:spacing w:after="0"/>
        <w:tabs>
          <w:tab w:leader="none" w:pos="12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111" w:lineRule="exact"/>
        <w:rPr>
          <w:rFonts w:ascii="Times New Roman" w:cs="Times New Roman" w:eastAsia="Times New Roman" w:hAnsi="Times New Roman"/>
          <w:sz w:val="18"/>
          <w:szCs w:val="18"/>
          <w:color w:val="auto"/>
        </w:rPr>
      </w:pPr>
    </w:p>
    <w:p>
      <w:pPr>
        <w:jc w:val="both"/>
        <w:ind w:right="140" w:firstLine="966"/>
        <w:spacing w:after="0" w:line="282" w:lineRule="auto"/>
        <w:tabs>
          <w:tab w:leader="none" w:pos="1224" w:val="left"/>
        </w:tabs>
        <w:numPr>
          <w:ilvl w:val="0"/>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800"/>
          </w:cols>
          <w:pgMar w:left="540" w:top="266" w:right="559" w:bottom="1440" w:gutter="0" w:footer="0" w:header="0"/>
        </w:sectPr>
      </w:pPr>
    </w:p>
    <w:bookmarkStart w:id="528" w:name="page529"/>
    <w:bookmarkEnd w:id="528"/>
    <w:p>
      <w:pPr>
        <w:ind w:left="8" w:firstLine="966"/>
        <w:spacing w:after="0" w:line="274" w:lineRule="auto"/>
        <w:tabs>
          <w:tab w:leader="none" w:pos="1223"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no joint venture is created hereby or by the other Loan Documents or otherwise exists by virtue of the transactions contemplated hereby among the Lenders or among the Company or any Subsidiary and the Lenders.</w:t>
      </w:r>
    </w:p>
    <w:p>
      <w:pPr>
        <w:spacing w:after="0" w:line="1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p>
    <w:p>
      <w:pPr>
        <w:spacing w:after="0" w:line="218" w:lineRule="exact"/>
        <w:rPr>
          <w:sz w:val="20"/>
          <w:szCs w:val="20"/>
          <w:color w:val="auto"/>
        </w:rPr>
      </w:pPr>
    </w:p>
    <w:p>
      <w:pPr>
        <w:ind w:left="8" w:right="100" w:firstLine="966"/>
        <w:spacing w:after="0" w:line="271" w:lineRule="auto"/>
        <w:tabs>
          <w:tab w:leader="none" w:pos="1223"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69" w:lineRule="exact"/>
        <w:rPr>
          <w:rFonts w:ascii="Times New Roman" w:cs="Times New Roman" w:eastAsia="Times New Roman" w:hAnsi="Times New Roman"/>
          <w:sz w:val="17"/>
          <w:szCs w:val="17"/>
          <w:color w:val="auto"/>
        </w:rPr>
      </w:pPr>
    </w:p>
    <w:p>
      <w:pPr>
        <w:ind w:left="8" w:right="140" w:firstLine="966"/>
        <w:spacing w:after="0" w:line="260" w:lineRule="auto"/>
        <w:tabs>
          <w:tab w:leader="none" w:pos="1233"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176" w:lineRule="exact"/>
        <w:rPr>
          <w:rFonts w:ascii="Times New Roman" w:cs="Times New Roman" w:eastAsia="Times New Roman" w:hAnsi="Times New Roman"/>
          <w:sz w:val="18"/>
          <w:szCs w:val="18"/>
          <w:color w:val="auto"/>
        </w:rPr>
      </w:pPr>
    </w:p>
    <w:p>
      <w:pPr>
        <w:ind w:left="8" w:right="380" w:firstLine="966"/>
        <w:spacing w:after="0" w:line="260" w:lineRule="auto"/>
        <w:tabs>
          <w:tab w:leader="none" w:pos="1223"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6" w:lineRule="exact"/>
        <w:rPr>
          <w:rFonts w:ascii="Times New Roman" w:cs="Times New Roman" w:eastAsia="Times New Roman" w:hAnsi="Times New Roman"/>
          <w:sz w:val="18"/>
          <w:szCs w:val="18"/>
          <w:color w:val="auto"/>
        </w:rPr>
      </w:pPr>
    </w:p>
    <w:p>
      <w:pPr>
        <w:ind w:left="8" w:right="80" w:firstLine="966"/>
        <w:spacing w:after="0" w:line="250" w:lineRule="auto"/>
        <w:tabs>
          <w:tab w:leader="none" w:pos="1233"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189" w:lineRule="exact"/>
        <w:rPr>
          <w:sz w:val="20"/>
          <w:szCs w:val="20"/>
          <w:color w:val="auto"/>
        </w:rPr>
      </w:pPr>
    </w:p>
    <w:p>
      <w:pPr>
        <w:ind w:left="8" w:right="120" w:firstLine="974"/>
        <w:spacing w:after="0" w:line="265" w:lineRule="auto"/>
        <w:rPr>
          <w:sz w:val="20"/>
          <w:szCs w:val="20"/>
          <w:color w:val="auto"/>
        </w:rPr>
      </w:pPr>
      <w:r>
        <w:rPr>
          <w:rFonts w:ascii="Times New Roman" w:cs="Times New Roman" w:eastAsia="Times New Roman" w:hAnsi="Times New Roman"/>
          <w:sz w:val="17"/>
          <w:szCs w:val="17"/>
          <w:color w:val="auto"/>
        </w:rPr>
        <w:t xml:space="preserve">10.16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each Lender and each Transferee (each a “</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w:t>
      </w:r>
    </w:p>
    <w:p>
      <w:pPr>
        <w:spacing w:after="0" w:line="1" w:lineRule="exact"/>
        <w:rPr>
          <w:sz w:val="20"/>
          <w:szCs w:val="20"/>
          <w:color w:val="auto"/>
        </w:rPr>
      </w:pPr>
    </w:p>
    <w:p>
      <w:pPr>
        <w:ind w:left="8" w:right="60" w:hanging="8"/>
        <w:spacing w:after="0" w:line="247" w:lineRule="auto"/>
        <w:tabs>
          <w:tab w:leader="none" w:pos="258"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828"/>
          </w:cols>
          <w:pgMar w:left="532" w:top="266" w:right="539" w:bottom="1440" w:gutter="0" w:footer="0" w:header="0"/>
        </w:sectPr>
      </w:pPr>
    </w:p>
    <w:bookmarkStart w:id="529" w:name="page530"/>
    <w:bookmarkEnd w:id="529"/>
    <w:p>
      <w:pPr>
        <w:ind w:left="8" w:right="120" w:hanging="8"/>
        <w:spacing w:after="0" w:line="250" w:lineRule="auto"/>
        <w:tabs>
          <w:tab w:leader="none" w:pos="258"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w:t>
      </w:r>
    </w:p>
    <w:p>
      <w:pPr>
        <w:spacing w:after="0" w:line="189" w:lineRule="exact"/>
        <w:rPr>
          <w:sz w:val="20"/>
          <w:szCs w:val="20"/>
          <w:color w:val="auto"/>
        </w:rPr>
      </w:pPr>
    </w:p>
    <w:p>
      <w:pPr>
        <w:ind w:left="8" w:right="60" w:firstLine="974"/>
        <w:spacing w:after="0" w:line="260"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EACH SUBSIDIARY BORROWER, THE ADMINISTRATIVE AGENT AND THE LENDERS HEREBY IRREVOCABLY AND UNCONDITIONALLY WAIVE TRIAL BY JURY IN ANY LEGAL ACTION OR PROCEEDING RELATING TO THIS AGREEMENT OR ANY OTHER LOAN DOCUMENT AND FOR ANY COUNTERCLAIM THEREIN.</w:t>
      </w:r>
    </w:p>
    <w:p>
      <w:pPr>
        <w:spacing w:after="0" w:line="176" w:lineRule="exact"/>
        <w:rPr>
          <w:sz w:val="20"/>
          <w:szCs w:val="20"/>
          <w:color w:val="auto"/>
        </w:rPr>
      </w:pPr>
    </w:p>
    <w:p>
      <w:pPr>
        <w:ind w:left="8" w:firstLine="974"/>
        <w:spacing w:after="0" w:line="271" w:lineRule="auto"/>
        <w:rPr>
          <w:sz w:val="20"/>
          <w:szCs w:val="20"/>
          <w:color w:val="auto"/>
        </w:rPr>
      </w:pPr>
      <w:r>
        <w:rPr>
          <w:rFonts w:ascii="Times New Roman" w:cs="Times New Roman" w:eastAsia="Times New Roman" w:hAnsi="Times New Roman"/>
          <w:sz w:val="17"/>
          <w:szCs w:val="17"/>
          <w:color w:val="auto"/>
        </w:rPr>
        <w:t xml:space="preserve">10.18 </w:t>
      </w:r>
      <w:r>
        <w:rPr>
          <w:rFonts w:ascii="Times New Roman" w:cs="Times New Roman" w:eastAsia="Times New Roman" w:hAnsi="Times New Roman"/>
          <w:sz w:val="17"/>
          <w:szCs w:val="17"/>
          <w:u w:val="single" w:color="auto"/>
          <w:color w:val="auto"/>
        </w:rPr>
        <w:t>USA Patriot Act and the Beneficial Ownership Regulation</w:t>
      </w:r>
      <w:r>
        <w:rPr>
          <w:rFonts w:ascii="Times New Roman" w:cs="Times New Roman" w:eastAsia="Times New Roman" w:hAnsi="Times New Roman"/>
          <w:sz w:val="17"/>
          <w:szCs w:val="17"/>
          <w:color w:val="auto"/>
        </w:rPr>
        <w:t>. Each Lender hereby notifies the Company and each Subsidiary Borrower that pursuant to the requirements of the USA Patriot Act (Title III of Pub. L. 107-56 (signed into law October 26, 2001)) (the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70" w:lineRule="exact"/>
        <w:rPr>
          <w:sz w:val="20"/>
          <w:szCs w:val="20"/>
          <w:color w:val="auto"/>
        </w:rPr>
      </w:pPr>
    </w:p>
    <w:p>
      <w:pPr>
        <w:ind w:left="8" w:right="20" w:firstLine="974"/>
        <w:spacing w:after="0" w:line="250"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Existing 364-Day Credit Agreement are amended as set forth in, and restated in their entirety and superseded by, this Agreement. Nothing in this Agreement shall be deemed to be a novation of any of the Obligations as defined in the Existing 364-Day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364-Day Credit Agreement. From and after the Closing Date, each reference to the “Agreement”, “Credit Agreement” or other reference originally applicable to the Existing 364-Day Credit Agreement contained in any Loan Document shall be a reference to this Agreement, as amended, supplemented, restated or otherwise modified from time to time.</w:t>
      </w:r>
    </w:p>
    <w:p>
      <w:pPr>
        <w:spacing w:after="0" w:line="189" w:lineRule="exact"/>
        <w:rPr>
          <w:sz w:val="20"/>
          <w:szCs w:val="20"/>
          <w:color w:val="auto"/>
        </w:rPr>
      </w:pPr>
    </w:p>
    <w:p>
      <w:pPr>
        <w:ind w:left="8" w:right="40" w:firstLine="974"/>
        <w:spacing w:after="0" w:line="255"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75" w:lineRule="exact"/>
        <w:rPr>
          <w:sz w:val="20"/>
          <w:szCs w:val="20"/>
          <w:color w:val="auto"/>
        </w:rPr>
      </w:pPr>
    </w:p>
    <w:p>
      <w:pPr>
        <w:ind w:left="8" w:right="560" w:firstLine="966"/>
        <w:spacing w:after="0" w:line="274" w:lineRule="auto"/>
        <w:tabs>
          <w:tab w:leader="none" w:pos="1223"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4" w:lineRule="exact"/>
        <w:rPr>
          <w:rFonts w:ascii="Times New Roman" w:cs="Times New Roman" w:eastAsia="Times New Roman" w:hAnsi="Times New Roman"/>
          <w:sz w:val="18"/>
          <w:szCs w:val="18"/>
          <w:color w:val="auto"/>
        </w:rPr>
      </w:pPr>
    </w:p>
    <w:p>
      <w:pPr>
        <w:ind w:left="1228" w:hanging="254"/>
        <w:spacing w:after="0"/>
        <w:tabs>
          <w:tab w:leader="none" w:pos="1228"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1" w:lineRule="exact"/>
        <w:rPr>
          <w:sz w:val="20"/>
          <w:szCs w:val="20"/>
          <w:color w:val="auto"/>
        </w:rPr>
      </w:pPr>
    </w:p>
    <w:p>
      <w:pPr>
        <w:ind w:left="5328" w:right="5100" w:hanging="4354"/>
        <w:spacing w:after="0" w:line="484" w:lineRule="auto"/>
        <w:tabs>
          <w:tab w:leader="none" w:pos="1190" w:val="left"/>
        </w:tabs>
        <w:numPr>
          <w:ilvl w:val="0"/>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full or in part or cancellation of any such liability; 73</w:t>
      </w:r>
    </w:p>
    <w:p>
      <w:pPr>
        <w:sectPr>
          <w:pgSz w:w="11900" w:h="16838" w:orient="portrait"/>
          <w:cols w:equalWidth="0" w:num="1">
            <w:col w:w="10828"/>
          </w:cols>
          <w:pgMar w:left="532" w:top="266" w:right="539" w:bottom="1440" w:gutter="0" w:footer="0" w:header="0"/>
        </w:sectPr>
      </w:pPr>
    </w:p>
    <w:bookmarkStart w:id="530" w:name="page531"/>
    <w:bookmarkEnd w:id="530"/>
    <w:p>
      <w:pPr>
        <w:ind w:left="420" w:right="120" w:firstLine="420"/>
        <w:spacing w:after="0" w:line="260" w:lineRule="auto"/>
        <w:tabs>
          <w:tab w:leader="none" w:pos="109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0" w:lineRule="exact"/>
        <w:rPr>
          <w:rFonts w:ascii="Times New Roman" w:cs="Times New Roman" w:eastAsia="Times New Roman" w:hAnsi="Times New Roman"/>
          <w:sz w:val="18"/>
          <w:szCs w:val="18"/>
          <w:color w:val="auto"/>
        </w:rPr>
      </w:pPr>
    </w:p>
    <w:p>
      <w:pPr>
        <w:ind w:left="420" w:right="160" w:firstLine="420"/>
        <w:spacing w:after="0" w:line="274" w:lineRule="auto"/>
        <w:tabs>
          <w:tab w:leader="none" w:pos="114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 xml:space="preserve">10.21 </w:t>
      </w:r>
      <w:r>
        <w:rPr>
          <w:rFonts w:ascii="Times New Roman" w:cs="Times New Roman" w:eastAsia="Times New Roman" w:hAnsi="Times New Roman"/>
          <w:sz w:val="17"/>
          <w:szCs w:val="17"/>
          <w:u w:val="single" w:color="auto"/>
          <w:color w:val="auto"/>
        </w:rPr>
        <w:t>Acknowledgement Regarding Any Supported QFCs</w:t>
      </w:r>
      <w:r>
        <w:rPr>
          <w:rFonts w:ascii="Times New Roman" w:cs="Times New Roman" w:eastAsia="Times New Roman" w:hAnsi="Times New Roman"/>
          <w:sz w:val="17"/>
          <w:szCs w:val="17"/>
          <w:color w:val="auto"/>
        </w:rPr>
        <w:t>. To the extent that the Loan Documents provide support, through a guarantee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Federal Deposit Insurance Act and Title II of the Dodd-Frank Wall Street Reform and Consumer Protection Act (together with the regulations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promulgated thereunder, the “</w:t>
      </w:r>
      <w:r>
        <w:rPr>
          <w:rFonts w:ascii="Times New Roman" w:cs="Times New Roman" w:eastAsia="Times New Roman" w:hAnsi="Times New Roman"/>
          <w:sz w:val="17"/>
          <w:szCs w:val="17"/>
          <w:u w:val="single" w:color="auto"/>
          <w:color w:val="auto"/>
        </w:rPr>
        <w:t>U.S. Special Resolution Regimes</w:t>
      </w:r>
      <w:r>
        <w:rPr>
          <w:rFonts w:ascii="Times New Roman" w:cs="Times New Roman" w:eastAsia="Times New Roman" w:hAnsi="Times New Roman"/>
          <w:sz w:val="17"/>
          <w:szCs w:val="17"/>
          <w:color w:val="auto"/>
        </w:rPr>
        <w:t>”) in respect of such Supported QFC and QFC Credit Support (with the provisions below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notwithstanding that the Loan Documents and any Supported QFC may in fact be stated to be governed by the laws of the State of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198" w:lineRule="exact"/>
        <w:rPr>
          <w:sz w:val="20"/>
          <w:szCs w:val="20"/>
          <w:color w:val="auto"/>
        </w:rPr>
      </w:pPr>
    </w:p>
    <w:p>
      <w:pPr>
        <w:ind w:right="20" w:firstLine="433"/>
        <w:spacing w:after="0" w:line="248"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4"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Interest Rate Limitations</w:t>
      </w:r>
      <w:r>
        <w:rPr>
          <w:rFonts w:ascii="Times New Roman" w:cs="Times New Roman" w:eastAsia="Times New Roman" w:hAnsi="Times New Roman"/>
          <w:sz w:val="18"/>
          <w:szCs w:val="18"/>
          <w:color w:val="auto"/>
        </w:rPr>
        <w:t xml:space="preserve">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820"/>
          </w:cols>
          <w:pgMar w:left="540" w:top="266" w:right="539" w:bottom="1440" w:gutter="0" w:footer="0" w:header="0"/>
        </w:sectPr>
      </w:pPr>
    </w:p>
    <w:bookmarkStart w:id="531" w:name="page532"/>
    <w:bookmarkEnd w:id="53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780"/>
          </w:cols>
          <w:pgMar w:left="540" w:top="266" w:right="579" w:bottom="1440" w:gutter="0" w:footer="0" w:header="0"/>
        </w:sectPr>
      </w:pPr>
    </w:p>
    <w:bookmarkStart w:id="532" w:name="page533"/>
    <w:bookmarkEnd w:id="532"/>
    <w:p>
      <w:pPr>
        <w:ind w:firstLine="974"/>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Rakesh K. Gupta</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FINANCIAL COMPANY,</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INC.</w:t>
      </w:r>
    </w:p>
    <w:p>
      <w:pPr>
        <w:spacing w:after="0" w:line="19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Richard A. Gokenbach, Jr.</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13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10360"/>
          </w:cols>
          <w:pgMar w:left="540" w:top="266" w:right="999" w:bottom="1440" w:gutter="0" w:footer="0" w:header="0"/>
        </w:sectPr>
      </w:pPr>
    </w:p>
    <w:bookmarkStart w:id="533" w:name="page534"/>
    <w:bookmarkEnd w:id="533"/>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JPMORGAN CHASE BANK, N.A., as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Administrative Agent and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Marlon Mathews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15240</wp:posOffset>
            </wp:positionV>
            <wp:extent cx="255206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Marlon Mathews</w:t>
      </w:r>
    </w:p>
    <w:p>
      <w:pPr>
        <w:spacing w:after="0" w:line="1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0"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7"/>
          <w:szCs w:val="17"/>
          <w:b w:val="1"/>
          <w:bCs w:val="1"/>
          <w:color w:val="auto"/>
        </w:rPr>
        <w:t>Signature Page to Fifth Amended and Restated 364-Day Revolving Credit Agreement</w:t>
      </w:r>
    </w:p>
    <w:p>
      <w:pPr>
        <w:sectPr>
          <w:pgSz w:w="11900" w:h="16838" w:orient="portrait"/>
          <w:cols w:equalWidth="0" w:num="1">
            <w:col w:w="9019"/>
          </w:cols>
          <w:pgMar w:left="1440" w:top="267" w:right="1440" w:bottom="1440" w:gutter="0" w:footer="0" w:header="0"/>
        </w:sectPr>
      </w:pPr>
    </w:p>
    <w:bookmarkStart w:id="534" w:name="page535"/>
    <w:bookmarkEnd w:id="534"/>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CITIBANK, N.A., as Syndication Agent and as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15240</wp:posOffset>
            </wp:positionV>
            <wp:extent cx="255206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Susan Olsen</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019"/>
          </w:cols>
          <w:pgMar w:left="1440" w:top="266" w:right="1440" w:bottom="1440" w:gutter="0" w:footer="0" w:header="0"/>
        </w:sectPr>
      </w:pPr>
    </w:p>
    <w:bookmarkStart w:id="535" w:name="page536"/>
    <w:bookmarkEnd w:id="535"/>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BANCO BILBAO VIZCAYA ARGENTARIA, S.A.</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NEW YORK BRANCH, as Lender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15240</wp:posOffset>
            </wp:positionV>
            <wp:extent cx="255206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15240</wp:posOffset>
            </wp:positionV>
            <wp:extent cx="255206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19"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0"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7"/>
          <w:szCs w:val="17"/>
          <w:b w:val="1"/>
          <w:bCs w:val="1"/>
          <w:color w:val="auto"/>
        </w:rPr>
        <w:t>Signature Page to Fifth Amended and Restated 364-Day Revolving Credit Agreement</w:t>
      </w:r>
    </w:p>
    <w:p>
      <w:pPr>
        <w:sectPr>
          <w:pgSz w:w="11900" w:h="16838" w:orient="portrait"/>
          <w:cols w:equalWidth="0" w:num="1">
            <w:col w:w="9300"/>
          </w:cols>
          <w:pgMar w:left="1440" w:top="267" w:right="1159" w:bottom="1440" w:gutter="0" w:footer="0" w:header="0"/>
        </w:sectPr>
      </w:pPr>
    </w:p>
    <w:bookmarkStart w:id="536" w:name="page537"/>
    <w:bookmarkEnd w:id="536"/>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Bank of America, N.A.,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Brian Lukehart</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Brian Lukehart</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37" w:name="page538"/>
    <w:bookmarkEnd w:id="537"/>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BARCLAYS BANK PLC,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Charlene Saldanha</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Charlene Saldanha</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7" w:right="539" w:bottom="1440" w:gutter="0" w:footer="0" w:header="0"/>
        </w:sectPr>
      </w:pPr>
    </w:p>
    <w:bookmarkStart w:id="538" w:name="page539"/>
    <w:bookmarkEnd w:id="538"/>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BNP Paribas,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Christopher Sked</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Christopher Sked</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Valentin Detry</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Valentin Detry</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39" w:name="page540"/>
    <w:bookmarkEnd w:id="539"/>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CREDIT AGRICOLE CORPORATE AND INVESTMENT</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BANK, 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Jill Wong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Jill Wong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Gordon Yip</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Gordon Yip</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7" w:right="539" w:bottom="1440" w:gutter="0" w:footer="0" w:header="0"/>
        </w:sectPr>
      </w:pPr>
    </w:p>
    <w:bookmarkStart w:id="540" w:name="page541"/>
    <w:bookmarkEnd w:id="54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DEUTSCHE BANK AG NEW YORK BRANCH, as Lender</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Annie Chung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Annie Chung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Marko Lukin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Marko Lukin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41" w:name="page542"/>
    <w:bookmarkEnd w:id="54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GOLDMAN SACHS BANK USA,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Jonathan Dworkin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Jonathan Dworkin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7" w:right="539" w:bottom="1440" w:gutter="0" w:footer="0" w:header="0"/>
        </w:sectPr>
      </w:pPr>
    </w:p>
    <w:bookmarkStart w:id="542" w:name="page543"/>
    <w:bookmarkEnd w:id="542"/>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Intesa Sanpaolo S.p.A., New York Branch,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Jordan Schweon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Jordan Schweon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Alessandro Toigo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Alessandro Toigo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 of Corporate Desk</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43" w:name="page544"/>
    <w:bookmarkEnd w:id="543"/>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MIZUHO BANK, LTD.,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Donna DeMagistris</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Donna DeMagistris</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44" w:name="page545"/>
    <w:bookmarkEnd w:id="544"/>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MORGAN STANLEY SENIOR FUNDING, INC.,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Michael King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45" w:name="page546"/>
    <w:bookmarkEnd w:id="545"/>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Royal Bank of Canada,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Benjamin Lennon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Benjamin Lennon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46" w:name="page547"/>
    <w:bookmarkEnd w:id="546"/>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BANCO SANTANDER, S.A., NEW YORK BRANCH,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Andres Barbosa</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Andres Barbosa</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Rita Walz-Cuccioli</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Rita Walz-Cuccioli</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47" w:name="page548"/>
    <w:bookmarkEnd w:id="547"/>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SOCIETE GENERALE,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Richard Bernal</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Richard Bernal</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48" w:name="page549"/>
    <w:bookmarkEnd w:id="548"/>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Sumitomo Mitsui Banking Corporation,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Minxiao Tian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Minxiao Tian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49" w:name="page550"/>
    <w:bookmarkEnd w:id="549"/>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Bank of Nova Scotia,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Troy Washington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Troy Washington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50" w:name="page551"/>
    <w:bookmarkEnd w:id="55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Toronto-Dominion Bank, New York Branch, as Lender</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Perlman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David Perlman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51" w:name="page552"/>
    <w:bookmarkEnd w:id="55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LLOYDS BANK CORPORATE MARKETS PLC, as</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Tina Wong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Tina Wong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Catherine Lim</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Catherine Lim</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52" w:name="page553"/>
    <w:bookmarkEnd w:id="552"/>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Canadian Imperial Bank of Commerce, New York</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Branch, 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Farhad Merali</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Farhad Merali</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 &amp; Authorized Signatory</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53" w:name="page554"/>
    <w:bookmarkEnd w:id="553"/>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UNICREDIT BANK AG, NEW YORK BRANCH,</w:t>
      </w:r>
    </w:p>
    <w:p>
      <w:pPr>
        <w:spacing w:after="0" w:line="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as Lender</w:t>
      </w:r>
    </w:p>
    <w:p>
      <w:pPr>
        <w:spacing w:after="0" w:line="19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Edward D. Herko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Edward D. Herko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Peter Daugavietis</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Peter Daugavietis</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7" w:right="539" w:bottom="1440" w:gutter="0" w:footer="0" w:header="0"/>
        </w:sectPr>
      </w:pPr>
    </w:p>
    <w:bookmarkStart w:id="554" w:name="page555"/>
    <w:bookmarkEnd w:id="554"/>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DBS BANK LTD.,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Kate Khoo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Kate Khoo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55" w:name="page556"/>
    <w:bookmarkEnd w:id="555"/>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MUFG Bank Ltd.,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Brett Parker</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Brett Parker</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Signature</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7" w:right="539" w:bottom="1440" w:gutter="0" w:footer="0" w:header="0"/>
        </w:sectPr>
      </w:pPr>
    </w:p>
    <w:bookmarkStart w:id="556" w:name="page557"/>
    <w:bookmarkEnd w:id="556"/>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U.S. BANK NATIONAL ASSOCIATION,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Jeffrey S. Johnson</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Jeffrey S. Johnson</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57" w:name="page558"/>
    <w:bookmarkEnd w:id="557"/>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Commerzbank AG, New York Branch,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Ravelo</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Michael Ravelo</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Mathew Ward</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Mathew Ward</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7" w:right="539" w:bottom="1440" w:gutter="0" w:footer="0" w:header="0"/>
        </w:sectPr>
      </w:pPr>
    </w:p>
    <w:bookmarkStart w:id="558" w:name="page559"/>
    <w:bookmarkEnd w:id="558"/>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Wells Fargo Bank, National Association,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Jonathan D. Beck</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Jonathan D. Beck</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59" w:name="page560"/>
    <w:bookmarkEnd w:id="559"/>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683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6770" cy="36830"/>
                    </a:xfrm>
                    <a:prstGeom prst="rect">
                      <a:avLst/>
                    </a:prstGeom>
                    <a:noFill/>
                  </pic:spPr>
                </pic:pic>
              </a:graphicData>
            </a:graphic>
          </wp:anchor>
        </w:drawing>
        <w:t>Bank of Montreal,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Chris Clark</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Chris Clark</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60" w:name="page561"/>
    <w:bookmarkEnd w:id="560"/>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ING Bank N.V. Dublin Branch,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Cormac Langford</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Cormac Langford</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Sean Hassett</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Sean Hassett</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61" w:name="page562"/>
    <w:bookmarkEnd w:id="56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The Bank of New York Mellon, as Lender</w:t>
      </w:r>
    </w:p>
    <w:p>
      <w:pPr>
        <w:spacing w:after="0" w:line="218" w:lineRule="exact"/>
        <w:rPr>
          <w:sz w:val="20"/>
          <w:szCs w:val="20"/>
          <w:color w:val="auto"/>
        </w:rPr>
      </w:pPr>
    </w:p>
    <w:tbl>
      <w:tblPr>
        <w:tblLayout w:type="fixed"/>
        <w:tblInd w:w="560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Tak Cheng</w:t>
            </w:r>
          </w:p>
        </w:tc>
      </w:tr>
      <w:tr>
        <w:trPr>
          <w:trHeight w:val="187"/>
        </w:trPr>
        <w:tc>
          <w:tcPr>
            <w:tcW w:w="5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Tak Cheng</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Revolving Credit Agreement</w:t>
      </w:r>
    </w:p>
    <w:p>
      <w:pPr>
        <w:sectPr>
          <w:pgSz w:w="11900" w:h="16838" w:orient="portrait"/>
          <w:cols w:equalWidth="0" w:num="1">
            <w:col w:w="9920"/>
          </w:cols>
          <w:pgMar w:left="1440" w:top="266" w:right="539" w:bottom="1440" w:gutter="0" w:footer="0" w:header="0"/>
        </w:sectPr>
      </w:pPr>
    </w:p>
    <w:bookmarkStart w:id="562" w:name="page563"/>
    <w:bookmarkEnd w:id="562"/>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1.1A</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2"/>
        </w:trPr>
        <w:tc>
          <w:tcPr>
            <w:tcW w:w="3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596"/>
        </w:trPr>
        <w:tc>
          <w:tcPr>
            <w:tcW w:w="3980" w:type="dxa"/>
            <w:vAlign w:val="bottom"/>
          </w:tcPr>
          <w:p>
            <w:pPr>
              <w:spacing w:after="0"/>
              <w:rPr>
                <w:sz w:val="24"/>
                <w:szCs w:val="24"/>
                <w:color w:val="auto"/>
              </w:rPr>
            </w:pPr>
          </w:p>
        </w:tc>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/DTTP I</w:t>
            </w:r>
            <w:r>
              <w:rPr>
                <w:rFonts w:ascii="Times New Roman" w:cs="Times New Roman" w:eastAsia="Times New Roman" w:hAnsi="Times New Roman"/>
                <w:sz w:val="14"/>
                <w:szCs w:val="14"/>
                <w:b w:val="1"/>
                <w:bCs w:val="1"/>
                <w:color w:val="auto"/>
              </w:rPr>
              <w:t>NFORMATION</w:t>
            </w: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6"/>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58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900" w:type="dxa"/>
            <w:vAlign w:val="bottom"/>
            <w:vMerge w:val="continue"/>
          </w:tcPr>
          <w:p>
            <w:pPr>
              <w:spacing w:after="0"/>
              <w:rPr>
                <w:sz w:val="12"/>
                <w:szCs w:val="12"/>
                <w:color w:val="auto"/>
              </w:rPr>
            </w:pPr>
          </w:p>
        </w:tc>
        <w:tc>
          <w:tcPr>
            <w:tcW w:w="98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4"/>
                <w:szCs w:val="14"/>
                <w:b w:val="1"/>
                <w:bCs w:val="1"/>
                <w:color w:val="auto"/>
              </w:rPr>
              <w:t>of Tax</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9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13/M/0268710/DTTP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13/C/62301/DTTP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9/B/75354/DTTP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Santander, S.A., New York Branch</w:t>
            </w: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013/S/357603/DTTP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13/B/7418/DTTP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5/B/255139/DTTP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3/C/80001/DTTP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Commerzbank AG, New York Branch</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7/C/25382/DTTP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5/C/0222082/DTTP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07/D/70006/DTTP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13/G/0351779/DTTP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Intesa Sanpaolo S.p.A. – New York Branch</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Lloyds Bank Corporate Markets plc</w:t>
            </w: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43/M/274822/DTTP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14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13/M/227953/DTTP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3/R/70780/DTTP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Credit Agreement Schedule 1.1A</w:t>
      </w:r>
    </w:p>
    <w:p>
      <w:pPr>
        <w:sectPr>
          <w:pgSz w:w="11900" w:h="16838" w:orient="portrait"/>
          <w:cols w:equalWidth="0" w:num="1">
            <w:col w:w="10820"/>
          </w:cols>
          <w:pgMar w:left="540" w:top="266" w:right="539" w:bottom="1440" w:gutter="0" w:footer="0" w:header="0"/>
        </w:sectPr>
      </w:pPr>
    </w:p>
    <w:bookmarkStart w:id="563" w:name="page564"/>
    <w:bookmarkEnd w:id="56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6"/>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460" w:type="dxa"/>
            <w:vAlign w:val="bottom"/>
            <w:gridSpan w:val="4"/>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8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Scheme Reference Number</w:t>
            </w:r>
          </w:p>
        </w:tc>
        <w:tc>
          <w:tcPr>
            <w:tcW w:w="200" w:type="dxa"/>
            <w:vAlign w:val="bottom"/>
          </w:tcPr>
          <w:p>
            <w:pPr>
              <w:spacing w:after="0"/>
              <w:rPr>
                <w:sz w:val="12"/>
                <w:szCs w:val="12"/>
                <w:color w:val="auto"/>
              </w:rPr>
            </w:pPr>
          </w:p>
        </w:tc>
        <w:tc>
          <w:tcPr>
            <w:tcW w:w="8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of Tax</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Societe Generale</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5/S/70085/DTTP</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43/S/274647/DTTP</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003/T/0366714/DTTP</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3/T/80000/DTTP</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3/M/270436/DTTP</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67/D/363894/DTTP</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43/B/322072/DTTP</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13/U/62184/DTTP</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UniCredit Bank AG, New York Branch</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7/U/237605/DTTP</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13/W/61173/DTTP</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ING Bank N.V., Dublin Branch</w:t>
            </w: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12-I-371270-DTTP</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(with respect to ING Ireland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DAC as applicable lending office)</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13/B/357401/DTTP</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Credit Agreement Schedule 1.1A</w:t>
      </w:r>
    </w:p>
    <w:p>
      <w:pPr>
        <w:sectPr>
          <w:pgSz w:w="11900" w:h="16838" w:orient="portrait"/>
          <w:cols w:equalWidth="0" w:num="1">
            <w:col w:w="10820"/>
          </w:cols>
          <w:pgMar w:left="540" w:top="245" w:right="539" w:bottom="1440" w:gutter="0" w:footer="0" w:header="0"/>
        </w:sectPr>
      </w:pPr>
    </w:p>
    <w:bookmarkStart w:id="564" w:name="page565"/>
    <w:bookmarkEnd w:id="564"/>
    <w:p>
      <w:pPr>
        <w:ind w:left="95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1.1B</w:t>
      </w:r>
    </w:p>
    <w:p>
      <w:pPr>
        <w:spacing w:after="0" w:line="36"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6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Initial Excluded Subsidiaries</w:t>
            </w:r>
          </w:p>
        </w:tc>
        <w:tc>
          <w:tcPr>
            <w:tcW w:w="0" w:type="dxa"/>
            <w:vAlign w:val="bottom"/>
          </w:tcPr>
          <w:p>
            <w:pPr>
              <w:spacing w:after="0"/>
              <w:rPr>
                <w:sz w:val="1"/>
                <w:szCs w:val="1"/>
                <w:color w:val="auto"/>
              </w:rPr>
            </w:pPr>
          </w:p>
        </w:tc>
      </w:tr>
      <w:tr>
        <w:trPr>
          <w:trHeight w:val="359"/>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4680" w:type="dxa"/>
            <w:vAlign w:val="bottom"/>
            <w:gridSpan w:val="3"/>
          </w:tcPr>
          <w:p>
            <w:pPr>
              <w:jc w:val="center"/>
              <w:ind w:left="3723"/>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4680" w:type="dxa"/>
            <w:vAlign w:val="bottom"/>
            <w:gridSpan w:val="3"/>
          </w:tcPr>
          <w:p>
            <w:pPr>
              <w:jc w:val="center"/>
              <w:ind w:left="3723"/>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87"/>
        </w:trPr>
        <w:tc>
          <w:tcPr>
            <w:tcW w:w="9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Cruise LLC</w:t>
            </w:r>
          </w:p>
        </w:tc>
        <w:tc>
          <w:tcPr>
            <w:tcW w:w="30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82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Canada Holdings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GMGP Holdings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National Insurance Company</w:t>
            </w:r>
          </w:p>
        </w:tc>
        <w:tc>
          <w:tcPr>
            <w:tcW w:w="3840" w:type="dxa"/>
            <w:vAlign w:val="bottom"/>
          </w:tcPr>
          <w:p>
            <w:pPr>
              <w:spacing w:after="0"/>
              <w:rPr>
                <w:sz w:val="18"/>
                <w:szCs w:val="18"/>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Illinois</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Insurance Services, Inc.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2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Property and Casualty Insurance Company</w:t>
            </w:r>
          </w:p>
        </w:tc>
        <w:tc>
          <w:tcPr>
            <w:tcW w:w="3840" w:type="dxa"/>
            <w:vAlign w:val="bottom"/>
          </w:tcPr>
          <w:p>
            <w:pPr>
              <w:spacing w:after="0"/>
              <w:rPr>
                <w:sz w:val="19"/>
                <w:szCs w:val="19"/>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Indemnity Company</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38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3840" w:type="dxa"/>
            <w:vAlign w:val="bottom"/>
          </w:tcPr>
          <w:p>
            <w:pPr>
              <w:spacing w:after="0"/>
              <w:rPr>
                <w:sz w:val="20"/>
                <w:szCs w:val="20"/>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35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Schedule 1.1B</w:t>
            </w:r>
          </w:p>
        </w:tc>
        <w:tc>
          <w:tcPr>
            <w:tcW w:w="3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266" w:right="539" w:bottom="1440" w:gutter="0" w:footer="0" w:header="0"/>
        </w:sectPr>
      </w:pPr>
    </w:p>
    <w:bookmarkStart w:id="565" w:name="page566"/>
    <w:bookmarkEnd w:id="5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SCHEDULE 1.1C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PRICING GRID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Applicable</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All-in Spread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for Daily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left="116"/>
              <w:spacing w:after="0" w:line="146" w:lineRule="exact"/>
              <w:rPr>
                <w:sz w:val="20"/>
                <w:szCs w:val="20"/>
                <w:color w:val="auto"/>
              </w:rPr>
            </w:pPr>
            <w:r>
              <w:rPr>
                <w:rFonts w:ascii="Times New Roman" w:cs="Times New Roman" w:eastAsia="Times New Roman" w:hAnsi="Times New Roman"/>
                <w:sz w:val="14"/>
                <w:szCs w:val="14"/>
                <w:b w:val="1"/>
                <w:bCs w:val="1"/>
                <w:color w:val="auto"/>
              </w:rPr>
              <w:t>Daily Simple</w:t>
            </w: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40" w:type="dxa"/>
            <w:vAlign w:val="bottom"/>
            <w:gridSpan w:val="3"/>
          </w:tcPr>
          <w:p>
            <w:pPr>
              <w:jc w:val="center"/>
              <w:ind w:left="134"/>
              <w:spacing w:after="0" w:line="146" w:lineRule="exact"/>
              <w:rPr>
                <w:sz w:val="20"/>
                <w:szCs w:val="20"/>
                <w:color w:val="auto"/>
              </w:rPr>
            </w:pPr>
            <w:r>
              <w:rPr>
                <w:rFonts w:ascii="Times New Roman" w:cs="Times New Roman" w:eastAsia="Times New Roman" w:hAnsi="Times New Roman"/>
                <w:sz w:val="14"/>
                <w:szCs w:val="14"/>
                <w:b w:val="1"/>
                <w:bCs w:val="1"/>
                <w:color w:val="auto"/>
              </w:rPr>
              <w:t>Simple SOFR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left="116"/>
              <w:spacing w:after="0" w:line="146" w:lineRule="exact"/>
              <w:rPr>
                <w:sz w:val="20"/>
                <w:szCs w:val="20"/>
                <w:color w:val="auto"/>
              </w:rPr>
            </w:pPr>
            <w:r>
              <w:rPr>
                <w:rFonts w:ascii="Times New Roman" w:cs="Times New Roman" w:eastAsia="Times New Roman" w:hAnsi="Times New Roman"/>
                <w:sz w:val="14"/>
                <w:szCs w:val="14"/>
                <w:b w:val="1"/>
                <w:bCs w:val="1"/>
                <w:color w:val="auto"/>
              </w:rPr>
              <w:t>SOFR Loans</w:t>
            </w:r>
          </w:p>
        </w:tc>
        <w:tc>
          <w:tcPr>
            <w:tcW w:w="6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660" w:type="dxa"/>
            <w:vAlign w:val="bottom"/>
          </w:tcPr>
          <w:p>
            <w:pPr>
              <w:spacing w:after="0"/>
              <w:rPr>
                <w:sz w:val="12"/>
                <w:szCs w:val="12"/>
                <w:color w:val="auto"/>
              </w:rPr>
            </w:pPr>
          </w:p>
        </w:tc>
        <w:tc>
          <w:tcPr>
            <w:tcW w:w="128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46"/>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Term</w:t>
            </w:r>
          </w:p>
        </w:tc>
        <w:tc>
          <w:tcPr>
            <w:tcW w:w="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44"/>
        </w:trPr>
        <w:tc>
          <w:tcPr>
            <w:tcW w:w="2920" w:type="dxa"/>
            <w:vAlign w:val="bottom"/>
            <w:gridSpan w:val="3"/>
            <w:vMerge w:val="continue"/>
          </w:tcPr>
          <w:p>
            <w:pPr>
              <w:spacing w:after="0"/>
              <w:rPr>
                <w:sz w:val="12"/>
                <w:szCs w:val="12"/>
                <w:color w:val="auto"/>
              </w:rPr>
            </w:pPr>
          </w:p>
        </w:tc>
        <w:tc>
          <w:tcPr>
            <w:tcW w:w="2880" w:type="dxa"/>
            <w:vAlign w:val="bottom"/>
            <w:gridSpan w:val="5"/>
            <w:vMerge w:val="restart"/>
          </w:tcPr>
          <w:p>
            <w:pPr>
              <w:jc w:val="center"/>
              <w:ind w:left="814"/>
              <w:spacing w:after="0"/>
              <w:rPr>
                <w:sz w:val="20"/>
                <w:szCs w:val="20"/>
                <w:color w:val="auto"/>
              </w:rPr>
            </w:pPr>
            <w:r>
              <w:rPr>
                <w:rFonts w:ascii="Times New Roman" w:cs="Times New Roman" w:eastAsia="Times New Roman" w:hAnsi="Times New Roman"/>
                <w:sz w:val="14"/>
                <w:szCs w:val="14"/>
                <w:b w:val="1"/>
                <w:bCs w:val="1"/>
                <w:color w:val="auto"/>
              </w:rPr>
              <w:t>Facility Fee Rate</w:t>
            </w:r>
          </w:p>
        </w:tc>
        <w:tc>
          <w:tcPr>
            <w:tcW w:w="20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Benchmark</w:t>
            </w:r>
          </w:p>
        </w:tc>
        <w:tc>
          <w:tcPr>
            <w:tcW w:w="1680" w:type="dxa"/>
            <w:vAlign w:val="bottom"/>
            <w:gridSpan w:val="2"/>
          </w:tcPr>
          <w:p>
            <w:pPr>
              <w:jc w:val="center"/>
              <w:ind w:left="574"/>
              <w:spacing w:after="0" w:line="144" w:lineRule="exact"/>
              <w:rPr>
                <w:sz w:val="20"/>
                <w:szCs w:val="20"/>
                <w:color w:val="auto"/>
              </w:rPr>
            </w:pPr>
            <w:r>
              <w:rPr>
                <w:rFonts w:ascii="Times New Roman" w:cs="Times New Roman" w:eastAsia="Times New Roman" w:hAnsi="Times New Roman"/>
                <w:sz w:val="14"/>
                <w:szCs w:val="14"/>
                <w:b w:val="1"/>
                <w:bCs w:val="1"/>
                <w:color w:val="auto"/>
                <w:w w:val="98"/>
              </w:rPr>
              <w:t>Margin for ABR</w:t>
            </w:r>
          </w:p>
        </w:tc>
        <w:tc>
          <w:tcPr>
            <w:tcW w:w="660" w:type="dxa"/>
            <w:vAlign w:val="bottom"/>
          </w:tcPr>
          <w:p>
            <w:pPr>
              <w:spacing w:after="0"/>
              <w:rPr>
                <w:sz w:val="12"/>
                <w:szCs w:val="12"/>
                <w:color w:val="auto"/>
              </w:rPr>
            </w:pPr>
          </w:p>
        </w:tc>
        <w:tc>
          <w:tcPr>
            <w:tcW w:w="1280" w:type="dxa"/>
            <w:vAlign w:val="bottom"/>
            <w:gridSpan w:val="2"/>
          </w:tcPr>
          <w:p>
            <w:pPr>
              <w:jc w:val="center"/>
              <w:ind w:right="440"/>
              <w:spacing w:after="0" w:line="144"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0" w:type="dxa"/>
            <w:vAlign w:val="bottom"/>
          </w:tcPr>
          <w:p>
            <w:pPr>
              <w:spacing w:after="0"/>
              <w:rPr>
                <w:sz w:val="1"/>
                <w:szCs w:val="1"/>
                <w:color w:val="auto"/>
              </w:rPr>
            </w:pPr>
          </w:p>
        </w:tc>
      </w:tr>
      <w:tr>
        <w:trPr>
          <w:trHeight w:val="179"/>
        </w:trPr>
        <w:tc>
          <w:tcPr>
            <w:tcW w:w="292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Applicable Rating</w:t>
            </w:r>
          </w:p>
        </w:tc>
        <w:tc>
          <w:tcPr>
            <w:tcW w:w="288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680" w:type="dxa"/>
            <w:vAlign w:val="bottom"/>
          </w:tcPr>
          <w:p>
            <w:pPr>
              <w:spacing w:after="0"/>
              <w:rPr>
                <w:sz w:val="15"/>
                <w:szCs w:val="15"/>
                <w:color w:val="auto"/>
              </w:rPr>
            </w:pPr>
          </w:p>
        </w:tc>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Loans</w:t>
            </w:r>
          </w:p>
        </w:tc>
        <w:tc>
          <w:tcPr>
            <w:tcW w:w="660" w:type="dxa"/>
            <w:vAlign w:val="bottom"/>
          </w:tcPr>
          <w:p>
            <w:pPr>
              <w:spacing w:after="0"/>
              <w:rPr>
                <w:sz w:val="15"/>
                <w:szCs w:val="15"/>
                <w:color w:val="auto"/>
              </w:rPr>
            </w:pPr>
          </w:p>
        </w:tc>
        <w:tc>
          <w:tcPr>
            <w:tcW w:w="1280" w:type="dxa"/>
            <w:vAlign w:val="bottom"/>
            <w:gridSpan w:val="2"/>
          </w:tcPr>
          <w:p>
            <w:pPr>
              <w:jc w:val="center"/>
              <w:ind w:right="4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≥A/A2/A</w:t>
            </w:r>
          </w:p>
        </w:tc>
        <w:tc>
          <w:tcPr>
            <w:tcW w:w="18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w:t>
            </w:r>
          </w:p>
        </w:tc>
        <w:tc>
          <w:tcPr>
            <w:tcW w:w="6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w:t>
            </w: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A-/A3/A-</w:t>
            </w:r>
          </w:p>
        </w:tc>
        <w:tc>
          <w:tcPr>
            <w:tcW w:w="2400" w:type="dxa"/>
            <w:vAlign w:val="bottom"/>
            <w:gridSpan w:val="3"/>
          </w:tcPr>
          <w:p>
            <w:pPr>
              <w:jc w:val="center"/>
              <w:ind w:left="1294"/>
              <w:spacing w:after="0"/>
              <w:rPr>
                <w:sz w:val="20"/>
                <w:szCs w:val="20"/>
                <w:color w:val="auto"/>
              </w:rPr>
            </w:pPr>
            <w:r>
              <w:rPr>
                <w:rFonts w:ascii="Times New Roman" w:cs="Times New Roman" w:eastAsia="Times New Roman" w:hAnsi="Times New Roman"/>
                <w:sz w:val="18"/>
                <w:szCs w:val="18"/>
                <w:color w:val="auto"/>
                <w:w w:val="97"/>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7"/>
              </w:rPr>
              <w:t>[***]</w:t>
            </w:r>
          </w:p>
        </w:tc>
        <w:tc>
          <w:tcPr>
            <w:tcW w:w="168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150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2400" w:type="dxa"/>
            <w:vAlign w:val="bottom"/>
            <w:gridSpan w:val="3"/>
            <w:shd w:val="clear" w:color="auto" w:fill="CCEEFF"/>
          </w:tcPr>
          <w:p>
            <w:pPr>
              <w:jc w:val="center"/>
              <w:ind w:left="1294"/>
              <w:spacing w:after="0"/>
              <w:rPr>
                <w:sz w:val="20"/>
                <w:szCs w:val="20"/>
                <w:color w:val="auto"/>
              </w:rPr>
            </w:pPr>
            <w:r>
              <w:rPr>
                <w:rFonts w:ascii="Times New Roman" w:cs="Times New Roman" w:eastAsia="Times New Roman" w:hAnsi="Times New Roman"/>
                <w:sz w:val="18"/>
                <w:szCs w:val="18"/>
                <w:color w:val="auto"/>
                <w:w w:val="97"/>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7"/>
              </w:rPr>
              <w:t>[***]</w:t>
            </w:r>
          </w:p>
        </w:tc>
        <w:tc>
          <w:tcPr>
            <w:tcW w:w="1680" w:type="dxa"/>
            <w:vAlign w:val="bottom"/>
            <w:gridSpan w:val="2"/>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1500" w:type="dxa"/>
            <w:vAlign w:val="bottom"/>
            <w:gridSpan w:val="2"/>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Baa2 / BBB</w:t>
            </w:r>
          </w:p>
        </w:tc>
        <w:tc>
          <w:tcPr>
            <w:tcW w:w="2400" w:type="dxa"/>
            <w:vAlign w:val="bottom"/>
            <w:gridSpan w:val="3"/>
          </w:tcPr>
          <w:p>
            <w:pPr>
              <w:jc w:val="center"/>
              <w:ind w:left="1294"/>
              <w:spacing w:after="0"/>
              <w:rPr>
                <w:sz w:val="20"/>
                <w:szCs w:val="20"/>
                <w:color w:val="auto"/>
              </w:rPr>
            </w:pPr>
            <w:r>
              <w:rPr>
                <w:rFonts w:ascii="Times New Roman" w:cs="Times New Roman" w:eastAsia="Times New Roman" w:hAnsi="Times New Roman"/>
                <w:sz w:val="18"/>
                <w:szCs w:val="18"/>
                <w:color w:val="auto"/>
                <w:w w:val="97"/>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7"/>
              </w:rPr>
              <w:t>[***]</w:t>
            </w:r>
          </w:p>
        </w:tc>
        <w:tc>
          <w:tcPr>
            <w:tcW w:w="168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150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Baa3 / BBB-</w:t>
            </w:r>
          </w:p>
        </w:tc>
        <w:tc>
          <w:tcPr>
            <w:tcW w:w="2400" w:type="dxa"/>
            <w:vAlign w:val="bottom"/>
            <w:gridSpan w:val="3"/>
            <w:shd w:val="clear" w:color="auto" w:fill="CCEEFF"/>
          </w:tcPr>
          <w:p>
            <w:pPr>
              <w:jc w:val="center"/>
              <w:ind w:left="1294"/>
              <w:spacing w:after="0"/>
              <w:rPr>
                <w:sz w:val="20"/>
                <w:szCs w:val="20"/>
                <w:color w:val="auto"/>
              </w:rPr>
            </w:pPr>
            <w:r>
              <w:rPr>
                <w:rFonts w:ascii="Times New Roman" w:cs="Times New Roman" w:eastAsia="Times New Roman" w:hAnsi="Times New Roman"/>
                <w:sz w:val="18"/>
                <w:szCs w:val="18"/>
                <w:color w:val="auto"/>
                <w:w w:val="97"/>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7"/>
              </w:rPr>
              <w:t>[***]</w:t>
            </w:r>
          </w:p>
        </w:tc>
        <w:tc>
          <w:tcPr>
            <w:tcW w:w="1680" w:type="dxa"/>
            <w:vAlign w:val="bottom"/>
            <w:gridSpan w:val="2"/>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1500" w:type="dxa"/>
            <w:vAlign w:val="bottom"/>
            <w:gridSpan w:val="2"/>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 / Ba1 / BB+</w:t>
            </w:r>
          </w:p>
        </w:tc>
        <w:tc>
          <w:tcPr>
            <w:tcW w:w="2400" w:type="dxa"/>
            <w:vAlign w:val="bottom"/>
            <w:gridSpan w:val="3"/>
          </w:tcPr>
          <w:p>
            <w:pPr>
              <w:jc w:val="center"/>
              <w:ind w:left="1294"/>
              <w:spacing w:after="0"/>
              <w:rPr>
                <w:sz w:val="20"/>
                <w:szCs w:val="20"/>
                <w:color w:val="auto"/>
              </w:rPr>
            </w:pPr>
            <w:r>
              <w:rPr>
                <w:rFonts w:ascii="Times New Roman" w:cs="Times New Roman" w:eastAsia="Times New Roman" w:hAnsi="Times New Roman"/>
                <w:sz w:val="18"/>
                <w:szCs w:val="18"/>
                <w:color w:val="auto"/>
                <w:w w:val="97"/>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7"/>
              </w:rPr>
              <w:t>[***]</w:t>
            </w:r>
          </w:p>
        </w:tc>
        <w:tc>
          <w:tcPr>
            <w:tcW w:w="168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150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BB / Ba2 / BB</w:t>
            </w:r>
          </w:p>
        </w:tc>
        <w:tc>
          <w:tcPr>
            <w:tcW w:w="2400" w:type="dxa"/>
            <w:vAlign w:val="bottom"/>
            <w:gridSpan w:val="3"/>
            <w:shd w:val="clear" w:color="auto" w:fill="CCEEFF"/>
          </w:tcPr>
          <w:p>
            <w:pPr>
              <w:jc w:val="center"/>
              <w:ind w:left="1294"/>
              <w:spacing w:after="0"/>
              <w:rPr>
                <w:sz w:val="20"/>
                <w:szCs w:val="20"/>
                <w:color w:val="auto"/>
              </w:rPr>
            </w:pPr>
            <w:r>
              <w:rPr>
                <w:rFonts w:ascii="Times New Roman" w:cs="Times New Roman" w:eastAsia="Times New Roman" w:hAnsi="Times New Roman"/>
                <w:sz w:val="18"/>
                <w:szCs w:val="18"/>
                <w:color w:val="auto"/>
                <w:w w:val="97"/>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7"/>
              </w:rPr>
              <w:t>[***]</w:t>
            </w:r>
          </w:p>
        </w:tc>
        <w:tc>
          <w:tcPr>
            <w:tcW w:w="1680" w:type="dxa"/>
            <w:vAlign w:val="bottom"/>
            <w:gridSpan w:val="2"/>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7"/>
              </w:rPr>
              <w:t>[***]</w:t>
            </w:r>
          </w:p>
        </w:tc>
        <w:tc>
          <w:tcPr>
            <w:tcW w:w="1500" w:type="dxa"/>
            <w:vAlign w:val="bottom"/>
            <w:gridSpan w:val="2"/>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firstLine="433"/>
        <w:spacing w:after="0" w:line="249" w:lineRule="auto"/>
        <w:rPr>
          <w:sz w:val="20"/>
          <w:szCs w:val="20"/>
          <w:color w:val="auto"/>
        </w:rPr>
      </w:pPr>
      <w:r>
        <w:rPr>
          <w:rFonts w:ascii="Times New Roman" w:cs="Times New Roman" w:eastAsia="Times New Roman" w:hAnsi="Times New Roman"/>
          <w:sz w:val="18"/>
          <w:szCs w:val="18"/>
          <w:color w:val="auto"/>
        </w:rPr>
        <w:t>Changes in the Applicable Margin and Facility Fee Rate set forth in the pricing grid above shall become effective on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1.1C</w:t>
      </w:r>
    </w:p>
    <w:p>
      <w:pPr>
        <w:sectPr>
          <w:pgSz w:w="11900" w:h="16838" w:orient="portrait"/>
          <w:cols w:equalWidth="0" w:num="1">
            <w:col w:w="10820"/>
          </w:cols>
          <w:pgMar w:left="540" w:top="267" w:right="539" w:bottom="1440" w:gutter="0" w:footer="0" w:header="0"/>
        </w:sectPr>
      </w:pPr>
    </w:p>
    <w:bookmarkStart w:id="566" w:name="page567"/>
    <w:bookmarkEnd w:id="566"/>
    <w:p>
      <w:pPr>
        <w:ind w:left="9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1.1 D</w:t>
      </w:r>
    </w:p>
    <w:p>
      <w:pPr>
        <w:spacing w:after="0" w:line="36"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Existing Liens</w:t>
      </w:r>
    </w:p>
    <w:p>
      <w:pPr>
        <w:spacing w:after="0" w:line="218" w:lineRule="exact"/>
        <w:rPr>
          <w:sz w:val="20"/>
          <w:szCs w:val="20"/>
          <w:color w:val="auto"/>
        </w:rPr>
      </w:pPr>
    </w:p>
    <w:p>
      <w:pPr>
        <w:ind w:right="1420"/>
        <w:spacing w:after="0" w:line="443" w:lineRule="auto"/>
        <w:rPr>
          <w:sz w:val="20"/>
          <w:szCs w:val="20"/>
          <w:color w:val="auto"/>
        </w:rPr>
      </w:pPr>
      <w:r>
        <w:rPr>
          <w:rFonts w:ascii="Times New Roman" w:cs="Times New Roman" w:eastAsia="Times New Roman" w:hAnsi="Times New Roman"/>
          <w:sz w:val="18"/>
          <w:szCs w:val="18"/>
          <w:color w:val="auto"/>
        </w:rPr>
        <w:t>Liens reflected in the lien search results, dated as of March 29, 2023 delivered to the Administrative Agent prior to the Closing Date. Credit Agreement Schedule 1.1D</w:t>
      </w:r>
    </w:p>
    <w:p>
      <w:pPr>
        <w:sectPr>
          <w:pgSz w:w="11900" w:h="16838" w:orient="portrait"/>
          <w:cols w:equalWidth="0" w:num="1">
            <w:col w:w="10820"/>
          </w:cols>
          <w:pgMar w:left="540" w:top="267" w:right="539" w:bottom="1440" w:gutter="0" w:footer="0" w:header="0"/>
        </w:sectPr>
      </w:pPr>
    </w:p>
    <w:bookmarkStart w:id="567" w:name="page568"/>
    <w:bookmarkEnd w:id="567"/>
    <w:p>
      <w:pPr>
        <w:ind w:left="94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1.1 E</w:t>
      </w:r>
    </w:p>
    <w:p>
      <w:pPr>
        <w:spacing w:after="0" w:line="36"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Excluded Subsidiary Businesses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1.1E</w:t>
      </w:r>
    </w:p>
    <w:p>
      <w:pPr>
        <w:sectPr>
          <w:pgSz w:w="11900" w:h="16838" w:orient="portrait"/>
          <w:cols w:equalWidth="0" w:num="1">
            <w:col w:w="10820"/>
          </w:cols>
          <w:pgMar w:left="540" w:top="267" w:right="539" w:bottom="1440" w:gutter="0" w:footer="0" w:header="0"/>
        </w:sectPr>
      </w:pPr>
    </w:p>
    <w:bookmarkStart w:id="568" w:name="page569"/>
    <w:bookmarkEnd w:id="568"/>
    <w:p>
      <w:pPr>
        <w:ind w:left="9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4.6</w:t>
      </w:r>
    </w:p>
    <w:p>
      <w:pPr>
        <w:spacing w:after="0" w:line="36"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4.6</w:t>
      </w:r>
    </w:p>
    <w:p>
      <w:pPr>
        <w:sectPr>
          <w:pgSz w:w="11900" w:h="16838" w:orient="portrait"/>
          <w:cols w:equalWidth="0" w:num="1">
            <w:col w:w="10820"/>
          </w:cols>
          <w:pgMar w:left="540" w:top="267" w:right="539" w:bottom="1440" w:gutter="0" w:footer="0" w:header="0"/>
        </w:sectPr>
      </w:pPr>
    </w:p>
    <w:bookmarkStart w:id="569" w:name="page570"/>
    <w:bookmarkEnd w:id="56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Execution Version</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176530</wp:posOffset>
            </wp:positionV>
            <wp:extent cx="687387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7387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218440</wp:posOffset>
            </wp:positionV>
            <wp:extent cx="687387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7387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FIFTH AMENDED AND RESTATED GUARANTEE AGREEMENT</w:t>
      </w:r>
    </w:p>
    <w:p>
      <w:pPr>
        <w:spacing w:after="0" w:line="21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made by</w:t>
      </w:r>
    </w:p>
    <w:p>
      <w:pPr>
        <w:spacing w:after="0" w:line="21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 xml:space="preserve">AND CERTAIN OTHER PERSONS FROM TIME TO TIME PARTIES HERETO, </w:t>
      </w:r>
      <w:r>
        <w:rPr>
          <w:rFonts w:ascii="Times New Roman" w:cs="Times New Roman" w:eastAsia="Times New Roman" w:hAnsi="Times New Roman"/>
          <w:sz w:val="17"/>
          <w:szCs w:val="17"/>
          <w:i w:val="1"/>
          <w:iCs w:val="1"/>
          <w:color w:val="auto"/>
        </w:rPr>
        <w:t>as the Guarantors</w:t>
      </w:r>
    </w:p>
    <w:p>
      <w:pPr>
        <w:spacing w:after="0" w:line="2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in favor of</w:t>
      </w:r>
    </w:p>
    <w:p>
      <w:pPr>
        <w:spacing w:after="0" w:line="21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Dated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183515</wp:posOffset>
            </wp:positionV>
            <wp:extent cx="687387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7387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225425</wp:posOffset>
            </wp:positionV>
            <wp:extent cx="687387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73875" cy="8255"/>
                    </a:xfrm>
                    <a:prstGeom prst="rect">
                      <a:avLst/>
                    </a:prstGeom>
                    <a:noFill/>
                  </pic:spPr>
                </pic:pic>
              </a:graphicData>
            </a:graphic>
          </wp:anchor>
        </w:drawing>
      </w:r>
    </w:p>
    <w:p>
      <w:pPr>
        <w:sectPr>
          <w:pgSz w:w="11900" w:h="16838" w:orient="portrait"/>
          <w:cols w:equalWidth="0" w:num="1">
            <w:col w:w="9920"/>
          </w:cols>
          <w:pgMar w:left="1440" w:top="263" w:right="539" w:bottom="1440" w:gutter="0" w:footer="0" w:header="0"/>
        </w:sectPr>
      </w:pPr>
    </w:p>
    <w:bookmarkStart w:id="570" w:name="page571"/>
    <w:bookmarkEnd w:id="570"/>
    <w:tbl>
      <w:tblPr>
        <w:tblLayout w:type="fixed"/>
        <w:tblInd w:w="0" w:type="dxa"/>
        <w:tblCellMar>
          <w:top w:w="0" w:type="dxa"/>
          <w:left w:w="0" w:type="dxa"/>
          <w:bottom w:w="0" w:type="dxa"/>
          <w:right w:w="0" w:type="dxa"/>
        </w:tblCellMar>
      </w:tblPr>
      <w:tr>
        <w:trPr>
          <w:trHeight w:val="232"/>
        </w:trPr>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6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TABLE OF CONTENTS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44"/>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445"/>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 DEFINED TERMS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9"/>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 Guarantee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9"/>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Contribution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Subrogation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Reinstatement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 MISCELLANEOUS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9"/>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in Writing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Successors and Assigns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Electronic Signature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Headings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3.10</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Integration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3.13</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Judgment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3.14</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Guarantors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3.15</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3.16</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0"/>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ANNEX</w:t>
            </w:r>
          </w:p>
        </w:tc>
        <w:tc>
          <w:tcPr>
            <w:tcW w:w="2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Annex I</w:t>
      </w:r>
      <w:r>
        <w:rPr>
          <w:sz w:val="20"/>
          <w:szCs w:val="20"/>
          <w:color w:val="auto"/>
        </w:rPr>
        <w:tab/>
      </w:r>
      <w:r>
        <w:rPr>
          <w:rFonts w:ascii="Times New Roman" w:cs="Times New Roman" w:eastAsia="Times New Roman" w:hAnsi="Times New Roman"/>
          <w:sz w:val="17"/>
          <w:szCs w:val="17"/>
          <w:color w:val="auto"/>
        </w:rPr>
        <w:t>Form of Joinder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20"/>
          </w:cols>
          <w:pgMar w:left="540" w:top="266" w:right="539" w:bottom="1440" w:gutter="0" w:footer="0" w:header="0"/>
        </w:sectPr>
      </w:pPr>
    </w:p>
    <w:bookmarkStart w:id="571" w:name="page572"/>
    <w:bookmarkEnd w:id="571"/>
    <w:p>
      <w:pPr>
        <w:ind w:right="140" w:firstLine="97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FIFTH AMENDED AND RESTATED GUARANTEE AGREEMENT, dated as of March 31, 2023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by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Subsidiary Guarantors (such term and certain other capitalized terms used herein being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from time to time party hereto, and each of the Other Guarantors from time to time party hereto (together with the Company and the Subsidiary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party to the Fifth Amended and Restated 364-Day Revolving Credit Agreement, dated as of the date hereof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other agents named therein.</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WHEREAS, each of the Company and the Subsidiary Borrowers is a member of an affiliated group of companies that includes each other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198" w:lineRule="exact"/>
        <w:rPr>
          <w:sz w:val="20"/>
          <w:szCs w:val="20"/>
          <w:color w:val="auto"/>
        </w:rPr>
      </w:pPr>
    </w:p>
    <w:p>
      <w:pPr>
        <w:ind w:right="260" w:firstLine="974"/>
        <w:spacing w:after="0" w:line="274"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64" w:lineRule="exact"/>
        <w:rPr>
          <w:sz w:val="20"/>
          <w:szCs w:val="20"/>
          <w:color w:val="auto"/>
        </w:rPr>
      </w:pPr>
    </w:p>
    <w:p>
      <w:pPr>
        <w:ind w:right="100" w:firstLine="974"/>
        <w:spacing w:after="0" w:line="260"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76" w:lineRule="exact"/>
        <w:rPr>
          <w:sz w:val="20"/>
          <w:szCs w:val="20"/>
          <w:color w:val="auto"/>
        </w:rPr>
      </w:pPr>
    </w:p>
    <w:p>
      <w:pPr>
        <w:ind w:right="20" w:firstLine="974"/>
        <w:spacing w:after="0" w:line="255"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SECTION 1. DEFINED TERMS</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360" w:firstLine="966"/>
        <w:spacing w:after="0" w:line="274" w:lineRule="auto"/>
        <w:tabs>
          <w:tab w:leader="none" w:pos="121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assigned to such terms in the Credit Agreement.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The following terms shall have the following meanings:</w:t>
      </w:r>
    </w:p>
    <w:p>
      <w:pPr>
        <w:spacing w:after="0" w:line="1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ectPr>
          <w:pgSz w:w="11900" w:h="16838" w:orient="portrait"/>
          <w:cols w:equalWidth="0" w:num="1">
            <w:col w:w="10740"/>
          </w:cols>
          <w:pgMar w:left="540" w:top="267" w:right="619" w:bottom="1440" w:gutter="0" w:footer="0" w:header="0"/>
        </w:sectPr>
      </w:pPr>
    </w:p>
    <w:bookmarkStart w:id="572" w:name="page573"/>
    <w:bookmarkEnd w:id="57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and each other Person that holds a Guaranteed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36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right="40" w:firstLine="97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82" w:lineRule="exact"/>
        <w:rPr>
          <w:sz w:val="20"/>
          <w:szCs w:val="20"/>
          <w:color w:val="auto"/>
        </w:rPr>
      </w:pPr>
    </w:p>
    <w:p>
      <w:pPr>
        <w:ind w:right="280" w:firstLine="974"/>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this Agreement pursuant to Section 6.6(a) or 10.1(b) of the Credit Agreement.</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540" w:top="266" w:right="579" w:bottom="1440" w:gutter="0" w:footer="0" w:header="0"/>
        </w:sectPr>
      </w:pPr>
    </w:p>
    <w:bookmarkStart w:id="573" w:name="page574"/>
    <w:bookmarkEnd w:id="573"/>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40" w:right="180" w:firstLine="966"/>
        <w:spacing w:after="0" w:line="304" w:lineRule="auto"/>
        <w:tabs>
          <w:tab w:leader="none" w:pos="1175"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41" w:lineRule="exact"/>
        <w:rPr>
          <w:rFonts w:ascii="Times New Roman" w:cs="Times New Roman" w:eastAsia="Times New Roman" w:hAnsi="Times New Roman"/>
          <w:sz w:val="17"/>
          <w:szCs w:val="17"/>
          <w:color w:val="auto"/>
        </w:rPr>
      </w:pPr>
    </w:p>
    <w:p>
      <w:pPr>
        <w:ind w:left="1180" w:hanging="254"/>
        <w:spacing w:after="0"/>
        <w:tabs>
          <w:tab w:leader="none" w:pos="11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18" w:lineRule="exact"/>
        <w:rPr>
          <w:sz w:val="20"/>
          <w:szCs w:val="20"/>
          <w:color w:val="auto"/>
        </w:rPr>
      </w:pPr>
    </w:p>
    <w:p>
      <w:pPr>
        <w:ind w:left="-40" w:right="40" w:firstLine="966"/>
        <w:spacing w:after="0" w:line="253" w:lineRule="auto"/>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40" w:right="20" w:firstLine="966"/>
        <w:spacing w:after="0" w:line="255" w:lineRule="auto"/>
        <w:tabs>
          <w:tab w:leader="none" w:pos="117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182" w:lineRule="exact"/>
        <w:rPr>
          <w:sz w:val="20"/>
          <w:szCs w:val="20"/>
          <w:color w:val="auto"/>
        </w:rPr>
      </w:pPr>
    </w:p>
    <w:p>
      <w:pPr>
        <w:ind w:left="-40" w:right="160" w:firstLine="966"/>
        <w:spacing w:after="0" w:line="260" w:lineRule="auto"/>
        <w:tabs>
          <w:tab w:leader="none" w:pos="1165"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0" w:right="260" w:firstLine="966"/>
        <w:spacing w:after="0" w:line="260" w:lineRule="auto"/>
        <w:tabs>
          <w:tab w:leader="none" w:pos="118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176" w:lineRule="exact"/>
        <w:rPr>
          <w:sz w:val="20"/>
          <w:szCs w:val="20"/>
          <w:color w:val="auto"/>
        </w:rPr>
      </w:pPr>
    </w:p>
    <w:p>
      <w:pPr>
        <w:ind w:left="-40" w:right="20" w:firstLine="966"/>
        <w:spacing w:after="0" w:line="260" w:lineRule="auto"/>
        <w:tabs>
          <w:tab w:leader="none" w:pos="1184"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76" w:lineRule="exact"/>
        <w:rPr>
          <w:sz w:val="20"/>
          <w:szCs w:val="20"/>
          <w:color w:val="auto"/>
        </w:rPr>
      </w:pPr>
    </w:p>
    <w:p>
      <w:pPr>
        <w:ind w:left="-40" w:firstLine="966"/>
        <w:spacing w:after="0" w:line="250" w:lineRule="auto"/>
        <w:tabs>
          <w:tab w:leader="none" w:pos="117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7" w:right="599" w:bottom="1440" w:gutter="0" w:footer="0" w:header="0"/>
        </w:sectPr>
      </w:pPr>
    </w:p>
    <w:bookmarkStart w:id="574" w:name="page575"/>
    <w:bookmarkEnd w:id="57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160" w:firstLine="974"/>
        <w:spacing w:after="0" w:line="253" w:lineRule="auto"/>
        <w:rPr>
          <w:sz w:val="20"/>
          <w:szCs w:val="20"/>
          <w:color w:val="auto"/>
        </w:rPr>
      </w:pPr>
      <w:r>
        <w:rPr>
          <w:rFonts w:ascii="Times New Roman" w:cs="Times New Roman" w:eastAsia="Times New Roman" w:hAnsi="Times New Roman"/>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40" w:firstLine="974"/>
        <w:spacing w:after="0" w:line="248" w:lineRule="auto"/>
        <w:rPr>
          <w:sz w:val="20"/>
          <w:szCs w:val="20"/>
          <w:color w:val="auto"/>
        </w:rPr>
      </w:pPr>
      <w:r>
        <w:rPr>
          <w:rFonts w:ascii="Times New Roman" w:cs="Times New Roman" w:eastAsia="Times New Roman" w:hAnsi="Times New Roman"/>
          <w:sz w:val="18"/>
          <w:szCs w:val="18"/>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Amendments, etc. with respect to the Guaranteed Obligations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48" w:lineRule="auto"/>
        <w:rPr>
          <w:sz w:val="20"/>
          <w:szCs w:val="20"/>
          <w:color w:val="auto"/>
        </w:rPr>
      </w:pPr>
      <w:r>
        <w:rPr>
          <w:rFonts w:ascii="Times New Roman" w:cs="Times New Roman" w:eastAsia="Times New Roman" w:hAnsi="Times New Roman"/>
          <w:sz w:val="18"/>
          <w:szCs w:val="18"/>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6" w:right="559" w:bottom="1440" w:gutter="0" w:footer="0" w:header="0"/>
        </w:sectPr>
      </w:pPr>
    </w:p>
    <w:bookmarkStart w:id="575" w:name="page576"/>
    <w:bookmarkEnd w:id="575"/>
    <w:p>
      <w:pPr>
        <w:ind w:left="96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firstLine="974"/>
        <w:spacing w:after="0" w:line="262" w:lineRule="auto"/>
        <w:rPr>
          <w:sz w:val="20"/>
          <w:szCs w:val="20"/>
          <w:color w:val="auto"/>
        </w:rPr>
      </w:pPr>
      <w:r>
        <w:rPr>
          <w:rFonts w:ascii="Times New Roman" w:cs="Times New Roman" w:eastAsia="Times New Roman" w:hAnsi="Times New Roman"/>
          <w:sz w:val="17"/>
          <w:szCs w:val="17"/>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w:t>
      </w:r>
    </w:p>
    <w:p>
      <w:pPr>
        <w:spacing w:after="0" w:line="5" w:lineRule="exact"/>
        <w:rPr>
          <w:sz w:val="20"/>
          <w:szCs w:val="20"/>
          <w:color w:val="auto"/>
        </w:rPr>
      </w:pPr>
    </w:p>
    <w:p>
      <w:pPr>
        <w:ind w:left="8" w:right="20" w:hanging="8"/>
        <w:spacing w:after="0" w:line="262" w:lineRule="auto"/>
        <w:tabs>
          <w:tab w:leader="none" w:pos="249"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release of any Subsidiary Guarantor pursuant to Section 3.15(b), but subject to any release of such obligations hereunder to the extent provided in, and pursuant to the terms of, Section 3.15(a)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8"/>
          </w:cols>
          <w:pgMar w:left="532" w:top="266" w:right="559" w:bottom="1440" w:gutter="0" w:footer="0" w:header="0"/>
        </w:sectPr>
      </w:pPr>
    </w:p>
    <w:bookmarkStart w:id="576" w:name="page577"/>
    <w:bookmarkEnd w:id="576"/>
    <w:p>
      <w:pPr>
        <w:ind w:right="1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2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100" w:firstLine="974"/>
        <w:spacing w:after="0" w:line="253" w:lineRule="auto"/>
        <w:rPr>
          <w:sz w:val="20"/>
          <w:szCs w:val="20"/>
          <w:color w:val="auto"/>
        </w:rPr>
      </w:pPr>
      <w:r>
        <w:rPr>
          <w:rFonts w:ascii="Times New Roman" w:cs="Times New Roman" w:eastAsia="Times New Roman" w:hAnsi="Times New Roman"/>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300" w:firstLine="974"/>
        <w:spacing w:after="0" w:line="274" w:lineRule="auto"/>
        <w:rPr>
          <w:sz w:val="20"/>
          <w:szCs w:val="20"/>
          <w:color w:val="auto"/>
        </w:rPr>
      </w:pPr>
      <w:r>
        <w:rPr>
          <w:rFonts w:ascii="Times New Roman" w:cs="Times New Roman" w:eastAsia="Times New Roman" w:hAnsi="Times New Roman"/>
          <w:sz w:val="18"/>
          <w:szCs w:val="18"/>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MISCELLANEOUS</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29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240" w:firstLine="974"/>
        <w:spacing w:after="0" w:line="274" w:lineRule="auto"/>
        <w:rPr>
          <w:sz w:val="20"/>
          <w:szCs w:val="20"/>
          <w:color w:val="auto"/>
        </w:rPr>
      </w:pPr>
      <w:r>
        <w:rPr>
          <w:rFonts w:ascii="Times New Roman" w:cs="Times New Roman" w:eastAsia="Times New Roman" w:hAnsi="Times New Roman"/>
          <w:sz w:val="18"/>
          <w:szCs w:val="18"/>
          <w:color w:val="auto"/>
        </w:rPr>
        <w:t xml:space="preserve">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540" w:top="266" w:right="539" w:bottom="1440" w:gutter="0" w:footer="0" w:header="0"/>
        </w:sectPr>
      </w:pPr>
    </w:p>
    <w:bookmarkStart w:id="577" w:name="page578"/>
    <w:bookmarkEnd w:id="577"/>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w:t>
      </w:r>
    </w:p>
    <w:p>
      <w:pPr>
        <w:spacing w:after="0" w:line="218" w:lineRule="exact"/>
        <w:rPr>
          <w:sz w:val="20"/>
          <w:szCs w:val="20"/>
          <w:color w:val="auto"/>
        </w:rPr>
      </w:pPr>
    </w:p>
    <w:p>
      <w:pPr>
        <w:ind w:right="60" w:firstLine="974"/>
        <w:spacing w:after="0" w:line="255" w:lineRule="auto"/>
        <w:rPr>
          <w:sz w:val="20"/>
          <w:szCs w:val="20"/>
          <w:color w:val="auto"/>
        </w:rPr>
      </w:pPr>
      <w:r>
        <w:rPr>
          <w:rFonts w:ascii="Times New Roman" w:cs="Times New Roman" w:eastAsia="Times New Roman" w:hAnsi="Times New Roman"/>
          <w:sz w:val="18"/>
          <w:szCs w:val="18"/>
          <w:color w:val="auto"/>
        </w:rPr>
        <w:t xml:space="preserve">All notices, requests and demands to or upon the Administrative Agent or any Guarantor hereunder shall be effected in the manner provided for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provided, that any such notice, request or demand to or upon any Guarantor shall be addressed to the Company at the addresses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(or such other address as the Company may at any time or from time to time provide for purposes of the Credit Agreement and this Agreement).</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Waiver by Course of Conduct; Cumulative Remedies</w:t>
      </w:r>
      <w:r>
        <w:rPr>
          <w:rFonts w:ascii="Times New Roman" w:cs="Times New Roman" w:eastAsia="Times New Roman" w:hAnsi="Times New Roman"/>
          <w:sz w:val="18"/>
          <w:szCs w:val="18"/>
          <w:color w:val="auto"/>
        </w:rPr>
        <w:t xml:space="preserve"> .</w:t>
      </w:r>
    </w:p>
    <w:p>
      <w:pPr>
        <w:spacing w:after="0" w:line="218" w:lineRule="exact"/>
        <w:rPr>
          <w:sz w:val="20"/>
          <w:szCs w:val="20"/>
          <w:color w:val="auto"/>
        </w:rPr>
      </w:pPr>
    </w:p>
    <w:p>
      <w:pPr>
        <w:ind w:firstLine="974"/>
        <w:spacing w:after="0" w:line="250" w:lineRule="auto"/>
        <w:rPr>
          <w:sz w:val="20"/>
          <w:szCs w:val="20"/>
          <w:color w:val="auto"/>
        </w:rPr>
      </w:pPr>
      <w:r>
        <w:rPr>
          <w:rFonts w:ascii="Times New Roman" w:cs="Times New Roman" w:eastAsia="Times New Roman" w:hAnsi="Times New Roman"/>
          <w:sz w:val="18"/>
          <w:szCs w:val="18"/>
          <w:color w:val="auto"/>
        </w:rPr>
        <w:t xml:space="preserve">No Guaranteed Party shall by any act (except by a written instrument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Enforcement Expenses; Indemnification</w:t>
      </w:r>
      <w:r>
        <w:rPr>
          <w:rFonts w:ascii="Times New Roman" w:cs="Times New Roman" w:eastAsia="Times New Roman" w:hAnsi="Times New Roman"/>
          <w:sz w:val="18"/>
          <w:szCs w:val="18"/>
          <w:color w:val="auto"/>
        </w:rPr>
        <w:t xml:space="preserve"> .</w:t>
      </w:r>
    </w:p>
    <w:p>
      <w:pPr>
        <w:spacing w:after="0" w:line="218" w:lineRule="exact"/>
        <w:rPr>
          <w:sz w:val="20"/>
          <w:szCs w:val="20"/>
          <w:color w:val="auto"/>
        </w:rPr>
      </w:pPr>
    </w:p>
    <w:p>
      <w:pPr>
        <w:ind w:right="120" w:firstLine="425"/>
        <w:spacing w:after="0" w:line="253" w:lineRule="auto"/>
        <w:tabs>
          <w:tab w:leader="none" w:pos="673"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intending to duplicate the obligations of the Guarantors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and to the extent that the Company is required to pay or reimburse the Guaranteed Parties (or any of them), for various costs and expenses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or to indemnify the Indemnitees (or any of them) for the Indemnified Liabilities, in each case as and to the extent (and in the manner)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each Guarantor, jointly and severally, hereby agrees to make such payments or reimbursements and to provide such indemnification.</w:t>
      </w:r>
    </w:p>
    <w:p>
      <w:pPr>
        <w:spacing w:after="0" w:line="182" w:lineRule="exact"/>
        <w:rPr>
          <w:rFonts w:ascii="Times New Roman" w:cs="Times New Roman" w:eastAsia="Times New Roman" w:hAnsi="Times New Roman"/>
          <w:sz w:val="18"/>
          <w:szCs w:val="18"/>
          <w:color w:val="auto"/>
        </w:rPr>
      </w:pPr>
    </w:p>
    <w:p>
      <w:pPr>
        <w:ind w:right="300" w:firstLine="425"/>
        <w:spacing w:after="0" w:line="274" w:lineRule="auto"/>
        <w:tabs>
          <w:tab w:leader="none" w:pos="65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w:t>
      </w:r>
    </w:p>
    <w:p>
      <w:pPr>
        <w:spacing w:after="0" w:line="218" w:lineRule="exact"/>
        <w:rPr>
          <w:sz w:val="20"/>
          <w:szCs w:val="20"/>
          <w:color w:val="auto"/>
        </w:rPr>
      </w:pPr>
    </w:p>
    <w:p>
      <w:pPr>
        <w:ind w:right="240" w:firstLine="974"/>
        <w:spacing w:after="0" w:line="255" w:lineRule="auto"/>
        <w:rPr>
          <w:sz w:val="20"/>
          <w:szCs w:val="20"/>
          <w:color w:val="auto"/>
        </w:rPr>
      </w:pPr>
      <w:r>
        <w:rPr>
          <w:rFonts w:ascii="Times New Roman" w:cs="Times New Roman" w:eastAsia="Times New Roman" w:hAnsi="Times New Roman"/>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540" w:top="266" w:right="579" w:bottom="1440" w:gutter="0" w:footer="0" w:header="0"/>
        </w:sectPr>
      </w:pPr>
    </w:p>
    <w:bookmarkStart w:id="578" w:name="page579"/>
    <w:bookmarkEnd w:id="578"/>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Counterparts; Electronic Signature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0" w:firstLine="974"/>
        <w:spacing w:after="0" w:line="265" w:lineRule="auto"/>
        <w:rPr>
          <w:sz w:val="20"/>
          <w:szCs w:val="20"/>
          <w:color w:val="auto"/>
        </w:rPr>
      </w:pPr>
      <w:r>
        <w:rPr>
          <w:rFonts w:ascii="Times New Roman" w:cs="Times New Roman" w:eastAsia="Times New Roman" w:hAnsi="Times New Roman"/>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xml:space="preserve">”,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The provisions of Section 10.8 of the Credit Agreement are hereby incorporated herein,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right="120" w:firstLine="974"/>
        <w:spacing w:after="0" w:line="260" w:lineRule="auto"/>
        <w:rPr>
          <w:sz w:val="20"/>
          <w:szCs w:val="20"/>
          <w:color w:val="auto"/>
        </w:rPr>
      </w:pPr>
      <w:r>
        <w:rPr>
          <w:rFonts w:ascii="Times New Roman" w:cs="Times New Roman" w:eastAsia="Times New Roman" w:hAnsi="Times New Roman"/>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974"/>
        <w:spacing w:after="0" w:line="274" w:lineRule="auto"/>
        <w:rPr>
          <w:sz w:val="20"/>
          <w:szCs w:val="20"/>
          <w:color w:val="auto"/>
        </w:rPr>
      </w:pPr>
      <w:r>
        <w:rPr>
          <w:rFonts w:ascii="Times New Roman" w:cs="Times New Roman" w:eastAsia="Times New Roman" w:hAnsi="Times New Roman"/>
          <w:sz w:val="18"/>
          <w:szCs w:val="18"/>
          <w:color w:val="auto"/>
        </w:rPr>
        <w:t>The Section headings used in this Agreement are for convenience of reference only and are not to affect the construction hereof or be taken into consideration in the interpretation hereof.</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180" w:firstLine="974"/>
        <w:spacing w:after="0" w:line="260" w:lineRule="auto"/>
        <w:rPr>
          <w:sz w:val="20"/>
          <w:szCs w:val="20"/>
          <w:color w:val="auto"/>
        </w:rPr>
      </w:pPr>
      <w:r>
        <w:rPr>
          <w:rFonts w:ascii="Times New Roman" w:cs="Times New Roman" w:eastAsia="Times New Roman" w:hAnsi="Times New Roman"/>
          <w:sz w:val="18"/>
          <w:szCs w:val="18"/>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u w:val="single" w:color="auto"/>
          <w:color w:val="auto"/>
        </w:rPr>
        <w:t>.</w:t>
      </w:r>
    </w:p>
    <w:p>
      <w:pPr>
        <w:spacing w:after="0" w:line="218" w:lineRule="exact"/>
        <w:rPr>
          <w:sz w:val="20"/>
          <w:szCs w:val="20"/>
          <w:color w:val="auto"/>
        </w:rPr>
      </w:pPr>
    </w:p>
    <w:p>
      <w:pPr>
        <w:ind w:right="180" w:firstLine="974"/>
        <w:spacing w:after="0" w:line="307" w:lineRule="auto"/>
        <w:rPr>
          <w:sz w:val="20"/>
          <w:szCs w:val="20"/>
          <w:color w:val="auto"/>
        </w:rPr>
      </w:pPr>
      <w:r>
        <w:rPr>
          <w:rFonts w:ascii="Times New Roman" w:cs="Times New Roman" w:eastAsia="Times New Roman" w:hAnsi="Times New Roman"/>
          <w:sz w:val="17"/>
          <w:szCs w:val="17"/>
          <w:b w:val="1"/>
          <w:bCs w:val="1"/>
          <w:color w:val="auto"/>
        </w:rPr>
        <w:t>THIS AGREEMENT AND THE RIGHTS AND OBLIGATIONS OF THE PARTIES UNDER THIS AGREEMENT SHALL BE GOVERNED BY, AND CONSTRUED AND INTERPRETED IN ACCORDANCE WITH, THE LAW OF THE STATE OF NEW YORK.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0"/>
          </w:cols>
          <w:pgMar w:left="540" w:top="266" w:right="539" w:bottom="1440" w:gutter="0" w:footer="0" w:header="0"/>
        </w:sectPr>
      </w:pPr>
    </w:p>
    <w:bookmarkStart w:id="579" w:name="page580"/>
    <w:bookmarkEnd w:id="579"/>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3.12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Each Guarantor hereby irrevocably and unconditionally:</w:t>
      </w:r>
    </w:p>
    <w:p>
      <w:pPr>
        <w:spacing w:after="0" w:line="218" w:lineRule="exact"/>
        <w:rPr>
          <w:sz w:val="20"/>
          <w:szCs w:val="20"/>
          <w:color w:val="auto"/>
        </w:rPr>
      </w:pPr>
    </w:p>
    <w:p>
      <w:pPr>
        <w:ind w:right="60" w:firstLine="966"/>
        <w:spacing w:after="0" w:line="255" w:lineRule="auto"/>
        <w:tabs>
          <w:tab w:leader="none" w:pos="121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82" w:lineRule="exact"/>
        <w:rPr>
          <w:sz w:val="20"/>
          <w:szCs w:val="20"/>
          <w:color w:val="auto"/>
        </w:rPr>
      </w:pPr>
    </w:p>
    <w:p>
      <w:pPr>
        <w:jc w:val="both"/>
        <w:ind w:right="60" w:firstLine="966"/>
        <w:spacing w:after="0" w:line="260" w:lineRule="auto"/>
        <w:tabs>
          <w:tab w:leader="none" w:pos="1224"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6" w:lineRule="exact"/>
        <w:rPr>
          <w:sz w:val="20"/>
          <w:szCs w:val="20"/>
          <w:color w:val="auto"/>
        </w:rPr>
      </w:pPr>
    </w:p>
    <w:p>
      <w:pPr>
        <w:ind w:firstLine="966"/>
        <w:spacing w:after="0" w:line="260" w:lineRule="auto"/>
        <w:tabs>
          <w:tab w:leader="none" w:pos="122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76" w:lineRule="exact"/>
        <w:rPr>
          <w:sz w:val="20"/>
          <w:szCs w:val="20"/>
          <w:color w:val="auto"/>
        </w:rPr>
      </w:pPr>
    </w:p>
    <w:p>
      <w:pPr>
        <w:ind w:right="740" w:firstLine="966"/>
        <w:spacing w:after="0" w:line="274" w:lineRule="auto"/>
        <w:tabs>
          <w:tab w:leader="none" w:pos="122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64" w:lineRule="exact"/>
        <w:rPr>
          <w:sz w:val="20"/>
          <w:szCs w:val="20"/>
          <w:color w:val="auto"/>
        </w:rPr>
      </w:pPr>
    </w:p>
    <w:p>
      <w:pPr>
        <w:ind w:right="100" w:firstLine="966"/>
        <w:spacing w:after="0" w:line="274" w:lineRule="auto"/>
        <w:tabs>
          <w:tab w:leader="none" w:pos="1215"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164" w:lineRule="exact"/>
        <w:rPr>
          <w:sz w:val="20"/>
          <w:szCs w:val="20"/>
          <w:color w:val="auto"/>
        </w:rPr>
      </w:pPr>
    </w:p>
    <w:p>
      <w:pPr>
        <w:ind w:right="540" w:firstLine="966"/>
        <w:spacing w:after="0" w:line="274" w:lineRule="auto"/>
        <w:tabs>
          <w:tab w:leader="none" w:pos="118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0" w:firstLine="974"/>
        <w:spacing w:after="0" w:line="257" w:lineRule="auto"/>
        <w:rPr>
          <w:sz w:val="20"/>
          <w:szCs w:val="20"/>
          <w:color w:val="auto"/>
        </w:rPr>
      </w:pPr>
      <w:r>
        <w:rPr>
          <w:rFonts w:ascii="Times New Roman" w:cs="Times New Roman" w:eastAsia="Times New Roman" w:hAnsi="Times New Roman"/>
          <w:sz w:val="18"/>
          <w:szCs w:val="18"/>
          <w:color w:val="auto"/>
        </w:rPr>
        <w:t xml:space="preserve">Each Subsidiary of the Company that is required to become a party to this Agreement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Credit Agreement, and each other Person (whether or not a Subsidiary of the Company) that the Company desires to become a party to this Agreement pursuant to</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40" w:firstLine="966"/>
        <w:spacing w:after="0" w:line="260" w:lineRule="auto"/>
        <w:tabs>
          <w:tab w:leader="none" w:pos="1215"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40" w:top="266" w:right="539" w:bottom="1440" w:gutter="0" w:footer="0" w:header="0"/>
        </w:sectPr>
      </w:pPr>
    </w:p>
    <w:bookmarkStart w:id="580" w:name="page581"/>
    <w:bookmarkEnd w:id="580"/>
    <w:p>
      <w:pPr>
        <w:jc w:val="both"/>
        <w:ind w:right="260" w:firstLine="966"/>
        <w:spacing w:after="0" w:line="260" w:lineRule="auto"/>
        <w:tabs>
          <w:tab w:leader="none" w:pos="118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Upon the satisfaction of the conditions set forth in </w:t>
      </w:r>
      <w:r>
        <w:rPr>
          <w:rFonts w:ascii="Times New Roman" w:cs="Times New Roman" w:eastAsia="Times New Roman" w:hAnsi="Times New Roman"/>
          <w:sz w:val="18"/>
          <w:szCs w:val="18"/>
          <w:u w:val="single" w:color="auto"/>
          <w:color w:val="auto"/>
        </w:rPr>
        <w:t>Section 10.15(c) or (d)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176" w:lineRule="exact"/>
        <w:rPr>
          <w:sz w:val="20"/>
          <w:szCs w:val="20"/>
          <w:color w:val="auto"/>
        </w:rPr>
      </w:pPr>
    </w:p>
    <w:p>
      <w:pPr>
        <w:ind w:firstLine="966"/>
        <w:spacing w:after="0" w:line="260" w:lineRule="auto"/>
        <w:tabs>
          <w:tab w:leader="none" w:pos="1224"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u w:val="single" w:color="auto"/>
          <w:color w:val="auto"/>
        </w:rPr>
        <w:t>.</w:t>
      </w:r>
    </w:p>
    <w:p>
      <w:pPr>
        <w:spacing w:after="0" w:line="218" w:lineRule="exact"/>
        <w:rPr>
          <w:sz w:val="20"/>
          <w:szCs w:val="20"/>
          <w:color w:val="auto"/>
        </w:rPr>
      </w:pPr>
    </w:p>
    <w:p>
      <w:pPr>
        <w:ind w:right="240" w:firstLine="974"/>
        <w:spacing w:after="0" w:line="261" w:lineRule="auto"/>
        <w:rPr>
          <w:sz w:val="20"/>
          <w:szCs w:val="20"/>
          <w:color w:val="auto"/>
        </w:rPr>
      </w:pPr>
      <w:r>
        <w:rPr>
          <w:rFonts w:ascii="Times New Roman" w:cs="Times New Roman" w:eastAsia="Times New Roman" w:hAnsi="Times New Roman"/>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540" w:top="266" w:right="579" w:bottom="1440" w:gutter="0" w:footer="0" w:header="0"/>
        </w:sectPr>
      </w:pPr>
    </w:p>
    <w:bookmarkStart w:id="581" w:name="page582"/>
    <w:bookmarkEnd w:id="581"/>
    <w:p>
      <w:pPr>
        <w:ind w:left="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each of the undersigned has caused this Agreement to be duly executed and delivered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 xml:space="preserve">GENERAL MOTORS COMPANY, </w:t>
      </w:r>
      <w:r>
        <w:rPr>
          <w:rFonts w:ascii="Times New Roman" w:cs="Times New Roman" w:eastAsia="Times New Roman" w:hAnsi="Times New Roman"/>
          <w:sz w:val="18"/>
          <w:szCs w:val="18"/>
          <w:i w:val="1"/>
          <w:iCs w:val="1"/>
          <w:color w:val="auto"/>
        </w:rPr>
        <w:t>as the Company</w:t>
      </w:r>
    </w:p>
    <w:p>
      <w:pPr>
        <w:spacing w:after="0" w:line="22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9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_________________________________</w:t>
      </w:r>
    </w:p>
    <w:p>
      <w:pPr>
        <w:spacing w:after="0" w:line="1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__________________________________</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Guarantee Agreement</w:t>
      </w:r>
    </w:p>
    <w:p>
      <w:pPr>
        <w:sectPr>
          <w:pgSz w:w="11900" w:h="16838" w:orient="portrait"/>
          <w:cols w:equalWidth="0" w:num="1">
            <w:col w:w="10760"/>
          </w:cols>
          <w:pgMar w:left="540" w:top="266" w:right="59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ACCEPTED AND AGREED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Signature Page to Fifth Amended and Restated 364-Day Guarantee Agreement</w:t>
      </w:r>
    </w:p>
    <w:p>
      <w:pPr>
        <w:sectPr>
          <w:pgSz w:w="11900" w:h="16838" w:orient="portrait"/>
          <w:cols w:equalWidth="0" w:num="1">
            <w:col w:w="9919"/>
          </w:cols>
          <w:pgMar w:left="540" w:top="266" w:right="1440" w:bottom="1440" w:gutter="0" w:footer="0" w:header="0"/>
        </w:sectPr>
      </w:pPr>
    </w:p>
    <w:bookmarkStart w:id="583" w:name="page584"/>
    <w:bookmarkEnd w:id="583"/>
    <w:p>
      <w:pPr>
        <w:jc w:val="center"/>
        <w:ind w:left="9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1</w:t>
      </w:r>
    </w:p>
    <w:p>
      <w:pPr>
        <w:spacing w:after="0" w:line="25"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11" w:lineRule="exact"/>
        <w:rPr>
          <w:sz w:val="20"/>
          <w:szCs w:val="20"/>
          <w:color w:val="auto"/>
        </w:rPr>
      </w:pPr>
    </w:p>
    <w:p>
      <w:pPr>
        <w:ind w:left="960"/>
        <w:spacing w:after="0"/>
        <w:tabs>
          <w:tab w:leader="none" w:pos="4240" w:val="left"/>
          <w:tab w:leader="none" w:pos="4900" w:val="left"/>
          <w:tab w:leader="none" w:pos="8040" w:val="left"/>
        </w:tabs>
        <w:rPr>
          <w:sz w:val="20"/>
          <w:szCs w:val="20"/>
          <w:color w:val="auto"/>
        </w:rPr>
      </w:pPr>
      <w:r>
        <w:rPr>
          <w:rFonts w:ascii="Times New Roman" w:cs="Times New Roman" w:eastAsia="Times New Roman" w:hAnsi="Times New Roman"/>
          <w:sz w:val="18"/>
          <w:szCs w:val="18"/>
          <w:color w:val="auto"/>
        </w:rPr>
        <w:t>JOINDER AGREEMENT, dated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Additional Guarantor</w:t>
      </w:r>
      <w:r>
        <w:rPr>
          <w:rFonts w:ascii="Times New Roman" w:cs="Times New Roman" w:eastAsia="Times New Roman" w:hAnsi="Times New Roman"/>
          <w:sz w:val="17"/>
          <w:szCs w:val="17"/>
          <w:color w:val="auto"/>
        </w:rPr>
        <w:t>”), in favor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-9525</wp:posOffset>
            </wp:positionV>
            <wp:extent cx="72961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9615"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-9525</wp:posOffset>
            </wp:positionV>
            <wp:extent cx="33655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pacing w:after="0" w:line="5"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18"/>
          <w:szCs w:val="18"/>
          <w:color w:val="auto"/>
        </w:rPr>
        <w:t>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18" w:lineRule="exact"/>
        <w:rPr>
          <w:sz w:val="20"/>
          <w:szCs w:val="20"/>
          <w:color w:val="auto"/>
        </w:rPr>
      </w:pPr>
    </w:p>
    <w:p>
      <w:pPr>
        <w:ind w:firstLine="974"/>
        <w:spacing w:after="0" w:line="249" w:lineRule="auto"/>
        <w:rPr>
          <w:sz w:val="20"/>
          <w:szCs w:val="20"/>
          <w:color w:val="auto"/>
        </w:rPr>
      </w:pPr>
      <w:r>
        <w:rPr>
          <w:rFonts w:ascii="Times New Roman" w:cs="Times New Roman" w:eastAsia="Times New Roman" w:hAnsi="Times New Roman"/>
          <w:sz w:val="18"/>
          <w:szCs w:val="18"/>
          <w:color w:val="auto"/>
        </w:rPr>
        <w:t>WHEREAS, pursuant to the terms of the certain Fifth Amended and Restated 364-Day Revolving Credit Agreement, dated as of March 31,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from time to time parties thereto, the Lenders from time to time parties thereto, the Administrative Agent, Citibank, N.A., as syndication agent, Bank of America, N.A., as co-syndication agent, and the other agents named therein, the Company [has] [and certain of its Subsidiaries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together with the Company and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Fifth Amended and Restated Guarantee Agreement, dated as of 31,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190" w:lineRule="exact"/>
        <w:rPr>
          <w:sz w:val="20"/>
          <w:szCs w:val="20"/>
          <w:color w:val="auto"/>
        </w:rPr>
      </w:pPr>
    </w:p>
    <w:p>
      <w:pPr>
        <w:ind w:right="500" w:firstLine="974"/>
        <w:spacing w:after="0" w:line="274"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111" w:lineRule="exact"/>
        <w:rPr>
          <w:sz w:val="20"/>
          <w:szCs w:val="20"/>
          <w:color w:val="auto"/>
        </w:rPr>
      </w:pPr>
    </w:p>
    <w:p>
      <w:pPr>
        <w:ind w:right="20" w:firstLine="966"/>
        <w:spacing w:after="0" w:line="255" w:lineRule="auto"/>
        <w:tabs>
          <w:tab w:leader="none" w:pos="1151"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9" w:lineRule="exact"/>
        <w:rPr>
          <w:rFonts w:ascii="Times New Roman" w:cs="Times New Roman" w:eastAsia="Times New Roman" w:hAnsi="Times New Roman"/>
          <w:sz w:val="18"/>
          <w:szCs w:val="18"/>
          <w:color w:val="auto"/>
        </w:rPr>
      </w:pPr>
    </w:p>
    <w:p>
      <w:pPr>
        <w:ind w:left="1140" w:hanging="174"/>
        <w:spacing w:after="0"/>
        <w:tabs>
          <w:tab w:leader="none" w:pos="114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JOINDER AGREEMENT AND THE RIGHTS AND OBLIGATIONS OF THE PARTIES</w:t>
      </w:r>
    </w:p>
    <w:p>
      <w:pPr>
        <w:spacing w:after="0" w:line="26" w:lineRule="exact"/>
        <w:rPr>
          <w:rFonts w:ascii="Times New Roman" w:cs="Times New Roman" w:eastAsia="Times New Roman" w:hAnsi="Times New Roman"/>
          <w:sz w:val="18"/>
          <w:szCs w:val="18"/>
          <w:color w:val="auto"/>
        </w:rPr>
      </w:pPr>
    </w:p>
    <w:p>
      <w:pPr>
        <w:ind w:right="3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HEREUNDER SHALL BE GOVERNED BY, AND CONSTRUED AND INTERPRETED IN ACCORDANCE WITH, THE LAW OF THE STATE OF NEW YORK.</w:t>
      </w:r>
    </w:p>
    <w:p>
      <w:pPr>
        <w:sectPr>
          <w:pgSz w:w="11900" w:h="16838" w:orient="portrait"/>
          <w:cols w:equalWidth="0" w:num="1">
            <w:col w:w="10820"/>
          </w:cols>
          <w:pgMar w:left="540" w:top="266" w:right="539" w:bottom="1440" w:gutter="0" w:footer="0" w:header="0"/>
        </w:sectPr>
      </w:pPr>
    </w:p>
    <w:bookmarkStart w:id="584" w:name="page585"/>
    <w:bookmarkEnd w:id="584"/>
    <w:p>
      <w:pPr>
        <w:ind w:left="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the undersigned has caused this Joinder Agreement to be duly executed and delivered as of the date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60"/>
          </w:cols>
          <w:pgMar w:left="540" w:top="266" w:right="59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ACCEPTED AND AGREED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 Agent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919"/>
          </w:cols>
          <w:pgMar w:left="540" w:top="266" w:right="1440" w:bottom="1440" w:gutter="0" w:footer="0" w:header="0"/>
        </w:sectPr>
      </w:pPr>
    </w:p>
    <w:bookmarkStart w:id="586" w:name="page587"/>
    <w:bookmarkEnd w:id="586"/>
    <w:p>
      <w:pPr>
        <w:jc w:val="center"/>
        <w:ind w:left="89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B</w:t>
      </w:r>
    </w:p>
    <w:p>
      <w:pPr>
        <w:spacing w:after="0" w:line="29"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800"/>
          </w:cols>
          <w:pgMar w:left="1440" w:top="262" w:right="659" w:bottom="1440" w:gutter="0" w:footer="0" w:header="0"/>
        </w:sectPr>
      </w:pPr>
    </w:p>
    <w:bookmarkStart w:id="587" w:name="page588"/>
    <w:bookmarkEnd w:id="587"/>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C</w:t>
      </w:r>
    </w:p>
    <w:p>
      <w:pPr>
        <w:spacing w:after="0" w:line="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840"/>
          </w:cols>
          <w:pgMar w:left="1440" w:top="264" w:right="619" w:bottom="1440" w:gutter="0" w:footer="0" w:header="0"/>
        </w:sectPr>
      </w:pPr>
    </w:p>
    <w:bookmarkStart w:id="588" w:name="page589"/>
    <w:bookmarkEnd w:id="588"/>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D</w:t>
      </w:r>
    </w:p>
    <w:p>
      <w:pPr>
        <w:spacing w:after="0" w:line="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840"/>
          </w:cols>
          <w:pgMar w:left="1440" w:top="264" w:right="619" w:bottom="1440" w:gutter="0" w:footer="0" w:header="0"/>
        </w:sectPr>
      </w:pPr>
    </w:p>
    <w:bookmarkStart w:id="589" w:name="page590"/>
    <w:bookmarkEnd w:id="589"/>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E</w:t>
      </w:r>
    </w:p>
    <w:p>
      <w:pPr>
        <w:spacing w:after="0" w:line="2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FORM OF INCREMENTAL LOAN ACTIVATION NOTICE</w:t>
      </w: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 referred to below</w:t>
      </w:r>
    </w:p>
    <w:p>
      <w:pPr>
        <w:spacing w:after="0" w:line="92"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Reference is made to that certain Fifth Amended and Restated 364-Day Revolving Credit Agreement, dated as of March 31, 2023,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80" w:firstLine="974"/>
        <w:spacing w:after="0" w:line="274" w:lineRule="auto"/>
        <w:rPr>
          <w:sz w:val="20"/>
          <w:szCs w:val="20"/>
          <w:color w:val="auto"/>
        </w:rPr>
      </w:pPr>
      <w:r>
        <w:rPr>
          <w:rFonts w:ascii="Times New Roman" w:cs="Times New Roman" w:eastAsia="Times New Roman" w:hAnsi="Times New Roman"/>
          <w:sz w:val="18"/>
          <w:szCs w:val="18"/>
          <w:color w:val="auto"/>
        </w:rPr>
        <w:t>This notice is an Incremental Loan Activation Notice referred to in the Credit Agreement, and the Company and each of the lenders party hereto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hereby notify you that:</w:t>
      </w:r>
    </w:p>
    <w:p>
      <w:pPr>
        <w:spacing w:after="0" w:line="164" w:lineRule="exact"/>
        <w:rPr>
          <w:sz w:val="20"/>
          <w:szCs w:val="20"/>
          <w:color w:val="auto"/>
        </w:rPr>
      </w:pPr>
    </w:p>
    <w:p>
      <w:pPr>
        <w:ind w:right="180" w:firstLine="966"/>
        <w:spacing w:after="0" w:line="274" w:lineRule="auto"/>
        <w:tabs>
          <w:tab w:leader="none" w:pos="1151"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party hereto agrees to increase the amount of its existing Commitment in the amount set forth opposite such Incremental Lender’s name on the signature pages hereof under the caption “Incremental Commitment”.</w:t>
      </w:r>
    </w:p>
    <w:p>
      <w:pPr>
        <w:spacing w:after="0" w:line="164" w:lineRule="exact"/>
        <w:rPr>
          <w:sz w:val="20"/>
          <w:szCs w:val="20"/>
          <w:color w:val="auto"/>
        </w:rPr>
      </w:pPr>
    </w:p>
    <w:p>
      <w:pPr>
        <w:ind w:left="960"/>
        <w:spacing w:after="0"/>
        <w:tabs>
          <w:tab w:leader="none" w:pos="4120" w:val="left"/>
        </w:tabs>
        <w:rPr>
          <w:sz w:val="20"/>
          <w:szCs w:val="20"/>
          <w:color w:val="auto"/>
        </w:rPr>
      </w:pPr>
      <w:r>
        <w:rPr>
          <w:rFonts w:ascii="Times New Roman" w:cs="Times New Roman" w:eastAsia="Times New Roman" w:hAnsi="Times New Roman"/>
          <w:sz w:val="18"/>
          <w:szCs w:val="18"/>
          <w:color w:val="auto"/>
        </w:rPr>
        <w:t>2. The Commitment Increase Date is</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-9525</wp:posOffset>
            </wp:positionV>
            <wp:extent cx="33655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pacing w:after="0" w:line="198" w:lineRule="exact"/>
        <w:rPr>
          <w:sz w:val="20"/>
          <w:szCs w:val="20"/>
          <w:color w:val="auto"/>
        </w:rPr>
      </w:pPr>
    </w:p>
    <w:p>
      <w:pPr>
        <w:ind w:right="240" w:firstLine="966"/>
        <w:spacing w:after="0" w:line="304" w:lineRule="auto"/>
        <w:tabs>
          <w:tab w:leader="none" w:pos="1151"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of each Incremental Lender party hereto to make the Incremental Loans to be made by it is subject to the satisfaction, prior to or concurrently with the making of such extension of credit on the Commitment Increase Date, of the following conditions precedent:</w:t>
      </w:r>
    </w:p>
    <w:p>
      <w:pPr>
        <w:spacing w:after="0" w:line="35" w:lineRule="exact"/>
        <w:rPr>
          <w:rFonts w:ascii="Times New Roman" w:cs="Times New Roman" w:eastAsia="Times New Roman" w:hAnsi="Times New Roman"/>
          <w:sz w:val="17"/>
          <w:szCs w:val="17"/>
          <w:color w:val="auto"/>
        </w:rPr>
      </w:pPr>
    </w:p>
    <w:p>
      <w:pPr>
        <w:ind w:left="960" w:right="120" w:firstLine="400"/>
        <w:spacing w:after="0" w:line="274" w:lineRule="auto"/>
        <w:tabs>
          <w:tab w:leader="none" w:pos="1594"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this notice, executed and delivered by the Company and each Incremental Lender party hereto.</w:t>
      </w:r>
    </w:p>
    <w:p>
      <w:pPr>
        <w:spacing w:after="0" w:line="58" w:lineRule="exact"/>
        <w:rPr>
          <w:rFonts w:ascii="Times New Roman" w:cs="Times New Roman" w:eastAsia="Times New Roman" w:hAnsi="Times New Roman"/>
          <w:sz w:val="18"/>
          <w:szCs w:val="18"/>
          <w:color w:val="auto"/>
        </w:rPr>
      </w:pPr>
    </w:p>
    <w:p>
      <w:pPr>
        <w:ind w:left="960" w:right="360" w:firstLine="400"/>
        <w:spacing w:after="0" w:line="260" w:lineRule="auto"/>
        <w:tabs>
          <w:tab w:leader="none" w:pos="1604"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Commitment Increase (including the incurrence of any Incremental Loans on the applicable Commitment Increase Date and use of proceeds thereof), (i) no Default or Event of Default shall be continuing and (ii) the sum of the Total Commitments in effect (including, for the avoidance of doubt, Incremental Commitments) shall not exceed $2 billion.</w:t>
      </w:r>
    </w:p>
    <w:p>
      <w:pPr>
        <w:spacing w:after="0" w:line="176" w:lineRule="exact"/>
        <w:rPr>
          <w:rFonts w:ascii="Times New Roman" w:cs="Times New Roman" w:eastAsia="Times New Roman" w:hAnsi="Times New Roman"/>
          <w:sz w:val="18"/>
          <w:szCs w:val="18"/>
          <w:color w:val="auto"/>
        </w:rPr>
      </w:pPr>
    </w:p>
    <w:p>
      <w:pPr>
        <w:ind w:right="600" w:firstLine="966"/>
        <w:spacing w:after="0" w:line="274" w:lineRule="auto"/>
        <w:tabs>
          <w:tab w:leader="none" w:pos="1151"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780"/>
          </w:cols>
          <w:pgMar w:left="540" w:top="264" w:right="579" w:bottom="1440" w:gutter="0" w:footer="0" w:header="0"/>
        </w:sectPr>
      </w:pPr>
    </w:p>
    <w:bookmarkStart w:id="590" w:name="page591"/>
    <w:bookmarkEnd w:id="590"/>
    <w:p>
      <w:pPr>
        <w:ind w:left="6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GENERAL MOTORS COMPANY</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Loan Commitment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color w:val="auto"/>
        </w:rPr>
        <w:t>[NAME OF EACH INCREMENTAL LENDER]</w:t>
      </w:r>
    </w:p>
    <w:p>
      <w:pPr>
        <w:spacing w:after="0" w:line="22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960"/>
          </w:cols>
          <w:pgMar w:left="540" w:top="505" w:right="1399" w:bottom="1440" w:gutter="0" w:footer="0" w:header="0"/>
        </w:sectPr>
      </w:pPr>
    </w:p>
    <w:bookmarkStart w:id="591" w:name="page592"/>
    <w:bookmarkEnd w:id="591"/>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F</w:t>
      </w:r>
    </w:p>
    <w:p>
      <w:pPr>
        <w:spacing w:after="0" w:line="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1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LOAN PARTY]</w:t>
      </w:r>
    </w:p>
    <w:p>
      <w:pPr>
        <w:spacing w:after="0" w:line="198"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7"/>
          <w:szCs w:val="17"/>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-2540</wp:posOffset>
            </wp:positionV>
            <wp:extent cx="33655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pacing w:after="0" w:line="209" w:lineRule="exact"/>
        <w:rPr>
          <w:sz w:val="20"/>
          <w:szCs w:val="20"/>
          <w:color w:val="auto"/>
        </w:rPr>
      </w:pPr>
    </w:p>
    <w:p>
      <w:pPr>
        <w:ind w:right="20" w:firstLine="433"/>
        <w:spacing w:after="0" w:line="250" w:lineRule="auto"/>
        <w:rPr>
          <w:sz w:val="20"/>
          <w:szCs w:val="20"/>
          <w:color w:val="auto"/>
        </w:rPr>
      </w:pPr>
      <w:r>
        <w:rPr>
          <w:rFonts w:ascii="Times New Roman" w:cs="Times New Roman" w:eastAsia="Times New Roman" w:hAnsi="Times New Roman"/>
          <w:sz w:val="18"/>
          <w:szCs w:val="18"/>
          <w:color w:val="auto"/>
        </w:rPr>
        <w:t>This Certificate is furnished pursuant to Section 5.1(c) of that certain Fifth Amended and Restated 364-Day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from time to time party thereto, JPMorgan Chase Bank, N.A. as the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Bank of America N.A. as co-syndication agent, and the other agents party thereto. Unless otherwise defined herein, capitalized terms used in this Certificate have the meanings assigned to such terms in the Credit Agreement.</w:t>
      </w:r>
    </w:p>
    <w:p>
      <w:pPr>
        <w:spacing w:after="0" w:line="189" w:lineRule="exact"/>
        <w:rPr>
          <w:sz w:val="20"/>
          <w:szCs w:val="20"/>
          <w:color w:val="auto"/>
        </w:rPr>
      </w:pPr>
    </w:p>
    <w:p>
      <w:pPr>
        <w:ind w:right="560" w:firstLine="433"/>
        <w:spacing w:after="0" w:line="274" w:lineRule="auto"/>
        <w:rPr>
          <w:sz w:val="20"/>
          <w:szCs w:val="20"/>
          <w:color w:val="auto"/>
        </w:rPr>
      </w:pPr>
      <w:r>
        <w:rPr>
          <w:rFonts w:ascii="Times New Roman" w:cs="Times New Roman" w:eastAsia="Times New Roman" w:hAnsi="Times New Roman"/>
          <w:sz w:val="18"/>
          <w:szCs w:val="18"/>
          <w:color w:val="auto"/>
        </w:rPr>
        <w:t>I, the undersigned, [Assistant] Secretary of [the Company] [Name of Loan Party], a Delaware [corporation][limited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in the name and on behalf of the Company, and without assuming any personal liability, that:</w:t>
      </w:r>
    </w:p>
    <w:p>
      <w:pPr>
        <w:spacing w:after="0" w:line="164" w:lineRule="exact"/>
        <w:rPr>
          <w:sz w:val="20"/>
          <w:szCs w:val="20"/>
          <w:color w:val="auto"/>
        </w:rPr>
      </w:pPr>
    </w:p>
    <w:p>
      <w:pPr>
        <w:jc w:val="both"/>
        <w:ind w:right="360" w:firstLine="425"/>
        <w:spacing w:after="0" w:line="255" w:lineRule="auto"/>
        <w:tabs>
          <w:tab w:leader="none" w:pos="61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81" w:lineRule="exact"/>
        <w:rPr>
          <w:rFonts w:ascii="Times New Roman" w:cs="Times New Roman" w:eastAsia="Times New Roman" w:hAnsi="Times New Roman"/>
          <w:sz w:val="18"/>
          <w:szCs w:val="18"/>
          <w:color w:val="auto"/>
        </w:rPr>
      </w:pPr>
    </w:p>
    <w:p>
      <w:pPr>
        <w:ind w:right="840" w:firstLine="425"/>
        <w:spacing w:after="0" w:line="274" w:lineRule="auto"/>
        <w:tabs>
          <w:tab w:leader="none" w:pos="61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[by-laws][Limited Liability Company Agreement][Operating Agreement] of the Company as in effect on the date hereof.</w:t>
      </w:r>
    </w:p>
    <w:p>
      <w:pPr>
        <w:spacing w:after="0" w:line="164" w:lineRule="exact"/>
        <w:rPr>
          <w:rFonts w:ascii="Times New Roman" w:cs="Times New Roman" w:eastAsia="Times New Roman" w:hAnsi="Times New Roman"/>
          <w:sz w:val="18"/>
          <w:szCs w:val="18"/>
          <w:color w:val="auto"/>
        </w:rPr>
      </w:pPr>
    </w:p>
    <w:p>
      <w:pPr>
        <w:ind w:left="600" w:hanging="175"/>
        <w:spacing w:after="0"/>
        <w:tabs>
          <w:tab w:leader="none" w:pos="6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III is a true, correct and complete copy of resolutions duly adopted by the Board of [Directors] [Managers] of the</w:t>
      </w:r>
    </w:p>
    <w:p>
      <w:pPr>
        <w:spacing w:after="0" w:line="25" w:lineRule="exact"/>
        <w:rPr>
          <w:sz w:val="20"/>
          <w:szCs w:val="20"/>
          <w:color w:val="auto"/>
        </w:rPr>
      </w:pPr>
    </w:p>
    <w:p>
      <w:pPr>
        <w:spacing w:after="0"/>
        <w:tabs>
          <w:tab w:leader="none" w:pos="4920" w:val="left"/>
          <w:tab w:leader="none" w:pos="5940" w:val="left"/>
        </w:tabs>
        <w:rPr>
          <w:sz w:val="20"/>
          <w:szCs w:val="20"/>
          <w:color w:val="auto"/>
        </w:rPr>
      </w:pPr>
      <w:r>
        <w:rPr>
          <w:rFonts w:ascii="Times New Roman" w:cs="Times New Roman" w:eastAsia="Times New Roman" w:hAnsi="Times New Roman"/>
          <w:sz w:val="18"/>
          <w:szCs w:val="18"/>
          <w:color w:val="auto"/>
        </w:rPr>
        <w:t>Company [at a meeting thereof] [by written consent] as of the</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7"/>
          <w:szCs w:val="17"/>
          <w:color w:val="auto"/>
        </w:rPr>
        <w:t>, 20__; such resolutions have not in any way been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-21590</wp:posOffset>
            </wp:positionV>
            <wp:extent cx="33655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36550" cy="825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-21590</wp:posOffset>
            </wp:positionV>
            <wp:extent cx="33655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ind w:right="60"/>
        <w:spacing w:after="0" w:line="248" w:lineRule="auto"/>
        <w:rPr>
          <w:sz w:val="20"/>
          <w:szCs w:val="20"/>
          <w:color w:val="auto"/>
        </w:rPr>
      </w:pPr>
      <w:r>
        <w:rPr>
          <w:rFonts w:ascii="Times New Roman" w:cs="Times New Roman" w:eastAsia="Times New Roman" w:hAnsi="Times New Roman"/>
          <w:sz w:val="18"/>
          <w:szCs w:val="18"/>
          <w:color w:val="auto"/>
        </w:rPr>
        <w:t>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[Managers] of the Company [at such meeting].</w:t>
      </w:r>
    </w:p>
    <w:p>
      <w:pPr>
        <w:sectPr>
          <w:pgSz w:w="11900" w:h="16838" w:orient="portrait"/>
          <w:cols w:equalWidth="0" w:num="1">
            <w:col w:w="10820"/>
          </w:cols>
          <w:pgMar w:left="540" w:top="264" w:right="539" w:bottom="1440" w:gutter="0" w:footer="0" w:header="0"/>
        </w:sectPr>
      </w:pPr>
    </w:p>
    <w:bookmarkStart w:id="592" w:name="page593"/>
    <w:bookmarkEnd w:id="592"/>
    <w:p>
      <w:pPr>
        <w:ind w:left="-425" w:firstLine="425"/>
        <w:spacing w:after="0" w:line="274" w:lineRule="auto"/>
        <w:tabs>
          <w:tab w:leader="none" w:pos="18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195"/>
          </w:cols>
          <w:pgMar w:left="965" w:top="267" w:right="739" w:bottom="1440" w:gutter="0" w:footer="0" w:header="0"/>
        </w:sectPr>
      </w:pPr>
    </w:p>
    <w:bookmarkStart w:id="593" w:name="page594"/>
    <w:bookmarkEnd w:id="593"/>
    <w:p>
      <w:pPr>
        <w:ind w:left="42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Witness my hand as of the first date written above.</w:t>
      </w:r>
    </w:p>
    <w:p>
      <w:pPr>
        <w:spacing w:after="0" w:line="257"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-127635</wp:posOffset>
            </wp:positionV>
            <wp:extent cx="274637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198" w:lineRule="exact"/>
        <w:rPr>
          <w:sz w:val="20"/>
          <w:szCs w:val="20"/>
          <w:color w:val="auto"/>
        </w:rPr>
      </w:pPr>
    </w:p>
    <w:p>
      <w:pPr>
        <w:ind w:left="8" w:firstLine="433"/>
        <w:spacing w:after="0" w:line="274"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164" w:lineRule="exact"/>
        <w:rPr>
          <w:sz w:val="20"/>
          <w:szCs w:val="20"/>
          <w:color w:val="auto"/>
        </w:rPr>
      </w:pPr>
    </w:p>
    <w:p>
      <w:pPr>
        <w:ind w:left="1148" w:hanging="715"/>
        <w:spacing w:after="0"/>
        <w:tabs>
          <w:tab w:leader="none" w:pos="1148"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[the] duly elected and qualified [Assistant] Secretary of the Company and the signature above is [his][her] genuine signature.</w:t>
      </w:r>
    </w:p>
    <w:p>
      <w:pPr>
        <w:spacing w:after="0" w:line="217" w:lineRule="exact"/>
        <w:rPr>
          <w:rFonts w:ascii="Times New Roman" w:cs="Times New Roman" w:eastAsia="Times New Roman" w:hAnsi="Times New Roman"/>
          <w:sz w:val="18"/>
          <w:szCs w:val="18"/>
          <w:color w:val="auto"/>
        </w:rPr>
      </w:pPr>
    </w:p>
    <w:p>
      <w:pPr>
        <w:ind w:left="8" w:hanging="8"/>
        <w:spacing w:after="0" w:line="264" w:lineRule="auto"/>
        <w:tabs>
          <w:tab w:leader="none" w:pos="18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Times New Roman" w:cs="Times New Roman" w:eastAsia="Times New Roman" w:hAnsi="Times New Roman"/>
          <w:sz w:val="26"/>
          <w:szCs w:val="26"/>
          <w:color w:val="auto"/>
          <w:vertAlign w:val="superscript"/>
        </w:rPr>
        <w:t>1</w:t>
      </w:r>
    </w:p>
    <w:p>
      <w:pPr>
        <w:spacing w:after="0" w:line="155" w:lineRule="exact"/>
        <w:rPr>
          <w:rFonts w:ascii="Times New Roman" w:cs="Times New Roman" w:eastAsia="Times New Roman" w:hAnsi="Times New Roman"/>
          <w:sz w:val="18"/>
          <w:szCs w:val="18"/>
          <w:color w:val="auto"/>
        </w:rPr>
      </w:pPr>
    </w:p>
    <w:p>
      <w:pPr>
        <w:ind w:left="168" w:hanging="168"/>
        <w:spacing w:after="0"/>
        <w:tabs>
          <w:tab w:leader="none" w:pos="168"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as of the date hereof.]</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-1078865</wp:posOffset>
            </wp:positionV>
            <wp:extent cx="33655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pacing w:after="0" w:line="145"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-127635</wp:posOffset>
            </wp:positionV>
            <wp:extent cx="274637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746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107950</wp:posOffset>
            </wp:positionV>
            <wp:extent cx="74993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92" w:lineRule="exact"/>
        <w:rPr>
          <w:sz w:val="20"/>
          <w:szCs w:val="20"/>
          <w:color w:val="auto"/>
        </w:rPr>
      </w:pPr>
    </w:p>
    <w:p>
      <w:pPr>
        <w:ind w:left="428" w:hanging="428"/>
        <w:spacing w:after="0"/>
        <w:tabs>
          <w:tab w:leader="none" w:pos="428" w:val="left"/>
        </w:tabs>
        <w:numPr>
          <w:ilvl w:val="0"/>
          <w:numId w:val="4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Certificate relating to General Motors Company only.</w:t>
      </w:r>
    </w:p>
    <w:p>
      <w:pPr>
        <w:ind w:left="428" w:hanging="428"/>
        <w:spacing w:after="0" w:line="184" w:lineRule="auto"/>
        <w:tabs>
          <w:tab w:leader="none" w:pos="428" w:val="left"/>
        </w:tabs>
        <w:numPr>
          <w:ilvl w:val="0"/>
          <w:numId w:val="48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To be included in Certificate relating to General Motors Company only.</w:t>
      </w:r>
    </w:p>
    <w:p>
      <w:pPr>
        <w:sectPr>
          <w:pgSz w:w="11900" w:h="16838" w:orient="portrait"/>
          <w:cols w:equalWidth="0" w:num="1">
            <w:col w:w="10808"/>
          </w:cols>
          <w:pgMar w:left="532" w:top="266" w:right="559" w:bottom="1440" w:gutter="0" w:footer="0" w:header="0"/>
        </w:sectPr>
      </w:pPr>
    </w:p>
    <w:bookmarkStart w:id="594" w:name="page595"/>
    <w:bookmarkEnd w:id="594"/>
    <w:p>
      <w:pPr>
        <w:jc w:val="center"/>
        <w:ind w:left="9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I</w:t>
      </w:r>
    </w:p>
    <w:p>
      <w:pPr>
        <w:spacing w:after="0" w:line="25" w:lineRule="exact"/>
        <w:rPr>
          <w:sz w:val="20"/>
          <w:szCs w:val="20"/>
          <w:color w:val="auto"/>
        </w:rPr>
      </w:pPr>
    </w:p>
    <w:p>
      <w:pPr>
        <w:jc w:val="center"/>
        <w:ind w:left="99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9940"/>
        <w:spacing w:after="0"/>
        <w:rPr>
          <w:sz w:val="20"/>
          <w:szCs w:val="20"/>
          <w:color w:val="auto"/>
        </w:rPr>
      </w:pPr>
      <w:r>
        <w:rPr>
          <w:rFonts w:ascii="Times New Roman" w:cs="Times New Roman" w:eastAsia="Times New Roman" w:hAnsi="Times New Roman"/>
          <w:sz w:val="18"/>
          <w:szCs w:val="18"/>
          <w:color w:val="auto"/>
        </w:rPr>
        <w:t>Certificate</w:t>
      </w:r>
    </w:p>
    <w:p>
      <w:pPr>
        <w:spacing w:after="0" w:line="2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[Copy of the Certificate of [Incorporation][Formation]]</w:t>
      </w:r>
    </w:p>
    <w:p>
      <w:pPr>
        <w:spacing w:after="0" w:line="3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860"/>
          </w:cols>
          <w:pgMar w:left="1440" w:top="267" w:right="599" w:bottom="1440" w:gutter="0" w:footer="0" w:header="0"/>
        </w:sectPr>
      </w:pPr>
    </w:p>
    <w:bookmarkStart w:id="595" w:name="page596"/>
    <w:bookmarkEnd w:id="595"/>
    <w:p>
      <w:pPr>
        <w:jc w:val="center"/>
        <w:ind w:left="9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II</w:t>
      </w:r>
    </w:p>
    <w:p>
      <w:pPr>
        <w:spacing w:after="0" w:line="36" w:lineRule="exact"/>
        <w:rPr>
          <w:sz w:val="20"/>
          <w:szCs w:val="20"/>
          <w:color w:val="auto"/>
        </w:rPr>
      </w:pPr>
    </w:p>
    <w:p>
      <w:pPr>
        <w:jc w:val="center"/>
        <w:ind w:left="992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9920"/>
        <w:spacing w:after="0"/>
        <w:rPr>
          <w:sz w:val="20"/>
          <w:szCs w:val="20"/>
          <w:color w:val="auto"/>
        </w:rPr>
      </w:pPr>
      <w:r>
        <w:rPr>
          <w:rFonts w:ascii="Times New Roman" w:cs="Times New Roman" w:eastAsia="Times New Roman" w:hAnsi="Times New Roman"/>
          <w:sz w:val="18"/>
          <w:szCs w:val="18"/>
          <w:color w:val="auto"/>
        </w:rPr>
        <w:t>Certificate</w:t>
      </w:r>
    </w:p>
    <w:p>
      <w:pPr>
        <w:spacing w:after="0" w:line="2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[Copy of the [by-laws] [Limited Liability Company Agreement][Operating Agreement]</w:t>
      </w:r>
    </w:p>
    <w:p>
      <w:pPr>
        <w:spacing w:after="0" w:line="3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9860"/>
          </w:cols>
          <w:pgMar w:left="1440" w:top="266" w:right="599" w:bottom="1440" w:gutter="0" w:footer="0" w:header="0"/>
        </w:sectPr>
      </w:pPr>
    </w:p>
    <w:bookmarkStart w:id="596" w:name="page597"/>
    <w:bookmarkEnd w:id="596"/>
    <w:p>
      <w:pPr>
        <w:jc w:val="center"/>
        <w:ind w:left="98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III</w:t>
      </w:r>
    </w:p>
    <w:p>
      <w:pPr>
        <w:spacing w:after="0" w:line="36" w:lineRule="exact"/>
        <w:rPr>
          <w:sz w:val="20"/>
          <w:szCs w:val="20"/>
          <w:color w:val="auto"/>
        </w:rPr>
      </w:pPr>
    </w:p>
    <w:p>
      <w:pPr>
        <w:jc w:val="center"/>
        <w:ind w:left="982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9820"/>
        <w:spacing w:after="0"/>
        <w:rPr>
          <w:sz w:val="20"/>
          <w:szCs w:val="20"/>
          <w:color w:val="auto"/>
        </w:rPr>
      </w:pPr>
      <w:r>
        <w:rPr>
          <w:rFonts w:ascii="Times New Roman" w:cs="Times New Roman" w:eastAsia="Times New Roman" w:hAnsi="Times New Roman"/>
          <w:sz w:val="18"/>
          <w:szCs w:val="18"/>
          <w:color w:val="auto"/>
        </w:rPr>
        <w:t>Certificate</w:t>
      </w:r>
    </w:p>
    <w:p>
      <w:pPr>
        <w:spacing w:after="0" w:line="2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Resolutions of the Board of [Directors] [Managers] of [Name of Loan Party]</w:t>
      </w:r>
    </w:p>
    <w:p>
      <w:pPr>
        <w:sectPr>
          <w:pgSz w:w="11900" w:h="16838" w:orient="portrait"/>
          <w:cols w:equalWidth="0" w:num="1">
            <w:col w:w="9840"/>
          </w:cols>
          <w:pgMar w:left="1440" w:top="267" w:right="619" w:bottom="1440" w:gutter="0" w:footer="0" w:header="0"/>
        </w:sectPr>
      </w:pPr>
    </w:p>
    <w:bookmarkStart w:id="597" w:name="page598"/>
    <w:bookmarkEnd w:id="597"/>
    <w:p>
      <w:pPr>
        <w:jc w:val="center"/>
        <w:ind w:left="98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ANNEX IV</w:t>
      </w:r>
    </w:p>
    <w:p>
      <w:pPr>
        <w:spacing w:after="0" w:line="36" w:lineRule="exact"/>
        <w:rPr>
          <w:sz w:val="20"/>
          <w:szCs w:val="20"/>
          <w:color w:val="auto"/>
        </w:rPr>
      </w:pPr>
    </w:p>
    <w:p>
      <w:pPr>
        <w:jc w:val="center"/>
        <w:ind w:left="9840"/>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left="9840"/>
        <w:spacing w:after="0"/>
        <w:rPr>
          <w:sz w:val="20"/>
          <w:szCs w:val="20"/>
          <w:color w:val="auto"/>
        </w:rPr>
      </w:pPr>
      <w:r>
        <w:rPr>
          <w:rFonts w:ascii="Times New Roman" w:cs="Times New Roman" w:eastAsia="Times New Roman" w:hAnsi="Times New Roman"/>
          <w:sz w:val="18"/>
          <w:szCs w:val="18"/>
          <w:color w:val="auto"/>
        </w:rPr>
        <w:t>Certificate</w:t>
      </w:r>
    </w:p>
    <w:p>
      <w:pPr>
        <w:spacing w:after="0" w:line="234" w:lineRule="exact"/>
        <w:rPr>
          <w:sz w:val="20"/>
          <w:szCs w:val="20"/>
          <w:color w:val="auto"/>
        </w:rPr>
      </w:pPr>
    </w:p>
    <w:p>
      <w:pPr>
        <w:spacing w:after="0"/>
        <w:tabs>
          <w:tab w:leader="none" w:pos="5440" w:val="left"/>
          <w:tab w:leader="none" w:pos="8860" w:val="left"/>
        </w:tabs>
        <w:rPr>
          <w:sz w:val="20"/>
          <w:szCs w:val="20"/>
          <w:color w:val="auto"/>
        </w:rPr>
      </w:pPr>
      <w:r>
        <w:rPr>
          <w:rFonts w:ascii="Times New Roman" w:cs="Times New Roman" w:eastAsia="Times New Roman" w:hAnsi="Times New Roman"/>
          <w:sz w:val="14"/>
          <w:szCs w:val="14"/>
          <w:u w:val="single" w:color="auto"/>
          <w:color w:val="auto"/>
        </w:rPr>
        <w:t>Name of Officer</w:t>
      </w:r>
      <w:r>
        <w:rPr>
          <w:sz w:val="20"/>
          <w:szCs w:val="20"/>
          <w:color w:val="auto"/>
        </w:rPr>
        <w:tab/>
      </w:r>
      <w:r>
        <w:rPr>
          <w:rFonts w:ascii="Times New Roman" w:cs="Times New Roman" w:eastAsia="Times New Roman" w:hAnsi="Times New Roman"/>
          <w:sz w:val="14"/>
          <w:szCs w:val="14"/>
          <w:color w:val="auto"/>
        </w:rPr>
        <w:t>Office</w:t>
      </w:r>
      <w:r>
        <w:rPr>
          <w:sz w:val="20"/>
          <w:szCs w:val="20"/>
          <w:color w:val="auto"/>
        </w:rPr>
        <w:tab/>
      </w: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13335</wp:posOffset>
            </wp:positionV>
            <wp:extent cx="438848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4388485" cy="8255"/>
                    </a:xfrm>
                    <a:prstGeom prst="rect">
                      <a:avLst/>
                    </a:prstGeom>
                    <a:noFill/>
                  </pic:spPr>
                </pic:pic>
              </a:graphicData>
            </a:graphic>
          </wp:anchor>
        </w:drawing>
      </w:r>
    </w:p>
    <w:p>
      <w:pPr>
        <w:sectPr>
          <w:pgSz w:w="11900" w:h="16838" w:orient="portrait"/>
          <w:cols w:equalWidth="0" w:num="1">
            <w:col w:w="10760"/>
          </w:cols>
          <w:pgMar w:left="540" w:top="266" w:right="599" w:bottom="1440" w:gutter="0" w:footer="0" w:header="0"/>
        </w:sectPr>
      </w:pPr>
    </w:p>
    <w:bookmarkStart w:id="598" w:name="page599"/>
    <w:bookmarkEnd w:id="598"/>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G</w:t>
      </w:r>
    </w:p>
    <w:p>
      <w:pPr>
        <w:spacing w:after="0" w:line="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18" w:lineRule="exact"/>
        <w:rPr>
          <w:sz w:val="20"/>
          <w:szCs w:val="20"/>
          <w:color w:val="auto"/>
        </w:rPr>
      </w:pPr>
    </w:p>
    <w:p>
      <w:pPr>
        <w:ind w:left="8" w:right="20" w:firstLine="433"/>
        <w:spacing w:after="0" w:line="252"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4" w:lineRule="exact"/>
        <w:rPr>
          <w:sz w:val="20"/>
          <w:szCs w:val="20"/>
          <w:color w:val="auto"/>
        </w:rPr>
      </w:pPr>
    </w:p>
    <w:p>
      <w:pPr>
        <w:ind w:left="8" w:firstLine="433"/>
        <w:spacing w:after="0" w:line="248"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339" w:lineRule="exact"/>
        <w:rPr>
          <w:sz w:val="20"/>
          <w:szCs w:val="20"/>
          <w:color w:val="auto"/>
        </w:rPr>
      </w:pPr>
    </w:p>
    <w:p>
      <w:pPr>
        <w:ind w:left="248" w:hanging="248"/>
        <w:spacing w:after="0"/>
        <w:tabs>
          <w:tab w:leader="none" w:pos="248"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111"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15240</wp:posOffset>
            </wp:positionV>
            <wp:extent cx="562673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62673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-186690</wp:posOffset>
            </wp:positionV>
            <wp:extent cx="288099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880995" cy="8255"/>
                    </a:xfrm>
                    <a:prstGeom prst="rect">
                      <a:avLst/>
                    </a:prstGeom>
                    <a:noFill/>
                  </pic:spPr>
                </pic:pic>
              </a:graphicData>
            </a:graphic>
          </wp:anchor>
        </w:drawing>
      </w:r>
    </w:p>
    <w:p>
      <w:pPr>
        <w:spacing w:after="0" w:line="5" w:lineRule="exact"/>
        <w:rPr>
          <w:sz w:val="20"/>
          <w:szCs w:val="20"/>
          <w:color w:val="auto"/>
        </w:rPr>
      </w:pPr>
    </w:p>
    <w:p>
      <w:pPr>
        <w:ind w:left="2068"/>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4993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233" w:lineRule="exact"/>
        <w:rPr>
          <w:sz w:val="20"/>
          <w:szCs w:val="20"/>
          <w:color w:val="auto"/>
        </w:rPr>
      </w:pPr>
    </w:p>
    <w:p>
      <w:pPr>
        <w:ind w:left="208" w:hanging="208"/>
        <w:spacing w:after="0"/>
        <w:tabs>
          <w:tab w:leader="none" w:pos="208" w:val="left"/>
        </w:tabs>
        <w:numPr>
          <w:ilvl w:val="0"/>
          <w:numId w:val="4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3 Select as applicable.</w:t>
      </w:r>
    </w:p>
    <w:p>
      <w:pPr>
        <w:sectPr>
          <w:pgSz w:w="11900" w:h="16838" w:orient="portrait"/>
          <w:cols w:equalWidth="0" w:num="1">
            <w:col w:w="10828"/>
          </w:cols>
          <w:pgMar w:left="532" w:top="265" w:right="539" w:bottom="1440" w:gutter="0" w:footer="0" w:header="0"/>
        </w:sectPr>
      </w:pPr>
    </w:p>
    <w:bookmarkStart w:id="599" w:name="page600"/>
    <w:bookmarkEnd w:id="599"/>
    <w:p>
      <w:pPr>
        <w:ind w:left="168" w:hanging="168"/>
        <w:spacing w:after="0"/>
        <w:tabs>
          <w:tab w:leader="none" w:pos="16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Borrower(s):</w:t>
      </w:r>
    </w:p>
    <w:p>
      <w:pPr>
        <w:spacing w:after="0" w:line="217" w:lineRule="exact"/>
        <w:rPr>
          <w:rFonts w:ascii="Times New Roman" w:cs="Times New Roman" w:eastAsia="Times New Roman" w:hAnsi="Times New Roman"/>
          <w:sz w:val="18"/>
          <w:szCs w:val="18"/>
          <w:color w:val="auto"/>
        </w:rPr>
      </w:pPr>
    </w:p>
    <w:p>
      <w:pPr>
        <w:ind w:left="168" w:hanging="168"/>
        <w:spacing w:after="0"/>
        <w:tabs>
          <w:tab w:leader="none" w:pos="16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JPMorgan Chase Bank,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-279400</wp:posOffset>
            </wp:positionV>
            <wp:extent cx="78613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224" w:lineRule="exact"/>
        <w:rPr>
          <w:sz w:val="20"/>
          <w:szCs w:val="20"/>
          <w:color w:val="auto"/>
        </w:rPr>
      </w:pPr>
    </w:p>
    <w:tbl>
      <w:tblPr>
        <w:tblLayout w:type="fixed"/>
        <w:tblInd w:w="8" w:type="dxa"/>
        <w:tblCellMar>
          <w:top w:w="0" w:type="dxa"/>
          <w:left w:w="0" w:type="dxa"/>
          <w:bottom w:w="0" w:type="dxa"/>
          <w:right w:w="0" w:type="dxa"/>
        </w:tblCellMar>
      </w:tblPr>
      <w:tr>
        <w:trPr>
          <w:trHeight w:val="2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Credit Agreement: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[The Fifth Amended and Restated 364-Day Revolving Credit Agreement, dated as of March 31, 2023 (as amended,</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gridSpan w:val="9"/>
          </w:tcPr>
          <w:p>
            <w:pPr>
              <w:ind w:left="80"/>
              <w:spacing w:after="0" w:line="191" w:lineRule="exact"/>
              <w:rPr>
                <w:sz w:val="20"/>
                <w:szCs w:val="20"/>
                <w:color w:val="auto"/>
              </w:rPr>
            </w:pPr>
            <w:r>
              <w:rPr>
                <w:rFonts w:ascii="Times New Roman" w:cs="Times New Roman" w:eastAsia="Times New Roman" w:hAnsi="Times New Roman"/>
                <w:sz w:val="18"/>
                <w:szCs w:val="18"/>
                <w:color w:val="auto"/>
              </w:rPr>
              <w:t>restated, amended and restated, renewed, supplemented or modified from time to time, the “Credit Agreement”), among</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gridSpan w:val="9"/>
          </w:tcPr>
          <w:p>
            <w:pPr>
              <w:ind w:left="80"/>
              <w:spacing w:after="0" w:line="192" w:lineRule="exact"/>
              <w:rPr>
                <w:sz w:val="20"/>
                <w:szCs w:val="20"/>
                <w:color w:val="auto"/>
              </w:rPr>
            </w:pPr>
            <w:r>
              <w:rPr>
                <w:rFonts w:ascii="Times New Roman" w:cs="Times New Roman" w:eastAsia="Times New Roman" w:hAnsi="Times New Roman"/>
                <w:sz w:val="18"/>
                <w:szCs w:val="18"/>
                <w:color w:val="auto"/>
              </w:rPr>
              <w:t>General Motors Company, a Delaware corporation (together with its successors and permitted assigns, the “Company”),</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20" w:type="dxa"/>
            <w:vAlign w:val="bottom"/>
            <w:gridSpan w:val="5"/>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General Motors Financial Company, Inc., a Texas corporation, the Subsidiary Borrowers from time to time party thereto,</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w w:val="98"/>
              </w:rPr>
              <w:t>the lenders from time to time party thereto, JPMorgan Chase Bank, N.A. for the Lenders, as administrative agent, Citibank,</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N.A., as syndication agent, Bank of America, N.A., as co-syndication agent, and the other agents party thereto. Unless</w:t>
            </w:r>
          </w:p>
        </w:tc>
        <w:tc>
          <w:tcPr>
            <w:tcW w:w="0" w:type="dxa"/>
            <w:vAlign w:val="bottom"/>
          </w:tcPr>
          <w:p>
            <w:pPr>
              <w:spacing w:after="0"/>
              <w:rPr>
                <w:sz w:val="1"/>
                <w:szCs w:val="1"/>
                <w:color w:val="auto"/>
              </w:rPr>
            </w:pPr>
          </w:p>
        </w:tc>
      </w:tr>
      <w:tr>
        <w:trPr>
          <w:trHeight w:val="232"/>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Assigned Interest: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otherwise defined herein, terms used herein have the meanings assigned to such terms in the Credit Agreement.</w:t>
            </w:r>
          </w:p>
        </w:tc>
        <w:tc>
          <w:tcPr>
            <w:tcW w:w="0" w:type="dxa"/>
            <w:vAlign w:val="bottom"/>
          </w:tcPr>
          <w:p>
            <w:pPr>
              <w:spacing w:after="0"/>
              <w:rPr>
                <w:sz w:val="1"/>
                <w:szCs w:val="1"/>
                <w:color w:val="auto"/>
              </w:rPr>
            </w:pPr>
          </w:p>
        </w:tc>
      </w:tr>
      <w:tr>
        <w:trPr>
          <w:trHeight w:val="212"/>
        </w:trPr>
        <w:tc>
          <w:tcPr>
            <w:tcW w:w="180" w:type="dxa"/>
            <w:vAlign w:val="bottom"/>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1"/>
        </w:trPr>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Aggregate Amount of</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24"/>
                <w:szCs w:val="24"/>
                <w:color w:val="auto"/>
              </w:rPr>
            </w:pPr>
          </w:p>
        </w:tc>
        <w:tc>
          <w:tcPr>
            <w:tcW w:w="33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color w:val="auto"/>
              </w:rPr>
              <w:t>Percentage Assigned of</w:t>
            </w:r>
          </w:p>
        </w:tc>
        <w:tc>
          <w:tcPr>
            <w:tcW w:w="0" w:type="dxa"/>
            <w:vAlign w:val="bottom"/>
          </w:tcPr>
          <w:p>
            <w:pPr>
              <w:spacing w:after="0"/>
              <w:rPr>
                <w:sz w:val="1"/>
                <w:szCs w:val="1"/>
                <w:color w:val="auto"/>
              </w:rPr>
            </w:pPr>
          </w:p>
        </w:tc>
      </w:tr>
      <w:tr>
        <w:trPr>
          <w:trHeight w:val="146"/>
        </w:trPr>
        <w:tc>
          <w:tcPr>
            <w:tcW w:w="164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auto"/>
              </w:rPr>
              <w:t>Commitment/Loans for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Commitment/Loans</w:t>
            </w:r>
          </w:p>
        </w:tc>
        <w:tc>
          <w:tcPr>
            <w:tcW w:w="100" w:type="dxa"/>
            <w:vAlign w:val="bottom"/>
          </w:tcPr>
          <w:p>
            <w:pPr>
              <w:spacing w:after="0"/>
              <w:rPr>
                <w:sz w:val="12"/>
                <w:szCs w:val="12"/>
                <w:color w:val="auto"/>
              </w:rPr>
            </w:pPr>
          </w:p>
        </w:tc>
        <w:tc>
          <w:tcPr>
            <w:tcW w:w="33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all Lenders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Assigned</w:t>
            </w:r>
          </w:p>
        </w:tc>
        <w:tc>
          <w:tcPr>
            <w:tcW w:w="100" w:type="dxa"/>
            <w:vAlign w:val="bottom"/>
          </w:tcPr>
          <w:p>
            <w:pPr>
              <w:spacing w:after="0"/>
              <w:rPr>
                <w:sz w:val="16"/>
                <w:szCs w:val="16"/>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Commitment/Loans</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99"/>
        </w:trPr>
        <w:tc>
          <w:tcPr>
            <w:tcW w:w="180" w:type="dxa"/>
            <w:vAlign w:val="bottom"/>
            <w:tcBorders>
              <w:top w:val="single" w:sz="8" w:color="auto"/>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jc w:val="right"/>
              <w:ind w:right="330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883"/>
              <w:spacing w:after="0" w:line="199" w:lineRule="exact"/>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0" w:type="dxa"/>
            <w:vAlign w:val="bottom"/>
            <w:gridSpan w:val="3"/>
          </w:tcPr>
          <w:p>
            <w:pPr>
              <w:jc w:val="right"/>
              <w:ind w:right="330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8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jc w:val="right"/>
              <w:ind w:right="330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Effective Date:</w:t>
            </w:r>
          </w:p>
        </w:tc>
        <w:tc>
          <w:tcPr>
            <w:tcW w:w="540" w:type="dxa"/>
            <w:vAlign w:val="bottom"/>
          </w:tcPr>
          <w:p>
            <w:pPr>
              <w:spacing w:after="0"/>
              <w:rPr>
                <w:sz w:val="24"/>
                <w:szCs w:val="24"/>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 20</w:t>
            </w:r>
          </w:p>
        </w:tc>
        <w:tc>
          <w:tcPr>
            <w:tcW w:w="280" w:type="dxa"/>
            <w:vAlign w:val="bottom"/>
          </w:tcPr>
          <w:p>
            <w:pPr>
              <w:spacing w:after="0"/>
              <w:rPr>
                <w:sz w:val="24"/>
                <w:szCs w:val="24"/>
                <w:color w:val="auto"/>
              </w:rPr>
            </w:pPr>
          </w:p>
        </w:tc>
        <w:tc>
          <w:tcPr>
            <w:tcW w:w="85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[TO BE INSERTED BY ADMINISTRATIVE AGENT AND WHICH SHALL BE THE EFFECTIVE DATE OF</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RECORDATION OF TRANSFER IN THE REGISTER THEREFOR.]</w:t>
      </w:r>
    </w:p>
    <w:p>
      <w:pPr>
        <w:spacing w:after="0" w:line="218" w:lineRule="exact"/>
        <w:rPr>
          <w:sz w:val="20"/>
          <w:szCs w:val="20"/>
          <w:color w:val="auto"/>
        </w:rPr>
      </w:pPr>
    </w:p>
    <w:p>
      <w:pPr>
        <w:ind w:left="8" w:right="280"/>
        <w:spacing w:after="0" w:line="255"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4993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75" w:lineRule="exact"/>
        <w:rPr>
          <w:sz w:val="20"/>
          <w:szCs w:val="20"/>
          <w:color w:val="auto"/>
        </w:rPr>
      </w:pPr>
    </w:p>
    <w:p>
      <w:pPr>
        <w:ind w:left="428" w:hanging="428"/>
        <w:spacing w:after="0"/>
        <w:tabs>
          <w:tab w:leader="none" w:pos="428" w:val="left"/>
        </w:tabs>
        <w:numPr>
          <w:ilvl w:val="0"/>
          <w:numId w:val="4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Set forth, to at least 9 decimals, as a percentage of the Commitment/Loans of all Lenders thereunder.</w:t>
      </w:r>
    </w:p>
    <w:p>
      <w:pPr>
        <w:sectPr>
          <w:pgSz w:w="11900" w:h="16838" w:orient="portrait"/>
          <w:cols w:equalWidth="0" w:num="1">
            <w:col w:w="10828"/>
          </w:cols>
          <w:pgMar w:left="532" w:top="266" w:right="539" w:bottom="1440" w:gutter="0" w:footer="0" w:header="0"/>
        </w:sectPr>
      </w:pPr>
    </w:p>
    <w:bookmarkStart w:id="600" w:name="page601"/>
    <w:bookmarkEnd w:id="600"/>
    <w:p>
      <w:pPr>
        <w:ind w:left="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terms set forth in this Assignment and Assumption are hereby agreed to:</w:t>
      </w:r>
    </w:p>
    <w:p>
      <w:pPr>
        <w:spacing w:after="0" w:line="242"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27"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11"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15240</wp:posOffset>
            </wp:positionV>
            <wp:extent cx="255206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27"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11"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15240</wp:posOffset>
            </wp:positionV>
            <wp:extent cx="255206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15240</wp:posOffset>
            </wp:positionV>
            <wp:extent cx="255206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6"/>
          <w:szCs w:val="26"/>
          <w:color w:val="auto"/>
          <w:vertAlign w:val="superscript"/>
        </w:rPr>
        <w:t>5</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Consented to:</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15240</wp:posOffset>
            </wp:positionV>
            <wp:extent cx="255206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4993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165" w:lineRule="exact"/>
        <w:rPr>
          <w:sz w:val="20"/>
          <w:szCs w:val="20"/>
          <w:color w:val="auto"/>
        </w:rPr>
      </w:pPr>
    </w:p>
    <w:p>
      <w:pPr>
        <w:jc w:val="both"/>
        <w:ind w:left="428" w:hanging="428"/>
        <w:spacing w:after="0" w:line="235" w:lineRule="auto"/>
        <w:tabs>
          <w:tab w:leader="none" w:pos="428" w:val="left"/>
        </w:tabs>
        <w:numPr>
          <w:ilvl w:val="0"/>
          <w:numId w:val="4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728"/>
          </w:cols>
          <w:pgMar w:left="532" w:top="267" w:right="639" w:bottom="1440" w:gutter="0" w:footer="0" w:header="0"/>
        </w:sectPr>
      </w:pPr>
    </w:p>
    <w:bookmarkStart w:id="601" w:name="page602"/>
    <w:bookmarkEnd w:id="601"/>
    <w:p>
      <w:pPr>
        <w:jc w:val="center"/>
        <w:ind w:right="-2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STANDARD TERMS AND CONDITIONS FOR</w:t>
      </w:r>
    </w:p>
    <w:p>
      <w:pPr>
        <w:spacing w:after="0" w:line="2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196" w:lineRule="exact"/>
        <w:rPr>
          <w:sz w:val="20"/>
          <w:szCs w:val="20"/>
          <w:color w:val="auto"/>
        </w:rPr>
      </w:pPr>
    </w:p>
    <w:p>
      <w:pPr>
        <w:ind w:left="608" w:hanging="175"/>
        <w:spacing w:after="0"/>
        <w:tabs>
          <w:tab w:leader="none" w:pos="608"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8" w:right="100" w:firstLine="433"/>
        <w:spacing w:after="0" w:line="267"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170" w:lineRule="exact"/>
        <w:rPr>
          <w:sz w:val="20"/>
          <w:szCs w:val="20"/>
          <w:color w:val="auto"/>
        </w:rPr>
      </w:pPr>
    </w:p>
    <w:p>
      <w:pPr>
        <w:ind w:left="8" w:right="20" w:firstLine="433"/>
        <w:spacing w:after="0" w:line="273"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8" w:hanging="8"/>
        <w:spacing w:after="0" w:line="262" w:lineRule="auto"/>
        <w:tabs>
          <w:tab w:leader="none" w:pos="268" w:val="left"/>
        </w:tabs>
        <w:numPr>
          <w:ilvl w:val="0"/>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thereof (or, if none of such financial statements shall have then been delivered or deemed delivered, then copies of the financial statements referred to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or Co-Syndication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ectPr>
          <w:pgSz w:w="11900" w:h="16838" w:orient="portrait"/>
          <w:cols w:equalWidth="0" w:num="1">
            <w:col w:w="10788"/>
          </w:cols>
          <w:pgMar w:left="532" w:top="266" w:right="579" w:bottom="1440" w:gutter="0" w:footer="0" w:header="0"/>
        </w:sectPr>
      </w:pPr>
    </w:p>
    <w:bookmarkStart w:id="602" w:name="page603"/>
    <w:bookmarkEnd w:id="602"/>
    <w:p>
      <w:pPr>
        <w:jc w:val="both"/>
        <w:ind w:left="-425" w:right="100" w:firstLine="425"/>
        <w:spacing w:after="0" w:line="261" w:lineRule="auto"/>
        <w:tabs>
          <w:tab w:leader="none" w:pos="18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pacing w:after="0" w:line="173" w:lineRule="exact"/>
        <w:rPr>
          <w:rFonts w:ascii="Times New Roman" w:cs="Times New Roman" w:eastAsia="Times New Roman" w:hAnsi="Times New Roman"/>
          <w:sz w:val="18"/>
          <w:szCs w:val="18"/>
          <w:color w:val="auto"/>
        </w:rPr>
      </w:pPr>
    </w:p>
    <w:p>
      <w:pPr>
        <w:ind w:left="-425" w:firstLine="425"/>
        <w:spacing w:after="0" w:line="252" w:lineRule="auto"/>
        <w:tabs>
          <w:tab w:leader="none" w:pos="18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335"/>
          </w:cols>
          <w:pgMar w:left="965" w:top="265" w:right="599" w:bottom="1440" w:gutter="0" w:footer="0" w:header="0"/>
        </w:sectPr>
      </w:pPr>
    </w:p>
    <w:bookmarkStart w:id="603" w:name="page604"/>
    <w:bookmarkEnd w:id="603"/>
    <w:tbl>
      <w:tblPr>
        <w:tblLayout w:type="fixed"/>
        <w:tblInd w:w="96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40" w:type="dxa"/>
            <w:vAlign w:val="bottom"/>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8"/>
              </w:rPr>
              <w:t>EXHIBIT H</w:t>
            </w:r>
          </w:p>
        </w:tc>
      </w:tr>
      <w:tr>
        <w:trPr>
          <w:trHeight w:val="212"/>
        </w:trPr>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40" w:type="dxa"/>
            <w:vAlign w:val="bottom"/>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34"/>
        </w:trPr>
        <w:tc>
          <w:tcPr>
            <w:tcW w:w="2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4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Credit Agreement</w:t>
            </w:r>
          </w:p>
        </w:tc>
      </w:tr>
      <w:tr>
        <w:trPr>
          <w:trHeight w:val="332"/>
        </w:trPr>
        <w:tc>
          <w:tcPr>
            <w:tcW w:w="2760" w:type="dxa"/>
            <w:vAlign w:val="bottom"/>
          </w:tcPr>
          <w:p>
            <w:pPr>
              <w:spacing w:after="0"/>
              <w:rPr>
                <w:sz w:val="24"/>
                <w:szCs w:val="24"/>
                <w:color w:val="auto"/>
              </w:rPr>
            </w:pPr>
          </w:p>
        </w:tc>
        <w:tc>
          <w:tcPr>
            <w:tcW w:w="70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FORM OF JOINDER AGREEMENT</w:t>
            </w:r>
          </w:p>
        </w:tc>
      </w:tr>
      <w:tr>
        <w:trPr>
          <w:trHeight w:val="38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w w:val="98"/>
              </w:rPr>
              <w:t>JOINDER AGREEMENT, dated as of</w:t>
            </w:r>
          </w:p>
        </w:tc>
        <w:tc>
          <w:tcPr>
            <w:tcW w:w="540" w:type="dxa"/>
            <w:vAlign w:val="bottom"/>
          </w:tcPr>
          <w:p>
            <w:pPr>
              <w:spacing w:after="0"/>
              <w:rPr>
                <w:sz w:val="24"/>
                <w:szCs w:val="24"/>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20__, made by each signatory hereto (each a “Subsidiary Borrower”), in favor of</w:t>
            </w:r>
          </w:p>
        </w:tc>
      </w:tr>
      <w:tr>
        <w:trPr>
          <w:trHeight w:val="20"/>
        </w:trPr>
        <w:tc>
          <w:tcPr>
            <w:tcW w:w="2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p>
      <w:pPr>
        <w:ind w:right="60"/>
        <w:spacing w:after="0" w:line="269" w:lineRule="auto"/>
        <w:rPr>
          <w:sz w:val="20"/>
          <w:szCs w:val="20"/>
          <w:color w:val="auto"/>
        </w:rPr>
      </w:pPr>
      <w:r>
        <w:rPr>
          <w:rFonts w:ascii="Times New Roman" w:cs="Times New Roman" w:eastAsia="Times New Roman" w:hAnsi="Times New Roman"/>
          <w:sz w:val="17"/>
          <w:szCs w:val="17"/>
          <w:color w:val="auto"/>
        </w:rPr>
        <w:t>JPMorgan Chase Bank, N.A., as administrative agent for the Lenders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referred to in the Fifth Amended and Restated 364-Day Revolving Credit Agreement, dated as of March 31, 2023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WHEREAS, the parties to this Joinder Agreement wish to add the Subsidiary Borrower to the Credit Agreement in the manner hereinafter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and</w:t>
      </w:r>
    </w:p>
    <w:p>
      <w:pPr>
        <w:spacing w:after="0" w:line="304" w:lineRule="exact"/>
        <w:rPr>
          <w:sz w:val="20"/>
          <w:szCs w:val="20"/>
          <w:color w:val="auto"/>
        </w:rPr>
      </w:pPr>
    </w:p>
    <w:p>
      <w:pPr>
        <w:ind w:left="960" w:right="2180"/>
        <w:spacing w:after="0" w:line="390" w:lineRule="auto"/>
        <w:rPr>
          <w:sz w:val="20"/>
          <w:szCs w:val="20"/>
          <w:color w:val="auto"/>
        </w:rPr>
      </w:pPr>
      <w:r>
        <w:rPr>
          <w:rFonts w:ascii="Times New Roman" w:cs="Times New Roman" w:eastAsia="Times New Roman" w:hAnsi="Times New Roman"/>
          <w:sz w:val="17"/>
          <w:szCs w:val="17"/>
          <w:color w:val="auto"/>
        </w:rPr>
        <w:t>WHEREAS, this Joinder Agreement is entered into pursuant to Section 10.1(d)(i) of the Credit Agreement; NOW, THEREFORE, in consideration of the premises, the parties hereto hereby agree as follows:</w:t>
      </w:r>
    </w:p>
    <w:p>
      <w:pPr>
        <w:spacing w:after="0" w:line="1" w:lineRule="exact"/>
        <w:rPr>
          <w:sz w:val="20"/>
          <w:szCs w:val="20"/>
          <w:color w:val="auto"/>
        </w:rPr>
      </w:pPr>
    </w:p>
    <w:p>
      <w:pPr>
        <w:jc w:val="both"/>
        <w:ind w:right="120" w:firstLine="966"/>
        <w:spacing w:after="0" w:line="255" w:lineRule="auto"/>
        <w:tabs>
          <w:tab w:leader="none" w:pos="1151"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1" w:lineRule="exact"/>
        <w:rPr>
          <w:rFonts w:ascii="Times New Roman" w:cs="Times New Roman" w:eastAsia="Times New Roman" w:hAnsi="Times New Roman"/>
          <w:sz w:val="18"/>
          <w:szCs w:val="18"/>
          <w:color w:val="auto"/>
        </w:rPr>
      </w:pPr>
    </w:p>
    <w:p>
      <w:pPr>
        <w:ind w:right="80" w:firstLine="966"/>
        <w:spacing w:after="0" w:line="274" w:lineRule="auto"/>
        <w:tabs>
          <w:tab w:leader="none" w:pos="1151"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taxpayer identification number (if any) and jurisdiction of organization of the Subsidiary Borrower is set forth in Annex I to this Joinder Agreement.</w:t>
      </w:r>
    </w:p>
    <w:p>
      <w:pPr>
        <w:spacing w:after="0" w:line="162" w:lineRule="exact"/>
        <w:rPr>
          <w:rFonts w:ascii="Times New Roman" w:cs="Times New Roman" w:eastAsia="Times New Roman" w:hAnsi="Times New Roman"/>
          <w:sz w:val="18"/>
          <w:szCs w:val="18"/>
          <w:color w:val="auto"/>
        </w:rPr>
      </w:pPr>
    </w:p>
    <w:p>
      <w:pPr>
        <w:ind w:right="80" w:firstLine="966"/>
        <w:spacing w:after="0" w:line="276" w:lineRule="auto"/>
        <w:tabs>
          <w:tab w:leader="none" w:pos="1151"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0740"/>
          </w:cols>
          <w:pgMar w:left="540" w:top="264" w:right="619" w:bottom="1440" w:gutter="0" w:footer="0" w:header="0"/>
        </w:sectPr>
      </w:pPr>
    </w:p>
    <w:bookmarkStart w:id="604" w:name="page605"/>
    <w:bookmarkEnd w:id="604"/>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[EACH SUBSIDIARY BORROWER],</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as a Subsidiary Borrower</w:t>
      </w:r>
    </w:p>
    <w:p>
      <w:pPr>
        <w:spacing w:after="0" w:line="23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15240</wp:posOffset>
            </wp:positionV>
            <wp:extent cx="255206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AND AGREED TO</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600"/>
          </w:cols>
          <w:pgMar w:left="540" w:top="267" w:right="759" w:bottom="1440" w:gutter="0" w:footer="0" w:header="0"/>
        </w:sectPr>
      </w:pPr>
    </w:p>
    <w:bookmarkStart w:id="605" w:name="page606"/>
    <w:bookmarkEnd w:id="605"/>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I-1</w:t>
      </w:r>
    </w:p>
    <w:p>
      <w:pPr>
        <w:spacing w:after="0" w:line="2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18"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364-Day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40" w:firstLine="433"/>
        <w:spacing w:after="0" w:line="253"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2" w:lineRule="exact"/>
        <w:rPr>
          <w:sz w:val="20"/>
          <w:szCs w:val="20"/>
          <w:color w:val="auto"/>
        </w:rPr>
      </w:pPr>
    </w:p>
    <w:p>
      <w:pPr>
        <w:ind w:firstLine="433"/>
        <w:spacing w:after="0" w:line="251"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780"/>
          </w:cols>
          <w:pgMar w:left="540" w:top="264" w:right="579" w:bottom="1440" w:gutter="0" w:footer="0" w:header="0"/>
        </w:sectPr>
      </w:pPr>
    </w:p>
    <w:bookmarkStart w:id="606" w:name="page607"/>
    <w:bookmarkEnd w:id="606"/>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6770" cy="3746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-9525</wp:posOffset>
            </wp:positionV>
            <wp:extent cx="33655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ectPr>
          <w:pgSz w:w="11900" w:h="16838" w:orient="portrait"/>
          <w:cols w:equalWidth="0" w:num="1">
            <w:col w:w="10340"/>
          </w:cols>
          <w:pgMar w:left="540" w:top="267" w:right="1019" w:bottom="1440" w:gutter="0" w:footer="0" w:header="0"/>
        </w:sectPr>
      </w:pPr>
    </w:p>
    <w:bookmarkStart w:id="607" w:name="page608"/>
    <w:bookmarkEnd w:id="607"/>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I-2</w:t>
      </w:r>
    </w:p>
    <w:p>
      <w:pPr>
        <w:spacing w:after="0" w:line="2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18" w:lineRule="exact"/>
        <w:rPr>
          <w:sz w:val="20"/>
          <w:szCs w:val="20"/>
          <w:color w:val="auto"/>
        </w:rPr>
      </w:pPr>
    </w:p>
    <w:p>
      <w:pPr>
        <w:ind w:right="2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364-Day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80" w:firstLine="433"/>
        <w:spacing w:after="0" w:line="250"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85" w:lineRule="exact"/>
        <w:rPr>
          <w:sz w:val="20"/>
          <w:szCs w:val="20"/>
          <w:color w:val="auto"/>
        </w:rPr>
      </w:pPr>
    </w:p>
    <w:p>
      <w:pPr>
        <w:ind w:firstLine="433"/>
        <w:spacing w:after="0" w:line="249"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800"/>
          </w:cols>
          <w:pgMar w:left="540" w:top="264" w:right="559" w:bottom="1440" w:gutter="0" w:footer="0" w:header="0"/>
        </w:sectPr>
      </w:pPr>
    </w:p>
    <w:bookmarkStart w:id="608" w:name="page609"/>
    <w:bookmarkEnd w:id="608"/>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-9525</wp:posOffset>
            </wp:positionV>
            <wp:extent cx="33655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ectPr>
          <w:pgSz w:w="11900" w:h="16838" w:orient="portrait"/>
          <w:cols w:equalWidth="0" w:num="1">
            <w:col w:w="10340"/>
          </w:cols>
          <w:pgMar w:left="540" w:top="267" w:right="1019" w:bottom="1440" w:gutter="0" w:footer="0" w:header="0"/>
        </w:sectPr>
      </w:pPr>
    </w:p>
    <w:bookmarkStart w:id="609" w:name="page610"/>
    <w:bookmarkEnd w:id="609"/>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I-3</w:t>
      </w:r>
    </w:p>
    <w:p>
      <w:pPr>
        <w:spacing w:after="0" w:line="2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18"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364-Day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right="320" w:firstLine="433"/>
        <w:spacing w:after="0" w:line="253"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2" w:lineRule="exact"/>
        <w:rPr>
          <w:sz w:val="20"/>
          <w:szCs w:val="20"/>
          <w:color w:val="auto"/>
        </w:rPr>
      </w:pPr>
    </w:p>
    <w:p>
      <w:pPr>
        <w:ind w:right="160" w:firstLine="433"/>
        <w:spacing w:after="0" w:line="271" w:lineRule="auto"/>
        <w:rPr>
          <w:sz w:val="20"/>
          <w:szCs w:val="20"/>
          <w:color w:val="auto"/>
        </w:rPr>
      </w:pPr>
      <w:r>
        <w:rPr>
          <w:rFonts w:ascii="Times New Roman" w:cs="Times New Roman" w:eastAsia="Times New Roman" w:hAnsi="Times New Roman"/>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780"/>
          </w:cols>
          <w:pgMar w:left="540" w:top="265" w:right="579" w:bottom="1440" w:gutter="0" w:footer="0" w:header="0"/>
        </w:sectPr>
      </w:pPr>
    </w:p>
    <w:bookmarkStart w:id="610" w:name="page611"/>
    <w:bookmarkEnd w:id="610"/>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-9525</wp:posOffset>
            </wp:positionV>
            <wp:extent cx="33655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ectPr>
          <w:pgSz w:w="11900" w:h="16838" w:orient="portrait"/>
          <w:cols w:equalWidth="0" w:num="1">
            <w:col w:w="10340"/>
          </w:cols>
          <w:pgMar w:left="540" w:top="267" w:right="1019" w:bottom="1440" w:gutter="0" w:footer="0" w:header="0"/>
        </w:sectPr>
      </w:pPr>
    </w:p>
    <w:bookmarkStart w:id="611" w:name="page612"/>
    <w:bookmarkEnd w:id="611"/>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I-4</w:t>
      </w:r>
    </w:p>
    <w:p>
      <w:pPr>
        <w:spacing w:after="0" w:line="2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[FORM OF]</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18" w:lineRule="exact"/>
        <w:rPr>
          <w:sz w:val="20"/>
          <w:szCs w:val="20"/>
          <w:color w:val="auto"/>
        </w:rPr>
      </w:pPr>
    </w:p>
    <w:p>
      <w:pPr>
        <w:ind w:left="8" w:right="20" w:firstLine="433"/>
        <w:spacing w:after="0" w:line="269" w:lineRule="auto"/>
        <w:rPr>
          <w:sz w:val="20"/>
          <w:szCs w:val="20"/>
          <w:color w:val="auto"/>
        </w:rPr>
      </w:pPr>
      <w:r>
        <w:rPr>
          <w:rFonts w:ascii="Times New Roman" w:cs="Times New Roman" w:eastAsia="Times New Roman" w:hAnsi="Times New Roman"/>
          <w:sz w:val="17"/>
          <w:szCs w:val="17"/>
          <w:color w:val="auto"/>
        </w:rPr>
        <w:t>Reference is hereby made to the Fifth Amended and Restated 364-Day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left="8" w:right="60" w:firstLine="433"/>
        <w:spacing w:after="0" w:line="267" w:lineRule="auto"/>
        <w:rPr>
          <w:sz w:val="20"/>
          <w:szCs w:val="20"/>
          <w:color w:val="auto"/>
        </w:rPr>
      </w:pPr>
      <w:r>
        <w:rPr>
          <w:rFonts w:ascii="Times New Roman" w:cs="Times New Roman" w:eastAsia="Times New Roman" w:hAnsi="Times New Roman"/>
          <w:sz w:val="17"/>
          <w:szCs w:val="17"/>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17" w:lineRule="exact"/>
        <w:rPr>
          <w:sz w:val="20"/>
          <w:szCs w:val="20"/>
          <w:color w:val="auto"/>
        </w:rPr>
      </w:pPr>
    </w:p>
    <w:p>
      <w:pPr>
        <w:ind w:left="8" w:right="20" w:hanging="8"/>
        <w:spacing w:after="0" w:line="247" w:lineRule="auto"/>
        <w:tabs>
          <w:tab w:leader="none" w:pos="268"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808"/>
          </w:cols>
          <w:pgMar w:left="532" w:top="265" w:right="559" w:bottom="1440" w:gutter="0" w:footer="0" w:header="0"/>
        </w:sectPr>
      </w:pPr>
    </w:p>
    <w:bookmarkStart w:id="612" w:name="page613"/>
    <w:bookmarkEnd w:id="612"/>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15240</wp:posOffset>
            </wp:positionV>
            <wp:extent cx="255206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-9525</wp:posOffset>
            </wp:positionV>
            <wp:extent cx="33655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ectPr>
          <w:pgSz w:w="11900" w:h="16838" w:orient="portrait"/>
          <w:cols w:equalWidth="0" w:num="1">
            <w:col w:w="10340"/>
          </w:cols>
          <w:pgMar w:left="540" w:top="267" w:right="1019" w:bottom="1440" w:gutter="0" w:footer="0" w:header="0"/>
        </w:sectPr>
      </w:pPr>
    </w:p>
    <w:bookmarkStart w:id="613" w:name="page614"/>
    <w:bookmarkEnd w:id="613"/>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J</w:t>
      </w:r>
    </w:p>
    <w:p>
      <w:pPr>
        <w:spacing w:after="0" w:line="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-9525</wp:posOffset>
            </wp:positionV>
            <wp:extent cx="33655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pacing w:after="0" w:line="1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 under the Credit Agreements referred to below</w:t>
      </w:r>
    </w:p>
    <w:p>
      <w:pPr>
        <w:spacing w:after="0" w:line="125" w:lineRule="exact"/>
        <w:rPr>
          <w:sz w:val="20"/>
          <w:szCs w:val="20"/>
          <w:color w:val="auto"/>
        </w:rPr>
      </w:pPr>
    </w:p>
    <w:p>
      <w:pPr>
        <w:ind w:left="420" w:right="20" w:hanging="419"/>
        <w:spacing w:after="0" w:line="247" w:lineRule="auto"/>
        <w:tabs>
          <w:tab w:leader="none" w:pos="400" w:val="left"/>
        </w:tabs>
        <w:rPr>
          <w:sz w:val="20"/>
          <w:szCs w:val="20"/>
          <w:color w:val="auto"/>
        </w:rPr>
      </w:pPr>
      <w:r>
        <w:rPr>
          <w:rFonts w:ascii="Times New Roman" w:cs="Times New Roman" w:eastAsia="Times New Roman" w:hAnsi="Times New Roman"/>
          <w:sz w:val="18"/>
          <w:szCs w:val="18"/>
          <w:color w:val="auto"/>
        </w:rPr>
        <w:t>Re:</w:t>
        <w:tab/>
        <w:t>(i) the Fifth Amended and Restated Three Year Revolving Credit Agreement, dated as of March 31, 2023 (as amended, restated, amended and restated, renewed, supplemented or modified from time to time, the “3</w:t>
      </w:r>
      <w:r>
        <w:rPr>
          <w:rFonts w:ascii="Times New Roman" w:cs="Times New Roman" w:eastAsia="Times New Roman" w:hAnsi="Times New Roman"/>
          <w:sz w:val="18"/>
          <w:szCs w:val="18"/>
          <w:u w:val="single" w:color="auto"/>
          <w:color w:val="auto"/>
        </w:rPr>
        <w:t>-Year 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3-Year Lenders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for the 3-Year Lenders (in such capacity, together with any successor thereto in such capacity, the “</w:t>
      </w:r>
      <w:r>
        <w:rPr>
          <w:rFonts w:ascii="Times New Roman" w:cs="Times New Roman" w:eastAsia="Times New Roman" w:hAnsi="Times New Roman"/>
          <w:sz w:val="18"/>
          <w:szCs w:val="18"/>
          <w:u w:val="single" w:color="auto"/>
          <w:color w:val="auto"/>
        </w:rPr>
        <w:t>3-Year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the Fourth Amended and Restated Five Year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(in such capacity, together with any successor thereto in such capacity,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the Fifth Amended and Restated 364-Day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(in such capacity, together with any successor thereto in such capacity,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w:t>
      </w:r>
    </w:p>
    <w:p>
      <w:pPr>
        <w:sectPr>
          <w:pgSz w:w="11900" w:h="16838" w:orient="portrait"/>
          <w:cols w:equalWidth="0" w:num="1">
            <w:col w:w="10820"/>
          </w:cols>
          <w:pgMar w:left="540" w:top="265" w:right="539" w:bottom="1440" w:gutter="0" w:footer="0" w:header="0"/>
        </w:sectPr>
      </w:pPr>
    </w:p>
    <w:bookmarkStart w:id="614" w:name="page615"/>
    <w:bookmarkEnd w:id="614"/>
    <w:p>
      <w:pPr>
        <w:ind w:firstLine="433"/>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This Compliance Certificate (this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xml:space="preserve">”) is furnished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60" w:lineRule="exact"/>
        <w:rPr>
          <w:sz w:val="20"/>
          <w:szCs w:val="20"/>
          <w:color w:val="auto"/>
        </w:rPr>
      </w:pPr>
    </w:p>
    <w:p>
      <w:pPr>
        <w:ind w:left="1140" w:hanging="174"/>
        <w:spacing w:after="0"/>
        <w:tabs>
          <w:tab w:leader="none" w:pos="114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[a] duly elected [insert title of Responsible Officer] of the Company;</w:t>
      </w:r>
    </w:p>
    <w:p>
      <w:pPr>
        <w:spacing w:after="0" w:line="217" w:lineRule="exact"/>
        <w:rPr>
          <w:rFonts w:ascii="Times New Roman" w:cs="Times New Roman" w:eastAsia="Times New Roman" w:hAnsi="Times New Roman"/>
          <w:sz w:val="18"/>
          <w:szCs w:val="18"/>
          <w:color w:val="auto"/>
        </w:rPr>
      </w:pPr>
    </w:p>
    <w:p>
      <w:pPr>
        <w:ind w:firstLine="966"/>
        <w:spacing w:after="0" w:line="274" w:lineRule="auto"/>
        <w:tabs>
          <w:tab w:leader="none" w:pos="1151"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my knowledge, no Default or Event of Default has occurred and is continuing as of the date hereof [, except as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hereto];</w:t>
      </w:r>
    </w:p>
    <w:p>
      <w:pPr>
        <w:spacing w:after="0" w:line="164" w:lineRule="exact"/>
        <w:rPr>
          <w:rFonts w:ascii="Times New Roman" w:cs="Times New Roman" w:eastAsia="Times New Roman" w:hAnsi="Times New Roman"/>
          <w:sz w:val="18"/>
          <w:szCs w:val="18"/>
          <w:color w:val="auto"/>
        </w:rPr>
      </w:pPr>
    </w:p>
    <w:p>
      <w:pPr>
        <w:ind w:right="220" w:firstLine="966"/>
        <w:spacing w:after="0" w:line="274" w:lineRule="auto"/>
        <w:tabs>
          <w:tab w:leader="none" w:pos="1151"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 and</w:t>
      </w:r>
    </w:p>
    <w:p>
      <w:pPr>
        <w:spacing w:after="0" w:line="164" w:lineRule="exact"/>
        <w:rPr>
          <w:rFonts w:ascii="Times New Roman" w:cs="Times New Roman" w:eastAsia="Times New Roman" w:hAnsi="Times New Roman"/>
          <w:sz w:val="18"/>
          <w:szCs w:val="18"/>
          <w:color w:val="auto"/>
        </w:rPr>
      </w:pPr>
    </w:p>
    <w:p>
      <w:pPr>
        <w:ind w:right="360" w:firstLine="966"/>
        <w:spacing w:after="0" w:line="274" w:lineRule="auto"/>
        <w:tabs>
          <w:tab w:leader="none" w:pos="1151"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780"/>
          </w:cols>
          <w:pgMar w:left="540" w:top="267" w:right="579" w:bottom="1440" w:gutter="0" w:footer="0" w:header="0"/>
        </w:sectPr>
      </w:pPr>
    </w:p>
    <w:bookmarkStart w:id="615" w:name="page616"/>
    <w:bookmarkEnd w:id="615"/>
    <w:p>
      <w:pPr>
        <w:ind w:firstLine="433"/>
        <w:spacing w:after="0" w:line="27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15240</wp:posOffset>
            </wp:positionV>
            <wp:extent cx="241744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19685</wp:posOffset>
            </wp:positionV>
            <wp:extent cx="241744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-123190</wp:posOffset>
            </wp:positionV>
            <wp:extent cx="241744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ectPr>
          <w:pgSz w:w="11900" w:h="16838" w:orient="portrait"/>
          <w:cols w:equalWidth="0" w:num="1">
            <w:col w:w="10740"/>
          </w:cols>
          <w:pgMar w:left="540" w:top="266" w:right="619" w:bottom="1440" w:gutter="0" w:footer="0" w:header="0"/>
        </w:sectPr>
      </w:pPr>
    </w:p>
    <w:bookmarkStart w:id="616" w:name="page617"/>
    <w:bookmarkEnd w:id="616"/>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I</w:t>
      </w:r>
    </w:p>
    <w:p>
      <w:pPr>
        <w:spacing w:after="0" w:line="27"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11" w:lineRule="exact"/>
        <w:rPr>
          <w:sz w:val="20"/>
          <w:szCs w:val="20"/>
          <w:color w:val="auto"/>
        </w:rPr>
      </w:pPr>
    </w:p>
    <w:p>
      <w:pPr>
        <w:ind w:left="428"/>
        <w:spacing w:after="0"/>
        <w:tabs>
          <w:tab w:leader="none" w:pos="3728" w:val="left"/>
        </w:tabs>
        <w:rPr>
          <w:sz w:val="20"/>
          <w:szCs w:val="20"/>
          <w:color w:val="auto"/>
        </w:rPr>
      </w:pPr>
      <w:r>
        <w:rPr>
          <w:rFonts w:ascii="Times New Roman" w:cs="Times New Roman" w:eastAsia="Times New Roman" w:hAnsi="Times New Roman"/>
          <w:sz w:val="18"/>
          <w:szCs w:val="18"/>
          <w:color w:val="auto"/>
        </w:rPr>
        <w:t>Consolidated Domestic Liquidity as of</w:t>
      </w:r>
      <w:r>
        <w:rPr>
          <w:sz w:val="20"/>
          <w:szCs w:val="20"/>
          <w:color w:val="auto"/>
        </w:rPr>
        <w:tab/>
      </w:r>
      <w:r>
        <w:rPr>
          <w:rFonts w:ascii="Times New Roman" w:cs="Times New Roman" w:eastAsia="Times New Roman" w:hAnsi="Times New Roman"/>
          <w:sz w:val="17"/>
          <w:szCs w:val="17"/>
          <w:color w:val="auto"/>
        </w:rPr>
        <w:t>, 20__(the “Calculation Date”)</w:t>
      </w:r>
      <w:r>
        <w:rPr>
          <w:rFonts w:ascii="Times New Roman" w:cs="Times New Roman" w:eastAsia="Times New Roman" w:hAnsi="Times New Roman"/>
          <w:sz w:val="25"/>
          <w:szCs w:val="25"/>
          <w:color w:val="auto"/>
          <w:vertAlign w:val="superscript"/>
        </w:rPr>
        <w:t>1</w:t>
      </w:r>
    </w:p>
    <w:p>
      <w:pPr>
        <w:spacing w:after="0" w:line="164" w:lineRule="exact"/>
        <w:rPr>
          <w:sz w:val="20"/>
          <w:szCs w:val="20"/>
          <w:color w:val="auto"/>
        </w:rPr>
      </w:pPr>
    </w:p>
    <w:p>
      <w:pPr>
        <w:ind w:left="288" w:hanging="288"/>
        <w:spacing w:after="0"/>
        <w:tabs>
          <w:tab w:leader="none" w:pos="28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364-Day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1" w:lineRule="exact"/>
        <w:rPr>
          <w:sz w:val="20"/>
          <w:szCs w:val="20"/>
          <w:color w:val="auto"/>
        </w:rPr>
      </w:pPr>
    </w:p>
    <w:p>
      <w:pPr>
        <w:ind w:left="8" w:hanging="8"/>
        <w:spacing w:after="0" w:line="261" w:lineRule="auto"/>
        <w:tabs>
          <w:tab w:leader="none" w:pos="278"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Domestic Subsidiary</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the Calculation Date.</w:t>
      </w: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91" w:lineRule="exact"/>
        <w:rPr>
          <w:sz w:val="20"/>
          <w:szCs w:val="20"/>
          <w:color w:val="auto"/>
        </w:rPr>
      </w:pPr>
    </w:p>
    <w:p>
      <w:pPr>
        <w:ind w:left="8" w:right="60" w:hanging="8"/>
        <w:spacing w:after="0" w:line="255" w:lineRule="auto"/>
        <w:tabs>
          <w:tab w:leader="none" w:pos="268"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74993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374" w:lineRule="exact"/>
        <w:rPr>
          <w:sz w:val="20"/>
          <w:szCs w:val="20"/>
          <w:color w:val="auto"/>
        </w:rPr>
      </w:pPr>
    </w:p>
    <w:p>
      <w:pPr>
        <w:ind w:left="428" w:right="540" w:hanging="428"/>
        <w:spacing w:after="0" w:line="205" w:lineRule="auto"/>
        <w:tabs>
          <w:tab w:leader="none" w:pos="428" w:val="left"/>
        </w:tabs>
        <w:numPr>
          <w:ilvl w:val="0"/>
          <w:numId w:val="50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ind w:left="428" w:hanging="428"/>
        <w:spacing w:after="0" w:line="186" w:lineRule="auto"/>
        <w:tabs>
          <w:tab w:leader="none" w:pos="428" w:val="left"/>
        </w:tabs>
        <w:numPr>
          <w:ilvl w:val="0"/>
          <w:numId w:val="50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Excluding any warehouse facilities of GMF.</w:t>
      </w:r>
    </w:p>
    <w:p>
      <w:pPr>
        <w:sectPr>
          <w:pgSz w:w="11900" w:h="16838" w:orient="portrait"/>
          <w:cols w:equalWidth="0" w:num="1">
            <w:col w:w="10808"/>
          </w:cols>
          <w:pgMar w:left="532" w:top="265" w:right="559" w:bottom="1440" w:gutter="0" w:footer="0" w:header="0"/>
        </w:sectPr>
      </w:pPr>
    </w:p>
    <w:bookmarkStart w:id="617" w:name="page618"/>
    <w:bookmarkEnd w:id="617"/>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Sum of (A) plus (B) plus (C) plus (D) plus (E) plus (F):</w:t>
            </w:r>
          </w:p>
        </w:tc>
        <w:tc>
          <w:tcPr>
            <w:tcW w:w="4480" w:type="dxa"/>
            <w:vAlign w:val="bottom"/>
          </w:tcPr>
          <w:p>
            <w:pPr>
              <w:spacing w:after="0"/>
              <w:rPr>
                <w:sz w:val="18"/>
                <w:szCs w:val="18"/>
                <w:color w:val="auto"/>
              </w:rPr>
            </w:pPr>
          </w:p>
        </w:tc>
      </w:tr>
      <w:tr>
        <w:trPr>
          <w:trHeight w:val="245"/>
        </w:trPr>
        <w:tc>
          <w:tcPr>
            <w:tcW w:w="62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______________________</w:t>
            </w:r>
          </w:p>
        </w:tc>
      </w:tr>
    </w:tbl>
    <w:p>
      <w:pPr>
        <w:jc w:val="right"/>
        <w:spacing w:after="0"/>
        <w:rPr>
          <w:sz w:val="20"/>
          <w:szCs w:val="20"/>
          <w:color w:val="auto"/>
        </w:rPr>
        <w:sectPr>
          <w:pgSz w:w="11900" w:h="16838" w:orient="portrait"/>
          <w:cols w:equalWidth="0" w:num="1">
            <w:col w:w="10760"/>
          </w:cols>
          <w:pgMar w:left="540" w:top="266" w:right="59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bookmarkStart w:id="618" w:name="page619"/>
    <w:bookmarkEnd w:id="618"/>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II</w:t>
      </w:r>
    </w:p>
    <w:p>
      <w:pPr>
        <w:spacing w:after="0" w:line="27"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11" w:lineRule="exact"/>
        <w:rPr>
          <w:sz w:val="20"/>
          <w:szCs w:val="20"/>
          <w:color w:val="auto"/>
        </w:rPr>
      </w:pPr>
    </w:p>
    <w:p>
      <w:pPr>
        <w:ind w:left="428"/>
        <w:spacing w:after="0"/>
        <w:tabs>
          <w:tab w:leader="none" w:pos="3528" w:val="left"/>
        </w:tabs>
        <w:rPr>
          <w:sz w:val="20"/>
          <w:szCs w:val="20"/>
          <w:color w:val="auto"/>
        </w:rPr>
      </w:pPr>
      <w:r>
        <w:rPr>
          <w:rFonts w:ascii="Times New Roman" w:cs="Times New Roman" w:eastAsia="Times New Roman" w:hAnsi="Times New Roman"/>
          <w:sz w:val="18"/>
          <w:szCs w:val="18"/>
          <w:color w:val="auto"/>
        </w:rPr>
        <w:t>Consolidated Global Liquidity as of</w:t>
      </w:r>
      <w:r>
        <w:rPr>
          <w:sz w:val="20"/>
          <w:szCs w:val="20"/>
          <w:color w:val="auto"/>
        </w:rPr>
        <w:tab/>
      </w:r>
      <w:r>
        <w:rPr>
          <w:rFonts w:ascii="Times New Roman" w:cs="Times New Roman" w:eastAsia="Times New Roman" w:hAnsi="Times New Roman"/>
          <w:sz w:val="17"/>
          <w:szCs w:val="17"/>
          <w:color w:val="auto"/>
        </w:rPr>
        <w:t>, 20__(the “Calculation Date”)</w:t>
      </w:r>
      <w:r>
        <w:rPr>
          <w:rFonts w:ascii="Times New Roman" w:cs="Times New Roman" w:eastAsia="Times New Roman" w:hAnsi="Times New Roman"/>
          <w:sz w:val="25"/>
          <w:szCs w:val="25"/>
          <w:color w:val="auto"/>
          <w:vertAlign w:val="superscript"/>
        </w:rPr>
        <w:t>1</w:t>
      </w:r>
    </w:p>
    <w:p>
      <w:pPr>
        <w:spacing w:after="0" w:line="164" w:lineRule="exact"/>
        <w:rPr>
          <w:sz w:val="20"/>
          <w:szCs w:val="20"/>
          <w:color w:val="auto"/>
        </w:rPr>
      </w:pPr>
    </w:p>
    <w:p>
      <w:pPr>
        <w:ind w:left="288" w:hanging="288"/>
        <w:spacing w:after="0"/>
        <w:tabs>
          <w:tab w:leader="none" w:pos="288"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11"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50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Total Available Commitments under the 364-Day Credit Agreement as of the Calculation Date</w:t>
      </w:r>
    </w:p>
    <w:p>
      <w:pPr>
        <w:spacing w:after="0" w:line="111" w:lineRule="exact"/>
        <w:rPr>
          <w:rFonts w:ascii="Times New Roman" w:cs="Times New Roman" w:eastAsia="Times New Roman" w:hAnsi="Times New Roman"/>
          <w:sz w:val="18"/>
          <w:szCs w:val="18"/>
          <w:u w:val="single" w:color="auto"/>
          <w:color w:val="auto"/>
        </w:rPr>
      </w:pPr>
    </w:p>
    <w:p>
      <w:pPr>
        <w:ind w:left="8"/>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PLUS</w:t>
      </w:r>
    </w:p>
    <w:p>
      <w:pPr>
        <w:spacing w:after="0" w:line="111" w:lineRule="exact"/>
        <w:rPr>
          <w:rFonts w:ascii="Times New Roman" w:cs="Times New Roman" w:eastAsia="Times New Roman" w:hAnsi="Times New Roman"/>
          <w:sz w:val="18"/>
          <w:szCs w:val="18"/>
          <w:u w:val="single" w:color="auto"/>
          <w:color w:val="auto"/>
        </w:rPr>
      </w:pPr>
    </w:p>
    <w:p>
      <w:pPr>
        <w:ind w:left="288" w:hanging="288"/>
        <w:spacing w:after="0"/>
        <w:tabs>
          <w:tab w:leader="none" w:pos="288"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1" w:lineRule="exact"/>
        <w:rPr>
          <w:sz w:val="20"/>
          <w:szCs w:val="20"/>
          <w:color w:val="auto"/>
        </w:rPr>
      </w:pPr>
    </w:p>
    <w:p>
      <w:pPr>
        <w:ind w:left="8" w:hanging="8"/>
        <w:spacing w:after="0" w:line="261" w:lineRule="auto"/>
        <w:tabs>
          <w:tab w:leader="none" w:pos="278"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of its Subsidiaries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the Calculation Date.</w:t>
      </w:r>
    </w:p>
    <w:p>
      <w:pPr>
        <w:ind w:left="8"/>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91" w:lineRule="exact"/>
        <w:rPr>
          <w:sz w:val="20"/>
          <w:szCs w:val="20"/>
          <w:color w:val="auto"/>
        </w:rPr>
      </w:pPr>
    </w:p>
    <w:p>
      <w:pPr>
        <w:ind w:left="8" w:right="100" w:hanging="8"/>
        <w:spacing w:after="0" w:line="260" w:lineRule="auto"/>
        <w:tabs>
          <w:tab w:leader="none" w:pos="268"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74993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249" w:lineRule="exact"/>
        <w:rPr>
          <w:sz w:val="20"/>
          <w:szCs w:val="20"/>
          <w:color w:val="auto"/>
        </w:rPr>
      </w:pPr>
    </w:p>
    <w:p>
      <w:pPr>
        <w:ind w:left="428" w:right="540" w:hanging="428"/>
        <w:spacing w:after="0" w:line="205" w:lineRule="auto"/>
        <w:tabs>
          <w:tab w:leader="none" w:pos="428" w:val="left"/>
        </w:tabs>
        <w:numPr>
          <w:ilvl w:val="0"/>
          <w:numId w:val="5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ind w:left="428" w:hanging="428"/>
        <w:spacing w:after="0" w:line="186" w:lineRule="auto"/>
        <w:tabs>
          <w:tab w:leader="none" w:pos="428" w:val="left"/>
        </w:tabs>
        <w:numPr>
          <w:ilvl w:val="0"/>
          <w:numId w:val="50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Excluding any warehouse facilities of GMF.</w:t>
      </w:r>
    </w:p>
    <w:p>
      <w:pPr>
        <w:sectPr>
          <w:pgSz w:w="11900" w:h="16838" w:orient="portrait"/>
          <w:cols w:equalWidth="0" w:num="1">
            <w:col w:w="10808"/>
          </w:cols>
          <w:pgMar w:left="532" w:top="265" w:right="559" w:bottom="1440" w:gutter="0" w:footer="0" w:header="0"/>
        </w:sectPr>
      </w:pPr>
    </w:p>
    <w:bookmarkStart w:id="619" w:name="page620"/>
    <w:bookmarkEnd w:id="619"/>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Sum of (A) plus (B) plus (C) plus (D) plus (E) plus (F):</w:t>
            </w:r>
          </w:p>
        </w:tc>
        <w:tc>
          <w:tcPr>
            <w:tcW w:w="4480" w:type="dxa"/>
            <w:vAlign w:val="bottom"/>
          </w:tcPr>
          <w:p>
            <w:pPr>
              <w:spacing w:after="0"/>
              <w:rPr>
                <w:sz w:val="18"/>
                <w:szCs w:val="18"/>
                <w:color w:val="auto"/>
              </w:rPr>
            </w:pPr>
          </w:p>
        </w:tc>
      </w:tr>
      <w:tr>
        <w:trPr>
          <w:trHeight w:val="245"/>
        </w:trPr>
        <w:tc>
          <w:tcPr>
            <w:tcW w:w="62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Consolidated Global Liquidity:</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______________________</w:t>
            </w:r>
          </w:p>
        </w:tc>
      </w:tr>
    </w:tbl>
    <w:p>
      <w:pPr>
        <w:jc w:val="right"/>
        <w:spacing w:after="0"/>
        <w:rPr>
          <w:sz w:val="20"/>
          <w:szCs w:val="20"/>
          <w:color w:val="auto"/>
        </w:rPr>
        <w:sectPr>
          <w:pgSz w:w="11900" w:h="16838" w:orient="portrait"/>
          <w:cols w:equalWidth="0" w:num="1">
            <w:col w:w="10760"/>
          </w:cols>
          <w:pgMar w:left="540" w:top="266" w:right="59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6770" cy="37465"/>
                    </a:xfrm>
                    <a:prstGeom prst="rect">
                      <a:avLst/>
                    </a:prstGeom>
                    <a:noFill/>
                  </pic:spPr>
                </pic:pic>
              </a:graphicData>
            </a:graphic>
          </wp:anchor>
        </w:drawing>
      </w:r>
    </w:p>
    <w:bookmarkStart w:id="620" w:name="page621"/>
    <w:bookmarkEnd w:id="620"/>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1</w:t>
      </w:r>
    </w:p>
    <w:p>
      <w:pPr>
        <w:spacing w:after="0" w:line="27"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2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9820"/>
          </w:cols>
          <w:pgMar w:left="1440" w:top="266" w:right="639" w:bottom="1440" w:gutter="0" w:footer="0" w:header="0"/>
        </w:sectPr>
      </w:pPr>
    </w:p>
    <w:bookmarkStart w:id="621" w:name="page622"/>
    <w:bookmarkEnd w:id="621"/>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EXHIBIT K</w:t>
      </w:r>
    </w:p>
    <w:p>
      <w:pPr>
        <w:spacing w:after="0" w:line="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0820"/>
          </w:cols>
          <w:pgMar w:left="540" w:top="264" w:right="5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________, 20__</w:t>
      </w:r>
    </w:p>
    <w:p>
      <w:pPr>
        <w:spacing w:after="0" w:line="200" w:lineRule="exact"/>
        <w:rPr>
          <w:sz w:val="20"/>
          <w:szCs w:val="20"/>
          <w:color w:val="auto"/>
        </w:rPr>
      </w:pPr>
    </w:p>
    <w:p>
      <w:pPr>
        <w:sectPr>
          <w:pgSz w:w="11900" w:h="16838" w:orient="portrait"/>
          <w:cols w:equalWidth="0" w:num="2">
            <w:col w:w="8560" w:space="720"/>
            <w:col w:w="1540"/>
          </w:cols>
          <w:pgMar w:left="540" w:top="264" w:right="539" w:bottom="1440" w:gutter="0" w:footer="0" w:header="0"/>
          <w:type w:val="continuous"/>
        </w:sectPr>
      </w:pPr>
    </w:p>
    <w:p>
      <w:pPr>
        <w:spacing w:after="0" w:line="11" w:lineRule="exact"/>
        <w:rPr>
          <w:sz w:val="20"/>
          <w:szCs w:val="20"/>
          <w:color w:val="auto"/>
        </w:rPr>
      </w:pPr>
    </w:p>
    <w:p>
      <w:pPr>
        <w:ind w:right="180" w:firstLine="433"/>
        <w:spacing w:after="0" w:line="257" w:lineRule="auto"/>
        <w:rPr>
          <w:sz w:val="20"/>
          <w:szCs w:val="20"/>
          <w:color w:val="auto"/>
        </w:rPr>
      </w:pPr>
      <w:r>
        <w:rPr>
          <w:rFonts w:ascii="Times New Roman" w:cs="Times New Roman" w:eastAsia="Times New Roman" w:hAnsi="Times New Roman"/>
          <w:sz w:val="18"/>
          <w:szCs w:val="18"/>
          <w:color w:val="auto"/>
        </w:rPr>
        <w:t>FOR VALUE RECEIVED, the undersigned, [NAME OF BORROWER], [JURISDICTION OF INCORPORATION/FORMATION], [TYPE OF ORGANIZATION] (together with its successors and permitted assigns,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hereby unconditionally promises to pay to</w:t>
      </w:r>
    </w:p>
    <w:p>
      <w:pPr>
        <w:spacing w:after="0" w:line="1" w:lineRule="exact"/>
        <w:rPr>
          <w:sz w:val="20"/>
          <w:szCs w:val="20"/>
          <w:color w:val="auto"/>
        </w:rPr>
      </w:pPr>
    </w:p>
    <w:p>
      <w:pPr>
        <w:ind w:right="180" w:firstLine="884"/>
        <w:spacing w:after="0" w:line="24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or its registered assigns, on the Lender’s Termination Date specified in the Credit Agreement (as hereinafter defined) at the Funding Office specified in such Credit Agreement, in the currency of such Loans and in immediately available funds, the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56134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jc w:val="both"/>
        <w:ind w:right="540"/>
        <w:spacing w:after="0" w:line="249" w:lineRule="auto"/>
        <w:rPr>
          <w:sz w:val="20"/>
          <w:szCs w:val="20"/>
          <w:color w:val="auto"/>
        </w:rPr>
      </w:pPr>
      <w:r>
        <w:rPr>
          <w:rFonts w:ascii="Times New Roman" w:cs="Times New Roman" w:eastAsia="Times New Roman" w:hAnsi="Times New Roman"/>
          <w:sz w:val="18"/>
          <w:szCs w:val="18"/>
          <w:color w:val="auto"/>
        </w:rPr>
        <w:t xml:space="preserve">(a) ( ), or, if less, (b) the unpaid principal amount of the Loans of the Lender outstanding under the Credit Agreement. The Applicable Borrower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-299720</wp:posOffset>
            </wp:positionV>
            <wp:extent cx="104775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holder of this Note is authorized to endorse on the schedules annexed hereto and made a part hereof or on a continuation thereof which shall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attached hereto and made a part hereof the date, Type and amount of each Loan evidenced hereby, and the date and amount of each payment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prepayment of principal with respect thereto, each conversion of all or a portion thereof to another Type, each continuation of all or a portion thereof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Type and, in the case of Term Benchmark Loans, the length of each Interest Period with respect thereto. Subject to the provisions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10.6(b)</w:t>
      </w:r>
      <w:r>
        <w:rPr>
          <w:rFonts w:ascii="Times New Roman" w:cs="Times New Roman" w:eastAsia="Times New Roman" w:hAnsi="Times New Roman"/>
          <w:sz w:val="17"/>
          <w:szCs w:val="17"/>
          <w:color w:val="auto"/>
        </w:rPr>
        <w:t xml:space="preserve"> of the Credit Agreement, each such endorsement shall constitute </w:t>
      </w:r>
      <w:r>
        <w:rPr>
          <w:rFonts w:ascii="Times New Roman" w:cs="Times New Roman" w:eastAsia="Times New Roman" w:hAnsi="Times New Roman"/>
          <w:sz w:val="17"/>
          <w:szCs w:val="17"/>
          <w:u w:val="single" w:color="auto"/>
          <w:color w:val="auto"/>
        </w:rPr>
        <w:t>prima facie</w:t>
      </w:r>
      <w:r>
        <w:rPr>
          <w:rFonts w:ascii="Times New Roman" w:cs="Times New Roman" w:eastAsia="Times New Roman" w:hAnsi="Times New Roman"/>
          <w:sz w:val="17"/>
          <w:szCs w:val="17"/>
          <w:color w:val="auto"/>
        </w:rPr>
        <w:t xml:space="preserve"> evidence of the accuracy of the information endorsed.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failure to make any such endorsement or any error in any such endorsement shall not affect the obligations of the Applicable Borrower in respect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198" w:lineRule="exact"/>
        <w:rPr>
          <w:sz w:val="20"/>
          <w:szCs w:val="20"/>
          <w:color w:val="auto"/>
        </w:rPr>
      </w:pPr>
    </w:p>
    <w:p>
      <w:pPr>
        <w:ind w:right="140" w:firstLine="433"/>
        <w:spacing w:after="0" w:line="275" w:lineRule="auto"/>
        <w:rPr>
          <w:sz w:val="20"/>
          <w:szCs w:val="20"/>
          <w:color w:val="auto"/>
        </w:rPr>
      </w:pPr>
      <w:r>
        <w:rPr>
          <w:rFonts w:ascii="Times New Roman" w:cs="Times New Roman" w:eastAsia="Times New Roman" w:hAnsi="Times New Roman"/>
          <w:sz w:val="17"/>
          <w:szCs w:val="17"/>
          <w:color w:val="auto"/>
        </w:rPr>
        <w:t>This Note (a) is one of the Notes referred to in the Fifth Amended and Restated 364-Day Revolving Credit Agreement, dated as of March 31,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General Motors Financial Company, Inc., a Texas corporation, the Subsidiary Borrowers from time to time party thereto, the Lender, the other lenders from time to time party thereto, JPMorgan Chase Bank, N.A., as Administrative Agent,</w:t>
      </w:r>
    </w:p>
    <w:p>
      <w:pPr>
        <w:sectPr>
          <w:pgSz w:w="11900" w:h="16838" w:orient="portrait"/>
          <w:cols w:equalWidth="0" w:num="1">
            <w:col w:w="10820"/>
          </w:cols>
          <w:pgMar w:left="540" w:top="264" w:right="539" w:bottom="1440" w:gutter="0" w:footer="0" w:header="0"/>
          <w:type w:val="continuous"/>
        </w:sectPr>
      </w:pPr>
    </w:p>
    <w:bookmarkStart w:id="622" w:name="page623"/>
    <w:bookmarkEnd w:id="622"/>
    <w:p>
      <w:pPr>
        <w:jc w:val="both"/>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76" w:lineRule="exact"/>
        <w:rPr>
          <w:sz w:val="20"/>
          <w:szCs w:val="20"/>
          <w:color w:val="auto"/>
        </w:rPr>
      </w:pPr>
    </w:p>
    <w:p>
      <w:pPr>
        <w:ind w:right="60" w:firstLine="433"/>
        <w:spacing w:after="0" w:line="274"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18" w:lineRule="exact"/>
        <w:rPr>
          <w:sz w:val="20"/>
          <w:szCs w:val="20"/>
          <w:color w:val="auto"/>
        </w:rPr>
      </w:pPr>
    </w:p>
    <w:p>
      <w:pPr>
        <w:ind w:right="40" w:firstLine="433"/>
        <w:spacing w:after="0" w:line="260"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460" w:firstLine="433"/>
        <w:spacing w:after="0" w:line="274"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31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OF APPLICABLE BORROWER].</w:t>
      </w:r>
    </w:p>
    <w:p>
      <w:pPr>
        <w:spacing w:after="0" w:line="2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By:_______________________________________</w:t>
      </w:r>
    </w:p>
    <w:p>
      <w:pPr>
        <w:spacing w:after="0" w:line="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Name:_____________________________________</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Title:______________________________________</w:t>
      </w:r>
    </w:p>
    <w:p>
      <w:pPr>
        <w:sectPr>
          <w:pgSz w:w="11900" w:h="16838" w:orient="portrait"/>
          <w:cols w:equalWidth="0" w:num="1">
            <w:col w:w="10720"/>
          </w:cols>
          <w:pgMar w:left="540" w:top="268" w:right="639" w:bottom="1440" w:gutter="0" w:footer="0" w:header="0"/>
        </w:sectPr>
      </w:pPr>
    </w:p>
    <w:bookmarkStart w:id="623" w:name="page624"/>
    <w:bookmarkEnd w:id="623"/>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A</w:t>
      </w:r>
    </w:p>
    <w:p>
      <w:pPr>
        <w:spacing w:after="0" w:line="27"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ABR</w:t>
            </w:r>
          </w:p>
        </w:tc>
        <w:tc>
          <w:tcPr>
            <w:tcW w:w="1340" w:type="dxa"/>
            <w:vAlign w:val="bottom"/>
            <w:gridSpan w:val="2"/>
            <w:vMerge w:val="restart"/>
          </w:tcPr>
          <w:p>
            <w:pPr>
              <w:jc w:val="center"/>
              <w:ind w:left="289"/>
              <w:spacing w:after="0"/>
              <w:rPr>
                <w:sz w:val="20"/>
                <w:szCs w:val="20"/>
                <w:color w:val="auto"/>
              </w:rPr>
            </w:pPr>
            <w:r>
              <w:rPr>
                <w:rFonts w:ascii="Times New Roman" w:cs="Times New Roman" w:eastAsia="Times New Roman" w:hAnsi="Times New Roman"/>
                <w:sz w:val="14"/>
                <w:szCs w:val="14"/>
                <w:color w:val="auto"/>
              </w:rPr>
              <w:t>Unpaid Principal</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color w:val="auto"/>
              </w:rPr>
              <w:t>Amount of</w:t>
            </w:r>
          </w:p>
        </w:tc>
        <w:tc>
          <w:tcPr>
            <w:tcW w:w="1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Principal</w:t>
            </w:r>
          </w:p>
        </w:tc>
        <w:tc>
          <w:tcPr>
            <w:tcW w:w="1500" w:type="dxa"/>
            <w:vAlign w:val="bottom"/>
            <w:gridSpan w:val="2"/>
          </w:tcPr>
          <w:p>
            <w:pPr>
              <w:jc w:val="center"/>
              <w:ind w:left="289"/>
              <w:spacing w:after="0" w:line="142" w:lineRule="exact"/>
              <w:rPr>
                <w:sz w:val="20"/>
                <w:szCs w:val="20"/>
                <w:color w:val="auto"/>
              </w:rPr>
            </w:pPr>
            <w:r>
              <w:rPr>
                <w:rFonts w:ascii="Times New Roman" w:cs="Times New Roman" w:eastAsia="Times New Roman" w:hAnsi="Times New Roman"/>
                <w:sz w:val="14"/>
                <w:szCs w:val="14"/>
                <w:color w:val="auto"/>
                <w:w w:val="99"/>
              </w:rPr>
              <w:t>Loans Converted to</w:t>
            </w: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2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Converted to</w:t>
            </w:r>
          </w:p>
        </w:tc>
        <w:tc>
          <w:tcPr>
            <w:tcW w:w="1100" w:type="dxa"/>
            <w:vAlign w:val="bottom"/>
            <w:gridSpan w:val="2"/>
          </w:tcPr>
          <w:p>
            <w:pPr>
              <w:jc w:val="center"/>
              <w:ind w:left="209"/>
              <w:spacing w:after="0" w:line="146" w:lineRule="exact"/>
              <w:rPr>
                <w:sz w:val="20"/>
                <w:szCs w:val="20"/>
                <w:color w:val="auto"/>
              </w:rPr>
            </w:pPr>
            <w:r>
              <w:rPr>
                <w:rFonts w:ascii="Times New Roman" w:cs="Times New Roman" w:eastAsia="Times New Roman" w:hAnsi="Times New Roman"/>
                <w:sz w:val="14"/>
                <w:szCs w:val="14"/>
                <w:color w:val="auto"/>
              </w:rPr>
              <w:t>of ABR Loans</w:t>
            </w: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Term Benchmark</w:t>
            </w:r>
          </w:p>
        </w:tc>
        <w:tc>
          <w:tcPr>
            <w:tcW w:w="38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Balance</w:t>
            </w:r>
          </w:p>
        </w:tc>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ABR Loans</w:t>
            </w:r>
          </w:p>
        </w:tc>
        <w:tc>
          <w:tcPr>
            <w:tcW w:w="54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ABR Loans</w:t>
            </w:r>
          </w:p>
        </w:tc>
        <w:tc>
          <w:tcPr>
            <w:tcW w:w="28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Repaid</w:t>
            </w:r>
          </w:p>
        </w:tc>
        <w:tc>
          <w:tcPr>
            <w:tcW w:w="38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Loans</w:t>
            </w:r>
          </w:p>
        </w:tc>
        <w:tc>
          <w:tcPr>
            <w:tcW w:w="38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of ABR Loans</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540" w:top="264" w:right="539" w:bottom="1440" w:gutter="0" w:footer="0" w:header="0"/>
        </w:sectPr>
      </w:pPr>
    </w:p>
    <w:bookmarkStart w:id="624" w:name="page625"/>
    <w:bookmarkEnd w:id="624"/>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B</w:t>
      </w:r>
    </w:p>
    <w:p>
      <w:pPr>
        <w:spacing w:after="0" w:line="27"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Unpaid</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340" w:type="dxa"/>
            <w:vAlign w:val="bottom"/>
            <w:gridSpan w:val="2"/>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Amount Converted</w:t>
            </w:r>
          </w:p>
        </w:tc>
        <w:tc>
          <w:tcPr>
            <w:tcW w:w="3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Amount of Term</w:t>
            </w:r>
          </w:p>
        </w:tc>
        <w:tc>
          <w:tcPr>
            <w:tcW w:w="3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Principal</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Principal</w:t>
            </w: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Balance</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rPr>
              <w:t>Interest</w:t>
            </w: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Term</w:t>
            </w:r>
          </w:p>
        </w:tc>
        <w:tc>
          <w:tcPr>
            <w:tcW w:w="2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to</w:t>
            </w:r>
          </w:p>
        </w:tc>
        <w:tc>
          <w:tcPr>
            <w:tcW w:w="36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6"/>
              </w:rPr>
              <w:t>of Term</w:t>
            </w:r>
          </w:p>
        </w:tc>
        <w:tc>
          <w:tcPr>
            <w:tcW w:w="36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Benchmark</w:t>
            </w:r>
          </w:p>
        </w:tc>
        <w:tc>
          <w:tcPr>
            <w:tcW w:w="3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of Term</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16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Benchmark</w:t>
            </w:r>
          </w:p>
        </w:tc>
        <w:tc>
          <w:tcPr>
            <w:tcW w:w="2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Term Benchmark</w:t>
            </w:r>
          </w:p>
        </w:tc>
        <w:tc>
          <w:tcPr>
            <w:tcW w:w="1380" w:type="dxa"/>
            <w:vAlign w:val="bottom"/>
            <w:gridSpan w:val="2"/>
          </w:tcPr>
          <w:p>
            <w:pPr>
              <w:jc w:val="center"/>
              <w:ind w:left="269"/>
              <w:spacing w:after="0" w:line="146" w:lineRule="exact"/>
              <w:rPr>
                <w:sz w:val="20"/>
                <w:szCs w:val="20"/>
                <w:color w:val="auto"/>
              </w:rPr>
            </w:pPr>
            <w:r>
              <w:rPr>
                <w:rFonts w:ascii="Times New Roman" w:cs="Times New Roman" w:eastAsia="Times New Roman" w:hAnsi="Times New Roman"/>
                <w:sz w:val="14"/>
                <w:szCs w:val="14"/>
                <w:color w:val="auto"/>
              </w:rPr>
              <w:t>Benchmark Loans</w:t>
            </w:r>
          </w:p>
        </w:tc>
        <w:tc>
          <w:tcPr>
            <w:tcW w:w="1480" w:type="dxa"/>
            <w:vAlign w:val="bottom"/>
            <w:gridSpan w:val="2"/>
          </w:tcPr>
          <w:p>
            <w:pPr>
              <w:jc w:val="center"/>
              <w:ind w:left="269"/>
              <w:spacing w:after="0" w:line="146" w:lineRule="exact"/>
              <w:rPr>
                <w:sz w:val="20"/>
                <w:szCs w:val="20"/>
                <w:color w:val="auto"/>
              </w:rPr>
            </w:pPr>
            <w:r>
              <w:rPr>
                <w:rFonts w:ascii="Times New Roman" w:cs="Times New Roman" w:eastAsia="Times New Roman" w:hAnsi="Times New Roman"/>
                <w:sz w:val="14"/>
                <w:szCs w:val="14"/>
                <w:color w:val="auto"/>
                <w:w w:val="99"/>
              </w:rPr>
              <w:t>Loans Converted to</w:t>
            </w:r>
          </w:p>
        </w:tc>
        <w:tc>
          <w:tcPr>
            <w:tcW w:w="1000" w:type="dxa"/>
            <w:vAlign w:val="bottom"/>
            <w:gridSpan w:val="2"/>
          </w:tcPr>
          <w:p>
            <w:pPr>
              <w:jc w:val="center"/>
              <w:ind w:left="269"/>
              <w:spacing w:after="0" w:line="146" w:lineRule="exact"/>
              <w:rPr>
                <w:sz w:val="20"/>
                <w:szCs w:val="20"/>
                <w:color w:val="auto"/>
              </w:rPr>
            </w:pPr>
            <w:r>
              <w:rPr>
                <w:rFonts w:ascii="Times New Roman" w:cs="Times New Roman" w:eastAsia="Times New Roman" w:hAnsi="Times New Roman"/>
                <w:sz w:val="14"/>
                <w:szCs w:val="14"/>
                <w:color w:val="auto"/>
              </w:rPr>
              <w:t>Benchmark</w:t>
            </w:r>
          </w:p>
        </w:tc>
        <w:tc>
          <w:tcPr>
            <w:tcW w:w="8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Period</w:t>
            </w:r>
          </w:p>
        </w:tc>
        <w:tc>
          <w:tcPr>
            <w:tcW w:w="48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Loans</w:t>
            </w:r>
          </w:p>
        </w:tc>
        <w:tc>
          <w:tcPr>
            <w:tcW w:w="2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Loans</w:t>
            </w:r>
          </w:p>
        </w:tc>
        <w:tc>
          <w:tcPr>
            <w:tcW w:w="36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Repaid</w:t>
            </w:r>
          </w:p>
        </w:tc>
        <w:tc>
          <w:tcPr>
            <w:tcW w:w="36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ABR Loans</w:t>
            </w:r>
          </w:p>
        </w:tc>
        <w:tc>
          <w:tcPr>
            <w:tcW w:w="340" w:type="dxa"/>
            <w:vAlign w:val="bottom"/>
          </w:tcPr>
          <w:p>
            <w:pPr>
              <w:spacing w:after="0"/>
              <w:rPr>
                <w:sz w:val="13"/>
                <w:szCs w:val="13"/>
                <w:color w:val="auto"/>
              </w:rPr>
            </w:pPr>
          </w:p>
        </w:tc>
        <w:tc>
          <w:tcPr>
            <w:tcW w:w="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Loans</w:t>
            </w: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540" w:top="266" w:right="539" w:bottom="1440" w:gutter="0" w:footer="0" w:header="0"/>
        </w:sectPr>
      </w:pPr>
    </w:p>
    <w:bookmarkStart w:id="625" w:name="page626"/>
    <w:bookmarkEnd w:id="625"/>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6770" cy="37465"/>
                    </a:xfrm>
                    <a:prstGeom prst="rect">
                      <a:avLst/>
                    </a:prstGeom>
                    <a:noFill/>
                  </pic:spPr>
                </pic:pic>
              </a:graphicData>
            </a:graphic>
          </wp:anchor>
        </w:drawing>
        <w:t>SCHEDULE C</w:t>
      </w:r>
    </w:p>
    <w:p>
      <w:pPr>
        <w:spacing w:after="0" w:line="27"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DAILY SIMPLE SOFR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gridSpan w:val="2"/>
          </w:tcPr>
          <w:p>
            <w:pPr>
              <w:jc w:val="center"/>
              <w:ind w:left="229"/>
              <w:spacing w:after="0" w:line="146" w:lineRule="exact"/>
              <w:rPr>
                <w:sz w:val="20"/>
                <w:szCs w:val="20"/>
                <w:color w:val="auto"/>
              </w:rPr>
            </w:pPr>
            <w:r>
              <w:rPr>
                <w:rFonts w:ascii="Times New Roman" w:cs="Times New Roman" w:eastAsia="Times New Roman" w:hAnsi="Times New Roman"/>
                <w:sz w:val="14"/>
                <w:szCs w:val="14"/>
                <w:color w:val="auto"/>
              </w:rPr>
              <w:t>Converted to</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Daily</w:t>
            </w:r>
          </w:p>
        </w:tc>
        <w:tc>
          <w:tcPr>
            <w:tcW w:w="130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4"/>
                <w:szCs w:val="14"/>
                <w:color w:val="auto"/>
              </w:rPr>
              <w:t>Unpaid Principal</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Daily</w:t>
            </w:r>
          </w:p>
        </w:tc>
        <w:tc>
          <w:tcPr>
            <w:tcW w:w="3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Principal</w:t>
            </w: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Simple</w:t>
            </w:r>
          </w:p>
        </w:tc>
        <w:tc>
          <w:tcPr>
            <w:tcW w:w="1240" w:type="dxa"/>
            <w:vAlign w:val="bottom"/>
            <w:gridSpan w:val="2"/>
          </w:tcPr>
          <w:p>
            <w:pPr>
              <w:jc w:val="center"/>
              <w:ind w:left="229"/>
              <w:spacing w:after="0" w:line="146" w:lineRule="exact"/>
              <w:rPr>
                <w:sz w:val="20"/>
                <w:szCs w:val="20"/>
                <w:color w:val="auto"/>
              </w:rPr>
            </w:pPr>
            <w:r>
              <w:rPr>
                <w:rFonts w:ascii="Times New Roman" w:cs="Times New Roman" w:eastAsia="Times New Roman" w:hAnsi="Times New Roman"/>
                <w:sz w:val="14"/>
                <w:szCs w:val="14"/>
                <w:color w:val="auto"/>
              </w:rPr>
              <w:t>of Daily Simple</w:t>
            </w:r>
          </w:p>
        </w:tc>
        <w:tc>
          <w:tcPr>
            <w:tcW w:w="34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Simple SOFR</w:t>
            </w:r>
          </w:p>
        </w:tc>
        <w:tc>
          <w:tcPr>
            <w:tcW w:w="34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Balance</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1380" w:type="dxa"/>
            <w:vAlign w:val="bottom"/>
          </w:tcPr>
          <w:p>
            <w:pPr>
              <w:spacing w:after="0"/>
              <w:rPr>
                <w:sz w:val="12"/>
                <w:szCs w:val="12"/>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Facility</w:t>
            </w:r>
          </w:p>
        </w:tc>
        <w:tc>
          <w:tcPr>
            <w:tcW w:w="480" w:type="dxa"/>
            <w:vAlign w:val="bottom"/>
            <w:vMerge w:val="restart"/>
          </w:tcPr>
          <w:p>
            <w:pPr>
              <w:spacing w:after="0"/>
              <w:rPr>
                <w:sz w:val="12"/>
                <w:szCs w:val="12"/>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Currency</w:t>
            </w:r>
          </w:p>
        </w:tc>
        <w:tc>
          <w:tcPr>
            <w:tcW w:w="1000" w:type="dxa"/>
            <w:vAlign w:val="bottom"/>
            <w:gridSpan w:val="2"/>
          </w:tcPr>
          <w:p>
            <w:pPr>
              <w:jc w:val="center"/>
              <w:ind w:left="169"/>
              <w:spacing w:after="0" w:line="146" w:lineRule="exact"/>
              <w:rPr>
                <w:sz w:val="20"/>
                <w:szCs w:val="20"/>
                <w:color w:val="auto"/>
              </w:rPr>
            </w:pPr>
            <w:r>
              <w:rPr>
                <w:rFonts w:ascii="Times New Roman" w:cs="Times New Roman" w:eastAsia="Times New Roman" w:hAnsi="Times New Roman"/>
                <w:sz w:val="14"/>
                <w:szCs w:val="14"/>
                <w:color w:val="auto"/>
              </w:rPr>
              <w:t>Daily Simple</w:t>
            </w:r>
          </w:p>
        </w:tc>
        <w:tc>
          <w:tcPr>
            <w:tcW w:w="3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SOFR</w:t>
            </w:r>
          </w:p>
        </w:tc>
        <w:tc>
          <w:tcPr>
            <w:tcW w:w="3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SOFR Loans</w:t>
            </w:r>
          </w:p>
        </w:tc>
        <w:tc>
          <w:tcPr>
            <w:tcW w:w="1460" w:type="dxa"/>
            <w:vAlign w:val="bottom"/>
            <w:gridSpan w:val="2"/>
          </w:tcPr>
          <w:p>
            <w:pPr>
              <w:jc w:val="center"/>
              <w:ind w:left="249"/>
              <w:spacing w:after="0" w:line="146" w:lineRule="exact"/>
              <w:rPr>
                <w:sz w:val="20"/>
                <w:szCs w:val="20"/>
                <w:color w:val="auto"/>
              </w:rPr>
            </w:pPr>
            <w:r>
              <w:rPr>
                <w:rFonts w:ascii="Times New Roman" w:cs="Times New Roman" w:eastAsia="Times New Roman" w:hAnsi="Times New Roman"/>
                <w:sz w:val="14"/>
                <w:szCs w:val="14"/>
                <w:color w:val="auto"/>
                <w:w w:val="99"/>
              </w:rPr>
              <w:t>Loans Converted to</w:t>
            </w:r>
          </w:p>
        </w:tc>
        <w:tc>
          <w:tcPr>
            <w:tcW w:w="34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of Daily Simple</w:t>
            </w: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SOFR Loans</w:t>
            </w:r>
          </w:p>
        </w:tc>
        <w:tc>
          <w:tcPr>
            <w:tcW w:w="34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Loans</w:t>
            </w:r>
          </w:p>
        </w:tc>
        <w:tc>
          <w:tcPr>
            <w:tcW w:w="32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Repaid</w:t>
            </w:r>
          </w:p>
        </w:tc>
        <w:tc>
          <w:tcPr>
            <w:tcW w:w="34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ABR Loans</w:t>
            </w:r>
          </w:p>
        </w:tc>
        <w:tc>
          <w:tcPr>
            <w:tcW w:w="34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SOFR Loans</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540" w:top="264" w:right="539" w:bottom="1440" w:gutter="0" w:footer="0" w:header="0"/>
        </w:sectPr>
      </w:pPr>
    </w:p>
    <w:bookmarkStart w:id="626" w:name="page627"/>
    <w:bookmarkEnd w:id="626"/>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L</w:t>
      </w:r>
    </w:p>
    <w:p>
      <w:pPr>
        <w:spacing w:after="0" w:line="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the lenders referred to below</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Investment Bank Loan Operations North America</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500 Stanton Christiana Road, NCC5, Floor 01</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Newark, DE, 19713-2107, United States</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Email: laura.delgadillo@jpmorgan.com</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Telephone: 302-634-3228</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Attention: Laura Delgadillo</w:t>
      </w:r>
    </w:p>
    <w:p>
      <w:pPr>
        <w:spacing w:after="0" w:line="225" w:lineRule="exact"/>
        <w:rPr>
          <w:sz w:val="20"/>
          <w:szCs w:val="20"/>
          <w:color w:val="auto"/>
        </w:rPr>
      </w:pPr>
    </w:p>
    <w:p>
      <w:pPr>
        <w:ind w:left="9328"/>
        <w:spacing w:after="0"/>
        <w:rPr>
          <w:sz w:val="20"/>
          <w:szCs w:val="20"/>
          <w:color w:val="auto"/>
        </w:rPr>
      </w:pPr>
      <w:r>
        <w:rPr>
          <w:rFonts w:ascii="Times New Roman" w:cs="Times New Roman" w:eastAsia="Times New Roman" w:hAnsi="Times New Roman"/>
          <w:sz w:val="17"/>
          <w:szCs w:val="17"/>
          <w:color w:val="auto"/>
        </w:rPr>
        <w:t>____________, 20__</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Ladies/Gentlemen:</w:t>
      </w:r>
    </w:p>
    <w:p>
      <w:pPr>
        <w:spacing w:after="0" w:line="218" w:lineRule="exact"/>
        <w:rPr>
          <w:sz w:val="20"/>
          <w:szCs w:val="20"/>
          <w:color w:val="auto"/>
        </w:rPr>
      </w:pPr>
    </w:p>
    <w:p>
      <w:pPr>
        <w:ind w:left="8" w:right="20" w:firstLine="974"/>
        <w:spacing w:after="0" w:line="228" w:lineRule="auto"/>
        <w:rPr>
          <w:sz w:val="20"/>
          <w:szCs w:val="20"/>
          <w:color w:val="auto"/>
        </w:rPr>
      </w:pPr>
      <w:r>
        <w:rPr>
          <w:rFonts w:ascii="Times New Roman" w:cs="Times New Roman" w:eastAsia="Times New Roman" w:hAnsi="Times New Roman"/>
          <w:sz w:val="18"/>
          <w:szCs w:val="18"/>
          <w:color w:val="auto"/>
        </w:rPr>
        <w:t>The undersigned, [INSERT NAME OF APPLICABLE BORROWER]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[and General Motors Company, a Delaware corporation (“</w:t>
      </w:r>
      <w:r>
        <w:rPr>
          <w:rFonts w:ascii="Times New Roman" w:cs="Times New Roman" w:eastAsia="Times New Roman" w:hAnsi="Times New Roman"/>
          <w:sz w:val="18"/>
          <w:szCs w:val="18"/>
          <w:u w:val="single" w:color="auto"/>
          <w:color w:val="auto"/>
        </w:rPr>
        <w:t>Company/Applicable 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refer[s] to the Fifth Amended and Restated 364-Day Revolving Credit Agreement, dated as of March 31,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Company/the Applicable Borrower]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[2.2] of the Credit Agreement that it requests an Extension of Credit under the Credit Agreement, and in connection sets forth below the terms on which such Extension of Credit is requested to be made, to which the Company hereby consents:</w:t>
      </w:r>
    </w:p>
    <w:p>
      <w:pPr>
        <w:spacing w:after="0" w:line="220" w:lineRule="exact"/>
        <w:rPr>
          <w:sz w:val="20"/>
          <w:szCs w:val="20"/>
          <w:color w:val="auto"/>
        </w:rPr>
      </w:pPr>
    </w:p>
    <w:p>
      <w:pPr>
        <w:ind w:left="428" w:hanging="428"/>
        <w:spacing w:after="0"/>
        <w:tabs>
          <w:tab w:leader="none" w:pos="428"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Date</w:t>
      </w:r>
    </w:p>
    <w:p>
      <w:pPr>
        <w:spacing w:after="0" w:line="24" w:lineRule="exact"/>
        <w:rPr>
          <w:rFonts w:ascii="Times New Roman" w:cs="Times New Roman" w:eastAsia="Times New Roman" w:hAnsi="Times New Roman"/>
          <w:sz w:val="18"/>
          <w:szCs w:val="18"/>
          <w:color w:val="auto"/>
        </w:rPr>
      </w:pPr>
    </w:p>
    <w:p>
      <w:pPr>
        <w:ind w:left="4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Business Day)</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-46355</wp:posOffset>
            </wp:positionV>
            <wp:extent cx="322643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226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53975</wp:posOffset>
            </wp:positionV>
            <wp:extent cx="74993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7" w:lineRule="exact"/>
        <w:rPr>
          <w:sz w:val="20"/>
          <w:szCs w:val="20"/>
          <w:color w:val="auto"/>
        </w:rPr>
      </w:pPr>
    </w:p>
    <w:p>
      <w:pPr>
        <w:ind w:left="428" w:hanging="428"/>
        <w:spacing w:after="0"/>
        <w:tabs>
          <w:tab w:leader="none" w:pos="428" w:val="left"/>
        </w:tabs>
        <w:numPr>
          <w:ilvl w:val="0"/>
          <w:numId w:val="5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if the Company is not the Applicable Borrower.</w:t>
      </w:r>
    </w:p>
    <w:p>
      <w:pPr>
        <w:ind w:left="428" w:hanging="428"/>
        <w:spacing w:after="0" w:line="184" w:lineRule="auto"/>
        <w:tabs>
          <w:tab w:leader="none" w:pos="428" w:val="left"/>
        </w:tabs>
        <w:numPr>
          <w:ilvl w:val="0"/>
          <w:numId w:val="5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If Borrowing Request from the Company, it is the “Applicable Borrower”.</w:t>
      </w:r>
    </w:p>
    <w:p>
      <w:pPr>
        <w:spacing w:after="0" w:line="1" w:lineRule="exact"/>
        <w:rPr>
          <w:sz w:val="20"/>
          <w:szCs w:val="20"/>
          <w:color w:val="auto"/>
        </w:rPr>
      </w:pPr>
    </w:p>
    <w:p>
      <w:pPr>
        <w:ind w:left="428" w:right="100" w:hanging="428"/>
        <w:spacing w:after="0" w:line="218" w:lineRule="auto"/>
        <w:tabs>
          <w:tab w:leader="none" w:pos="428" w:val="left"/>
        </w:tabs>
        <w:numPr>
          <w:ilvl w:val="0"/>
          <w:numId w:val="5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Borrowing Request to be delivered to the Administrative Agent prior to (a) in the case of Term Benchmark Loans, 11:00 a.m., New York City time, three U.S. Government Securities Business Days prior to the requested Borrowing Date, (b) in the case of Daily Simple SOFR Loans, 11:00 a.m., New York City time, three U.S. Government Securities Business Days prior to the requested Borrowing date or (c) in the case of ABR Loans, 11:00 A.M., New York City time, on the date of the proposed borrowing.</w:t>
      </w:r>
    </w:p>
    <w:p>
      <w:pPr>
        <w:sectPr>
          <w:pgSz w:w="11900" w:h="16838" w:orient="portrait"/>
          <w:cols w:equalWidth="0" w:num="1">
            <w:col w:w="10828"/>
          </w:cols>
          <w:pgMar w:left="532" w:top="266" w:right="539" w:bottom="1440" w:gutter="0" w:footer="0" w:header="0"/>
        </w:sectPr>
      </w:pPr>
    </w:p>
    <w:bookmarkStart w:id="627" w:name="page628"/>
    <w:bookmarkEnd w:id="627"/>
    <w:p>
      <w:pPr>
        <w:ind w:left="448" w:hanging="448"/>
        <w:spacing w:after="0"/>
        <w:tabs>
          <w:tab w:leader="none" w:pos="448"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746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6770" cy="37465"/>
                    </a:xfrm>
                    <a:prstGeom prst="rect">
                      <a:avLst/>
                    </a:prstGeom>
                    <a:noFill/>
                  </pic:spPr>
                </pic:pic>
              </a:graphicData>
            </a:graphic>
          </wp:anchor>
        </w:drawing>
        <w:t xml:space="preserve">Aggregate Amount of Extension of Credit </w:t>
      </w:r>
      <w:r>
        <w:rPr>
          <w:rFonts w:ascii="Times New Roman" w:cs="Times New Roman" w:eastAsia="Times New Roman" w:hAnsi="Times New Roman"/>
          <w:sz w:val="26"/>
          <w:szCs w:val="26"/>
          <w:color w:val="auto"/>
          <w:vertAlign w:val="superscript"/>
        </w:rPr>
        <w:t>4</w:t>
      </w:r>
    </w:p>
    <w:p>
      <w:pPr>
        <w:spacing w:after="0" w:line="3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 of Extension of Credit </w:t>
      </w:r>
      <w:r>
        <w:rPr>
          <w:rFonts w:ascii="Times New Roman" w:cs="Times New Roman" w:eastAsia="Times New Roman" w:hAnsi="Times New Roman"/>
          <w:sz w:val="26"/>
          <w:szCs w:val="26"/>
          <w:color w:val="auto"/>
          <w:vertAlign w:val="superscript"/>
        </w:rPr>
        <w:t>5</w:t>
      </w:r>
    </w:p>
    <w:p>
      <w:pPr>
        <w:spacing w:after="0" w:line="1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 and the last day thereof</w:t>
      </w:r>
      <w:r>
        <w:rPr>
          <w:rFonts w:ascii="Times New Roman" w:cs="Times New Roman" w:eastAsia="Times New Roman" w:hAnsi="Times New Roman"/>
          <w:sz w:val="26"/>
          <w:szCs w:val="26"/>
          <w:color w:val="auto"/>
          <w:vertAlign w:val="superscript"/>
        </w:rPr>
        <w:t>6</w:t>
      </w:r>
    </w:p>
    <w:p>
      <w:pPr>
        <w:spacing w:after="0" w:line="19" w:lineRule="exact"/>
        <w:rPr>
          <w:rFonts w:ascii="Times New Roman" w:cs="Times New Roman" w:eastAsia="Times New Roman" w:hAnsi="Times New Roman"/>
          <w:sz w:val="18"/>
          <w:szCs w:val="18"/>
          <w:color w:val="auto"/>
        </w:rPr>
      </w:pPr>
    </w:p>
    <w:p>
      <w:pPr>
        <w:jc w:val="both"/>
        <w:ind w:left="448" w:right="7120" w:hanging="448"/>
        <w:spacing w:after="0" w:line="260" w:lineRule="auto"/>
        <w:tabs>
          <w:tab w:leader="none" w:pos="448" w:val="left"/>
        </w:tabs>
        <w:numPr>
          <w:ilvl w:val="0"/>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Funds are requested to be disbursed to the Borrower’s account with _____________</w:t>
      </w:r>
    </w:p>
    <w:p>
      <w:pPr>
        <w:ind w:left="44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-266065</wp:posOffset>
            </wp:positionV>
            <wp:extent cx="309118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091180" cy="825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-468630</wp:posOffset>
            </wp:positionV>
            <wp:extent cx="30911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091180" cy="825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-670560</wp:posOffset>
            </wp:positionV>
            <wp:extent cx="309118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091180" cy="825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-872490</wp:posOffset>
            </wp:positionV>
            <wp:extent cx="309118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spacing w:after="0" w:line="191" w:lineRule="exact"/>
        <w:rPr>
          <w:sz w:val="20"/>
          <w:szCs w:val="20"/>
          <w:color w:val="auto"/>
        </w:rPr>
      </w:pPr>
    </w:p>
    <w:p>
      <w:pPr>
        <w:jc w:val="center"/>
        <w:ind w:right="-267"/>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4993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8" w:hanging="428"/>
        <w:spacing w:after="0" w:line="205" w:lineRule="auto"/>
        <w:tabs>
          <w:tab w:leader="none" w:pos="428" w:val="left"/>
        </w:tabs>
        <w:numPr>
          <w:ilvl w:val="0"/>
          <w:numId w:val="5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borrowing shall be in an amount equal to $25 million (or, if the Total Available Commitments at such time are less than $25 million, such lesser amount) or a whole multiple of $5 million in excess thereof.</w:t>
      </w:r>
    </w:p>
    <w:p>
      <w:pPr>
        <w:ind w:left="428" w:hanging="428"/>
        <w:spacing w:after="0" w:line="186" w:lineRule="auto"/>
        <w:tabs>
          <w:tab w:leader="none" w:pos="428" w:val="left"/>
        </w:tabs>
        <w:numPr>
          <w:ilvl w:val="0"/>
          <w:numId w:val="5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Specify Term Benchmark Borrowing, Daily Simple SOFR or ABR Borrowing.</w:t>
      </w:r>
    </w:p>
    <w:p>
      <w:pPr>
        <w:ind w:left="428" w:hanging="428"/>
        <w:spacing w:after="0" w:line="184" w:lineRule="auto"/>
        <w:tabs>
          <w:tab w:leader="none" w:pos="428" w:val="left"/>
        </w:tabs>
        <w:numPr>
          <w:ilvl w:val="0"/>
          <w:numId w:val="5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Which shall be subject to the definition of “Interest Period” and end on or before the Termination Date.</w:t>
      </w:r>
    </w:p>
    <w:p>
      <w:pPr>
        <w:sectPr>
          <w:pgSz w:w="11900" w:h="16838" w:orient="portrait"/>
          <w:cols w:equalWidth="0" w:num="1">
            <w:col w:w="10548"/>
          </w:cols>
          <w:pgMar w:left="532" w:top="373" w:right="819" w:bottom="1440" w:gutter="0" w:footer="0" w:header="0"/>
        </w:sectPr>
      </w:pPr>
    </w:p>
    <w:bookmarkStart w:id="628" w:name="page629"/>
    <w:bookmarkEnd w:id="628"/>
    <w:p>
      <w:pPr>
        <w:ind w:left="8" w:firstLine="974"/>
        <w:spacing w:after="0" w:line="28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5.2 of the Credit Agreement have been satisfied.</w:t>
      </w:r>
    </w:p>
    <w:p>
      <w:pPr>
        <w:spacing w:after="0" w:line="54"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[INSERT NAME OF APPLICABLE BORROWER]</w:t>
      </w:r>
      <w:r>
        <w:rPr>
          <w:rFonts w:ascii="Times New Roman" w:cs="Times New Roman" w:eastAsia="Times New Roman" w:hAnsi="Times New Roman"/>
          <w:sz w:val="26"/>
          <w:szCs w:val="26"/>
          <w:color w:val="auto"/>
          <w:vertAlign w:val="superscript"/>
        </w:rPr>
        <w:t>8</w:t>
      </w:r>
    </w:p>
    <w:p>
      <w:pPr>
        <w:spacing w:after="0" w:line="126"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15240</wp:posOffset>
            </wp:positionV>
            <wp:extent cx="255206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8" w:lineRule="exact"/>
        <w:rPr>
          <w:sz w:val="20"/>
          <w:szCs w:val="20"/>
          <w:color w:val="auto"/>
        </w:rPr>
      </w:pPr>
    </w:p>
    <w:p>
      <w:pPr>
        <w:ind w:left="65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15240</wp:posOffset>
            </wp:positionV>
            <wp:extent cx="255206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5"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ind w:left="6868"/>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4993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73" w:lineRule="exact"/>
        <w:rPr>
          <w:sz w:val="20"/>
          <w:szCs w:val="20"/>
          <w:color w:val="auto"/>
        </w:rPr>
      </w:pPr>
    </w:p>
    <w:p>
      <w:pPr>
        <w:ind w:left="428" w:hanging="428"/>
        <w:spacing w:after="0"/>
        <w:tabs>
          <w:tab w:leader="none" w:pos="428" w:val="left"/>
        </w:tabs>
        <w:numPr>
          <w:ilvl w:val="0"/>
          <w:numId w:val="5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Borrowing on the Closing Date.]</w:t>
      </w:r>
    </w:p>
    <w:p>
      <w:pPr>
        <w:ind w:left="428" w:hanging="428"/>
        <w:spacing w:after="0" w:line="184" w:lineRule="auto"/>
        <w:tabs>
          <w:tab w:leader="none" w:pos="428" w:val="left"/>
        </w:tabs>
        <w:numPr>
          <w:ilvl w:val="0"/>
          <w:numId w:val="5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[Insert for Borrowings by an Applicable Borrower other than the Company.]</w:t>
      </w:r>
    </w:p>
    <w:sectPr>
      <w:pgSz w:w="11900" w:h="16838" w:orient="portrait"/>
      <w:cols w:equalWidth="0" w:num="1">
        <w:col w:w="10568"/>
      </w:cols>
      <w:pgMar w:left="532" w:top="268"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5ACA49"/>
    <w:multiLevelType w:val="hybridMultilevel"/>
    <w:lvl w:ilvl="0">
      <w:lvlJc w:val="left"/>
      <w:lvlText w:val="☐"/>
      <w:numFmt w:val="bullet"/>
      <w:start w:val="1"/>
    </w:lvl>
  </w:abstractNum>
  <w:abstractNum w:abstractNumId="1">
    <w:nsid w:val="6835B2AE"/>
    <w:multiLevelType w:val="hybridMultilevel"/>
    <w:lvl w:ilvl="0">
      <w:lvlJc w:val="left"/>
      <w:lvlText w:val="†"/>
      <w:numFmt w:val="bullet"/>
      <w:start w:val="1"/>
    </w:lvl>
  </w:abstractNum>
  <w:abstractNum w:abstractNumId="2">
    <w:nsid w:val="4C187C90"/>
    <w:multiLevelType w:val="hybridMultilevel"/>
    <w:lvl w:ilvl="0">
      <w:lvlJc w:val="left"/>
      <w:lvlText w:val="A"/>
      <w:numFmt w:val="bullet"/>
      <w:start w:val="1"/>
    </w:lvl>
  </w:abstractNum>
  <w:abstractNum w:abstractNumId="3">
    <w:nsid w:val="541F28CD"/>
    <w:multiLevelType w:val="hybridMultilevel"/>
    <w:lvl w:ilvl="0">
      <w:lvlJc w:val="left"/>
      <w:lvlText w:val="B"/>
      <w:numFmt w:val="bullet"/>
      <w:start w:val="1"/>
    </w:lvl>
  </w:abstractNum>
  <w:abstractNum w:abstractNumId="4">
    <w:nsid w:val="7F65FD16"/>
    <w:multiLevelType w:val="hybridMultilevel"/>
    <w:lvl w:ilvl="0">
      <w:lvlJc w:val="left"/>
      <w:lvlText w:val="C"/>
      <w:numFmt w:val="bullet"/>
      <w:start w:val="1"/>
    </w:lvl>
  </w:abstractNum>
  <w:abstractNum w:abstractNumId="5">
    <w:nsid w:val="77C9FD68"/>
    <w:multiLevelType w:val="hybridMultilevel"/>
    <w:lvl w:ilvl="0">
      <w:lvlJc w:val="left"/>
      <w:lvlText w:val="D"/>
      <w:numFmt w:val="bullet"/>
      <w:start w:val="1"/>
    </w:lvl>
  </w:abstractNum>
  <w:abstractNum w:abstractNumId="6">
    <w:nsid w:val="298A92BA"/>
    <w:multiLevelType w:val="hybridMultilevel"/>
    <w:lvl w:ilvl="0">
      <w:lvlJc w:val="left"/>
      <w:lvlText w:val="E"/>
      <w:numFmt w:val="bullet"/>
      <w:start w:val="1"/>
    </w:lvl>
  </w:abstractNum>
  <w:abstractNum w:abstractNumId="7">
    <w:nsid w:val="6FE95EAC"/>
    <w:multiLevelType w:val="hybridMultilevel"/>
    <w:lvl w:ilvl="0">
      <w:lvlJc w:val="left"/>
      <w:lvlText w:val="(%1)"/>
      <w:numFmt w:val="decimal"/>
      <w:start w:val="1"/>
    </w:lvl>
  </w:abstractNum>
  <w:abstractNum w:abstractNumId="8">
    <w:nsid w:val="4B697C7A"/>
    <w:multiLevelType w:val="hybridMultilevel"/>
    <w:lvl w:ilvl="0">
      <w:lvlJc w:val="left"/>
      <w:lvlText w:val="(%1)"/>
      <w:numFmt w:val="decimal"/>
      <w:start w:val="1"/>
    </w:lvl>
  </w:abstractNum>
  <w:abstractNum w:abstractNumId="9">
    <w:nsid w:val="51A27AA6"/>
    <w:multiLevelType w:val="hybridMultilevel"/>
    <w:lvl w:ilvl="0">
      <w:lvlJc w:val="left"/>
      <w:lvlText w:val="(%1)"/>
      <w:numFmt w:val="decimal"/>
      <w:start w:val="3"/>
    </w:lvl>
  </w:abstractNum>
  <w:abstractNum w:abstractNumId="10">
    <w:nsid w:val="613183F2"/>
    <w:multiLevelType w:val="hybridMultilevel"/>
    <w:lvl w:ilvl="0">
      <w:lvlJc w:val="left"/>
      <w:lvlText w:val="(%1)"/>
      <w:numFmt w:val="upperLetter"/>
      <w:start w:val="2"/>
    </w:lvl>
  </w:abstractNum>
  <w:abstractNum w:abstractNumId="11">
    <w:nsid w:val="634102B4"/>
    <w:multiLevelType w:val="hybridMultilevel"/>
    <w:lvl w:ilvl="0">
      <w:lvlJc w:val="left"/>
      <w:lvlText w:val="(%1)"/>
      <w:numFmt w:val="lowerRoman"/>
      <w:start w:val="1"/>
    </w:lvl>
  </w:abstractNum>
  <w:abstractNum w:abstractNumId="12">
    <w:nsid w:val="65BF9DA8"/>
    <w:multiLevelType w:val="hybridMultilevel"/>
    <w:lvl w:ilvl="0">
      <w:lvlJc w:val="left"/>
      <w:lvlText w:val="(%1)"/>
      <w:numFmt w:val="lowerLetter"/>
      <w:start w:val="2"/>
    </w:lvl>
  </w:abstractNum>
  <w:abstractNum w:abstractNumId="13">
    <w:nsid w:val="21A2ECCA"/>
    <w:multiLevelType w:val="hybridMultilevel"/>
    <w:lvl w:ilvl="0">
      <w:lvlJc w:val="left"/>
      <w:lvlText w:val="(%1)"/>
      <w:numFmt w:val="lowerRoman"/>
      <w:start w:val="6"/>
    </w:lvl>
  </w:abstractNum>
  <w:abstractNum w:abstractNumId="14">
    <w:nsid w:val="4D5C4899"/>
    <w:multiLevelType w:val="hybridMultilevel"/>
    <w:lvl w:ilvl="0">
      <w:lvlJc w:val="left"/>
      <w:lvlText w:val="(%1)"/>
      <w:numFmt w:val="lowerLetter"/>
      <w:start w:val="9"/>
    </w:lvl>
  </w:abstractNum>
  <w:abstractNum w:abstractNumId="15">
    <w:nsid w:val="3C3B72B2"/>
    <w:multiLevelType w:val="hybridMultilevel"/>
    <w:lvl w:ilvl="0">
      <w:lvlJc w:val="left"/>
      <w:lvlText w:val="(%1)"/>
      <w:numFmt w:val="lowerLetter"/>
      <w:start w:val="4"/>
    </w:lvl>
  </w:abstractNum>
  <w:abstractNum w:abstractNumId="16">
    <w:nsid w:val="155EC4C2"/>
    <w:multiLevelType w:val="hybridMultilevel"/>
    <w:lvl w:ilvl="0">
      <w:lvlJc w:val="left"/>
      <w:lvlText w:val="(%1)"/>
      <w:numFmt w:val="lowerLetter"/>
      <w:start w:val="1"/>
    </w:lvl>
  </w:abstractNum>
  <w:abstractNum w:abstractNumId="17">
    <w:nsid w:val="65D2A137"/>
    <w:multiLevelType w:val="hybridMultilevel"/>
    <w:lvl w:ilvl="0">
      <w:lvlJc w:val="left"/>
      <w:lvlText w:val="(%1)"/>
      <w:numFmt w:val="lowerLetter"/>
      <w:start w:val="6"/>
    </w:lvl>
  </w:abstractNum>
  <w:abstractNum w:abstractNumId="18">
    <w:nsid w:val="6EBB1F2A"/>
    <w:multiLevelType w:val="hybridMultilevel"/>
    <w:lvl w:ilvl="0">
      <w:lvlJc w:val="left"/>
      <w:lvlText w:val="(%1)"/>
      <w:numFmt w:val="upperLetter"/>
      <w:start w:val="1"/>
    </w:lvl>
  </w:abstractNum>
  <w:abstractNum w:abstractNumId="19">
    <w:nsid w:val="6FBF29CB"/>
    <w:multiLevelType w:val="hybridMultilevel"/>
    <w:lvl w:ilvl="0">
      <w:lvlJc w:val="left"/>
      <w:lvlText w:val="(%1)"/>
      <w:numFmt w:val="upperLetter"/>
      <w:start w:val="4"/>
    </w:lvl>
  </w:abstractNum>
  <w:abstractNum w:abstractNumId="20">
    <w:nsid w:val="550B8808"/>
    <w:multiLevelType w:val="hybridMultilevel"/>
    <w:lvl w:ilvl="0">
      <w:lvlJc w:val="left"/>
      <w:lvlText w:val="(%1)"/>
      <w:numFmt w:val="lowerLetter"/>
      <w:start w:val="2"/>
    </w:lvl>
  </w:abstractNum>
  <w:abstractNum w:abstractNumId="21">
    <w:nsid w:val="34CC3ACF"/>
    <w:multiLevelType w:val="hybridMultilevel"/>
    <w:lvl w:ilvl="0">
      <w:lvlJc w:val="left"/>
      <w:lvlText w:val="(%1)"/>
      <w:numFmt w:val="lowerLetter"/>
      <w:start w:val="1"/>
    </w:lvl>
  </w:abstractNum>
  <w:abstractNum w:abstractNumId="22">
    <w:nsid w:val="4E556261"/>
    <w:multiLevelType w:val="hybridMultilevel"/>
    <w:lvl w:ilvl="0">
      <w:lvlJc w:val="left"/>
      <w:lvlText w:val="(%1)"/>
      <w:numFmt w:val="lowerLetter"/>
      <w:start w:val="6"/>
    </w:lvl>
  </w:abstractNum>
  <w:abstractNum w:abstractNumId="23">
    <w:nsid w:val="4C672FC9"/>
    <w:multiLevelType w:val="hybridMultilevel"/>
    <w:lvl w:ilvl="0">
      <w:lvlJc w:val="left"/>
      <w:lvlText w:val="%1"/>
      <w:numFmt w:val="lowerRoman"/>
      <w:start w:val="1"/>
    </w:lvl>
    <w:lvl w:ilvl="1">
      <w:lvlJc w:val="left"/>
      <w:lvlText w:val="(%2)"/>
      <w:numFmt w:val="lowerLetter"/>
      <w:start w:val="14"/>
    </w:lvl>
  </w:abstractNum>
  <w:abstractNum w:abstractNumId="24">
    <w:nsid w:val="52A311C3"/>
    <w:multiLevelType w:val="hybridMultilevel"/>
    <w:lvl w:ilvl="0">
      <w:lvlJc w:val="left"/>
      <w:lvlText w:val="(%1)"/>
      <w:numFmt w:val="lowerRoman"/>
      <w:start w:val="8"/>
    </w:lvl>
    <w:lvl w:ilvl="1">
      <w:lvlJc w:val="left"/>
      <w:lvlText w:val="(%2)"/>
      <w:numFmt w:val="lowerLetter"/>
      <w:start w:val="18"/>
    </w:lvl>
  </w:abstractNum>
  <w:abstractNum w:abstractNumId="25">
    <w:nsid w:val="44EF6B80"/>
    <w:multiLevelType w:val="hybridMultilevel"/>
    <w:lvl w:ilvl="0">
      <w:lvlJc w:val="left"/>
      <w:lvlText w:val="(%1)"/>
      <w:numFmt w:val="lowerLetter"/>
      <w:start w:val="24"/>
    </w:lvl>
  </w:abstractNum>
  <w:abstractNum w:abstractNumId="26">
    <w:nsid w:val="12FCDE5E"/>
    <w:multiLevelType w:val="hybridMultilevel"/>
    <w:lvl w:ilvl="0">
      <w:lvlJc w:val="left"/>
      <w:lvlText w:val="(%1)"/>
      <w:numFmt w:val="lowerRoman"/>
      <w:start w:val="2"/>
    </w:lvl>
  </w:abstractNum>
  <w:abstractNum w:abstractNumId="27">
    <w:nsid w:val="4A1D606E"/>
    <w:multiLevelType w:val="hybridMultilevel"/>
    <w:lvl w:ilvl="0">
      <w:lvlJc w:val="left"/>
      <w:lvlText w:val="%1"/>
      <w:numFmt w:val="lowerLetter"/>
      <w:start w:val="1"/>
    </w:lvl>
    <w:lvl w:ilvl="1">
      <w:lvlJc w:val="left"/>
      <w:lvlText w:val="(%2)"/>
      <w:numFmt w:val="lowerLetter"/>
      <w:start w:val="1"/>
    </w:lvl>
  </w:abstractNum>
  <w:abstractNum w:abstractNumId="28">
    <w:nsid w:val="4382503"/>
    <w:multiLevelType w:val="hybridMultilevel"/>
    <w:lvl w:ilvl="0">
      <w:lvlJc w:val="left"/>
      <w:lvlText w:val="(%1)"/>
      <w:numFmt w:val="lowerLetter"/>
      <w:start w:val="9"/>
    </w:lvl>
    <w:lvl w:ilvl="1">
      <w:lvlJc w:val="left"/>
      <w:lvlText w:val="(%2)"/>
      <w:numFmt w:val="lowerLetter"/>
      <w:start w:val="3"/>
    </w:lvl>
  </w:abstractNum>
  <w:abstractNum w:abstractNumId="29">
    <w:nsid w:val="59B76E28"/>
    <w:multiLevelType w:val="hybridMultilevel"/>
    <w:lvl w:ilvl="0">
      <w:lvlJc w:val="left"/>
      <w:lvlText w:val="(%1)"/>
      <w:numFmt w:val="lowerLetter"/>
      <w:start w:val="1"/>
    </w:lvl>
  </w:abstractNum>
  <w:abstractNum w:abstractNumId="30">
    <w:nsid w:val="4252C2DA"/>
    <w:multiLevelType w:val="hybridMultilevel"/>
    <w:lvl w:ilvl="0">
      <w:lvlJc w:val="left"/>
      <w:lvlText w:val="(%1)"/>
      <w:numFmt w:val="lowerLetter"/>
      <w:start w:val="1"/>
    </w:lvl>
  </w:abstractNum>
  <w:abstractNum w:abstractNumId="31">
    <w:nsid w:val="6A92EF4C"/>
    <w:multiLevelType w:val="hybridMultilevel"/>
    <w:lvl w:ilvl="0">
      <w:lvlJc w:val="left"/>
      <w:lvlText w:val="(%1)"/>
      <w:numFmt w:val="lowerRoman"/>
      <w:start w:val="2"/>
    </w:lvl>
  </w:abstractNum>
  <w:abstractNum w:abstractNumId="32">
    <w:nsid w:val="41ED20D7"/>
    <w:multiLevelType w:val="hybridMultilevel"/>
    <w:lvl w:ilvl="0">
      <w:lvlJc w:val="left"/>
      <w:lvlText w:val="%1"/>
      <w:numFmt w:val="lowerLetter"/>
      <w:start w:val="1"/>
    </w:lvl>
    <w:lvl w:ilvl="1">
      <w:lvlJc w:val="left"/>
      <w:lvlText w:val="(%2)"/>
      <w:numFmt w:val="lowerLetter"/>
      <w:start w:val="1"/>
    </w:lvl>
  </w:abstractNum>
  <w:abstractNum w:abstractNumId="33">
    <w:nsid w:val="E6B3F6A"/>
    <w:multiLevelType w:val="hybridMultilevel"/>
    <w:lvl w:ilvl="0">
      <w:lvlJc w:val="left"/>
      <w:lvlText w:val="(%1)"/>
      <w:numFmt w:val="lowerLetter"/>
      <w:start w:val="35"/>
    </w:lvl>
    <w:lvl w:ilvl="1">
      <w:lvlJc w:val="left"/>
      <w:lvlText w:val="(%2)"/>
      <w:numFmt w:val="lowerLetter"/>
      <w:start w:val="2"/>
    </w:lvl>
  </w:abstractNum>
  <w:abstractNum w:abstractNumId="34">
    <w:nsid w:val="3EB21819"/>
    <w:multiLevelType w:val="hybridMultilevel"/>
    <w:lvl w:ilvl="0">
      <w:lvlJc w:val="left"/>
      <w:lvlText w:val="(%1)"/>
      <w:numFmt w:val="lowerLetter"/>
      <w:start w:val="2"/>
    </w:lvl>
  </w:abstractNum>
  <w:abstractNum w:abstractNumId="35">
    <w:nsid w:val="41531DED"/>
    <w:multiLevelType w:val="hybridMultilevel"/>
    <w:lvl w:ilvl="0">
      <w:lvlJc w:val="left"/>
      <w:lvlText w:val="(%1)"/>
      <w:numFmt w:val="lowerLetter"/>
      <w:start w:val="1"/>
    </w:lvl>
  </w:abstractNum>
  <w:abstractNum w:abstractNumId="36">
    <w:nsid w:val="6353CD2"/>
    <w:multiLevelType w:val="hybridMultilevel"/>
    <w:lvl w:ilvl="0">
      <w:lvlJc w:val="left"/>
      <w:lvlText w:val="(%1)"/>
      <w:numFmt w:val="lowerLetter"/>
      <w:start w:val="2"/>
    </w:lvl>
  </w:abstractNum>
  <w:abstractNum w:abstractNumId="37">
    <w:nsid w:val="683CAAD3"/>
    <w:multiLevelType w:val="hybridMultilevel"/>
    <w:lvl w:ilvl="0">
      <w:lvlJc w:val="left"/>
      <w:lvlText w:val="(%1)"/>
      <w:numFmt w:val="lowerLetter"/>
      <w:start w:val="2"/>
    </w:lvl>
  </w:abstractNum>
  <w:abstractNum w:abstractNumId="38">
    <w:nsid w:val="313C7C99"/>
    <w:multiLevelType w:val="hybridMultilevel"/>
    <w:lvl w:ilvl="0">
      <w:lvlJc w:val="left"/>
      <w:lvlText w:val="(%1)"/>
      <w:numFmt w:val="lowerLetter"/>
      <w:start w:val="1"/>
    </w:lvl>
  </w:abstractNum>
  <w:abstractNum w:abstractNumId="39">
    <w:nsid w:val="519EB94C"/>
    <w:multiLevelType w:val="hybridMultilevel"/>
    <w:lvl w:ilvl="0">
      <w:lvlJc w:val="left"/>
      <w:lvlText w:val="(%1)"/>
      <w:numFmt w:val="lowerLetter"/>
      <w:start w:val="1"/>
    </w:lvl>
  </w:abstractNum>
  <w:abstractNum w:abstractNumId="40">
    <w:nsid w:val="39DF2579"/>
    <w:multiLevelType w:val="hybridMultilevel"/>
    <w:lvl w:ilvl="0">
      <w:lvlJc w:val="left"/>
      <w:lvlText w:val="(%1)"/>
      <w:numFmt w:val="lowerLetter"/>
      <w:start w:val="2"/>
    </w:lvl>
  </w:abstractNum>
  <w:abstractNum w:abstractNumId="41">
    <w:nsid w:val="126E008B"/>
    <w:multiLevelType w:val="hybridMultilevel"/>
    <w:lvl w:ilvl="0">
      <w:lvlJc w:val="left"/>
      <w:lvlText w:val="(%1)"/>
      <w:numFmt w:val="lowerRoman"/>
      <w:start w:val="1"/>
    </w:lvl>
  </w:abstractNum>
  <w:abstractNum w:abstractNumId="42">
    <w:nsid w:val="34DFBC00"/>
    <w:multiLevelType w:val="hybridMultilevel"/>
    <w:lvl w:ilvl="0">
      <w:lvlJc w:val="left"/>
      <w:lvlText w:val="(%1)"/>
      <w:numFmt w:val="lowerLetter"/>
      <w:start w:val="24"/>
    </w:lvl>
    <w:lvl w:ilvl="1">
      <w:lvlJc w:val="left"/>
      <w:lvlText w:val="(%2)"/>
      <w:numFmt w:val="lowerLetter"/>
      <w:start w:val="2"/>
    </w:lvl>
  </w:abstractNum>
  <w:abstractNum w:abstractNumId="43">
    <w:nsid w:val="1F9EC322"/>
    <w:multiLevelType w:val="hybridMultilevel"/>
    <w:lvl w:ilvl="0">
      <w:lvlJc w:val="left"/>
      <w:lvlText w:val="(%1)"/>
      <w:numFmt w:val="lowerLetter"/>
      <w:start w:val="35"/>
    </w:lvl>
    <w:lvl w:ilvl="1">
      <w:lvlJc w:val="left"/>
      <w:lvlText w:val="%2"/>
      <w:numFmt w:val="lowerLetter"/>
      <w:start w:val="1"/>
    </w:lvl>
  </w:abstractNum>
  <w:abstractNum w:abstractNumId="44">
    <w:nsid w:val="3410ED56"/>
    <w:multiLevelType w:val="hybridMultilevel"/>
    <w:lvl w:ilvl="0">
      <w:lvlJc w:val="left"/>
      <w:lvlText w:val="(%1)"/>
      <w:numFmt w:val="lowerLetter"/>
      <w:start w:val="5"/>
    </w:lvl>
  </w:abstractNum>
  <w:abstractNum w:abstractNumId="45">
    <w:nsid w:val="23C049A"/>
    <w:multiLevelType w:val="hybridMultilevel"/>
    <w:lvl w:ilvl="0">
      <w:lvlJc w:val="left"/>
      <w:lvlText w:val="(%1)"/>
      <w:numFmt w:val="upperLetter"/>
      <w:start w:val="2"/>
    </w:lvl>
  </w:abstractNum>
  <w:abstractNum w:abstractNumId="46">
    <w:nsid w:val="5BDA35D4"/>
    <w:multiLevelType w:val="hybridMultilevel"/>
    <w:lvl w:ilvl="0">
      <w:lvlJc w:val="left"/>
      <w:lvlText w:val="(%1)"/>
      <w:numFmt w:val="lowerLetter"/>
      <w:start w:val="2"/>
    </w:lvl>
  </w:abstractNum>
  <w:abstractNum w:abstractNumId="47">
    <w:nsid w:val="496FB218"/>
    <w:multiLevelType w:val="hybridMultilevel"/>
    <w:lvl w:ilvl="0">
      <w:lvlJc w:val="left"/>
      <w:lvlText w:val="(%1)"/>
      <w:numFmt w:val="lowerLetter"/>
      <w:start w:val="5"/>
    </w:lvl>
  </w:abstractNum>
  <w:abstractNum w:abstractNumId="48">
    <w:nsid w:val="680EA5D1"/>
    <w:multiLevelType w:val="hybridMultilevel"/>
    <w:lvl w:ilvl="0">
      <w:lvlJc w:val="left"/>
      <w:lvlText w:val="(%1)"/>
      <w:numFmt w:val="lowerLetter"/>
      <w:start w:val="1"/>
    </w:lvl>
    <w:lvl w:ilvl="1">
      <w:lvlJc w:val="left"/>
      <w:lvlText w:val="(%2)"/>
      <w:numFmt w:val="lowerRoman"/>
      <w:start w:val="1"/>
    </w:lvl>
  </w:abstractNum>
  <w:abstractNum w:abstractNumId="49">
    <w:nsid w:val="4A9554FE"/>
    <w:multiLevelType w:val="hybridMultilevel"/>
    <w:lvl w:ilvl="0">
      <w:lvlJc w:val="left"/>
      <w:lvlText w:val="(%1)"/>
      <w:numFmt w:val="lowerLetter"/>
      <w:start w:val="2"/>
    </w:lvl>
  </w:abstractNum>
  <w:abstractNum w:abstractNumId="50">
    <w:nsid w:val="392EDBE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51">
    <w:nsid w:val="3D1A2DD9"/>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52">
    <w:nsid w:val="7F618FCD"/>
    <w:multiLevelType w:val="hybridMultilevel"/>
    <w:lvl w:ilvl="0">
      <w:lvlJc w:val="left"/>
      <w:lvlText w:val="(%1)"/>
      <w:numFmt w:val="upperLetter"/>
      <w:start w:val="1"/>
    </w:lvl>
  </w:abstractNum>
  <w:abstractNum w:abstractNumId="53">
    <w:nsid w:val="7843E45"/>
    <w:multiLevelType w:val="hybridMultilevel"/>
    <w:lvl w:ilvl="0">
      <w:lvlJc w:val="left"/>
      <w:lvlText w:val="(%1)"/>
      <w:numFmt w:val="upperLetter"/>
      <w:start w:val="3"/>
    </w:lvl>
  </w:abstractNum>
  <w:abstractNum w:abstractNumId="54">
    <w:nsid w:val="9815DA3"/>
    <w:multiLevelType w:val="hybridMultilevel"/>
    <w:lvl w:ilvl="0">
      <w:lvlJc w:val="left"/>
      <w:lvlText w:val="(%1)"/>
      <w:numFmt w:val="lowerRoman"/>
      <w:start w:val="3"/>
    </w:lvl>
  </w:abstractNum>
  <w:abstractNum w:abstractNumId="55">
    <w:nsid w:val="5204A191"/>
    <w:multiLevelType w:val="hybridMultilevel"/>
    <w:lvl w:ilvl="0">
      <w:lvlJc w:val="left"/>
      <w:lvlText w:val="(%1)"/>
      <w:numFmt w:val="lowerLetter"/>
      <w:start w:val="5"/>
    </w:lvl>
  </w:abstractNum>
  <w:abstractNum w:abstractNumId="56">
    <w:nsid w:val="4C73A9C6"/>
    <w:multiLevelType w:val="hybridMultilevel"/>
    <w:lvl w:ilvl="0">
      <w:lvlJc w:val="left"/>
      <w:lvlText w:val="(%1)"/>
      <w:numFmt w:val="lowerLetter"/>
      <w:start w:val="4"/>
    </w:lvl>
  </w:abstractNum>
  <w:abstractNum w:abstractNumId="57">
    <w:nsid w:val="1C7E3C01"/>
    <w:multiLevelType w:val="hybridMultilevel"/>
    <w:lvl w:ilvl="0">
      <w:lvlJc w:val="left"/>
      <w:lvlText w:val="(%1)"/>
      <w:numFmt w:val="lowerRoman"/>
      <w:start w:val="3"/>
    </w:lvl>
  </w:abstractNum>
  <w:abstractNum w:abstractNumId="58">
    <w:nsid w:val="1C2201FF"/>
    <w:multiLevelType w:val="hybridMultilevel"/>
    <w:lvl w:ilvl="0">
      <w:lvlJc w:val="left"/>
      <w:lvlText w:val="(%1)"/>
      <w:numFmt w:val="upperLetter"/>
      <w:start w:val="6"/>
    </w:lvl>
  </w:abstractNum>
  <w:abstractNum w:abstractNumId="59">
    <w:nsid w:val="50ABCEC9"/>
    <w:multiLevelType w:val="hybridMultilevel"/>
    <w:lvl w:ilvl="0">
      <w:lvlJc w:val="left"/>
      <w:lvlText w:val="(%1)"/>
      <w:numFmt w:val="lowerLetter"/>
      <w:start w:val="1"/>
    </w:lvl>
    <w:lvl w:ilvl="1">
      <w:lvlJc w:val="left"/>
      <w:lvlText w:val="(%2)"/>
      <w:numFmt w:val="lowerLetter"/>
      <w:start w:val="9"/>
    </w:lvl>
  </w:abstractNum>
  <w:abstractNum w:abstractNumId="60">
    <w:nsid w:val="7635AA2A"/>
    <w:multiLevelType w:val="hybridMultilevel"/>
    <w:lvl w:ilvl="0">
      <w:lvlJc w:val="left"/>
      <w:lvlText w:val="(%1)"/>
      <w:numFmt w:val="lowerRoman"/>
      <w:start w:val="2"/>
    </w:lvl>
  </w:abstractNum>
  <w:abstractNum w:abstractNumId="61">
    <w:nsid w:val="5E74C4D9"/>
    <w:multiLevelType w:val="hybridMultilevel"/>
    <w:lvl w:ilvl="0">
      <w:lvlJc w:val="left"/>
      <w:lvlText w:val="%1"/>
      <w:numFmt w:val="lowerRoman"/>
      <w:start w:val="1"/>
    </w:lvl>
    <w:lvl w:ilvl="1">
      <w:lvlJc w:val="left"/>
      <w:lvlText w:val="(%2)"/>
      <w:numFmt w:val="lowerRoman"/>
      <w:start w:val="5"/>
    </w:lvl>
  </w:abstractNum>
  <w:abstractNum w:abstractNumId="62">
    <w:nsid w:val="3B3EBE15"/>
    <w:multiLevelType w:val="hybridMultilevel"/>
    <w:lvl w:ilvl="0">
      <w:lvlJc w:val="left"/>
      <w:lvlText w:val="(%1)"/>
      <w:numFmt w:val="lowerRoman"/>
      <w:start w:val="2"/>
    </w:lvl>
    <w:lvl w:ilvl="1">
      <w:lvlJc w:val="left"/>
      <w:lvlText w:val="%2"/>
      <w:numFmt w:val="lowerRoman"/>
      <w:start w:val="1"/>
    </w:lvl>
  </w:abstractNum>
  <w:abstractNum w:abstractNumId="63">
    <w:nsid w:val="3822CB01"/>
    <w:multiLevelType w:val="hybridMultilevel"/>
    <w:lvl w:ilvl="0">
      <w:lvlJc w:val="left"/>
      <w:lvlText w:val="(%1)"/>
      <w:numFmt w:val="lowerLetter"/>
      <w:start w:val="4"/>
    </w:lvl>
  </w:abstractNum>
  <w:abstractNum w:abstractNumId="64">
    <w:nsid w:val="6CE00443"/>
    <w:multiLevelType w:val="hybridMultilevel"/>
    <w:lvl w:ilvl="0">
      <w:lvlJc w:val="left"/>
      <w:lvlText w:val="(%1)"/>
      <w:numFmt w:val="lowerLetter"/>
      <w:start w:val="2"/>
    </w:lvl>
  </w:abstractNum>
  <w:abstractNum w:abstractNumId="65">
    <w:nsid w:val="79F0D62F"/>
    <w:multiLevelType w:val="hybridMultilevel"/>
    <w:lvl w:ilvl="0">
      <w:lvlJc w:val="left"/>
      <w:lvlText w:val="(%1)"/>
      <w:numFmt w:val="upperLetter"/>
      <w:start w:val="4"/>
    </w:lvl>
  </w:abstractNum>
  <w:abstractNum w:abstractNumId="66">
    <w:nsid w:val="7975E8EE"/>
    <w:multiLevelType w:val="hybridMultilevel"/>
    <w:lvl w:ilvl="0">
      <w:lvlJc w:val="left"/>
      <w:lvlText w:val="%1"/>
      <w:numFmt w:val="lowerLetter"/>
      <w:start w:val="1"/>
    </w:lvl>
    <w:lvl w:ilvl="1">
      <w:lvlJc w:val="left"/>
      <w:lvlText w:val="(%2)"/>
      <w:numFmt w:val="lowerLetter"/>
      <w:start w:val="2"/>
    </w:lvl>
  </w:abstractNum>
  <w:abstractNum w:abstractNumId="67">
    <w:nsid w:val="73154115"/>
    <w:multiLevelType w:val="hybridMultilevel"/>
    <w:lvl w:ilvl="0">
      <w:lvlJc w:val="left"/>
      <w:lvlText w:val="(%1)"/>
      <w:numFmt w:val="lowerLetter"/>
      <w:start w:val="9"/>
    </w:lvl>
    <w:lvl w:ilvl="1">
      <w:lvlJc w:val="left"/>
      <w:lvlText w:val="%2"/>
      <w:numFmt w:val="lowerLetter"/>
      <w:start w:val="1"/>
    </w:lvl>
  </w:abstractNum>
  <w:abstractNum w:abstractNumId="68">
    <w:nsid w:val="622D8102"/>
    <w:multiLevelType w:val="hybridMultilevel"/>
    <w:lvl w:ilvl="0">
      <w:lvlJc w:val="left"/>
      <w:lvlText w:val="(%1)"/>
      <w:numFmt w:val="lowerLetter"/>
      <w:start w:val="2"/>
    </w:lvl>
  </w:abstractNum>
  <w:abstractNum w:abstractNumId="69">
    <w:nsid w:val="2AB26587"/>
    <w:multiLevelType w:val="hybridMultilevel"/>
    <w:lvl w:ilvl="0">
      <w:lvlJc w:val="left"/>
      <w:lvlText w:val="%1"/>
      <w:numFmt w:val="lowerLetter"/>
      <w:start w:val="1"/>
    </w:lvl>
    <w:lvl w:ilvl="1">
      <w:lvlJc w:val="left"/>
      <w:lvlText w:val="(%2)"/>
      <w:numFmt w:val="lowerLetter"/>
      <w:start w:val="2"/>
    </w:lvl>
  </w:abstractNum>
  <w:abstractNum w:abstractNumId="70">
    <w:nsid w:val="44B3FA61"/>
    <w:multiLevelType w:val="hybridMultilevel"/>
    <w:lvl w:ilvl="0">
      <w:lvlJc w:val="left"/>
      <w:lvlText w:val="(%1)"/>
      <w:numFmt w:val="lowerLetter"/>
      <w:start w:val="9"/>
    </w:lvl>
    <w:lvl w:ilvl="1">
      <w:lvlJc w:val="left"/>
      <w:lvlText w:val="%2"/>
      <w:numFmt w:val="lowerLetter"/>
      <w:start w:val="1"/>
    </w:lvl>
  </w:abstractNum>
  <w:abstractNum w:abstractNumId="71">
    <w:nsid w:val="1C0CA67C"/>
    <w:multiLevelType w:val="hybridMultilevel"/>
    <w:lvl w:ilvl="0">
      <w:lvlJc w:val="left"/>
      <w:lvlText w:val="(%1)"/>
      <w:numFmt w:val="lowerRoman"/>
      <w:start w:val="1"/>
    </w:lvl>
  </w:abstractNum>
  <w:abstractNum w:abstractNumId="72">
    <w:nsid w:val="3D206613"/>
    <w:multiLevelType w:val="hybridMultilevel"/>
    <w:lvl w:ilvl="0">
      <w:lvlJc w:val="left"/>
      <w:lvlText w:val="(%1)"/>
      <w:numFmt w:val="lowerLetter"/>
      <w:start w:val="2"/>
    </w:lvl>
  </w:abstractNum>
  <w:abstractNum w:abstractNumId="73">
    <w:nsid w:val="7993B662"/>
    <w:multiLevelType w:val="hybridMultilevel"/>
    <w:lvl w:ilvl="0">
      <w:lvlJc w:val="left"/>
      <w:lvlText w:val="(%1)"/>
      <w:numFmt w:val="lowerLetter"/>
      <w:start w:val="2"/>
    </w:lvl>
  </w:abstractNum>
  <w:abstractNum w:abstractNumId="74">
    <w:nsid w:val="3BAB699E"/>
    <w:multiLevelType w:val="hybridMultilevel"/>
    <w:lvl w:ilvl="0">
      <w:lvlJc w:val="left"/>
      <w:lvlText w:val="(%1)"/>
      <w:numFmt w:val="lowerLetter"/>
      <w:start w:val="4"/>
    </w:lvl>
  </w:abstractNum>
  <w:abstractNum w:abstractNumId="75">
    <w:nsid w:val="71315369"/>
    <w:multiLevelType w:val="hybridMultilevel"/>
    <w:lvl w:ilvl="0">
      <w:lvlJc w:val="left"/>
      <w:lvlText w:val="(%1)"/>
      <w:numFmt w:val="lowerLetter"/>
      <w:start w:val="1"/>
    </w:lvl>
  </w:abstractNum>
  <w:abstractNum w:abstractNumId="76">
    <w:nsid w:val="7BCFBAFC"/>
    <w:multiLevelType w:val="hybridMultilevel"/>
    <w:lvl w:ilvl="0">
      <w:lvlJc w:val="left"/>
      <w:lvlText w:val="%1"/>
      <w:numFmt w:val="lowerLetter"/>
      <w:start w:val="1"/>
    </w:lvl>
    <w:lvl w:ilvl="1">
      <w:lvlJc w:val="left"/>
      <w:lvlText w:val="(%2)"/>
      <w:numFmt w:val="lowerLetter"/>
      <w:start w:val="1"/>
    </w:lvl>
  </w:abstractNum>
  <w:abstractNum w:abstractNumId="77">
    <w:nsid w:val="17859F72"/>
    <w:multiLevelType w:val="hybridMultilevel"/>
    <w:lvl w:ilvl="0">
      <w:lvlJc w:val="left"/>
      <w:lvlText w:val="(%1)"/>
      <w:numFmt w:val="lowerLetter"/>
      <w:start w:val="9"/>
    </w:lvl>
    <w:lvl w:ilvl="1">
      <w:lvlJc w:val="left"/>
      <w:lvlText w:val="(%2)"/>
      <w:numFmt w:val="lowerLetter"/>
      <w:start w:val="4"/>
    </w:lvl>
  </w:abstractNum>
  <w:abstractNum w:abstractNumId="78">
    <w:nsid w:val="3AA10581"/>
    <w:multiLevelType w:val="hybridMultilevel"/>
    <w:lvl w:ilvl="0">
      <w:lvlJc w:val="left"/>
      <w:lvlText w:val="(%1)"/>
      <w:numFmt w:val="lowerLetter"/>
      <w:start w:val="6"/>
    </w:lvl>
  </w:abstractNum>
  <w:abstractNum w:abstractNumId="79">
    <w:nsid w:val="63DE60CD"/>
    <w:multiLevelType w:val="hybridMultilevel"/>
    <w:lvl w:ilvl="0">
      <w:lvlJc w:val="left"/>
      <w:lvlText w:val="(%1)"/>
      <w:numFmt w:val="lowerLetter"/>
      <w:start w:val="1"/>
    </w:lvl>
  </w:abstractNum>
  <w:abstractNum w:abstractNumId="80">
    <w:nsid w:val="621AF471"/>
    <w:multiLevelType w:val="hybridMultilevel"/>
    <w:lvl w:ilvl="0">
      <w:lvlJc w:val="left"/>
      <w:lvlText w:val="(%1)"/>
      <w:numFmt w:val="lowerLetter"/>
      <w:start w:val="1"/>
    </w:lvl>
  </w:abstractNum>
  <w:abstractNum w:abstractNumId="81">
    <w:nsid w:val="73CFE165"/>
    <w:multiLevelType w:val="hybridMultilevel"/>
    <w:lvl w:ilvl="0">
      <w:lvlJc w:val="left"/>
      <w:lvlText w:val="(%1)"/>
      <w:numFmt w:val="lowerLetter"/>
      <w:start w:val="2"/>
    </w:lvl>
  </w:abstractNum>
  <w:abstractNum w:abstractNumId="82">
    <w:nsid w:val="20F88EA6"/>
    <w:multiLevelType w:val="hybridMultilevel"/>
    <w:lvl w:ilvl="0">
      <w:lvlJc w:val="left"/>
      <w:lvlText w:val="(%1)"/>
      <w:numFmt w:val="lowerLetter"/>
      <w:start w:val="1"/>
    </w:lvl>
  </w:abstractNum>
  <w:abstractNum w:abstractNumId="83">
    <w:nsid w:val="617C843E"/>
    <w:multiLevelType w:val="hybridMultilevel"/>
    <w:lvl w:ilvl="0">
      <w:lvlJc w:val="left"/>
      <w:lvlText w:val="%1"/>
      <w:numFmt w:val="upperLetter"/>
      <w:start w:val="1"/>
    </w:lvl>
    <w:lvl w:ilvl="1">
      <w:lvlJc w:val="left"/>
      <w:lvlText w:val="(%2)"/>
      <w:numFmt w:val="lowerLetter"/>
      <w:start w:val="1"/>
    </w:lvl>
  </w:abstractNum>
  <w:abstractNum w:abstractNumId="84">
    <w:nsid w:val="7B541FAB"/>
    <w:multiLevelType w:val="hybridMultilevel"/>
    <w:lvl w:ilvl="0">
      <w:lvlJc w:val="left"/>
      <w:lvlText w:val="(%1)"/>
      <w:numFmt w:val="upperLetter"/>
      <w:start w:val="2"/>
    </w:lvl>
    <w:lvl w:ilvl="1">
      <w:lvlJc w:val="left"/>
      <w:lvlText w:val="%2"/>
      <w:numFmt w:val="lowerLetter"/>
      <w:start w:val="1"/>
    </w:lvl>
  </w:abstractNum>
  <w:abstractNum w:abstractNumId="85">
    <w:nsid w:val="2A79EC49"/>
    <w:multiLevelType w:val="hybridMultilevel"/>
    <w:lvl w:ilvl="0">
      <w:lvlJc w:val="left"/>
      <w:lvlText w:val="(%1)"/>
      <w:numFmt w:val="lowerRoman"/>
      <w:start w:val="10"/>
    </w:lvl>
  </w:abstractNum>
  <w:abstractNum w:abstractNumId="86">
    <w:nsid w:val="338125CF"/>
    <w:multiLevelType w:val="hybridMultilevel"/>
    <w:lvl w:ilvl="0">
      <w:lvlJc w:val="left"/>
      <w:lvlText w:val="(%1)"/>
      <w:numFmt w:val="lowerLetter"/>
      <w:start w:val="1"/>
    </w:lvl>
  </w:abstractNum>
  <w:abstractNum w:abstractNumId="87">
    <w:nsid w:val="47C7C971"/>
    <w:multiLevelType w:val="hybridMultilevel"/>
    <w:lvl w:ilvl="0">
      <w:lvlJc w:val="left"/>
      <w:lvlText w:val="(%1)"/>
      <w:numFmt w:val="lowerLetter"/>
      <w:start w:val="8"/>
    </w:lvl>
  </w:abstractNum>
  <w:abstractNum w:abstractNumId="88">
    <w:nsid w:val="46F8284B"/>
    <w:multiLevelType w:val="hybridMultilevel"/>
    <w:lvl w:ilvl="0">
      <w:lvlJc w:val="left"/>
      <w:lvlText w:val="(%1)"/>
      <w:numFmt w:val="lowerLetter"/>
      <w:start w:val="1"/>
    </w:lvl>
    <w:lvl w:ilvl="1">
      <w:lvlJc w:val="left"/>
      <w:lvlText w:val="(%2)"/>
      <w:numFmt w:val="lowerLetter"/>
      <w:start w:val="9"/>
    </w:lvl>
  </w:abstractNum>
  <w:abstractNum w:abstractNumId="89">
    <w:nsid w:val="4FA327C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90">
    <w:nsid w:val="1873983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91">
    <w:nsid w:val="3D2DD275"/>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92">
    <w:nsid w:val="2E17ECA7"/>
    <w:multiLevelType w:val="hybridMultilevel"/>
    <w:lvl w:ilvl="0">
      <w:lvlJc w:val="left"/>
      <w:lvlText w:val="(%1)"/>
      <w:numFmt w:val="lowerLetter"/>
      <w:start w:val="1"/>
    </w:lvl>
  </w:abstractNum>
  <w:abstractNum w:abstractNumId="93">
    <w:nsid w:val="53B2564F"/>
    <w:multiLevelType w:val="hybridMultilevel"/>
    <w:lvl w:ilvl="0">
      <w:lvlJc w:val="left"/>
      <w:lvlText w:val="(%1)"/>
      <w:numFmt w:val="lowerLetter"/>
      <w:start w:val="2"/>
    </w:lvl>
  </w:abstractNum>
  <w:abstractNum w:abstractNumId="94">
    <w:nsid w:val="75509D76"/>
    <w:multiLevelType w:val="hybridMultilevel"/>
    <w:lvl w:ilvl="0">
      <w:lvlJc w:val="left"/>
      <w:lvlText w:val="(%1)"/>
      <w:numFmt w:val="lowerRoman"/>
      <w:start w:val="1"/>
    </w:lvl>
  </w:abstractNum>
  <w:abstractNum w:abstractNumId="95">
    <w:nsid w:val="1AF7F0EA"/>
    <w:multiLevelType w:val="hybridMultilevel"/>
    <w:lvl w:ilvl="0">
      <w:lvlJc w:val="left"/>
      <w:lvlText w:val="(%1)"/>
      <w:numFmt w:val="lowerRoman"/>
      <w:start w:val="2"/>
    </w:lvl>
  </w:abstractNum>
  <w:abstractNum w:abstractNumId="96">
    <w:nsid w:val="4DA32C7E"/>
    <w:multiLevelType w:val="hybridMultilevel"/>
    <w:lvl w:ilvl="0">
      <w:lvlJc w:val="left"/>
      <w:lvlText w:val="(%1)"/>
      <w:numFmt w:val="upperLetter"/>
      <w:start w:val="1"/>
    </w:lvl>
  </w:abstractNum>
  <w:abstractNum w:abstractNumId="97">
    <w:nsid w:val="6EC68664"/>
    <w:multiLevelType w:val="hybridMultilevel"/>
    <w:lvl w:ilvl="0">
      <w:lvlJc w:val="left"/>
      <w:lvlText w:val="(%1)"/>
      <w:numFmt w:val="upperLetter"/>
      <w:start w:val="4"/>
    </w:lvl>
  </w:abstractNum>
  <w:abstractNum w:abstractNumId="98">
    <w:nsid w:val="E0D31FF"/>
    <w:multiLevelType w:val="hybridMultilevel"/>
    <w:lvl w:ilvl="0">
      <w:lvlJc w:val="left"/>
      <w:lvlText w:val="(%1)"/>
      <w:numFmt w:val="lowerLetter"/>
      <w:start w:val="2"/>
    </w:lvl>
  </w:abstractNum>
  <w:abstractNum w:abstractNumId="99">
    <w:nsid w:val="2FD0AD81"/>
    <w:multiLevelType w:val="hybridMultilevel"/>
    <w:lvl w:ilvl="0">
      <w:lvlJc w:val="left"/>
      <w:lvlText w:val="(%1)"/>
      <w:numFmt w:val="lowerLetter"/>
      <w:start w:val="3"/>
    </w:lvl>
    <w:lvl w:ilvl="1">
      <w:lvlJc w:val="left"/>
      <w:lvlText w:val="(%2)"/>
      <w:numFmt w:val="lowerRoman"/>
      <w:start w:val="1"/>
    </w:lvl>
  </w:abstractNum>
  <w:abstractNum w:abstractNumId="100">
    <w:nsid w:val="1978EBEB"/>
    <w:multiLevelType w:val="hybridMultilevel"/>
    <w:lvl w:ilvl="0">
      <w:lvlJc w:val="left"/>
      <w:lvlText w:val="(%1)"/>
      <w:numFmt w:val="lowerLetter"/>
      <w:start w:val="2"/>
    </w:lvl>
  </w:abstractNum>
  <w:abstractNum w:abstractNumId="101">
    <w:nsid w:val="52C12C61"/>
    <w:multiLevelType w:val="hybridMultilevel"/>
    <w:lvl w:ilvl="0">
      <w:lvlJc w:val="left"/>
      <w:lvlText w:val="(%1)"/>
      <w:numFmt w:val="lowerLetter"/>
      <w:start w:val="4"/>
    </w:lvl>
  </w:abstractNum>
  <w:abstractNum w:abstractNumId="102">
    <w:nsid w:val="4BDD53FD"/>
    <w:multiLevelType w:val="hybridMultilevel"/>
    <w:lvl w:ilvl="0">
      <w:lvlJc w:val="left"/>
      <w:lvlText w:val="(%1)"/>
      <w:numFmt w:val="lowerLetter"/>
      <w:start w:val="1"/>
    </w:lvl>
  </w:abstractNum>
  <w:abstractNum w:abstractNumId="103">
    <w:nsid w:val="569951FE"/>
    <w:multiLevelType w:val="hybridMultilevel"/>
    <w:lvl w:ilvl="0">
      <w:lvlJc w:val="left"/>
      <w:lvlText w:val="(%1)"/>
      <w:numFmt w:val="lowerLetter"/>
      <w:start w:val="2"/>
    </w:lvl>
  </w:abstractNum>
  <w:abstractNum w:abstractNumId="104">
    <w:nsid w:val="4C54E2C3"/>
    <w:multiLevelType w:val="hybridMultilevel"/>
    <w:lvl w:ilvl="0">
      <w:lvlJc w:val="left"/>
      <w:lvlText w:val="(%1)"/>
      <w:numFmt w:val="lowerLetter"/>
      <w:start w:val="5"/>
    </w:lvl>
  </w:abstractNum>
  <w:abstractNum w:abstractNumId="105">
    <w:nsid w:val="788BD9B"/>
    <w:multiLevelType w:val="hybridMultilevel"/>
    <w:lvl w:ilvl="0">
      <w:lvlJc w:val="left"/>
      <w:lvlText w:val="(%1)"/>
      <w:numFmt w:val="lowerLetter"/>
      <w:start w:val="2"/>
    </w:lvl>
    <w:lvl w:ilvl="1">
      <w:lvlJc w:val="left"/>
      <w:lvlText w:val="(%2)"/>
      <w:numFmt w:val="decimal"/>
      <w:start w:val="1"/>
    </w:lvl>
  </w:abstractNum>
  <w:abstractNum w:abstractNumId="106">
    <w:nsid w:val="47CAA567"/>
    <w:multiLevelType w:val="hybridMultilevel"/>
    <w:lvl w:ilvl="0">
      <w:lvlJc w:val="left"/>
      <w:lvlText w:val="(%1)"/>
      <w:numFmt w:val="lowerLetter"/>
      <w:start w:val="25"/>
    </w:lvl>
  </w:abstractNum>
  <w:abstractNum w:abstractNumId="107">
    <w:nsid w:val="48249DBF"/>
    <w:multiLevelType w:val="hybridMultilevel"/>
    <w:lvl w:ilvl="0">
      <w:lvlJc w:val="left"/>
      <w:lvlText w:val="(%1)"/>
      <w:numFmt w:val="upperLetter"/>
      <w:start w:val="1"/>
    </w:lvl>
  </w:abstractNum>
  <w:abstractNum w:abstractNumId="108">
    <w:nsid w:val="1F0E5D0D"/>
    <w:multiLevelType w:val="hybridMultilevel"/>
    <w:lvl w:ilvl="0">
      <w:lvlJc w:val="left"/>
      <w:lvlText w:val="(%1)"/>
      <w:numFmt w:val="lowerRoman"/>
      <w:start w:val="3"/>
    </w:lvl>
  </w:abstractNum>
  <w:abstractNum w:abstractNumId="109">
    <w:nsid w:val="26BAAE9"/>
    <w:multiLevelType w:val="hybridMultilevel"/>
    <w:lvl w:ilvl="0">
      <w:lvlJc w:val="left"/>
      <w:lvlText w:val="%1"/>
      <w:numFmt w:val="lowerLetter"/>
      <w:start w:val="1"/>
    </w:lvl>
    <w:lvl w:ilvl="1">
      <w:lvlJc w:val="left"/>
      <w:lvlText w:val="(%2)"/>
      <w:numFmt w:val="lowerLetter"/>
      <w:start w:val="22"/>
    </w:lvl>
  </w:abstractNum>
  <w:abstractNum w:abstractNumId="110">
    <w:nsid w:val="2C02FE8C"/>
    <w:multiLevelType w:val="hybridMultilevel"/>
    <w:lvl w:ilvl="0">
      <w:lvlJc w:val="left"/>
      <w:lvlText w:val="(%1)"/>
      <w:numFmt w:val="lowerLetter"/>
      <w:start w:val="3"/>
    </w:lvl>
    <w:lvl w:ilvl="1">
      <w:lvlJc w:val="left"/>
      <w:lvlText w:val="%2"/>
      <w:numFmt w:val="lowerLetter"/>
      <w:start w:val="1"/>
    </w:lvl>
  </w:abstractNum>
  <w:abstractNum w:abstractNumId="111">
    <w:nsid w:val="129517E"/>
    <w:multiLevelType w:val="hybridMultilevel"/>
    <w:lvl w:ilvl="0">
      <w:lvlJc w:val="left"/>
      <w:lvlText w:val="%1"/>
      <w:numFmt w:val="lowerLetter"/>
      <w:start w:val="1"/>
    </w:lvl>
    <w:lvl w:ilvl="1">
      <w:lvlJc w:val="left"/>
      <w:lvlText w:val="(%2)"/>
      <w:numFmt w:val="lowerLetter"/>
      <w:start w:val="35"/>
    </w:lvl>
  </w:abstractNum>
  <w:abstractNum w:abstractNumId="112">
    <w:nsid w:val="763B8C4E"/>
    <w:multiLevelType w:val="hybridMultilevel"/>
    <w:lvl w:ilvl="0">
      <w:lvlJc w:val="left"/>
      <w:lvlText w:val="(%1)"/>
      <w:numFmt w:val="lowerLetter"/>
      <w:start w:val="4"/>
    </w:lvl>
    <w:lvl w:ilvl="1">
      <w:lvlJc w:val="left"/>
      <w:lvlText w:val="%2"/>
      <w:numFmt w:val="lowerLetter"/>
      <w:start w:val="1"/>
    </w:lvl>
  </w:abstractNum>
  <w:abstractNum w:abstractNumId="113">
    <w:nsid w:val="4CFB8D32"/>
    <w:multiLevelType w:val="hybridMultilevel"/>
    <w:lvl w:ilvl="0">
      <w:lvlJc w:val="left"/>
      <w:lvlText w:val="(%1)"/>
      <w:numFmt w:val="lowerLetter"/>
      <w:start w:val="1"/>
    </w:lvl>
  </w:abstractNum>
  <w:abstractNum w:abstractNumId="114">
    <w:nsid w:val="62A5D5BD"/>
    <w:multiLevelType w:val="hybridMultilevel"/>
    <w:lvl w:ilvl="0">
      <w:lvlJc w:val="left"/>
      <w:lvlText w:val="(%1)"/>
      <w:numFmt w:val="lowerLetter"/>
      <w:start w:val="2"/>
    </w:lvl>
  </w:abstractNum>
  <w:abstractNum w:abstractNumId="115">
    <w:nsid w:val="718FABF9"/>
    <w:multiLevelType w:val="hybridMultilevel"/>
    <w:lvl w:ilvl="0">
      <w:lvlJc w:val="left"/>
      <w:lvlText w:val="(%1)"/>
      <w:numFmt w:val="lowerLetter"/>
      <w:start w:val="1"/>
    </w:lvl>
    <w:lvl w:ilvl="1">
      <w:lvlJc w:val="left"/>
      <w:lvlText w:val="(%2)"/>
      <w:numFmt w:val="lowerRoman"/>
      <w:start w:val="1"/>
    </w:lvl>
  </w:abstractNum>
  <w:abstractNum w:abstractNumId="116">
    <w:nsid w:val="7775797C"/>
    <w:multiLevelType w:val="hybridMultilevel"/>
    <w:lvl w:ilvl="0">
      <w:lvlJc w:val="left"/>
      <w:lvlText w:val="(%1)"/>
      <w:numFmt w:val="lowerLetter"/>
      <w:start w:val="3"/>
    </w:lvl>
  </w:abstractNum>
  <w:abstractNum w:abstractNumId="117">
    <w:nsid w:val="1626FB8C"/>
    <w:multiLevelType w:val="hybridMultilevel"/>
    <w:lvl w:ilvl="0">
      <w:lvlJc w:val="left"/>
      <w:lvlText w:val="(%1)"/>
      <w:numFmt w:val="lowerLetter"/>
      <w:start w:val="1"/>
    </w:lvl>
  </w:abstractNum>
  <w:abstractNum w:abstractNumId="118">
    <w:nsid w:val="3957756A"/>
    <w:multiLevelType w:val="hybridMultilevel"/>
    <w:lvl w:ilvl="0">
      <w:lvlJc w:val="left"/>
      <w:lvlText w:val="(%1)"/>
      <w:numFmt w:val="lowerLetter"/>
      <w:start w:val="1"/>
    </w:lvl>
  </w:abstractNum>
  <w:abstractNum w:abstractNumId="119">
    <w:nsid w:val="3E6DA1C7"/>
    <w:multiLevelType w:val="hybridMultilevel"/>
    <w:lvl w:ilvl="0">
      <w:lvlJc w:val="left"/>
      <w:lvlText w:val="(%1)"/>
      <w:numFmt w:val="lowerLetter"/>
      <w:start w:val="3"/>
    </w:lvl>
  </w:abstractNum>
  <w:abstractNum w:abstractNumId="120">
    <w:nsid w:val="65CA235B"/>
    <w:multiLevelType w:val="hybridMultilevel"/>
    <w:lvl w:ilvl="0">
      <w:lvlJc w:val="left"/>
      <w:lvlText w:val="(%1)"/>
      <w:numFmt w:val="lowerLetter"/>
      <w:start w:val="1"/>
    </w:lvl>
  </w:abstractNum>
  <w:abstractNum w:abstractNumId="121">
    <w:nsid w:val="51CB0DA4"/>
    <w:multiLevelType w:val="hybridMultilevel"/>
    <w:lvl w:ilvl="0">
      <w:lvlJc w:val="left"/>
      <w:lvlText w:val="(%1)"/>
      <w:numFmt w:val="lowerRoman"/>
      <w:start w:val="1"/>
    </w:lvl>
  </w:abstractNum>
  <w:abstractNum w:abstractNumId="122">
    <w:nsid w:val="7B9B743C"/>
    <w:multiLevelType w:val="hybridMultilevel"/>
    <w:lvl w:ilvl="0">
      <w:lvlJc w:val="left"/>
      <w:lvlText w:val="(%1)"/>
      <w:numFmt w:val="lowerLetter"/>
      <w:start w:val="1"/>
    </w:lvl>
  </w:abstractNum>
  <w:abstractNum w:abstractNumId="123">
    <w:nsid w:val="13E21002"/>
    <w:multiLevelType w:val="hybridMultilevel"/>
    <w:lvl w:ilvl="0">
      <w:lvlJc w:val="left"/>
      <w:lvlText w:val="(%1)"/>
      <w:numFmt w:val="lowerLetter"/>
      <w:start w:val="1"/>
    </w:lvl>
  </w:abstractNum>
  <w:abstractNum w:abstractNumId="124">
    <w:nsid w:val="257D63F4"/>
    <w:multiLevelType w:val="hybridMultilevel"/>
    <w:lvl w:ilvl="0">
      <w:lvlJc w:val="left"/>
      <w:lvlText w:val="(%1)"/>
      <w:numFmt w:val="lowerLetter"/>
      <w:start w:val="4"/>
    </w:lvl>
  </w:abstractNum>
  <w:abstractNum w:abstractNumId="125">
    <w:nsid w:val="70EC11B2"/>
    <w:multiLevelType w:val="hybridMultilevel"/>
    <w:lvl w:ilvl="0">
      <w:lvlJc w:val="left"/>
      <w:lvlText w:val="(%1)"/>
      <w:numFmt w:val="lowerLetter"/>
      <w:start w:val="1"/>
    </w:lvl>
  </w:abstractNum>
  <w:abstractNum w:abstractNumId="126">
    <w:nsid w:val="2EDA00ED"/>
    <w:multiLevelType w:val="hybridMultilevel"/>
    <w:lvl w:ilvl="0">
      <w:lvlJc w:val="left"/>
      <w:lvlText w:val="(%1)"/>
      <w:numFmt w:val="lowerLetter"/>
      <w:start w:val="1"/>
    </w:lvl>
  </w:abstractNum>
  <w:abstractNum w:abstractNumId="127">
    <w:nsid w:val="73209072"/>
    <w:multiLevelType w:val="hybridMultilevel"/>
    <w:lvl w:ilvl="0">
      <w:lvlJc w:val="left"/>
      <w:lvlText w:val="(%1)"/>
      <w:numFmt w:val="lowerLetter"/>
      <w:start w:val="5"/>
    </w:lvl>
  </w:abstractNum>
  <w:abstractNum w:abstractNumId="128">
    <w:nsid w:val="5FB29816"/>
    <w:multiLevelType w:val="hybridMultilevel"/>
    <w:lvl w:ilvl="0">
      <w:lvlJc w:val="left"/>
      <w:lvlText w:val="(%1)"/>
      <w:numFmt w:val="lowerLetter"/>
      <w:start w:val="2"/>
    </w:lvl>
    <w:lvl w:ilvl="1">
      <w:lvlJc w:val="left"/>
      <w:lvlText w:val="(%2)"/>
      <w:numFmt w:val="lowerLetter"/>
      <w:start w:val="2"/>
    </w:lvl>
  </w:abstractNum>
  <w:abstractNum w:abstractNumId="129">
    <w:nsid w:val="3CE732EC"/>
    <w:multiLevelType w:val="hybridMultilevel"/>
    <w:lvl w:ilvl="0">
      <w:lvlJc w:val="left"/>
      <w:lvlText w:val="%1."/>
      <w:numFmt w:val="decimal"/>
      <w:start w:val="1"/>
    </w:lvl>
  </w:abstractNum>
  <w:abstractNum w:abstractNumId="130">
    <w:nsid w:val="22F13DF3"/>
    <w:multiLevelType w:val="hybridMultilevel"/>
    <w:lvl w:ilvl="0">
      <w:lvlJc w:val="left"/>
      <w:lvlText w:val="%1."/>
      <w:numFmt w:val="decimal"/>
      <w:start w:val="1"/>
    </w:lvl>
  </w:abstractNum>
  <w:abstractNum w:abstractNumId="131">
    <w:nsid w:val="792B8401"/>
    <w:multiLevelType w:val="hybridMultilevel"/>
    <w:lvl w:ilvl="0">
      <w:lvlJc w:val="left"/>
      <w:lvlText w:val="%1."/>
      <w:numFmt w:val="decimal"/>
      <w:start w:val="8"/>
    </w:lvl>
    <w:lvl w:ilvl="1">
      <w:lvlJc w:val="left"/>
      <w:lvlText w:val="(%2)"/>
      <w:numFmt w:val="lowerLetter"/>
      <w:start w:val="1"/>
    </w:lvl>
  </w:abstractNum>
  <w:abstractNum w:abstractNumId="132">
    <w:nsid w:val="FA85F4D"/>
    <w:multiLevelType w:val="hybridMultilevel"/>
    <w:lvl w:ilvl="0">
      <w:lvlJc w:val="left"/>
      <w:lvlText w:val="1"/>
      <w:numFmt w:val="bullet"/>
      <w:start w:val="1"/>
    </w:lvl>
  </w:abstractNum>
  <w:abstractNum w:abstractNumId="133">
    <w:nsid w:val="6ECE91F0"/>
    <w:multiLevelType w:val="hybridMultilevel"/>
    <w:lvl w:ilvl="0">
      <w:lvlJc w:val="left"/>
      <w:lvlText w:val="(%1)"/>
      <w:numFmt w:val="lowerRoman"/>
      <w:start w:val="2"/>
    </w:lvl>
  </w:abstractNum>
  <w:abstractNum w:abstractNumId="134">
    <w:nsid w:val="4FC4D600"/>
    <w:multiLevelType w:val="hybridMultilevel"/>
    <w:lvl w:ilvl="0">
      <w:lvlJc w:val="left"/>
      <w:lvlText w:val="%1."/>
      <w:numFmt w:val="decimal"/>
      <w:start w:val="1"/>
    </w:lvl>
  </w:abstractNum>
  <w:abstractNum w:abstractNumId="135">
    <w:nsid w:val="5BFD4210"/>
    <w:multiLevelType w:val="hybridMultilevel"/>
    <w:lvl w:ilvl="0">
      <w:lvlJc w:val="left"/>
      <w:lvlText w:val="%1."/>
      <w:numFmt w:val="decimal"/>
      <w:start w:val="1"/>
    </w:lvl>
  </w:abstractNum>
  <w:abstractNum w:abstractNumId="136">
    <w:nsid w:val="76574F8B"/>
    <w:multiLevelType w:val="hybridMultilevel"/>
    <w:lvl w:ilvl="0">
      <w:lvlJc w:val="left"/>
      <w:lvlText w:val="1"/>
      <w:numFmt w:val="bullet"/>
      <w:start w:val="1"/>
    </w:lvl>
  </w:abstractNum>
  <w:abstractNum w:abstractNumId="137">
    <w:nsid w:val="178F7B67"/>
    <w:multiLevelType w:val="hybridMultilevel"/>
    <w:lvl w:ilvl="0">
      <w:lvlJc w:val="left"/>
      <w:lvlText w:val="2"/>
      <w:numFmt w:val="bullet"/>
      <w:start w:val="1"/>
    </w:lvl>
  </w:abstractNum>
  <w:abstractNum w:abstractNumId="138">
    <w:nsid w:val="2421DFCF"/>
    <w:multiLevelType w:val="hybridMultilevel"/>
    <w:lvl w:ilvl="0">
      <w:lvlJc w:val="left"/>
      <w:lvlText w:val="%1."/>
      <w:numFmt w:val="decimal"/>
      <w:start w:val="1"/>
    </w:lvl>
  </w:abstractNum>
  <w:abstractNum w:abstractNumId="139">
    <w:nsid w:val="1565AC99"/>
    <w:multiLevelType w:val="hybridMultilevel"/>
    <w:lvl w:ilvl="0">
      <w:lvlJc w:val="left"/>
      <w:lvlText w:val="4"/>
      <w:numFmt w:val="bullet"/>
      <w:start w:val="1"/>
    </w:lvl>
  </w:abstractNum>
  <w:abstractNum w:abstractNumId="140">
    <w:nsid w:val="19FB2650"/>
    <w:multiLevelType w:val="hybridMultilevel"/>
    <w:lvl w:ilvl="0">
      <w:lvlJc w:val="left"/>
      <w:lvlText w:val="%1."/>
      <w:numFmt w:val="decimal"/>
      <w:start w:val="3"/>
    </w:lvl>
  </w:abstractNum>
  <w:abstractNum w:abstractNumId="141">
    <w:nsid w:val="5024DE5B"/>
    <w:multiLevelType w:val="hybridMultilevel"/>
    <w:lvl w:ilvl="0">
      <w:lvlJc w:val="left"/>
      <w:lvlText w:val="%1."/>
      <w:numFmt w:val="decimal"/>
      <w:start w:val="6"/>
    </w:lvl>
  </w:abstractNum>
  <w:abstractNum w:abstractNumId="142">
    <w:nsid w:val="168EFE17"/>
    <w:multiLevelType w:val="hybridMultilevel"/>
    <w:lvl w:ilvl="0">
      <w:lvlJc w:val="left"/>
      <w:lvlText w:val="5"/>
      <w:numFmt w:val="bullet"/>
      <w:start w:val="1"/>
    </w:lvl>
  </w:abstractNum>
  <w:abstractNum w:abstractNumId="143">
    <w:nsid w:val="1036B29F"/>
    <w:multiLevelType w:val="hybridMultilevel"/>
    <w:lvl w:ilvl="0">
      <w:lvlJc w:val="left"/>
      <w:lvlText w:val="6"/>
      <w:numFmt w:val="bullet"/>
      <w:start w:val="1"/>
    </w:lvl>
  </w:abstractNum>
  <w:abstractNum w:abstractNumId="144">
    <w:nsid w:val="1D206B8E"/>
    <w:multiLevelType w:val="hybridMultilevel"/>
    <w:lvl w:ilvl="0">
      <w:lvlJc w:val="left"/>
      <w:lvlText w:val="7"/>
      <w:numFmt w:val="bullet"/>
      <w:start w:val="1"/>
    </w:lvl>
  </w:abstractNum>
  <w:abstractNum w:abstractNumId="145">
    <w:nsid w:val="7934D3D4"/>
    <w:multiLevelType w:val="hybridMultilevel"/>
    <w:lvl w:ilvl="0">
      <w:lvlJc w:val="left"/>
      <w:lvlText w:val="8"/>
      <w:numFmt w:val="bullet"/>
      <w:start w:val="1"/>
    </w:lvl>
  </w:abstractNum>
  <w:abstractNum w:abstractNumId="146">
    <w:nsid w:val="1C65E98"/>
    <w:multiLevelType w:val="hybridMultilevel"/>
    <w:lvl w:ilvl="0">
      <w:lvlJc w:val="left"/>
      <w:lvlText w:val="%1."/>
      <w:numFmt w:val="decimal"/>
      <w:start w:val="1"/>
    </w:lvl>
  </w:abstractNum>
  <w:abstractNum w:abstractNumId="147">
    <w:nsid w:val="1495E50A"/>
    <w:multiLevelType w:val="hybridMultilevel"/>
    <w:lvl w:ilvl="0">
      <w:lvlJc w:val="left"/>
      <w:lvlText w:val="(%1)"/>
      <w:numFmt w:val="lowerRoman"/>
      <w:start w:val="2"/>
    </w:lvl>
  </w:abstractNum>
  <w:abstractNum w:abstractNumId="148">
    <w:nsid w:val="F5BCF61"/>
    <w:multiLevelType w:val="hybridMultilevel"/>
    <w:lvl w:ilvl="0">
      <w:lvlJc w:val="left"/>
      <w:lvlText w:val="%1."/>
      <w:numFmt w:val="decimal"/>
      <w:start w:val="2"/>
    </w:lvl>
  </w:abstractNum>
  <w:abstractNum w:abstractNumId="149">
    <w:nsid w:val="3B1DD403"/>
    <w:multiLevelType w:val="hybridMultilevel"/>
    <w:lvl w:ilvl="0">
      <w:lvlJc w:val="left"/>
      <w:lvlText w:val="%1."/>
      <w:numFmt w:val="decimal"/>
      <w:start w:val="1"/>
    </w:lvl>
  </w:abstractNum>
  <w:abstractNum w:abstractNumId="150">
    <w:nsid w:val="530386D1"/>
    <w:multiLevelType w:val="hybridMultilevel"/>
    <w:lvl w:ilvl="0">
      <w:lvlJc w:val="left"/>
      <w:lvlText w:val="(%1)"/>
      <w:numFmt w:val="lowerRoman"/>
      <w:start w:val="2"/>
    </w:lvl>
  </w:abstractNum>
  <w:abstractNum w:abstractNumId="151">
    <w:nsid w:val="7525F2BC"/>
    <w:multiLevelType w:val="hybridMultilevel"/>
    <w:lvl w:ilvl="0">
      <w:lvlJc w:val="left"/>
      <w:lvlText w:val="%1"/>
      <w:numFmt w:val="decimal"/>
      <w:start w:val="1"/>
    </w:lvl>
    <w:lvl w:ilvl="1">
      <w:lvlJc w:val="left"/>
      <w:lvlText w:val="%2."/>
      <w:numFmt w:val="decimal"/>
      <w:start w:val="1"/>
    </w:lvl>
  </w:abstractNum>
  <w:abstractNum w:abstractNumId="152">
    <w:nsid w:val="CE8E1A7"/>
    <w:multiLevelType w:val="hybridMultilevel"/>
    <w:lvl w:ilvl="0">
      <w:lvlJc w:val="left"/>
      <w:lvlText w:val="(%1)"/>
      <w:numFmt w:val="upperLetter"/>
      <w:start w:val="1"/>
    </w:lvl>
  </w:abstractNum>
  <w:abstractNum w:abstractNumId="153">
    <w:nsid w:val="4E9EFB0D"/>
    <w:multiLevelType w:val="hybridMultilevel"/>
    <w:lvl w:ilvl="0">
      <w:lvlJc w:val="left"/>
      <w:lvlText w:val="(%1)"/>
      <w:numFmt w:val="upperLetter"/>
      <w:start w:val="2"/>
    </w:lvl>
  </w:abstractNum>
  <w:abstractNum w:abstractNumId="154">
    <w:nsid w:val="90802BE"/>
    <w:multiLevelType w:val="hybridMultilevel"/>
    <w:lvl w:ilvl="0">
      <w:lvlJc w:val="left"/>
      <w:lvlText w:val="(%1)"/>
      <w:numFmt w:val="upperLetter"/>
      <w:start w:val="3"/>
    </w:lvl>
  </w:abstractNum>
  <w:abstractNum w:abstractNumId="155">
    <w:nsid w:val="3266459B"/>
    <w:multiLevelType w:val="hybridMultilevel"/>
    <w:lvl w:ilvl="0">
      <w:lvlJc w:val="left"/>
      <w:lvlText w:val="(%1)"/>
      <w:numFmt w:val="upperLetter"/>
      <w:start w:val="4"/>
    </w:lvl>
  </w:abstractNum>
  <w:abstractNum w:abstractNumId="156">
    <w:nsid w:val="3F8B0CBF"/>
    <w:multiLevelType w:val="hybridMultilevel"/>
    <w:lvl w:ilvl="0">
      <w:lvlJc w:val="left"/>
      <w:lvlText w:val="(%1)"/>
      <w:numFmt w:val="upperLetter"/>
      <w:start w:val="5"/>
    </w:lvl>
  </w:abstractNum>
  <w:abstractNum w:abstractNumId="157">
    <w:nsid w:val="37E203AB"/>
    <w:multiLevelType w:val="hybridMultilevel"/>
    <w:lvl w:ilvl="0">
      <w:lvlJc w:val="left"/>
      <w:lvlText w:val="1"/>
      <w:numFmt w:val="bullet"/>
      <w:start w:val="1"/>
    </w:lvl>
  </w:abstractNum>
  <w:abstractNum w:abstractNumId="158">
    <w:nsid w:val="2586D60E"/>
    <w:multiLevelType w:val="hybridMultilevel"/>
    <w:lvl w:ilvl="0">
      <w:lvlJc w:val="left"/>
      <w:lvlText w:val="(%1)"/>
      <w:numFmt w:val="upperLetter"/>
      <w:start w:val="1"/>
    </w:lvl>
  </w:abstractNum>
  <w:abstractNum w:abstractNumId="159">
    <w:nsid w:val="1F3DA4D5"/>
    <w:multiLevelType w:val="hybridMultilevel"/>
    <w:lvl w:ilvl="0">
      <w:lvlJc w:val="left"/>
      <w:lvlText w:val="(%1)"/>
      <w:numFmt w:val="upperLetter"/>
      <w:start w:val="5"/>
    </w:lvl>
  </w:abstractNum>
  <w:abstractNum w:abstractNumId="160">
    <w:nsid w:val="74C93698"/>
    <w:multiLevelType w:val="hybridMultilevel"/>
    <w:lvl w:ilvl="0">
      <w:lvlJc w:val="left"/>
      <w:lvlText w:val="1"/>
      <w:numFmt w:val="bullet"/>
      <w:start w:val="1"/>
    </w:lvl>
  </w:abstractNum>
  <w:abstractNum w:abstractNumId="161">
    <w:nsid w:val="48781401"/>
    <w:multiLevelType w:val="hybridMultilevel"/>
    <w:lvl w:ilvl="0">
      <w:lvlJc w:val="left"/>
      <w:lvlText w:val="1"/>
      <w:numFmt w:val="bullet"/>
      <w:start w:val="1"/>
    </w:lvl>
  </w:abstractNum>
  <w:abstractNum w:abstractNumId="162">
    <w:nsid w:val="186928D6"/>
    <w:multiLevelType w:val="hybridMultilevel"/>
    <w:lvl w:ilvl="0">
      <w:lvlJc w:val="left"/>
      <w:lvlText w:val="2"/>
      <w:numFmt w:val="bullet"/>
      <w:start w:val="1"/>
    </w:lvl>
  </w:abstractNum>
  <w:abstractNum w:abstractNumId="163">
    <w:nsid w:val="47195E5"/>
    <w:multiLevelType w:val="hybridMultilevel"/>
    <w:lvl w:ilvl="0">
      <w:lvlJc w:val="left"/>
      <w:lvlText w:val="3"/>
      <w:numFmt w:val="bullet"/>
      <w:start w:val="1"/>
    </w:lvl>
  </w:abstractNum>
  <w:abstractNum w:abstractNumId="164">
    <w:nsid w:val="3746A5F2"/>
    <w:multiLevelType w:val="hybridMultilevel"/>
    <w:lvl w:ilvl="0">
      <w:lvlJc w:val="left"/>
      <w:lvlText w:val="4"/>
      <w:numFmt w:val="bullet"/>
      <w:start w:val="1"/>
    </w:lvl>
  </w:abstractNum>
  <w:abstractNum w:abstractNumId="165">
    <w:nsid w:val="682DFED6"/>
    <w:multiLevelType w:val="hybridMultilevel"/>
    <w:lvl w:ilvl="0">
      <w:lvlJc w:val="left"/>
      <w:lvlText w:val="5"/>
      <w:numFmt w:val="bullet"/>
      <w:start w:val="1"/>
    </w:lvl>
  </w:abstractNum>
  <w:abstractNum w:abstractNumId="166">
    <w:nsid w:val="606ED7F6"/>
    <w:multiLevelType w:val="hybridMultilevel"/>
    <w:lvl w:ilvl="0">
      <w:lvlJc w:val="left"/>
      <w:lvlText w:val="6"/>
      <w:numFmt w:val="bullet"/>
      <w:start w:val="1"/>
    </w:lvl>
  </w:abstractNum>
  <w:abstractNum w:abstractNumId="167">
    <w:nsid w:val="2D9DF57D"/>
    <w:multiLevelType w:val="hybridMultilevel"/>
    <w:lvl w:ilvl="0">
      <w:lvlJc w:val="left"/>
      <w:lvlText w:val="(%1)"/>
      <w:numFmt w:val="upperLetter"/>
      <w:start w:val="5"/>
    </w:lvl>
  </w:abstractNum>
  <w:abstractNum w:abstractNumId="168">
    <w:nsid w:val="7FBD7A3E"/>
    <w:multiLevelType w:val="hybridMultilevel"/>
    <w:lvl w:ilvl="0">
      <w:lvlJc w:val="left"/>
      <w:lvlText w:val="7"/>
      <w:numFmt w:val="bullet"/>
      <w:start w:val="1"/>
    </w:lvl>
  </w:abstractNum>
  <w:abstractNum w:abstractNumId="169">
    <w:nsid w:val="490B7C5"/>
    <w:multiLevelType w:val="hybridMultilevel"/>
    <w:lvl w:ilvl="0">
      <w:lvlJc w:val="left"/>
      <w:lvlText w:val="8"/>
      <w:numFmt w:val="bullet"/>
      <w:start w:val="1"/>
    </w:lvl>
  </w:abstractNum>
  <w:abstractNum w:abstractNumId="170">
    <w:nsid w:val="4303A216"/>
    <w:multiLevelType w:val="hybridMultilevel"/>
    <w:lvl w:ilvl="0">
      <w:lvlJc w:val="left"/>
      <w:lvlText w:val="9"/>
      <w:numFmt w:val="bullet"/>
      <w:start w:val="1"/>
    </w:lvl>
  </w:abstractNum>
  <w:abstractNum w:abstractNumId="171">
    <w:nsid w:val="19B8A08E"/>
    <w:multiLevelType w:val="hybridMultilevel"/>
    <w:lvl w:ilvl="0">
      <w:lvlJc w:val="left"/>
      <w:lvlText w:val="%1"/>
      <w:numFmt w:val="decimal"/>
      <w:start w:val="10"/>
    </w:lvl>
  </w:abstractNum>
  <w:abstractNum w:abstractNumId="172">
    <w:nsid w:val="54B59621"/>
    <w:multiLevelType w:val="hybridMultilevel"/>
    <w:lvl w:ilvl="0">
      <w:lvlJc w:val="left"/>
      <w:lvlText w:val="(%1)"/>
      <w:numFmt w:val="decimal"/>
      <w:start w:val="1"/>
    </w:lvl>
  </w:abstractNum>
  <w:abstractNum w:abstractNumId="173">
    <w:nsid w:val="5992A02E"/>
    <w:multiLevelType w:val="hybridMultilevel"/>
    <w:lvl w:ilvl="0">
      <w:lvlJc w:val="left"/>
      <w:lvlText w:val="(%1)"/>
      <w:numFmt w:val="decimal"/>
      <w:start w:val="1"/>
    </w:lvl>
  </w:abstractNum>
  <w:abstractNum w:abstractNumId="174">
    <w:nsid w:val="29EF532D"/>
    <w:multiLevelType w:val="hybridMultilevel"/>
    <w:lvl w:ilvl="0">
      <w:lvlJc w:val="left"/>
      <w:lvlText w:val="(%1)"/>
      <w:numFmt w:val="decimal"/>
      <w:start w:val="3"/>
    </w:lvl>
  </w:abstractNum>
  <w:abstractNum w:abstractNumId="175">
    <w:nsid w:val="71D601AF"/>
    <w:multiLevelType w:val="hybridMultilevel"/>
    <w:lvl w:ilvl="0">
      <w:lvlJc w:val="left"/>
      <w:lvlText w:val="(%1)"/>
      <w:numFmt w:val="lowerRoman"/>
      <w:start w:val="1"/>
    </w:lvl>
  </w:abstractNum>
  <w:abstractNum w:abstractNumId="176">
    <w:nsid w:val="52C77402"/>
    <w:multiLevelType w:val="hybridMultilevel"/>
    <w:lvl w:ilvl="0">
      <w:lvlJc w:val="left"/>
      <w:lvlText w:val="(%1)"/>
      <w:numFmt w:val="lowerLetter"/>
      <w:start w:val="2"/>
    </w:lvl>
  </w:abstractNum>
  <w:abstractNum w:abstractNumId="177">
    <w:nsid w:val="2BB5B1C6"/>
    <w:multiLevelType w:val="hybridMultilevel"/>
    <w:lvl w:ilvl="0">
      <w:lvlJc w:val="left"/>
      <w:lvlText w:val="(%1)"/>
      <w:numFmt w:val="lowerRoman"/>
      <w:start w:val="6"/>
    </w:lvl>
  </w:abstractNum>
  <w:abstractNum w:abstractNumId="178">
    <w:nsid w:val="66BE6B9"/>
    <w:multiLevelType w:val="hybridMultilevel"/>
    <w:lvl w:ilvl="0">
      <w:lvlJc w:val="left"/>
      <w:lvlText w:val="(%1)"/>
      <w:numFmt w:val="lowerLetter"/>
      <w:start w:val="9"/>
    </w:lvl>
  </w:abstractNum>
  <w:abstractNum w:abstractNumId="179">
    <w:nsid w:val="62234363"/>
    <w:multiLevelType w:val="hybridMultilevel"/>
    <w:lvl w:ilvl="0">
      <w:lvlJc w:val="left"/>
      <w:lvlText w:val="(%1)"/>
      <w:numFmt w:val="lowerLetter"/>
      <w:start w:val="4"/>
    </w:lvl>
  </w:abstractNum>
  <w:abstractNum w:abstractNumId="180">
    <w:nsid w:val="66D385C9"/>
    <w:multiLevelType w:val="hybridMultilevel"/>
    <w:lvl w:ilvl="0">
      <w:lvlJc w:val="left"/>
      <w:lvlText w:val="(%1)"/>
      <w:numFmt w:val="lowerLetter"/>
      <w:start w:val="1"/>
    </w:lvl>
  </w:abstractNum>
  <w:abstractNum w:abstractNumId="181">
    <w:nsid w:val="596F6D8A"/>
    <w:multiLevelType w:val="hybridMultilevel"/>
    <w:lvl w:ilvl="0">
      <w:lvlJc w:val="left"/>
      <w:lvlText w:val="(%1)"/>
      <w:numFmt w:val="lowerLetter"/>
      <w:start w:val="6"/>
    </w:lvl>
  </w:abstractNum>
  <w:abstractNum w:abstractNumId="182">
    <w:nsid w:val="5749361F"/>
    <w:multiLevelType w:val="hybridMultilevel"/>
    <w:lvl w:ilvl="0">
      <w:lvlJc w:val="left"/>
      <w:lvlText w:val="(%1)"/>
      <w:numFmt w:val="upperLetter"/>
      <w:start w:val="1"/>
    </w:lvl>
  </w:abstractNum>
  <w:abstractNum w:abstractNumId="183">
    <w:nsid w:val="73BC6770"/>
    <w:multiLevelType w:val="hybridMultilevel"/>
    <w:lvl w:ilvl="0">
      <w:lvlJc w:val="left"/>
      <w:lvlText w:val="(%1)"/>
      <w:numFmt w:val="lowerLetter"/>
      <w:start w:val="2"/>
    </w:lvl>
  </w:abstractNum>
  <w:abstractNum w:abstractNumId="184">
    <w:nsid w:val="280E6897"/>
    <w:multiLevelType w:val="hybridMultilevel"/>
    <w:lvl w:ilvl="0">
      <w:lvlJc w:val="left"/>
      <w:lvlText w:val="(%1)"/>
      <w:numFmt w:val="lowerLetter"/>
      <w:start w:val="1"/>
    </w:lvl>
  </w:abstractNum>
  <w:abstractNum w:abstractNumId="185">
    <w:nsid w:val="605138DE"/>
    <w:multiLevelType w:val="hybridMultilevel"/>
    <w:lvl w:ilvl="0">
      <w:lvlJc w:val="left"/>
      <w:lvlText w:val="(%1)"/>
      <w:numFmt w:val="lowerLetter"/>
      <w:start w:val="5"/>
    </w:lvl>
  </w:abstractNum>
  <w:abstractNum w:abstractNumId="186">
    <w:nsid w:val="2622AD0C"/>
    <w:multiLevelType w:val="hybridMultilevel"/>
    <w:lvl w:ilvl="0">
      <w:lvlJc w:val="left"/>
      <w:lvlText w:val="%1"/>
      <w:numFmt w:val="lowerRoman"/>
      <w:start w:val="1"/>
    </w:lvl>
    <w:lvl w:ilvl="1">
      <w:lvlJc w:val="left"/>
      <w:lvlText w:val="(%2)"/>
      <w:numFmt w:val="lowerLetter"/>
      <w:start w:val="12"/>
    </w:lvl>
  </w:abstractNum>
  <w:abstractNum w:abstractNumId="187">
    <w:nsid w:val="67997556"/>
    <w:multiLevelType w:val="hybridMultilevel"/>
    <w:lvl w:ilvl="0">
      <w:lvlJc w:val="left"/>
      <w:lvlText w:val="(%1)"/>
      <w:numFmt w:val="lowerRoman"/>
      <w:start w:val="8"/>
    </w:lvl>
    <w:lvl w:ilvl="1">
      <w:lvlJc w:val="left"/>
      <w:lvlText w:val="(%2)"/>
      <w:numFmt w:val="lowerLetter"/>
      <w:start w:val="18"/>
    </w:lvl>
  </w:abstractNum>
  <w:abstractNum w:abstractNumId="188">
    <w:nsid w:val="18333C89"/>
    <w:multiLevelType w:val="hybridMultilevel"/>
    <w:lvl w:ilvl="0">
      <w:lvlJc w:val="left"/>
      <w:lvlText w:val="(%1)"/>
      <w:numFmt w:val="lowerLetter"/>
      <w:start w:val="23"/>
    </w:lvl>
  </w:abstractNum>
  <w:abstractNum w:abstractNumId="189">
    <w:nsid w:val="4BA9831A"/>
    <w:multiLevelType w:val="hybridMultilevel"/>
    <w:lvl w:ilvl="0">
      <w:lvlJc w:val="left"/>
      <w:lvlText w:val="(%1)"/>
      <w:numFmt w:val="lowerRoman"/>
      <w:start w:val="2"/>
    </w:lvl>
  </w:abstractNum>
  <w:abstractNum w:abstractNumId="190">
    <w:nsid w:val="6D71A2B"/>
    <w:multiLevelType w:val="hybridMultilevel"/>
    <w:lvl w:ilvl="0">
      <w:lvlJc w:val="left"/>
      <w:lvlText w:val="%1"/>
      <w:numFmt w:val="lowerLetter"/>
      <w:start w:val="1"/>
    </w:lvl>
    <w:lvl w:ilvl="1">
      <w:lvlJc w:val="left"/>
      <w:lvlText w:val="(%2)"/>
      <w:numFmt w:val="lowerLetter"/>
      <w:start w:val="2"/>
    </w:lvl>
  </w:abstractNum>
  <w:abstractNum w:abstractNumId="191">
    <w:nsid w:val="CFC7321"/>
    <w:multiLevelType w:val="hybridMultilevel"/>
    <w:lvl w:ilvl="0">
      <w:lvlJc w:val="left"/>
      <w:lvlText w:val="(%1)"/>
      <w:numFmt w:val="lowerLetter"/>
      <w:start w:val="9"/>
    </w:lvl>
    <w:lvl w:ilvl="1">
      <w:lvlJc w:val="left"/>
      <w:lvlText w:val="%2"/>
      <w:numFmt w:val="lowerLetter"/>
      <w:start w:val="1"/>
    </w:lvl>
  </w:abstractNum>
  <w:abstractNum w:abstractNumId="192">
    <w:nsid w:val="1421971B"/>
    <w:multiLevelType w:val="hybridMultilevel"/>
    <w:lvl w:ilvl="0">
      <w:lvlJc w:val="left"/>
      <w:lvlText w:val="(%1)"/>
      <w:numFmt w:val="lowerLetter"/>
      <w:start w:val="3"/>
    </w:lvl>
  </w:abstractNum>
  <w:abstractNum w:abstractNumId="193">
    <w:nsid w:val="1F404301"/>
    <w:multiLevelType w:val="hybridMultilevel"/>
    <w:lvl w:ilvl="0">
      <w:lvlJc w:val="left"/>
      <w:lvlText w:val="(%1)"/>
      <w:numFmt w:val="lowerLetter"/>
      <w:start w:val="1"/>
    </w:lvl>
  </w:abstractNum>
  <w:abstractNum w:abstractNumId="194">
    <w:nsid w:val="116E0907"/>
    <w:multiLevelType w:val="hybridMultilevel"/>
    <w:lvl w:ilvl="0">
      <w:lvlJc w:val="left"/>
      <w:lvlText w:val="(%1)"/>
      <w:numFmt w:val="lowerLetter"/>
      <w:start w:val="9"/>
    </w:lvl>
    <w:lvl w:ilvl="1">
      <w:lvlJc w:val="left"/>
      <w:lvlText w:val="(%2)"/>
      <w:numFmt w:val="lowerLetter"/>
      <w:start w:val="2"/>
    </w:lvl>
  </w:abstractNum>
  <w:abstractNum w:abstractNumId="195">
    <w:nsid w:val="4B683D0D"/>
    <w:multiLevelType w:val="hybridMultilevel"/>
    <w:lvl w:ilvl="0">
      <w:lvlJc w:val="left"/>
      <w:lvlText w:val="(%1)"/>
      <w:numFmt w:val="lowerRoman"/>
      <w:start w:val="2"/>
    </w:lvl>
  </w:abstractNum>
  <w:abstractNum w:abstractNumId="196">
    <w:nsid w:val="76E41D8"/>
    <w:multiLevelType w:val="hybridMultilevel"/>
    <w:lvl w:ilvl="0">
      <w:lvlJc w:val="left"/>
      <w:lvlText w:val="(%1)"/>
      <w:numFmt w:val="lowerLetter"/>
      <w:start w:val="61"/>
    </w:lvl>
    <w:lvl w:ilvl="1">
      <w:lvlJc w:val="left"/>
      <w:lvlText w:val="(%2)"/>
      <w:numFmt w:val="lowerLetter"/>
      <w:start w:val="2"/>
    </w:lvl>
  </w:abstractNum>
  <w:abstractNum w:abstractNumId="197">
    <w:nsid w:val="71DCE0FD"/>
    <w:multiLevelType w:val="hybridMultilevel"/>
    <w:lvl w:ilvl="0">
      <w:lvlJc w:val="left"/>
      <w:lvlText w:val="(%1)"/>
      <w:numFmt w:val="lowerLetter"/>
      <w:start w:val="2"/>
    </w:lvl>
  </w:abstractNum>
  <w:abstractNum w:abstractNumId="198">
    <w:nsid w:val="7906328B"/>
    <w:multiLevelType w:val="hybridMultilevel"/>
    <w:lvl w:ilvl="0">
      <w:lvlJc w:val="left"/>
      <w:lvlText w:val="(%1)"/>
      <w:numFmt w:val="lowerRoman"/>
      <w:start w:val="1"/>
    </w:lvl>
  </w:abstractNum>
  <w:abstractNum w:abstractNumId="199">
    <w:nsid w:val="72BBC16"/>
    <w:multiLevelType w:val="hybridMultilevel"/>
    <w:lvl w:ilvl="0">
      <w:lvlJc w:val="left"/>
      <w:lvlText w:val="(%1)"/>
      <w:numFmt w:val="lowerLetter"/>
      <w:start w:val="2"/>
    </w:lvl>
  </w:abstractNum>
  <w:abstractNum w:abstractNumId="200">
    <w:nsid w:val="766D98C2"/>
    <w:multiLevelType w:val="hybridMultilevel"/>
    <w:lvl w:ilvl="0">
      <w:lvlJc w:val="left"/>
      <w:lvlText w:val="(%1)"/>
      <w:numFmt w:val="lowerLetter"/>
      <w:start w:val="1"/>
    </w:lvl>
  </w:abstractNum>
  <w:abstractNum w:abstractNumId="201">
    <w:nsid w:val="3C09D4A1"/>
    <w:multiLevelType w:val="hybridMultilevel"/>
    <w:lvl w:ilvl="0">
      <w:lvlJc w:val="left"/>
      <w:lvlText w:val="%1"/>
      <w:numFmt w:val="upperLetter"/>
      <w:start w:val="1"/>
    </w:lvl>
    <w:lvl w:ilvl="1">
      <w:lvlJc w:val="left"/>
      <w:lvlText w:val="(%2)"/>
      <w:numFmt w:val="lowerLetter"/>
      <w:start w:val="2"/>
    </w:lvl>
  </w:abstractNum>
  <w:abstractNum w:abstractNumId="202">
    <w:nsid w:val="20E45CA4"/>
    <w:multiLevelType w:val="hybridMultilevel"/>
    <w:lvl w:ilvl="0">
      <w:lvlJc w:val="left"/>
      <w:lvlText w:val="(%1)"/>
      <w:numFmt w:val="upperLetter"/>
      <w:start w:val="1"/>
    </w:lvl>
    <w:lvl w:ilvl="1">
      <w:lvlJc w:val="left"/>
      <w:lvlText w:val="%2"/>
      <w:numFmt w:val="lowerLetter"/>
      <w:start w:val="1"/>
    </w:lvl>
  </w:abstractNum>
  <w:abstractNum w:abstractNumId="203">
    <w:nsid w:val="4B232EE3"/>
    <w:multiLevelType w:val="hybridMultilevel"/>
    <w:lvl w:ilvl="0">
      <w:lvlJc w:val="left"/>
      <w:lvlText w:val="(%1)"/>
      <w:numFmt w:val="lowerLetter"/>
      <w:start w:val="4"/>
    </w:lvl>
  </w:abstractNum>
  <w:abstractNum w:abstractNumId="204">
    <w:nsid w:val="159C74CF"/>
    <w:multiLevelType w:val="hybridMultilevel"/>
    <w:lvl w:ilvl="0">
      <w:lvlJc w:val="left"/>
      <w:lvlText w:val="(%1)"/>
      <w:numFmt w:val="lowerLetter"/>
      <w:start w:val="2"/>
    </w:lvl>
  </w:abstractNum>
  <w:abstractNum w:abstractNumId="205">
    <w:nsid w:val="4AD3AFD2"/>
    <w:multiLevelType w:val="hybridMultilevel"/>
    <w:lvl w:ilvl="0">
      <w:lvlJc w:val="left"/>
      <w:lvlText w:val="(%1)"/>
      <w:numFmt w:val="lowerLetter"/>
      <w:start w:val="2"/>
    </w:lvl>
  </w:abstractNum>
  <w:abstractNum w:abstractNumId="206">
    <w:nsid w:val="3CF93092"/>
    <w:multiLevelType w:val="hybridMultilevel"/>
    <w:lvl w:ilvl="0">
      <w:lvlJc w:val="left"/>
      <w:lvlText w:val="(%1)"/>
      <w:numFmt w:val="lowerLetter"/>
      <w:start w:val="2"/>
    </w:lvl>
  </w:abstractNum>
  <w:abstractNum w:abstractNumId="207">
    <w:nsid w:val="6863E8D2"/>
    <w:multiLevelType w:val="hybridMultilevel"/>
    <w:lvl w:ilvl="0">
      <w:lvlJc w:val="left"/>
      <w:lvlText w:val="(%1)"/>
      <w:numFmt w:val="lowerLetter"/>
      <w:start w:val="4"/>
    </w:lvl>
  </w:abstractNum>
  <w:abstractNum w:abstractNumId="208">
    <w:nsid w:val="76896198"/>
    <w:multiLevelType w:val="hybridMultilevel"/>
    <w:lvl w:ilvl="0">
      <w:lvlJc w:val="left"/>
      <w:lvlText w:val="(%1)"/>
      <w:numFmt w:val="lowerLetter"/>
      <w:start w:val="2"/>
    </w:lvl>
  </w:abstractNum>
  <w:abstractNum w:abstractNumId="209">
    <w:nsid w:val="4365174B"/>
    <w:multiLevelType w:val="hybridMultilevel"/>
    <w:lvl w:ilvl="0">
      <w:lvlJc w:val="left"/>
      <w:lvlText w:val="(%1)"/>
      <w:numFmt w:val="lowerRoman"/>
      <w:start w:val="1"/>
    </w:lvl>
  </w:abstractNum>
  <w:abstractNum w:abstractNumId="210">
    <w:nsid w:val="4A872C35"/>
    <w:multiLevelType w:val="hybridMultilevel"/>
    <w:lvl w:ilvl="0">
      <w:lvlJc w:val="left"/>
      <w:lvlText w:val="(%1)"/>
      <w:numFmt w:val="lowerRoman"/>
      <w:start w:val="2"/>
    </w:lvl>
  </w:abstractNum>
  <w:abstractNum w:abstractNumId="211">
    <w:nsid w:val="5D5CE761"/>
    <w:multiLevelType w:val="hybridMultilevel"/>
    <w:lvl w:ilvl="0">
      <w:lvlJc w:val="left"/>
      <w:lvlText w:val="(%1)"/>
      <w:numFmt w:val="upperLetter"/>
      <w:start w:val="1"/>
    </w:lvl>
  </w:abstractNum>
  <w:abstractNum w:abstractNumId="212">
    <w:nsid w:val="1CD484D5"/>
    <w:multiLevelType w:val="hybridMultilevel"/>
    <w:lvl w:ilvl="0">
      <w:lvlJc w:val="left"/>
      <w:lvlText w:val="%1"/>
      <w:numFmt w:val="lowerLetter"/>
      <w:start w:val="1"/>
    </w:lvl>
    <w:lvl w:ilvl="1">
      <w:lvlJc w:val="left"/>
      <w:lvlText w:val="(%2)"/>
      <w:numFmt w:val="lowerLetter"/>
      <w:start w:val="2"/>
    </w:lvl>
  </w:abstractNum>
  <w:abstractNum w:abstractNumId="213">
    <w:nsid w:val="21D06255"/>
    <w:multiLevelType w:val="hybridMultilevel"/>
    <w:lvl w:ilvl="0">
      <w:lvlJc w:val="left"/>
      <w:lvlText w:val="(%1)"/>
      <w:numFmt w:val="lowerLetter"/>
      <w:start w:val="35"/>
    </w:lvl>
    <w:lvl w:ilvl="1">
      <w:lvlJc w:val="left"/>
      <w:lvlText w:val="(%2)"/>
      <w:numFmt w:val="lowerLetter"/>
      <w:start w:val="5"/>
    </w:lvl>
  </w:abstractNum>
  <w:abstractNum w:abstractNumId="214">
    <w:nsid w:val="51194ED1"/>
    <w:multiLevelType w:val="hybridMultilevel"/>
    <w:lvl w:ilvl="0">
      <w:lvlJc w:val="left"/>
      <w:lvlText w:val="%1"/>
      <w:numFmt w:val="decimal"/>
      <w:start w:val="1"/>
    </w:lvl>
    <w:lvl w:ilvl="1">
      <w:lvlJc w:val="left"/>
      <w:lvlText w:val="(%2)"/>
      <w:numFmt w:val="lowerLetter"/>
      <w:start w:val="6"/>
    </w:lvl>
  </w:abstractNum>
  <w:abstractNum w:abstractNumId="215">
    <w:nsid w:val="44E2ED6C"/>
    <w:multiLevelType w:val="hybridMultilevel"/>
    <w:lvl w:ilvl="0">
      <w:lvlJc w:val="left"/>
      <w:lvlText w:val="(%1)"/>
      <w:numFmt w:val="decimal"/>
      <w:start w:val="2"/>
    </w:lvl>
    <w:lvl w:ilvl="1">
      <w:lvlJc w:val="left"/>
      <w:lvlText w:val="%2"/>
      <w:numFmt w:val="lowerLetter"/>
      <w:start w:val="1"/>
    </w:lvl>
  </w:abstractNum>
  <w:abstractNum w:abstractNumId="216">
    <w:nsid w:val="2219B33"/>
    <w:multiLevelType w:val="hybridMultilevel"/>
    <w:lvl w:ilvl="0">
      <w:lvlJc w:val="left"/>
      <w:lvlText w:val="(%1)"/>
      <w:numFmt w:val="upperLetter"/>
      <w:start w:val="2"/>
    </w:lvl>
  </w:abstractNum>
  <w:abstractNum w:abstractNumId="217">
    <w:nsid w:val="773BFBDD"/>
    <w:multiLevelType w:val="hybridMultilevel"/>
    <w:lvl w:ilvl="0">
      <w:lvlJc w:val="left"/>
      <w:lvlText w:val="(%1)"/>
      <w:numFmt w:val="lowerLetter"/>
      <w:start w:val="2"/>
    </w:lvl>
  </w:abstractNum>
  <w:abstractNum w:abstractNumId="218">
    <w:nsid w:val="2C7C62C2"/>
    <w:multiLevelType w:val="hybridMultilevel"/>
    <w:lvl w:ilvl="0">
      <w:lvlJc w:val="left"/>
      <w:lvlText w:val="(%1)"/>
      <w:numFmt w:val="lowerLetter"/>
      <w:start w:val="3"/>
    </w:lvl>
  </w:abstractNum>
  <w:abstractNum w:abstractNumId="219">
    <w:nsid w:val="1A54D7BC"/>
    <w:multiLevelType w:val="hybridMultilevel"/>
    <w:lvl w:ilvl="0">
      <w:lvlJc w:val="left"/>
      <w:lvlText w:val="(%1)"/>
      <w:numFmt w:val="lowerLetter"/>
      <w:start w:val="6"/>
    </w:lvl>
  </w:abstractNum>
  <w:abstractNum w:abstractNumId="220">
    <w:nsid w:val="42E57EF7"/>
    <w:multiLevelType w:val="hybridMultilevel"/>
    <w:lvl w:ilvl="0">
      <w:lvlJc w:val="left"/>
      <w:lvlText w:val="(%1)"/>
      <w:numFmt w:val="lowerLetter"/>
      <w:start w:val="1"/>
    </w:lvl>
    <w:lvl w:ilvl="1">
      <w:lvlJc w:val="left"/>
      <w:lvlText w:val="(%2)"/>
      <w:numFmt w:val="lowerRoman"/>
      <w:start w:val="1"/>
    </w:lvl>
  </w:abstractNum>
  <w:abstractNum w:abstractNumId="221">
    <w:nsid w:val="33537CED"/>
    <w:multiLevelType w:val="hybridMultilevel"/>
    <w:lvl w:ilvl="0">
      <w:lvlJc w:val="left"/>
      <w:lvlText w:val="(%1)"/>
      <w:numFmt w:val="lowerLetter"/>
      <w:start w:val="2"/>
    </w:lvl>
  </w:abstractNum>
  <w:abstractNum w:abstractNumId="222">
    <w:nsid w:val="27514ADE"/>
    <w:multiLevelType w:val="hybridMultilevel"/>
    <w:lvl w:ilvl="0">
      <w:lvlJc w:val="left"/>
      <w:lvlText w:val="(%1)"/>
      <w:numFmt w:val="lowerLetter"/>
      <w:start w:val="3"/>
    </w:lvl>
  </w:abstractNum>
  <w:abstractNum w:abstractNumId="223">
    <w:nsid w:val="57071613"/>
    <w:multiLevelType w:val="hybridMultilevel"/>
    <w:lvl w:ilvl="0">
      <w:lvlJc w:val="left"/>
      <w:lvlText w:val="%1"/>
      <w:numFmt w:val="lowerLetter"/>
      <w:start w:val="1"/>
    </w:lvl>
    <w:lvl w:ilvl="1">
      <w:lvlJc w:val="left"/>
      <w:lvlText w:val="(%2)"/>
      <w:numFmt w:val="lowerLetter"/>
      <w:start w:val="2"/>
    </w:lvl>
  </w:abstractNum>
  <w:abstractNum w:abstractNumId="224">
    <w:nsid w:val="5293BFEF"/>
    <w:multiLevelType w:val="hybridMultilevel"/>
    <w:lvl w:ilvl="0">
      <w:lvlJc w:val="left"/>
      <w:lvlText w:val="(%1)"/>
      <w:numFmt w:val="lowerLetter"/>
      <w:start w:val="9"/>
    </w:lvl>
    <w:lvl w:ilvl="1">
      <w:lvlJc w:val="left"/>
      <w:lvlText w:val="%2"/>
      <w:numFmt w:val="lowerLetter"/>
      <w:start w:val="1"/>
    </w:lvl>
  </w:abstractNum>
  <w:abstractNum w:abstractNumId="225">
    <w:nsid w:val="38BF53E5"/>
    <w:multiLevelType w:val="hybridMultilevel"/>
    <w:lvl w:ilvl="0">
      <w:lvlJc w:val="left"/>
      <w:lvlText w:val="(%1)"/>
      <w:numFmt w:val="lowerLetter"/>
      <w:start w:val="4"/>
    </w:lvl>
    <w:lvl w:ilvl="1">
      <w:lvlJc w:val="left"/>
      <w:lvlText w:val="(%2)"/>
      <w:numFmt w:val="lowerLetter"/>
      <w:start w:val="35"/>
    </w:lvl>
  </w:abstractNum>
  <w:abstractNum w:abstractNumId="226">
    <w:nsid w:val="226F5320"/>
    <w:multiLevelType w:val="hybridMultilevel"/>
    <w:lvl w:ilvl="0">
      <w:lvlJc w:val="left"/>
      <w:lvlText w:val="(%1)"/>
      <w:numFmt w:val="upperLetter"/>
      <w:start w:val="1"/>
    </w:lvl>
  </w:abstractNum>
  <w:abstractNum w:abstractNumId="227">
    <w:nsid w:val="5A0201C7"/>
    <w:multiLevelType w:val="hybridMultilevel"/>
    <w:lvl w:ilvl="0">
      <w:lvlJc w:val="left"/>
      <w:lvlText w:val="(%1)"/>
      <w:numFmt w:val="upperLetter"/>
      <w:start w:val="4"/>
    </w:lvl>
  </w:abstractNum>
  <w:abstractNum w:abstractNumId="228">
    <w:nsid w:val="2A9C34E2"/>
    <w:multiLevelType w:val="hybridMultilevel"/>
    <w:lvl w:ilvl="0">
      <w:lvlJc w:val="left"/>
      <w:lvlText w:val="%1"/>
      <w:numFmt w:val="lowerLetter"/>
      <w:start w:val="1"/>
    </w:lvl>
    <w:lvl w:ilvl="1">
      <w:lvlJc w:val="left"/>
      <w:lvlText w:val="(%2)"/>
      <w:numFmt w:val="lowerLetter"/>
      <w:start w:val="61"/>
    </w:lvl>
  </w:abstractNum>
  <w:abstractNum w:abstractNumId="229">
    <w:nsid w:val="1B7585AB"/>
    <w:multiLevelType w:val="hybridMultilevel"/>
    <w:lvl w:ilvl="0">
      <w:lvlJc w:val="left"/>
      <w:lvlText w:val="(%1)"/>
      <w:numFmt w:val="lowerLetter"/>
      <w:start w:val="5"/>
    </w:lvl>
    <w:lvl w:ilvl="1">
      <w:lvlJc w:val="left"/>
      <w:lvlText w:val="%2"/>
      <w:numFmt w:val="lowerLetter"/>
      <w:start w:val="1"/>
    </w:lvl>
  </w:abstractNum>
  <w:abstractNum w:abstractNumId="230">
    <w:nsid w:val="612DBDDD"/>
    <w:multiLevelType w:val="hybridMultilevel"/>
    <w:lvl w:ilvl="0">
      <w:lvlJc w:val="left"/>
      <w:lvlText w:val="(%1)"/>
      <w:numFmt w:val="lowerLetter"/>
      <w:start w:val="6"/>
    </w:lvl>
  </w:abstractNum>
  <w:abstractNum w:abstractNumId="231">
    <w:nsid w:val="2109CDA4"/>
    <w:multiLevelType w:val="hybridMultilevel"/>
    <w:lvl w:ilvl="0">
      <w:lvlJc w:val="left"/>
      <w:lvlText w:val="(%1)"/>
      <w:numFmt w:val="lowerRoman"/>
      <w:start w:val="3"/>
    </w:lvl>
  </w:abstractNum>
  <w:abstractNum w:abstractNumId="232">
    <w:nsid w:val="577F5A4D"/>
    <w:multiLevelType w:val="hybridMultilevel"/>
    <w:lvl w:ilvl="0">
      <w:lvlJc w:val="left"/>
      <w:lvlText w:val="(%1)"/>
      <w:numFmt w:val="lowerLetter"/>
      <w:start w:val="1"/>
    </w:lvl>
    <w:lvl w:ilvl="1">
      <w:lvlJc w:val="left"/>
      <w:lvlText w:val="(%2)"/>
      <w:numFmt w:val="lowerRoman"/>
      <w:start w:val="1"/>
    </w:lvl>
  </w:abstractNum>
  <w:abstractNum w:abstractNumId="233">
    <w:nsid w:val="2121A81"/>
    <w:multiLevelType w:val="hybridMultilevel"/>
    <w:lvl w:ilvl="0">
      <w:lvlJc w:val="left"/>
      <w:lvlText w:val="(%1)"/>
      <w:numFmt w:val="lowerRoman"/>
      <w:start w:val="3"/>
    </w:lvl>
  </w:abstractNum>
  <w:abstractNum w:abstractNumId="234">
    <w:nsid w:val="6C2CFC88"/>
    <w:multiLevelType w:val="hybridMultilevel"/>
    <w:lvl w:ilvl="0">
      <w:lvlJc w:val="left"/>
      <w:lvlText w:val="%1"/>
      <w:numFmt w:val="lowerRoman"/>
      <w:start w:val="1"/>
    </w:lvl>
    <w:lvl w:ilvl="1">
      <w:lvlJc w:val="left"/>
      <w:lvlText w:val="(%2)"/>
      <w:numFmt w:val="lowerRoman"/>
      <w:start w:val="5"/>
    </w:lvl>
  </w:abstractNum>
  <w:abstractNum w:abstractNumId="235">
    <w:nsid w:val="6D1BCF1C"/>
    <w:multiLevelType w:val="hybridMultilevel"/>
    <w:lvl w:ilvl="0">
      <w:lvlJc w:val="left"/>
      <w:lvlText w:val="(%1)"/>
      <w:numFmt w:val="lowerRoman"/>
      <w:start w:val="2"/>
    </w:lvl>
    <w:lvl w:ilvl="1">
      <w:lvlJc w:val="left"/>
      <w:lvlText w:val="%2"/>
      <w:numFmt w:val="lowerRoman"/>
      <w:start w:val="1"/>
    </w:lvl>
  </w:abstractNum>
  <w:abstractNum w:abstractNumId="236">
    <w:nsid w:val="4CE5CA53"/>
    <w:multiLevelType w:val="hybridMultilevel"/>
    <w:lvl w:ilvl="0">
      <w:lvlJc w:val="left"/>
      <w:lvlText w:val="(%1)"/>
      <w:numFmt w:val="lowerLetter"/>
      <w:start w:val="4"/>
    </w:lvl>
  </w:abstractNum>
  <w:abstractNum w:abstractNumId="237">
    <w:nsid w:val="29262D1A"/>
    <w:multiLevelType w:val="hybridMultilevel"/>
    <w:lvl w:ilvl="0">
      <w:lvlJc w:val="left"/>
      <w:lvlText w:val="(%1)"/>
      <w:numFmt w:val="lowerLetter"/>
      <w:start w:val="2"/>
    </w:lvl>
  </w:abstractNum>
  <w:abstractNum w:abstractNumId="238">
    <w:nsid w:val="557FB7EE"/>
    <w:multiLevelType w:val="hybridMultilevel"/>
    <w:lvl w:ilvl="0">
      <w:lvlJc w:val="left"/>
      <w:lvlText w:val="(%1)"/>
      <w:numFmt w:val="upperLetter"/>
      <w:start w:val="4"/>
    </w:lvl>
    <w:lvl w:ilvl="1">
      <w:lvlJc w:val="left"/>
      <w:lvlText w:val="(%2)"/>
      <w:numFmt w:val="lowerLetter"/>
      <w:start w:val="2"/>
    </w:lvl>
  </w:abstractNum>
  <w:abstractNum w:abstractNumId="239">
    <w:nsid w:val="436F2BEB"/>
    <w:multiLevelType w:val="hybridMultilevel"/>
    <w:lvl w:ilvl="0">
      <w:lvlJc w:val="left"/>
      <w:lvlText w:val="(%1)"/>
      <w:numFmt w:val="lowerLetter"/>
      <w:start w:val="9"/>
    </w:lvl>
    <w:lvl w:ilvl="1">
      <w:lvlJc w:val="left"/>
      <w:lvlText w:val="(%2)"/>
      <w:numFmt w:val="lowerLetter"/>
      <w:start w:val="4"/>
    </w:lvl>
  </w:abstractNum>
  <w:abstractNum w:abstractNumId="240">
    <w:nsid w:val="6C8B4466"/>
    <w:multiLevelType w:val="hybridMultilevel"/>
    <w:lvl w:ilvl="0">
      <w:lvlJc w:val="left"/>
      <w:lvlText w:val="(%1)"/>
      <w:numFmt w:val="lowerLetter"/>
      <w:start w:val="2"/>
    </w:lvl>
  </w:abstractNum>
  <w:abstractNum w:abstractNumId="241">
    <w:nsid w:val="2006E424"/>
    <w:multiLevelType w:val="hybridMultilevel"/>
    <w:lvl w:ilvl="0">
      <w:lvlJc w:val="left"/>
      <w:lvlText w:val="(%1)"/>
      <w:numFmt w:val="lowerLetter"/>
      <w:start w:val="2"/>
    </w:lvl>
  </w:abstractNum>
  <w:abstractNum w:abstractNumId="242">
    <w:nsid w:val="20CC134C"/>
    <w:multiLevelType w:val="hybridMultilevel"/>
    <w:lvl w:ilvl="0">
      <w:lvlJc w:val="left"/>
      <w:lvlText w:val="(%1)"/>
      <w:numFmt w:val="upperLetter"/>
      <w:start w:val="1"/>
    </w:lvl>
  </w:abstractNum>
  <w:abstractNum w:abstractNumId="243">
    <w:nsid w:val="95FC93B"/>
    <w:multiLevelType w:val="hybridMultilevel"/>
    <w:lvl w:ilvl="0">
      <w:lvlJc w:val="left"/>
      <w:lvlText w:val="(%1)"/>
      <w:numFmt w:val="lowerRoman"/>
      <w:start w:val="2"/>
    </w:lvl>
  </w:abstractNum>
  <w:abstractNum w:abstractNumId="244">
    <w:nsid w:val="41D74679"/>
    <w:multiLevelType w:val="hybridMultilevel"/>
    <w:lvl w:ilvl="0">
      <w:lvlJc w:val="left"/>
      <w:lvlText w:val="(%1)"/>
      <w:numFmt w:val="lowerLetter"/>
      <w:start w:val="3"/>
    </w:lvl>
    <w:lvl w:ilvl="1">
      <w:lvlJc w:val="left"/>
      <w:lvlText w:val="(%2)"/>
      <w:numFmt w:val="lowerRoman"/>
      <w:start w:val="2"/>
    </w:lvl>
  </w:abstractNum>
  <w:abstractNum w:abstractNumId="245">
    <w:nsid w:val="71E5621E"/>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246">
    <w:nsid w:val="4E42B6A8"/>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35"/>
    </w:lvl>
  </w:abstractNum>
  <w:abstractNum w:abstractNumId="247">
    <w:nsid w:val="43F8E1AC"/>
    <w:multiLevelType w:val="hybridMultilevel"/>
    <w:lvl w:ilvl="0">
      <w:lvlJc w:val="left"/>
      <w:lvlText w:val="(%1)"/>
      <w:numFmt w:val="lowerRoman"/>
      <w:start w:val="3"/>
    </w:lvl>
  </w:abstractNum>
  <w:abstractNum w:abstractNumId="248">
    <w:nsid w:val="69215DFB"/>
    <w:multiLevelType w:val="hybridMultilevel"/>
    <w:lvl w:ilvl="0">
      <w:lvlJc w:val="left"/>
      <w:lvlText w:val="%1"/>
      <w:numFmt w:val="lowerLetter"/>
      <w:start w:val="1"/>
    </w:lvl>
    <w:lvl w:ilvl="1">
      <w:lvlJc w:val="left"/>
      <w:lvlText w:val="(%2)"/>
      <w:numFmt w:val="upperLetter"/>
      <w:start w:val="1"/>
    </w:lvl>
  </w:abstractNum>
  <w:abstractNum w:abstractNumId="249">
    <w:nsid w:val="7ABF196A"/>
    <w:multiLevelType w:val="hybridMultilevel"/>
    <w:lvl w:ilvl="0">
      <w:lvlJc w:val="left"/>
      <w:lvlText w:val="(%1)"/>
      <w:numFmt w:val="lowerLetter"/>
      <w:start w:val="6"/>
    </w:lvl>
    <w:lvl w:ilvl="1">
      <w:lvlJc w:val="left"/>
      <w:lvlText w:val="(%2)"/>
      <w:numFmt w:val="upperLetter"/>
      <w:start w:val="1"/>
    </w:lvl>
  </w:abstractNum>
  <w:abstractNum w:abstractNumId="250">
    <w:nsid w:val="5E4DB968"/>
    <w:multiLevelType w:val="hybridMultilevel"/>
    <w:lvl w:ilvl="0">
      <w:lvlJc w:val="left"/>
      <w:lvlText w:val="(%1)"/>
      <w:numFmt w:val="lowerLetter"/>
      <w:start w:val="8"/>
    </w:lvl>
  </w:abstractNum>
  <w:abstractNum w:abstractNumId="251">
    <w:nsid w:val="2C06DCF3"/>
    <w:multiLevelType w:val="hybridMultilevel"/>
    <w:lvl w:ilvl="0">
      <w:lvlJc w:val="left"/>
      <w:lvlText w:val="(%1)"/>
      <w:numFmt w:val="lowerLetter"/>
      <w:start w:val="25"/>
    </w:lvl>
  </w:abstractNum>
  <w:abstractNum w:abstractNumId="252">
    <w:nsid w:val="2E129658"/>
    <w:multiLevelType w:val="hybridMultilevel"/>
    <w:lvl w:ilvl="0">
      <w:lvlJc w:val="left"/>
      <w:lvlText w:val="%1"/>
      <w:numFmt w:val="lowerLetter"/>
      <w:start w:val="1"/>
    </w:lvl>
    <w:lvl w:ilvl="1">
      <w:lvlJc w:val="left"/>
      <w:lvlText w:val="(%2)"/>
      <w:numFmt w:val="lowerLetter"/>
      <w:start w:val="2"/>
    </w:lvl>
  </w:abstractNum>
  <w:abstractNum w:abstractNumId="253">
    <w:nsid w:val="59F0446"/>
    <w:multiLevelType w:val="hybridMultilevel"/>
    <w:lvl w:ilvl="0">
      <w:lvlJc w:val="left"/>
      <w:lvlText w:val="(%1)"/>
      <w:numFmt w:val="lowerLetter"/>
      <w:start w:val="9"/>
    </w:lvl>
    <w:lvl w:ilvl="1">
      <w:lvlJc w:val="left"/>
      <w:lvlText w:val="%2"/>
      <w:numFmt w:val="lowerLetter"/>
      <w:start w:val="1"/>
    </w:lvl>
  </w:abstractNum>
  <w:abstractNum w:abstractNumId="254">
    <w:nsid w:val="30DF306"/>
    <w:multiLevelType w:val="hybridMultilevel"/>
    <w:lvl w:ilvl="0">
      <w:lvlJc w:val="left"/>
      <w:lvlText w:val="(%1)"/>
      <w:numFmt w:val="lowerLetter"/>
      <w:start w:val="24"/>
    </w:lvl>
    <w:lvl w:ilvl="1">
      <w:lvlJc w:val="left"/>
      <w:lvlText w:val="%2"/>
      <w:numFmt w:val="lowerLetter"/>
      <w:start w:val="1"/>
    </w:lvl>
  </w:abstractNum>
  <w:abstractNum w:abstractNumId="255">
    <w:nsid w:val="A65647"/>
    <w:multiLevelType w:val="hybridMultilevel"/>
    <w:lvl w:ilvl="0">
      <w:lvlJc w:val="left"/>
      <w:lvlText w:val="(%1)"/>
      <w:numFmt w:val="lowerLetter"/>
      <w:start w:val="2"/>
    </w:lvl>
  </w:abstractNum>
  <w:abstractNum w:abstractNumId="256">
    <w:nsid w:val="3E5E582B"/>
    <w:multiLevelType w:val="hybridMultilevel"/>
    <w:lvl w:ilvl="0">
      <w:lvlJc w:val="left"/>
      <w:lvlText w:val="(%1)"/>
      <w:numFmt w:val="lowerLetter"/>
      <w:start w:val="2"/>
    </w:lvl>
  </w:abstractNum>
  <w:abstractNum w:abstractNumId="257">
    <w:nsid w:val="257D4626"/>
    <w:multiLevelType w:val="hybridMultilevel"/>
    <w:lvl w:ilvl="0">
      <w:lvlJc w:val="left"/>
      <w:lvlText w:val="(%1)"/>
      <w:numFmt w:val="lowerLetter"/>
      <w:start w:val="3"/>
    </w:lvl>
  </w:abstractNum>
  <w:abstractNum w:abstractNumId="258">
    <w:nsid w:val="5AA8580E"/>
    <w:multiLevelType w:val="hybridMultilevel"/>
    <w:lvl w:ilvl="0">
      <w:lvlJc w:val="left"/>
      <w:lvlText w:val="(%1)"/>
      <w:numFmt w:val="lowerLetter"/>
      <w:start w:val="2"/>
    </w:lvl>
  </w:abstractNum>
  <w:abstractNum w:abstractNumId="259">
    <w:nsid w:val="68FA8D0D"/>
    <w:multiLevelType w:val="hybridMultilevel"/>
    <w:lvl w:ilvl="0">
      <w:lvlJc w:val="left"/>
      <w:lvlText w:val="(%1)"/>
      <w:numFmt w:val="lowerLetter"/>
      <w:start w:val="2"/>
    </w:lvl>
  </w:abstractNum>
  <w:abstractNum w:abstractNumId="260">
    <w:nsid w:val="40F2CBD2"/>
    <w:multiLevelType w:val="hybridMultilevel"/>
    <w:lvl w:ilvl="0">
      <w:lvlJc w:val="left"/>
      <w:lvlText w:val="(%1)"/>
      <w:numFmt w:val="lowerLetter"/>
      <w:start w:val="4"/>
    </w:lvl>
  </w:abstractNum>
  <w:abstractNum w:abstractNumId="261">
    <w:nsid w:val="3BD615EB"/>
    <w:multiLevelType w:val="hybridMultilevel"/>
    <w:lvl w:ilvl="0">
      <w:lvlJc w:val="left"/>
      <w:lvlText w:val="(%1)"/>
      <w:numFmt w:val="upperLetter"/>
      <w:start w:val="1"/>
    </w:lvl>
    <w:lvl w:ilvl="1">
      <w:lvlJc w:val="left"/>
      <w:lvlText w:val="(%2)"/>
      <w:numFmt w:val="lowerLetter"/>
      <w:start w:val="2"/>
    </w:lvl>
  </w:abstractNum>
  <w:abstractNum w:abstractNumId="262">
    <w:nsid w:val="A045AB2"/>
    <w:multiLevelType w:val="hybridMultilevel"/>
    <w:lvl w:ilvl="0">
      <w:lvlJc w:val="left"/>
      <w:lvlText w:val="(%1)"/>
      <w:numFmt w:val="lowerLetter"/>
      <w:start w:val="4"/>
    </w:lvl>
  </w:abstractNum>
  <w:abstractNum w:abstractNumId="263">
    <w:nsid w:val="1872261F"/>
    <w:multiLevelType w:val="hybridMultilevel"/>
    <w:lvl w:ilvl="0">
      <w:lvlJc w:val="left"/>
      <w:lvlText w:val="(%1)"/>
      <w:numFmt w:val="lowerLetter"/>
      <w:start w:val="1"/>
    </w:lvl>
  </w:abstractNum>
  <w:abstractNum w:abstractNumId="264">
    <w:nsid w:val="3DE8306C"/>
    <w:multiLevelType w:val="hybridMultilevel"/>
    <w:lvl w:ilvl="0">
      <w:lvlJc w:val="left"/>
      <w:lvlText w:val="%1"/>
      <w:numFmt w:val="lowerLetter"/>
      <w:start w:val="1"/>
    </w:lvl>
    <w:lvl w:ilvl="1">
      <w:lvlJc w:val="left"/>
      <w:lvlText w:val="(%2)"/>
      <w:numFmt w:val="lowerLetter"/>
      <w:start w:val="1"/>
    </w:lvl>
  </w:abstractNum>
  <w:abstractNum w:abstractNumId="265">
    <w:nsid w:val="7631573A"/>
    <w:multiLevelType w:val="hybridMultilevel"/>
    <w:lvl w:ilvl="0">
      <w:lvlJc w:val="left"/>
      <w:lvlText w:val="(%1)"/>
      <w:numFmt w:val="lowerLetter"/>
      <w:start w:val="9"/>
    </w:lvl>
    <w:lvl w:ilvl="1">
      <w:lvlJc w:val="left"/>
      <w:lvlText w:val="(%2)"/>
      <w:numFmt w:val="lowerLetter"/>
      <w:start w:val="4"/>
    </w:lvl>
  </w:abstractNum>
  <w:abstractNum w:abstractNumId="266">
    <w:nsid w:val="58DF53B"/>
    <w:multiLevelType w:val="hybridMultilevel"/>
    <w:lvl w:ilvl="0">
      <w:lvlJc w:val="left"/>
      <w:lvlText w:val="(%1)"/>
      <w:numFmt w:val="lowerLetter"/>
      <w:start w:val="1"/>
    </w:lvl>
  </w:abstractNum>
  <w:abstractNum w:abstractNumId="267">
    <w:nsid w:val="ACDFAC0"/>
    <w:multiLevelType w:val="hybridMultilevel"/>
    <w:lvl w:ilvl="0">
      <w:lvlJc w:val="left"/>
      <w:lvlText w:val="(%1)"/>
      <w:numFmt w:val="lowerLetter"/>
      <w:start w:val="2"/>
    </w:lvl>
  </w:abstractNum>
  <w:abstractNum w:abstractNumId="268">
    <w:nsid w:val="1F578454"/>
    <w:multiLevelType w:val="hybridMultilevel"/>
    <w:lvl w:ilvl="0">
      <w:lvlJc w:val="left"/>
      <w:lvlText w:val="(%1)"/>
      <w:numFmt w:val="lowerLetter"/>
      <w:start w:val="1"/>
    </w:lvl>
  </w:abstractNum>
  <w:abstractNum w:abstractNumId="269">
    <w:nsid w:val="5B0DAD2A"/>
    <w:multiLevelType w:val="hybridMultilevel"/>
    <w:lvl w:ilvl="0">
      <w:lvlJc w:val="left"/>
      <w:lvlText w:val="(%1)"/>
      <w:numFmt w:val="lowerLetter"/>
      <w:start w:val="1"/>
    </w:lvl>
  </w:abstractNum>
  <w:abstractNum w:abstractNumId="270">
    <w:nsid w:val="4E3D26AB"/>
    <w:multiLevelType w:val="hybridMultilevel"/>
    <w:lvl w:ilvl="0">
      <w:lvlJc w:val="left"/>
      <w:lvlText w:val="%1"/>
      <w:numFmt w:val="upperLetter"/>
      <w:start w:val="1"/>
    </w:lvl>
    <w:lvl w:ilvl="1">
      <w:lvlJc w:val="left"/>
      <w:lvlText w:val="(%2)"/>
      <w:numFmt w:val="lowerLetter"/>
      <w:start w:val="2"/>
    </w:lvl>
  </w:abstractNum>
  <w:abstractNum w:abstractNumId="271">
    <w:nsid w:val="BE2C8BA"/>
    <w:multiLevelType w:val="hybridMultilevel"/>
    <w:lvl w:ilvl="0">
      <w:lvlJc w:val="left"/>
      <w:lvlText w:val="(%1)"/>
      <w:numFmt w:val="upperLetter"/>
      <w:start w:val="2"/>
    </w:lvl>
    <w:lvl w:ilvl="1">
      <w:lvlJc w:val="left"/>
      <w:lvlText w:val="%2"/>
      <w:numFmt w:val="lowerLetter"/>
      <w:start w:val="1"/>
    </w:lvl>
  </w:abstractNum>
  <w:abstractNum w:abstractNumId="272">
    <w:nsid w:val="7B14914E"/>
    <w:multiLevelType w:val="hybridMultilevel"/>
    <w:lvl w:ilvl="0">
      <w:lvlJc w:val="left"/>
      <w:lvlText w:val="(%1)"/>
      <w:numFmt w:val="lowerRoman"/>
      <w:start w:val="10"/>
    </w:lvl>
  </w:abstractNum>
  <w:abstractNum w:abstractNumId="273">
    <w:nsid w:val="6F0939F8"/>
    <w:multiLevelType w:val="hybridMultilevel"/>
    <w:lvl w:ilvl="0">
      <w:lvlJc w:val="left"/>
      <w:lvlText w:val="(%1)"/>
      <w:numFmt w:val="lowerLetter"/>
      <w:start w:val="1"/>
    </w:lvl>
  </w:abstractNum>
  <w:abstractNum w:abstractNumId="274">
    <w:nsid w:val="154291F6"/>
    <w:multiLevelType w:val="hybridMultilevel"/>
    <w:lvl w:ilvl="0">
      <w:lvlJc w:val="left"/>
      <w:lvlText w:val="(%1)"/>
      <w:numFmt w:val="lowerLetter"/>
      <w:start w:val="4"/>
    </w:lvl>
  </w:abstractNum>
  <w:abstractNum w:abstractNumId="275">
    <w:nsid w:val="3CEBD7C7"/>
    <w:multiLevelType w:val="hybridMultilevel"/>
    <w:lvl w:ilvl="0">
      <w:lvlJc w:val="left"/>
      <w:lvlText w:val="(%1)"/>
      <w:numFmt w:val="lowerLetter"/>
      <w:start w:val="25"/>
    </w:lvl>
    <w:lvl w:ilvl="1">
      <w:lvlJc w:val="left"/>
      <w:lvlText w:val="(%2)"/>
      <w:numFmt w:val="lowerRoman"/>
      <w:start w:val="1"/>
    </w:lvl>
  </w:abstractNum>
  <w:abstractNum w:abstractNumId="276">
    <w:nsid w:val="60EE9C1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77">
    <w:nsid w:val="6385489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78">
    <w:nsid w:val="E4B973"/>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279">
    <w:nsid w:val="4A0FFA11"/>
    <w:multiLevelType w:val="hybridMultilevel"/>
    <w:lvl w:ilvl="0">
      <w:lvlJc w:val="left"/>
      <w:lvlText w:val="(%1)"/>
      <w:numFmt w:val="lowerLetter"/>
      <w:start w:val="1"/>
    </w:lvl>
  </w:abstractNum>
  <w:abstractNum w:abstractNumId="280">
    <w:nsid w:val="5E446208"/>
    <w:multiLevelType w:val="hybridMultilevel"/>
    <w:lvl w:ilvl="0">
      <w:lvlJc w:val="left"/>
      <w:lvlText w:val="(%1)"/>
      <w:numFmt w:val="lowerLetter"/>
      <w:start w:val="3"/>
    </w:lvl>
    <w:lvl w:ilvl="1">
      <w:lvlJc w:val="left"/>
      <w:lvlText w:val="(%2)"/>
      <w:numFmt w:val="lowerRoman"/>
      <w:start w:val="2"/>
    </w:lvl>
  </w:abstractNum>
  <w:abstractNum w:abstractNumId="281">
    <w:nsid w:val="5F3272DB"/>
    <w:multiLevelType w:val="hybridMultilevel"/>
    <w:lvl w:ilvl="0">
      <w:lvlJc w:val="left"/>
      <w:lvlText w:val="(%1)"/>
      <w:numFmt w:val="upperLetter"/>
      <w:start w:val="1"/>
    </w:lvl>
  </w:abstractNum>
  <w:abstractNum w:abstractNumId="282">
    <w:nsid w:val="7616D704"/>
    <w:multiLevelType w:val="hybridMultilevel"/>
    <w:lvl w:ilvl="0">
      <w:lvlJc w:val="left"/>
      <w:lvlText w:val="(%1)"/>
      <w:numFmt w:val="upperLetter"/>
      <w:start w:val="6"/>
    </w:lvl>
  </w:abstractNum>
  <w:abstractNum w:abstractNumId="283">
    <w:nsid w:val="C56F860"/>
    <w:multiLevelType w:val="hybridMultilevel"/>
    <w:lvl w:ilvl="0">
      <w:lvlJc w:val="left"/>
      <w:lvlText w:val="(%1)"/>
      <w:numFmt w:val="lowerLetter"/>
      <w:start w:val="2"/>
    </w:lvl>
  </w:abstractNum>
  <w:abstractNum w:abstractNumId="284">
    <w:nsid w:val="64D17722"/>
    <w:multiLevelType w:val="hybridMultilevel"/>
    <w:lvl w:ilvl="0">
      <w:lvlJc w:val="left"/>
      <w:lvlText w:val="(%1)"/>
      <w:numFmt w:val="lowerLetter"/>
      <w:start w:val="4"/>
    </w:lvl>
    <w:lvl w:ilvl="1">
      <w:lvlJc w:val="left"/>
      <w:lvlText w:val="(%2)"/>
      <w:numFmt w:val="lowerRoman"/>
      <w:start w:val="1"/>
    </w:lvl>
  </w:abstractNum>
  <w:abstractNum w:abstractNumId="285">
    <w:nsid w:val="7924CA0A"/>
    <w:multiLevelType w:val="hybridMultilevel"/>
    <w:lvl w:ilvl="0">
      <w:lvlJc w:val="left"/>
      <w:lvlText w:val="(%1)"/>
      <w:numFmt w:val="lowerLetter"/>
      <w:start w:val="2"/>
    </w:lvl>
  </w:abstractNum>
  <w:abstractNum w:abstractNumId="286">
    <w:nsid w:val="CFD4EA7"/>
    <w:multiLevelType w:val="hybridMultilevel"/>
    <w:lvl w:ilvl="0">
      <w:lvlJc w:val="left"/>
      <w:lvlText w:val="(%1)"/>
      <w:numFmt w:val="lowerLetter"/>
      <w:start w:val="4"/>
    </w:lvl>
  </w:abstractNum>
  <w:abstractNum w:abstractNumId="287">
    <w:nsid w:val="232FCF4D"/>
    <w:multiLevelType w:val="hybridMultilevel"/>
    <w:lvl w:ilvl="0">
      <w:lvlJc w:val="left"/>
      <w:lvlText w:val="(%1)"/>
      <w:numFmt w:val="lowerLetter"/>
      <w:start w:val="1"/>
    </w:lvl>
  </w:abstractNum>
  <w:abstractNum w:abstractNumId="288">
    <w:nsid w:val="1EA21031"/>
    <w:multiLevelType w:val="hybridMultilevel"/>
    <w:lvl w:ilvl="0">
      <w:lvlJc w:val="left"/>
      <w:lvlText w:val="(%1)"/>
      <w:numFmt w:val="lowerLetter"/>
      <w:start w:val="2"/>
    </w:lvl>
  </w:abstractNum>
  <w:abstractNum w:abstractNumId="289">
    <w:nsid w:val="67A5A6B5"/>
    <w:multiLevelType w:val="hybridMultilevel"/>
    <w:lvl w:ilvl="0">
      <w:lvlJc w:val="left"/>
      <w:lvlText w:val="(%1)"/>
      <w:numFmt w:val="lowerLetter"/>
      <w:start w:val="5"/>
    </w:lvl>
  </w:abstractNum>
  <w:abstractNum w:abstractNumId="290">
    <w:nsid w:val="C2A5C5B"/>
    <w:multiLevelType w:val="hybridMultilevel"/>
    <w:lvl w:ilvl="0">
      <w:lvlJc w:val="left"/>
      <w:lvlText w:val="(%1)"/>
      <w:numFmt w:val="lowerLetter"/>
      <w:start w:val="2"/>
    </w:lvl>
    <w:lvl w:ilvl="1">
      <w:lvlJc w:val="left"/>
      <w:lvlText w:val="(%2)"/>
      <w:numFmt w:val="decimal"/>
      <w:start w:val="1"/>
    </w:lvl>
  </w:abstractNum>
  <w:abstractNum w:abstractNumId="291">
    <w:nsid w:val="5F94DC03"/>
    <w:multiLevelType w:val="hybridMultilevel"/>
    <w:lvl w:ilvl="0">
      <w:lvlJc w:val="left"/>
      <w:lvlText w:val="(%1)"/>
      <w:numFmt w:val="lowerRoman"/>
      <w:start w:val="2"/>
    </w:lvl>
  </w:abstractNum>
  <w:abstractNum w:abstractNumId="292">
    <w:nsid w:val="237BBCA0"/>
    <w:multiLevelType w:val="hybridMultilevel"/>
    <w:lvl w:ilvl="0">
      <w:lvlJc w:val="left"/>
      <w:lvlText w:val="%1"/>
      <w:numFmt w:val="lowerRoman"/>
      <w:start w:val="1"/>
    </w:lvl>
    <w:lvl w:ilvl="1">
      <w:lvlJc w:val="left"/>
      <w:lvlText w:val="(%2)"/>
      <w:numFmt w:val="upperLetter"/>
      <w:start w:val="1"/>
    </w:lvl>
  </w:abstractNum>
  <w:abstractNum w:abstractNumId="293">
    <w:nsid w:val="162EB70D"/>
    <w:multiLevelType w:val="hybridMultilevel"/>
    <w:lvl w:ilvl="0">
      <w:lvlJc w:val="left"/>
      <w:lvlText w:val="(%1)"/>
      <w:numFmt w:val="lowerRoman"/>
      <w:start w:val="3"/>
    </w:lvl>
    <w:lvl w:ilvl="1">
      <w:lvlJc w:val="left"/>
      <w:lvlText w:val="%2"/>
      <w:numFmt w:val="upperLetter"/>
      <w:start w:val="1"/>
    </w:lvl>
  </w:abstractNum>
  <w:abstractNum w:abstractNumId="294">
    <w:nsid w:val="78070222"/>
    <w:multiLevelType w:val="hybridMultilevel"/>
    <w:lvl w:ilvl="0">
      <w:lvlJc w:val="left"/>
      <w:lvlText w:val="(%1)"/>
      <w:numFmt w:val="lowerLetter"/>
      <w:start w:val="22"/>
    </w:lvl>
    <w:lvl w:ilvl="1">
      <w:lvlJc w:val="left"/>
      <w:lvlText w:val="(%2)"/>
      <w:numFmt w:val="lowerLetter"/>
      <w:start w:val="3"/>
    </w:lvl>
  </w:abstractNum>
  <w:abstractNum w:abstractNumId="295">
    <w:nsid w:val="6163ED0D"/>
    <w:multiLevelType w:val="hybridMultilevel"/>
    <w:lvl w:ilvl="0">
      <w:lvlJc w:val="left"/>
      <w:lvlText w:val="(%1)"/>
      <w:numFmt w:val="lowerRoman"/>
      <w:start w:val="2"/>
    </w:lvl>
  </w:abstractNum>
  <w:abstractNum w:abstractNumId="296">
    <w:nsid w:val="C600E47"/>
    <w:multiLevelType w:val="hybridMultilevel"/>
    <w:lvl w:ilvl="0">
      <w:lvlJc w:val="left"/>
      <w:lvlText w:val="(%1)"/>
      <w:numFmt w:val="lowerLetter"/>
      <w:start w:val="4"/>
    </w:lvl>
  </w:abstractNum>
  <w:abstractNum w:abstractNumId="297">
    <w:nsid w:val="7D94F75D"/>
    <w:multiLevelType w:val="hybridMultilevel"/>
    <w:lvl w:ilvl="0">
      <w:lvlJc w:val="left"/>
      <w:lvlText w:val="(%1)"/>
      <w:numFmt w:val="lowerLetter"/>
      <w:start w:val="1"/>
    </w:lvl>
  </w:abstractNum>
  <w:abstractNum w:abstractNumId="298">
    <w:nsid w:val="6C31E7CD"/>
    <w:multiLevelType w:val="hybridMultilevel"/>
    <w:lvl w:ilvl="0">
      <w:lvlJc w:val="left"/>
      <w:lvlText w:val="(%1)"/>
      <w:numFmt w:val="lowerRoman"/>
      <w:start w:val="1"/>
    </w:lvl>
    <w:lvl w:ilvl="1">
      <w:lvlJc w:val="left"/>
      <w:lvlText w:val="(%2)"/>
      <w:numFmt w:val="lowerLetter"/>
      <w:start w:val="2"/>
    </w:lvl>
  </w:abstractNum>
  <w:abstractNum w:abstractNumId="299">
    <w:nsid w:val="2BB7929B"/>
    <w:multiLevelType w:val="hybridMultilevel"/>
    <w:lvl w:ilvl="0">
      <w:lvlJc w:val="left"/>
      <w:lvlText w:val="(%1)"/>
      <w:numFmt w:val="lowerLetter"/>
      <w:start w:val="1"/>
    </w:lvl>
  </w:abstractNum>
  <w:abstractNum w:abstractNumId="300">
    <w:nsid w:val="58A2A487"/>
    <w:multiLevelType w:val="hybridMultilevel"/>
    <w:lvl w:ilvl="0">
      <w:lvlJc w:val="left"/>
      <w:lvlText w:val="(%1)"/>
      <w:numFmt w:val="lowerLetter"/>
      <w:start w:val="1"/>
    </w:lvl>
  </w:abstractNum>
  <w:abstractNum w:abstractNumId="301">
    <w:nsid w:val="3A6F0E78"/>
    <w:multiLevelType w:val="hybridMultilevel"/>
    <w:lvl w:ilvl="0">
      <w:lvlJc w:val="left"/>
      <w:lvlText w:val="(%1)"/>
      <w:numFmt w:val="lowerLetter"/>
      <w:start w:val="3"/>
    </w:lvl>
  </w:abstractNum>
  <w:abstractNum w:abstractNumId="302">
    <w:nsid w:val="379A5B56"/>
    <w:multiLevelType w:val="hybridMultilevel"/>
    <w:lvl w:ilvl="0">
      <w:lvlJc w:val="left"/>
      <w:lvlText w:val="%1"/>
      <w:numFmt w:val="lowerRoman"/>
      <w:start w:val="1"/>
    </w:lvl>
    <w:lvl w:ilvl="1">
      <w:lvlJc w:val="left"/>
      <w:lvlText w:val="(%2)"/>
      <w:numFmt w:val="lowerLetter"/>
      <w:start w:val="1"/>
    </w:lvl>
  </w:abstractNum>
  <w:abstractNum w:abstractNumId="303">
    <w:nsid w:val="53B735D5"/>
    <w:multiLevelType w:val="hybridMultilevel"/>
    <w:lvl w:ilvl="0">
      <w:lvlJc w:val="left"/>
      <w:lvlText w:val="(%1)"/>
      <w:numFmt w:val="lowerRoman"/>
      <w:start w:val="1"/>
    </w:lvl>
    <w:lvl w:ilvl="1">
      <w:lvlJc w:val="left"/>
      <w:lvlText w:val="%2"/>
      <w:numFmt w:val="lowerLetter"/>
      <w:start w:val="1"/>
    </w:lvl>
  </w:abstractNum>
  <w:abstractNum w:abstractNumId="304">
    <w:nsid w:val="29784870"/>
    <w:multiLevelType w:val="hybridMultilevel"/>
    <w:lvl w:ilvl="0">
      <w:lvlJc w:val="left"/>
      <w:lvlText w:val="(%1)"/>
      <w:numFmt w:val="lowerLetter"/>
      <w:start w:val="1"/>
    </w:lvl>
  </w:abstractNum>
  <w:abstractNum w:abstractNumId="305">
    <w:nsid w:val="4CDCED4C"/>
    <w:multiLevelType w:val="hybridMultilevel"/>
    <w:lvl w:ilvl="0">
      <w:lvlJc w:val="left"/>
      <w:lvlText w:val="(%1)"/>
      <w:numFmt w:val="lowerLetter"/>
      <w:start w:val="1"/>
    </w:lvl>
  </w:abstractNum>
  <w:abstractNum w:abstractNumId="306">
    <w:nsid w:val="10A30D9C"/>
    <w:multiLevelType w:val="hybridMultilevel"/>
    <w:lvl w:ilvl="0">
      <w:lvlJc w:val="left"/>
      <w:lvlText w:val="(%1)"/>
      <w:numFmt w:val="lowerLetter"/>
      <w:start w:val="2"/>
    </w:lvl>
  </w:abstractNum>
  <w:abstractNum w:abstractNumId="307">
    <w:nsid w:val="A66E486"/>
    <w:multiLevelType w:val="hybridMultilevel"/>
    <w:lvl w:ilvl="0">
      <w:lvlJc w:val="left"/>
      <w:lvlText w:val="(%1)"/>
      <w:numFmt w:val="lowerLetter"/>
      <w:start w:val="1"/>
    </w:lvl>
  </w:abstractNum>
  <w:abstractNum w:abstractNumId="308">
    <w:nsid w:val="306235EA"/>
    <w:multiLevelType w:val="hybridMultilevel"/>
    <w:lvl w:ilvl="0">
      <w:lvlJc w:val="left"/>
      <w:lvlText w:val="(%1)"/>
      <w:numFmt w:val="lowerLetter"/>
      <w:start w:val="3"/>
    </w:lvl>
  </w:abstractNum>
  <w:abstractNum w:abstractNumId="309">
    <w:nsid w:val="1187C70F"/>
    <w:multiLevelType w:val="hybridMultilevel"/>
    <w:lvl w:ilvl="0">
      <w:lvlJc w:val="left"/>
      <w:lvlText w:val="(%1)"/>
      <w:numFmt w:val="lowerLetter"/>
      <w:start w:val="2"/>
    </w:lvl>
  </w:abstractNum>
  <w:abstractNum w:abstractNumId="310">
    <w:nsid w:val="5476DE98"/>
    <w:multiLevelType w:val="hybridMultilevel"/>
    <w:lvl w:ilvl="0">
      <w:lvlJc w:val="left"/>
      <w:lvlText w:val="(%1)"/>
      <w:numFmt w:val="lowerLetter"/>
      <w:start w:val="4"/>
    </w:lvl>
  </w:abstractNum>
  <w:abstractNum w:abstractNumId="311">
    <w:nsid w:val="EA697F2"/>
    <w:multiLevelType w:val="hybridMultilevel"/>
    <w:lvl w:ilvl="0">
      <w:lvlJc w:val="left"/>
      <w:lvlText w:val="(%1)"/>
      <w:numFmt w:val="lowerLetter"/>
      <w:start w:val="3"/>
    </w:lvl>
  </w:abstractNum>
  <w:abstractNum w:abstractNumId="312">
    <w:nsid w:val="70BA39EB"/>
    <w:multiLevelType w:val="hybridMultilevel"/>
    <w:lvl w:ilvl="0">
      <w:lvlJc w:val="left"/>
      <w:lvlText w:val="(%1)"/>
      <w:numFmt w:val="lowerLetter"/>
      <w:start w:val="25"/>
    </w:lvl>
  </w:abstractNum>
  <w:abstractNum w:abstractNumId="313">
    <w:nsid w:val="4A8DB59C"/>
    <w:multiLevelType w:val="hybridMultilevel"/>
    <w:lvl w:ilvl="0">
      <w:lvlJc w:val="left"/>
      <w:lvlText w:val="(%1)"/>
      <w:numFmt w:val="lowerLetter"/>
      <w:start w:val="5"/>
    </w:lvl>
  </w:abstractNum>
  <w:abstractNum w:abstractNumId="314">
    <w:nsid w:val="1AFD9053"/>
    <w:multiLevelType w:val="hybridMultilevel"/>
    <w:lvl w:ilvl="0">
      <w:lvlJc w:val="left"/>
      <w:lvlText w:val="(%1)"/>
      <w:numFmt w:val="lowerLetter"/>
      <w:start w:val="1"/>
    </w:lvl>
  </w:abstractNum>
  <w:abstractNum w:abstractNumId="315">
    <w:nsid w:val="558BB10D"/>
    <w:multiLevelType w:val="hybridMultilevel"/>
    <w:lvl w:ilvl="0">
      <w:lvlJc w:val="left"/>
      <w:lvlText w:val="(%1)"/>
      <w:numFmt w:val="lowerLetter"/>
      <w:start w:val="7"/>
    </w:lvl>
  </w:abstractNum>
  <w:abstractNum w:abstractNumId="316">
    <w:nsid w:val="43B27FA7"/>
    <w:multiLevelType w:val="hybridMultilevel"/>
    <w:lvl w:ilvl="0">
      <w:lvlJc w:val="left"/>
      <w:lvlText w:val="(%1)"/>
      <w:numFmt w:val="lowerLetter"/>
      <w:start w:val="2"/>
    </w:lvl>
  </w:abstractNum>
  <w:abstractNum w:abstractNumId="317">
    <w:nsid w:val="27FADEFA"/>
    <w:multiLevelType w:val="hybridMultilevel"/>
    <w:lvl w:ilvl="0">
      <w:lvlJc w:val="left"/>
      <w:lvlText w:val="(%1)"/>
      <w:numFmt w:val="lowerLetter"/>
      <w:start w:val="8"/>
    </w:lvl>
  </w:abstractNum>
  <w:abstractNum w:abstractNumId="318">
    <w:nsid w:val="78BB805A"/>
    <w:multiLevelType w:val="hybridMultilevel"/>
    <w:lvl w:ilvl="0">
      <w:lvlJc w:val="left"/>
      <w:lvlText w:val="(%1)"/>
      <w:numFmt w:val="lowerLetter"/>
      <w:start w:val="3"/>
    </w:lvl>
  </w:abstractNum>
  <w:abstractNum w:abstractNumId="319">
    <w:nsid w:val="62548FD8"/>
    <w:multiLevelType w:val="hybridMultilevel"/>
    <w:lvl w:ilvl="0">
      <w:lvlJc w:val="left"/>
      <w:lvlText w:val="(%1)"/>
      <w:numFmt w:val="lowerRoman"/>
      <w:start w:val="1"/>
    </w:lvl>
  </w:abstractNum>
  <w:abstractNum w:abstractNumId="320">
    <w:nsid w:val="FA085B0"/>
    <w:multiLevelType w:val="hybridMultilevel"/>
    <w:lvl w:ilvl="0">
      <w:lvlJc w:val="left"/>
      <w:lvlText w:val="(%1)"/>
      <w:numFmt w:val="lowerLetter"/>
      <w:start w:val="1"/>
    </w:lvl>
  </w:abstractNum>
  <w:abstractNum w:abstractNumId="321">
    <w:nsid w:val="4E5DCB5"/>
    <w:multiLevelType w:val="hybridMultilevel"/>
    <w:lvl w:ilvl="0">
      <w:lvlJc w:val="left"/>
      <w:lvlText w:val="(%1)"/>
      <w:numFmt w:val="lowerLetter"/>
      <w:start w:val="10"/>
    </w:lvl>
  </w:abstractNum>
  <w:abstractNum w:abstractNumId="322">
    <w:nsid w:val="41E96BDB"/>
    <w:multiLevelType w:val="hybridMultilevel"/>
    <w:lvl w:ilvl="0">
      <w:lvlJc w:val="left"/>
      <w:lvlText w:val="(%1)"/>
      <w:numFmt w:val="lowerLetter"/>
      <w:start w:val="2"/>
    </w:lvl>
  </w:abstractNum>
  <w:abstractNum w:abstractNumId="323">
    <w:nsid w:val="331C4250"/>
    <w:multiLevelType w:val="hybridMultilevel"/>
    <w:lvl w:ilvl="0">
      <w:lvlJc w:val="left"/>
      <w:lvlText w:val="%1."/>
      <w:numFmt w:val="decimal"/>
      <w:start w:val="1"/>
    </w:lvl>
  </w:abstractNum>
  <w:abstractNum w:abstractNumId="324">
    <w:nsid w:val="1B1493C2"/>
    <w:multiLevelType w:val="hybridMultilevel"/>
    <w:lvl w:ilvl="0">
      <w:lvlJc w:val="left"/>
      <w:lvlText w:val="%1."/>
      <w:numFmt w:val="decimal"/>
      <w:start w:val="1"/>
    </w:lvl>
  </w:abstractNum>
  <w:abstractNum w:abstractNumId="325">
    <w:nsid w:val="39F06DFD"/>
    <w:multiLevelType w:val="hybridMultilevel"/>
    <w:lvl w:ilvl="0">
      <w:lvlJc w:val="left"/>
      <w:lvlText w:val="%1."/>
      <w:numFmt w:val="decimal"/>
      <w:start w:val="8"/>
    </w:lvl>
    <w:lvl w:ilvl="1">
      <w:lvlJc w:val="left"/>
      <w:lvlText w:val="(%2)"/>
      <w:numFmt w:val="lowerLetter"/>
      <w:start w:val="1"/>
    </w:lvl>
  </w:abstractNum>
  <w:abstractNum w:abstractNumId="326">
    <w:nsid w:val="14802F5D"/>
    <w:multiLevelType w:val="hybridMultilevel"/>
    <w:lvl w:ilvl="0">
      <w:lvlJc w:val="left"/>
      <w:lvlText w:val="1"/>
      <w:numFmt w:val="bullet"/>
      <w:start w:val="1"/>
    </w:lvl>
  </w:abstractNum>
  <w:abstractNum w:abstractNumId="327">
    <w:nsid w:val="2774A209"/>
    <w:multiLevelType w:val="hybridMultilevel"/>
    <w:lvl w:ilvl="0">
      <w:lvlJc w:val="left"/>
      <w:lvlText w:val="%1."/>
      <w:numFmt w:val="decimal"/>
      <w:start w:val="1"/>
    </w:lvl>
  </w:abstractNum>
  <w:abstractNum w:abstractNumId="328">
    <w:nsid w:val="3785655A"/>
    <w:multiLevelType w:val="hybridMultilevel"/>
    <w:lvl w:ilvl="0">
      <w:lvlJc w:val="left"/>
      <w:lvlText w:val="%1"/>
      <w:numFmt w:val="decimal"/>
      <w:start w:val="1"/>
    </w:lvl>
    <w:lvl w:ilvl="1">
      <w:lvlJc w:val="left"/>
      <w:lvlText w:val="%2."/>
      <w:numFmt w:val="decimal"/>
      <w:start w:val="1"/>
    </w:lvl>
  </w:abstractNum>
  <w:abstractNum w:abstractNumId="329">
    <w:nsid w:val="B2172A"/>
    <w:multiLevelType w:val="hybridMultilevel"/>
    <w:lvl w:ilvl="0">
      <w:lvlJc w:val="left"/>
      <w:lvlText w:val="%1."/>
      <w:numFmt w:val="decimal"/>
      <w:start w:val="2"/>
    </w:lvl>
    <w:lvl w:ilvl="1">
      <w:lvlJc w:val="left"/>
      <w:lvlText w:val="%2"/>
      <w:numFmt w:val="decimal"/>
      <w:start w:val="1"/>
    </w:lvl>
  </w:abstractNum>
  <w:abstractNum w:abstractNumId="330">
    <w:nsid w:val="532C34A5"/>
    <w:multiLevelType w:val="hybridMultilevel"/>
    <w:lvl w:ilvl="0">
      <w:lvlJc w:val="left"/>
      <w:lvlText w:val="1"/>
      <w:numFmt w:val="bullet"/>
      <w:start w:val="1"/>
    </w:lvl>
  </w:abstractNum>
  <w:abstractNum w:abstractNumId="331">
    <w:nsid w:val="102809E2"/>
    <w:multiLevelType w:val="hybridMultilevel"/>
    <w:lvl w:ilvl="0">
      <w:lvlJc w:val="left"/>
      <w:lvlText w:val="2"/>
      <w:numFmt w:val="bullet"/>
      <w:start w:val="1"/>
    </w:lvl>
  </w:abstractNum>
  <w:abstractNum w:abstractNumId="332">
    <w:nsid w:val="3B2125A3"/>
    <w:multiLevelType w:val="hybridMultilevel"/>
    <w:lvl w:ilvl="0">
      <w:lvlJc w:val="left"/>
      <w:lvlText w:val="%1."/>
      <w:numFmt w:val="decimal"/>
      <w:start w:val="1"/>
    </w:lvl>
  </w:abstractNum>
  <w:abstractNum w:abstractNumId="333">
    <w:nsid w:val="AC68FFB"/>
    <w:multiLevelType w:val="hybridMultilevel"/>
    <w:lvl w:ilvl="0">
      <w:lvlJc w:val="left"/>
      <w:lvlText w:val="%1."/>
      <w:numFmt w:val="decimal"/>
      <w:start w:val="3"/>
    </w:lvl>
  </w:abstractNum>
  <w:abstractNum w:abstractNumId="334">
    <w:nsid w:val="63DF3FB7"/>
    <w:multiLevelType w:val="hybridMultilevel"/>
    <w:lvl w:ilvl="0">
      <w:lvlJc w:val="left"/>
      <w:lvlText w:val="1"/>
      <w:numFmt w:val="bullet"/>
      <w:start w:val="1"/>
    </w:lvl>
  </w:abstractNum>
  <w:abstractNum w:abstractNumId="335">
    <w:nsid w:val="64996E13"/>
    <w:multiLevelType w:val="hybridMultilevel"/>
    <w:lvl w:ilvl="0">
      <w:lvlJc w:val="left"/>
      <w:lvlText w:val="2"/>
      <w:numFmt w:val="bullet"/>
      <w:start w:val="1"/>
    </w:lvl>
  </w:abstractNum>
  <w:abstractNum w:abstractNumId="336">
    <w:nsid w:val="57A37D47"/>
    <w:multiLevelType w:val="hybridMultilevel"/>
    <w:lvl w:ilvl="0">
      <w:lvlJc w:val="left"/>
      <w:lvlText w:val="3"/>
      <w:numFmt w:val="bullet"/>
      <w:start w:val="1"/>
    </w:lvl>
  </w:abstractNum>
  <w:abstractNum w:abstractNumId="337">
    <w:nsid w:val="74824D54"/>
    <w:multiLevelType w:val="hybridMultilevel"/>
    <w:lvl w:ilvl="0">
      <w:lvlJc w:val="left"/>
      <w:lvlText w:val="5"/>
      <w:numFmt w:val="bullet"/>
      <w:start w:val="1"/>
    </w:lvl>
  </w:abstractNum>
  <w:abstractNum w:abstractNumId="338">
    <w:nsid w:val="6F00529A"/>
    <w:multiLevelType w:val="hybridMultilevel"/>
    <w:lvl w:ilvl="0">
      <w:lvlJc w:val="left"/>
      <w:lvlText w:val="%1."/>
      <w:numFmt w:val="decimal"/>
      <w:start w:val="1"/>
    </w:lvl>
  </w:abstractNum>
  <w:abstractNum w:abstractNumId="339">
    <w:nsid w:val="805B331"/>
    <w:multiLevelType w:val="hybridMultilevel"/>
    <w:lvl w:ilvl="0">
      <w:lvlJc w:val="left"/>
      <w:lvlText w:val="(%1)"/>
      <w:numFmt w:val="lowerRoman"/>
      <w:start w:val="2"/>
    </w:lvl>
    <w:lvl w:ilvl="1">
      <w:lvlJc w:val="left"/>
      <w:lvlText w:val="%2."/>
      <w:numFmt w:val="decimal"/>
      <w:start w:val="2"/>
    </w:lvl>
  </w:abstractNum>
  <w:abstractNum w:abstractNumId="340">
    <w:nsid w:val="60A1463"/>
    <w:multiLevelType w:val="hybridMultilevel"/>
    <w:lvl w:ilvl="0">
      <w:lvlJc w:val="left"/>
      <w:lvlText w:val="%1."/>
      <w:numFmt w:val="decimal"/>
      <w:start w:val="3"/>
    </w:lvl>
  </w:abstractNum>
  <w:abstractNum w:abstractNumId="341">
    <w:nsid w:val="43773132"/>
    <w:multiLevelType w:val="hybridMultilevel"/>
    <w:lvl w:ilvl="0">
      <w:lvlJc w:val="left"/>
      <w:lvlText w:val="%1."/>
      <w:numFmt w:val="decimal"/>
      <w:start w:val="1"/>
    </w:lvl>
  </w:abstractNum>
  <w:abstractNum w:abstractNumId="342">
    <w:nsid w:val="16AC4B23"/>
    <w:multiLevelType w:val="hybridMultilevel"/>
    <w:lvl w:ilvl="0">
      <w:lvlJc w:val="left"/>
      <w:lvlText w:val="(%1)"/>
      <w:numFmt w:val="lowerRoman"/>
      <w:start w:val="2"/>
    </w:lvl>
  </w:abstractNum>
  <w:abstractNum w:abstractNumId="343">
    <w:nsid w:val="76C44E4E"/>
    <w:multiLevelType w:val="hybridMultilevel"/>
    <w:lvl w:ilvl="0">
      <w:lvlJc w:val="left"/>
      <w:lvlText w:val="%1"/>
      <w:numFmt w:val="decimal"/>
      <w:start w:val="1"/>
    </w:lvl>
    <w:lvl w:ilvl="1">
      <w:lvlJc w:val="left"/>
      <w:lvlText w:val="%2."/>
      <w:numFmt w:val="decimal"/>
      <w:start w:val="1"/>
    </w:lvl>
  </w:abstractNum>
  <w:abstractNum w:abstractNumId="344">
    <w:nsid w:val="E04E6CE"/>
    <w:multiLevelType w:val="hybridMultilevel"/>
    <w:lvl w:ilvl="0">
      <w:lvlJc w:val="left"/>
      <w:lvlText w:val="(%1)"/>
      <w:numFmt w:val="upperLetter"/>
      <w:start w:val="1"/>
    </w:lvl>
  </w:abstractNum>
  <w:abstractNum w:abstractNumId="345">
    <w:nsid w:val="31A9DB76"/>
    <w:multiLevelType w:val="hybridMultilevel"/>
    <w:lvl w:ilvl="0">
      <w:lvlJc w:val="left"/>
      <w:lvlText w:val="(%1)"/>
      <w:numFmt w:val="upperLetter"/>
      <w:start w:val="5"/>
    </w:lvl>
  </w:abstractNum>
  <w:abstractNum w:abstractNumId="346">
    <w:nsid w:val="4C4FFF5B"/>
    <w:multiLevelType w:val="hybridMultilevel"/>
    <w:lvl w:ilvl="0">
      <w:lvlJc w:val="left"/>
      <w:lvlText w:val="1"/>
      <w:numFmt w:val="bullet"/>
      <w:start w:val="1"/>
    </w:lvl>
  </w:abstractNum>
  <w:abstractNum w:abstractNumId="347">
    <w:nsid w:val="51B76675"/>
    <w:multiLevelType w:val="hybridMultilevel"/>
    <w:lvl w:ilvl="0">
      <w:lvlJc w:val="left"/>
      <w:lvlText w:val="(%1)"/>
      <w:numFmt w:val="upperLetter"/>
      <w:start w:val="1"/>
    </w:lvl>
  </w:abstractNum>
  <w:abstractNum w:abstractNumId="348">
    <w:nsid w:val="59A4BA71"/>
    <w:multiLevelType w:val="hybridMultilevel"/>
    <w:lvl w:ilvl="0">
      <w:lvlJc w:val="left"/>
      <w:lvlText w:val="(%1)"/>
      <w:numFmt w:val="upperLetter"/>
      <w:start w:val="5"/>
    </w:lvl>
  </w:abstractNum>
  <w:abstractNum w:abstractNumId="349">
    <w:nsid w:val="450B7FB6"/>
    <w:multiLevelType w:val="hybridMultilevel"/>
    <w:lvl w:ilvl="0">
      <w:lvlJc w:val="left"/>
      <w:lvlText w:val="1"/>
      <w:numFmt w:val="bullet"/>
      <w:start w:val="1"/>
    </w:lvl>
  </w:abstractNum>
  <w:abstractNum w:abstractNumId="350">
    <w:nsid w:val="340BF64D"/>
    <w:multiLevelType w:val="hybridMultilevel"/>
    <w:lvl w:ilvl="0">
      <w:lvlJc w:val="left"/>
      <w:lvlText w:val="1"/>
      <w:numFmt w:val="bullet"/>
      <w:start w:val="1"/>
    </w:lvl>
  </w:abstractNum>
  <w:abstractNum w:abstractNumId="351">
    <w:nsid w:val="69454021"/>
    <w:multiLevelType w:val="hybridMultilevel"/>
    <w:lvl w:ilvl="0">
      <w:lvlJc w:val="left"/>
      <w:lvlText w:val="2"/>
      <w:numFmt w:val="bullet"/>
      <w:start w:val="1"/>
    </w:lvl>
  </w:abstractNum>
  <w:abstractNum w:abstractNumId="352">
    <w:nsid w:val="49F15C6B"/>
    <w:multiLevelType w:val="hybridMultilevel"/>
    <w:lvl w:ilvl="0">
      <w:lvlJc w:val="left"/>
      <w:lvlText w:val="3"/>
      <w:numFmt w:val="bullet"/>
      <w:start w:val="1"/>
    </w:lvl>
  </w:abstractNum>
  <w:abstractNum w:abstractNumId="353">
    <w:nsid w:val="75F56228"/>
    <w:multiLevelType w:val="hybridMultilevel"/>
    <w:lvl w:ilvl="0">
      <w:lvlJc w:val="left"/>
      <w:lvlText w:val="4"/>
      <w:numFmt w:val="bullet"/>
      <w:start w:val="1"/>
    </w:lvl>
  </w:abstractNum>
  <w:abstractNum w:abstractNumId="354">
    <w:nsid w:val="1C618271"/>
    <w:multiLevelType w:val="hybridMultilevel"/>
    <w:lvl w:ilvl="0">
      <w:lvlJc w:val="left"/>
      <w:lvlText w:val="(%1)"/>
      <w:numFmt w:val="upperLetter"/>
      <w:start w:val="1"/>
    </w:lvl>
  </w:abstractNum>
  <w:abstractNum w:abstractNumId="355">
    <w:nsid w:val="6505F02E"/>
    <w:multiLevelType w:val="hybridMultilevel"/>
    <w:lvl w:ilvl="0">
      <w:lvlJc w:val="left"/>
      <w:lvlText w:val="5"/>
      <w:numFmt w:val="bullet"/>
      <w:start w:val="1"/>
    </w:lvl>
  </w:abstractNum>
  <w:abstractNum w:abstractNumId="356">
    <w:nsid w:val="2FE5D025"/>
    <w:multiLevelType w:val="hybridMultilevel"/>
    <w:lvl w:ilvl="0">
      <w:lvlJc w:val="left"/>
      <w:lvlText w:val="6"/>
      <w:numFmt w:val="bullet"/>
      <w:start w:val="1"/>
    </w:lvl>
  </w:abstractNum>
  <w:abstractNum w:abstractNumId="357">
    <w:nsid w:val="30E1B1CF"/>
    <w:multiLevelType w:val="hybridMultilevel"/>
    <w:lvl w:ilvl="0">
      <w:lvlJc w:val="left"/>
      <w:lvlText w:val="(%1)"/>
      <w:numFmt w:val="upperLetter"/>
      <w:start w:val="5"/>
    </w:lvl>
  </w:abstractNum>
  <w:abstractNum w:abstractNumId="358">
    <w:nsid w:val="C7A9237"/>
    <w:multiLevelType w:val="hybridMultilevel"/>
    <w:lvl w:ilvl="0">
      <w:lvlJc w:val="left"/>
      <w:lvlText w:val="7"/>
      <w:numFmt w:val="bullet"/>
      <w:start w:val="1"/>
    </w:lvl>
  </w:abstractNum>
  <w:abstractNum w:abstractNumId="359">
    <w:nsid w:val="676B3580"/>
    <w:multiLevelType w:val="hybridMultilevel"/>
    <w:lvl w:ilvl="0">
      <w:lvlJc w:val="left"/>
      <w:lvlText w:val="8"/>
      <w:numFmt w:val="bullet"/>
      <w:start w:val="1"/>
    </w:lvl>
  </w:abstractNum>
  <w:abstractNum w:abstractNumId="360">
    <w:nsid w:val="3193C8F9"/>
    <w:multiLevelType w:val="hybridMultilevel"/>
    <w:lvl w:ilvl="0">
      <w:lvlJc w:val="left"/>
      <w:lvlText w:val="9"/>
      <w:numFmt w:val="bullet"/>
      <w:start w:val="1"/>
    </w:lvl>
  </w:abstractNum>
  <w:abstractNum w:abstractNumId="361">
    <w:nsid w:val="5FA6C6DC"/>
    <w:multiLevelType w:val="hybridMultilevel"/>
    <w:lvl w:ilvl="0">
      <w:lvlJc w:val="left"/>
      <w:lvlText w:val="%1."/>
      <w:numFmt w:val="decimal"/>
      <w:start w:val="1"/>
    </w:lvl>
  </w:abstractNum>
  <w:abstractNum w:abstractNumId="362">
    <w:nsid w:val="77933F62"/>
    <w:multiLevelType w:val="hybridMultilevel"/>
    <w:lvl w:ilvl="0">
      <w:lvlJc w:val="left"/>
      <w:lvlText w:val="%1."/>
      <w:numFmt w:val="decimal"/>
      <w:start w:val="2"/>
    </w:lvl>
  </w:abstractNum>
  <w:abstractNum w:abstractNumId="363">
    <w:nsid w:val="6CB4EE9C"/>
    <w:multiLevelType w:val="hybridMultilevel"/>
    <w:lvl w:ilvl="0">
      <w:lvlJc w:val="left"/>
      <w:lvlText w:val="%1"/>
      <w:numFmt w:val="decimal"/>
      <w:start w:val="1"/>
    </w:lvl>
    <w:lvl w:ilvl="1">
      <w:lvlJc w:val="left"/>
      <w:lvlText w:val="%2."/>
      <w:numFmt w:val="decimal"/>
      <w:start w:val="3"/>
    </w:lvl>
  </w:abstractNum>
  <w:abstractNum w:abstractNumId="364">
    <w:nsid w:val="6A6D56D7"/>
    <w:multiLevelType w:val="hybridMultilevel"/>
    <w:lvl w:ilvl="0">
      <w:lvlJc w:val="left"/>
      <w:lvlText w:val="%1."/>
      <w:numFmt w:val="decimal"/>
      <w:start w:val="4"/>
    </w:lvl>
    <w:lvl w:ilvl="1">
      <w:lvlJc w:val="left"/>
      <w:lvlText w:val="%2"/>
      <w:numFmt w:val="decimal"/>
      <w:start w:val="1"/>
    </w:lvl>
  </w:abstractNum>
  <w:abstractNum w:abstractNumId="365">
    <w:nsid w:val="5B727F19"/>
    <w:multiLevelType w:val="hybridMultilevel"/>
    <w:lvl w:ilvl="0">
      <w:lvlJc w:val="left"/>
      <w:lvlText w:val="(%1)"/>
      <w:numFmt w:val="lowerRoman"/>
      <w:start w:val="2"/>
    </w:lvl>
  </w:abstractNum>
  <w:abstractNum w:abstractNumId="366">
    <w:nsid w:val="514E5CB0"/>
    <w:multiLevelType w:val="hybridMultilevel"/>
    <w:lvl w:ilvl="0">
      <w:lvlJc w:val="left"/>
      <w:lvlText w:val="(%1)"/>
      <w:numFmt w:val="decimal"/>
      <w:start w:val="1"/>
    </w:lvl>
  </w:abstractNum>
  <w:abstractNum w:abstractNumId="367">
    <w:nsid w:val="4210D41E"/>
    <w:multiLevelType w:val="hybridMultilevel"/>
    <w:lvl w:ilvl="0">
      <w:lvlJc w:val="left"/>
      <w:lvlText w:val="(%1)"/>
      <w:numFmt w:val="decimal"/>
      <w:start w:val="1"/>
    </w:lvl>
  </w:abstractNum>
  <w:abstractNum w:abstractNumId="368">
    <w:nsid w:val="4FF4CC6D"/>
    <w:multiLevelType w:val="hybridMultilevel"/>
    <w:lvl w:ilvl="0">
      <w:lvlJc w:val="left"/>
      <w:lvlText w:val="(%1)"/>
      <w:numFmt w:val="lowerRoman"/>
      <w:start w:val="1"/>
    </w:lvl>
  </w:abstractNum>
  <w:abstractNum w:abstractNumId="369">
    <w:nsid w:val="404EAF4A"/>
    <w:multiLevelType w:val="hybridMultilevel"/>
    <w:lvl w:ilvl="0">
      <w:lvlJc w:val="left"/>
      <w:lvlText w:val="(%1)"/>
      <w:numFmt w:val="lowerLetter"/>
      <w:start w:val="2"/>
    </w:lvl>
  </w:abstractNum>
  <w:abstractNum w:abstractNumId="370">
    <w:nsid w:val="4A16874F"/>
    <w:multiLevelType w:val="hybridMultilevel"/>
    <w:lvl w:ilvl="0">
      <w:lvlJc w:val="left"/>
      <w:lvlText w:val="(%1)"/>
      <w:numFmt w:val="lowerRoman"/>
      <w:start w:val="6"/>
    </w:lvl>
  </w:abstractNum>
  <w:abstractNum w:abstractNumId="371">
    <w:nsid w:val="55FEE0D1"/>
    <w:multiLevelType w:val="hybridMultilevel"/>
    <w:lvl w:ilvl="0">
      <w:lvlJc w:val="left"/>
      <w:lvlText w:val="(%1)"/>
      <w:numFmt w:val="lowerLetter"/>
      <w:start w:val="9"/>
    </w:lvl>
  </w:abstractNum>
  <w:abstractNum w:abstractNumId="372">
    <w:nsid w:val="3C5E07C"/>
    <w:multiLevelType w:val="hybridMultilevel"/>
    <w:lvl w:ilvl="0">
      <w:lvlJc w:val="left"/>
      <w:lvlText w:val="(%1)"/>
      <w:numFmt w:val="lowerLetter"/>
      <w:start w:val="4"/>
    </w:lvl>
  </w:abstractNum>
  <w:abstractNum w:abstractNumId="373">
    <w:nsid w:val="60C2D273"/>
    <w:multiLevelType w:val="hybridMultilevel"/>
    <w:lvl w:ilvl="0">
      <w:lvlJc w:val="left"/>
      <w:lvlText w:val="(%1)"/>
      <w:numFmt w:val="lowerLetter"/>
      <w:start w:val="1"/>
    </w:lvl>
  </w:abstractNum>
  <w:abstractNum w:abstractNumId="374">
    <w:nsid w:val="4CC32F1F"/>
    <w:multiLevelType w:val="hybridMultilevel"/>
    <w:lvl w:ilvl="0">
      <w:lvlJc w:val="left"/>
      <w:lvlText w:val="(%1)"/>
      <w:numFmt w:val="lowerLetter"/>
      <w:start w:val="6"/>
    </w:lvl>
  </w:abstractNum>
  <w:abstractNum w:abstractNumId="375">
    <w:nsid w:val="11CAC74A"/>
    <w:multiLevelType w:val="hybridMultilevel"/>
    <w:lvl w:ilvl="0">
      <w:lvlJc w:val="left"/>
      <w:lvlText w:val="(%1)"/>
      <w:numFmt w:val="lowerLetter"/>
      <w:start w:val="3"/>
    </w:lvl>
  </w:abstractNum>
  <w:abstractNum w:abstractNumId="376">
    <w:nsid w:val="126CADE9"/>
    <w:multiLevelType w:val="hybridMultilevel"/>
    <w:lvl w:ilvl="0">
      <w:lvlJc w:val="left"/>
      <w:lvlText w:val="(%1)"/>
      <w:numFmt w:val="upperLetter"/>
      <w:start w:val="1"/>
    </w:lvl>
  </w:abstractNum>
  <w:abstractNum w:abstractNumId="377">
    <w:nsid w:val="19132E7B"/>
    <w:multiLevelType w:val="hybridMultilevel"/>
    <w:lvl w:ilvl="0">
      <w:lvlJc w:val="left"/>
      <w:lvlText w:val="(%1)"/>
      <w:numFmt w:val="upperLetter"/>
      <w:start w:val="2"/>
    </w:lvl>
  </w:abstractNum>
  <w:abstractNum w:abstractNumId="378">
    <w:nsid w:val="63822DC0"/>
    <w:multiLevelType w:val="hybridMultilevel"/>
    <w:lvl w:ilvl="0">
      <w:lvlJc w:val="left"/>
      <w:lvlText w:val="(%1)"/>
      <w:numFmt w:val="lowerLetter"/>
      <w:start w:val="2"/>
    </w:lvl>
  </w:abstractNum>
  <w:abstractNum w:abstractNumId="379">
    <w:nsid w:val="6C11685A"/>
    <w:multiLevelType w:val="hybridMultilevel"/>
    <w:lvl w:ilvl="0">
      <w:lvlJc w:val="left"/>
      <w:lvlText w:val="(%1)"/>
      <w:numFmt w:val="lowerLetter"/>
      <w:start w:val="1"/>
    </w:lvl>
  </w:abstractNum>
  <w:abstractNum w:abstractNumId="380">
    <w:nsid w:val="5E1EAE31"/>
    <w:multiLevelType w:val="hybridMultilevel"/>
    <w:lvl w:ilvl="0">
      <w:lvlJc w:val="left"/>
      <w:lvlText w:val="(%1)"/>
      <w:numFmt w:val="lowerLetter"/>
      <w:start w:val="8"/>
    </w:lvl>
  </w:abstractNum>
  <w:abstractNum w:abstractNumId="381">
    <w:nsid w:val="178E240D"/>
    <w:multiLevelType w:val="hybridMultilevel"/>
    <w:lvl w:ilvl="0">
      <w:lvlJc w:val="left"/>
      <w:lvlText w:val="%1"/>
      <w:numFmt w:val="lowerRoman"/>
      <w:start w:val="1"/>
    </w:lvl>
    <w:lvl w:ilvl="1">
      <w:lvlJc w:val="left"/>
      <w:lvlText w:val="(%2)"/>
      <w:numFmt w:val="lowerLetter"/>
      <w:start w:val="17"/>
    </w:lvl>
  </w:abstractNum>
  <w:abstractNum w:abstractNumId="382">
    <w:nsid w:val="5556A87B"/>
    <w:multiLevelType w:val="hybridMultilevel"/>
    <w:lvl w:ilvl="0">
      <w:lvlJc w:val="left"/>
      <w:lvlText w:val="(%1)"/>
      <w:numFmt w:val="lowerRoman"/>
      <w:start w:val="8"/>
    </w:lvl>
    <w:lvl w:ilvl="1">
      <w:lvlJc w:val="left"/>
      <w:lvlText w:val="(%2)"/>
      <w:numFmt w:val="lowerLetter"/>
      <w:start w:val="18"/>
    </w:lvl>
  </w:abstractNum>
  <w:abstractNum w:abstractNumId="383">
    <w:nsid w:val="28100A9C"/>
    <w:multiLevelType w:val="hybridMultilevel"/>
    <w:lvl w:ilvl="0">
      <w:lvlJc w:val="left"/>
      <w:lvlText w:val="%1"/>
      <w:numFmt w:val="lowerLetter"/>
      <w:start w:val="1"/>
    </w:lvl>
    <w:lvl w:ilvl="1">
      <w:lvlJc w:val="left"/>
      <w:lvlText w:val="(%2)"/>
      <w:numFmt w:val="lowerLetter"/>
      <w:start w:val="2"/>
    </w:lvl>
  </w:abstractNum>
  <w:abstractNum w:abstractNumId="384">
    <w:nsid w:val="D838636"/>
    <w:multiLevelType w:val="hybridMultilevel"/>
    <w:lvl w:ilvl="0">
      <w:lvlJc w:val="left"/>
      <w:lvlText w:val="(%1)"/>
      <w:numFmt w:val="lowerLetter"/>
      <w:start w:val="9"/>
    </w:lvl>
    <w:lvl w:ilvl="1">
      <w:lvlJc w:val="left"/>
      <w:lvlText w:val="(%2)"/>
      <w:numFmt w:val="lowerLetter"/>
      <w:start w:val="3"/>
    </w:lvl>
  </w:abstractNum>
  <w:abstractNum w:abstractNumId="385">
    <w:nsid w:val="71B82AED"/>
    <w:multiLevelType w:val="hybridMultilevel"/>
    <w:lvl w:ilvl="0">
      <w:lvlJc w:val="left"/>
      <w:lvlText w:val="(%1)"/>
      <w:numFmt w:val="lowerLetter"/>
      <w:start w:val="1"/>
    </w:lvl>
  </w:abstractNum>
  <w:abstractNum w:abstractNumId="386">
    <w:nsid w:val="D15FACA"/>
    <w:multiLevelType w:val="hybridMultilevel"/>
    <w:lvl w:ilvl="0">
      <w:lvlJc w:val="left"/>
      <w:lvlText w:val="(%1)"/>
      <w:numFmt w:val="lowerLetter"/>
      <w:start w:val="2"/>
    </w:lvl>
  </w:abstractNum>
  <w:abstractNum w:abstractNumId="387">
    <w:nsid w:val="3D69565B"/>
    <w:multiLevelType w:val="hybridMultilevel"/>
    <w:lvl w:ilvl="0">
      <w:lvlJc w:val="left"/>
      <w:lvlText w:val="(%1)"/>
      <w:numFmt w:val="lowerLetter"/>
      <w:start w:val="2"/>
    </w:lvl>
  </w:abstractNum>
  <w:abstractNum w:abstractNumId="388">
    <w:nsid w:val="2299DCBC"/>
    <w:multiLevelType w:val="hybridMultilevel"/>
    <w:lvl w:ilvl="0">
      <w:lvlJc w:val="left"/>
      <w:lvlText w:val="(%1)"/>
      <w:numFmt w:val="lowerLetter"/>
      <w:start w:val="2"/>
    </w:lvl>
  </w:abstractNum>
  <w:abstractNum w:abstractNumId="389">
    <w:nsid w:val="19908D02"/>
    <w:multiLevelType w:val="hybridMultilevel"/>
    <w:lvl w:ilvl="0">
      <w:lvlJc w:val="left"/>
      <w:lvlText w:val="(%1)"/>
      <w:numFmt w:val="lowerLetter"/>
      <w:start w:val="2"/>
    </w:lvl>
  </w:abstractNum>
  <w:abstractNum w:abstractNumId="390">
    <w:nsid w:val="24D48BDB"/>
    <w:multiLevelType w:val="hybridMultilevel"/>
    <w:lvl w:ilvl="0">
      <w:lvlJc w:val="left"/>
      <w:lvlText w:val="(%1)"/>
      <w:numFmt w:val="lowerLetter"/>
      <w:start w:val="3"/>
    </w:lvl>
  </w:abstractNum>
  <w:abstractNum w:abstractNumId="391">
    <w:nsid w:val="542DA5B5"/>
    <w:multiLevelType w:val="hybridMultilevel"/>
    <w:lvl w:ilvl="0">
      <w:lvlJc w:val="left"/>
      <w:lvlText w:val="%1"/>
      <w:numFmt w:val="upperLetter"/>
      <w:start w:val="1"/>
    </w:lvl>
    <w:lvl w:ilvl="1">
      <w:lvlJc w:val="left"/>
      <w:lvlText w:val="(%2)"/>
      <w:numFmt w:val="lowerRoman"/>
      <w:start w:val="1"/>
    </w:lvl>
  </w:abstractNum>
  <w:abstractNum w:abstractNumId="392">
    <w:nsid w:val="793753DE"/>
    <w:multiLevelType w:val="hybridMultilevel"/>
    <w:lvl w:ilvl="0">
      <w:lvlJc w:val="left"/>
      <w:lvlText w:val="(%1)"/>
      <w:numFmt w:val="upperLetter"/>
      <w:start w:val="2"/>
    </w:lvl>
    <w:lvl w:ilvl="1">
      <w:lvlJc w:val="left"/>
      <w:lvlText w:val="(%2)"/>
      <w:numFmt w:val="lowerRoman"/>
      <w:start w:val="2"/>
    </w:lvl>
  </w:abstractNum>
  <w:abstractNum w:abstractNumId="393">
    <w:nsid w:val="1C67CB3D"/>
    <w:multiLevelType w:val="hybridMultilevel"/>
    <w:lvl w:ilvl="0">
      <w:lvlJc w:val="left"/>
      <w:lvlText w:val="(%1)"/>
      <w:numFmt w:val="lowerLetter"/>
      <w:start w:val="2"/>
    </w:lvl>
  </w:abstractNum>
  <w:abstractNum w:abstractNumId="394">
    <w:nsid w:val="40E29452"/>
    <w:multiLevelType w:val="hybridMultilevel"/>
    <w:lvl w:ilvl="0">
      <w:lvlJc w:val="left"/>
      <w:lvlText w:val="(%1)"/>
      <w:numFmt w:val="lowerLetter"/>
      <w:start w:val="5"/>
    </w:lvl>
  </w:abstractNum>
  <w:abstractNum w:abstractNumId="395">
    <w:nsid w:val="63A4AAB6"/>
    <w:multiLevelType w:val="hybridMultilevel"/>
    <w:lvl w:ilvl="0">
      <w:lvlJc w:val="left"/>
      <w:lvlText w:val="(%1)"/>
      <w:numFmt w:val="lowerLetter"/>
      <w:start w:val="2"/>
    </w:lvl>
  </w:abstractNum>
  <w:abstractNum w:abstractNumId="396">
    <w:nsid w:val="77DA4A57"/>
    <w:multiLevelType w:val="hybridMultilevel"/>
    <w:lvl w:ilvl="0">
      <w:lvlJc w:val="left"/>
      <w:lvlText w:val="(%1)"/>
      <w:numFmt w:val="lowerLetter"/>
      <w:start w:val="3"/>
    </w:lvl>
  </w:abstractNum>
  <w:abstractNum w:abstractNumId="397">
    <w:nsid w:val="1230F102"/>
    <w:multiLevelType w:val="hybridMultilevel"/>
    <w:lvl w:ilvl="0">
      <w:lvlJc w:val="left"/>
      <w:lvlText w:val="(%1)"/>
      <w:numFmt w:val="lowerLetter"/>
      <w:start w:val="7"/>
    </w:lvl>
  </w:abstractNum>
  <w:abstractNum w:abstractNumId="398">
    <w:nsid w:val="25B57ED4"/>
    <w:multiLevelType w:val="hybridMultilevel"/>
    <w:lvl w:ilvl="0">
      <w:lvlJc w:val="left"/>
      <w:lvlText w:val="(%1)"/>
      <w:numFmt w:val="lowerRoman"/>
      <w:start w:val="1"/>
    </w:lvl>
  </w:abstractNum>
  <w:abstractNum w:abstractNumId="399">
    <w:nsid w:val="47CF16C4"/>
    <w:multiLevelType w:val="hybridMultilevel"/>
    <w:lvl w:ilvl="0">
      <w:lvlJc w:val="left"/>
      <w:lvlText w:val="(%1)"/>
      <w:numFmt w:val="lowerLetter"/>
      <w:start w:val="2"/>
    </w:lvl>
  </w:abstractNum>
  <w:abstractNum w:abstractNumId="400">
    <w:nsid w:val="527FA04C"/>
    <w:multiLevelType w:val="hybridMultilevel"/>
    <w:lvl w:ilvl="0">
      <w:lvlJc w:val="left"/>
      <w:lvlText w:val="%1"/>
      <w:numFmt w:val="lowerLetter"/>
      <w:start w:val="1"/>
    </w:lvl>
    <w:lvl w:ilvl="1">
      <w:lvlJc w:val="left"/>
      <w:lvlText w:val="(%2)"/>
      <w:numFmt w:val="lowerLetter"/>
      <w:start w:val="2"/>
    </w:lvl>
  </w:abstractNum>
  <w:abstractNum w:abstractNumId="401">
    <w:nsid w:val="6FCC0624"/>
    <w:multiLevelType w:val="hybridMultilevel"/>
    <w:lvl w:ilvl="0">
      <w:lvlJc w:val="left"/>
      <w:lvlText w:val="(%1)"/>
      <w:numFmt w:val="lowerLetter"/>
      <w:start w:val="9"/>
    </w:lvl>
    <w:lvl w:ilvl="1">
      <w:lvlJc w:val="left"/>
      <w:lvlText w:val="(%2)"/>
      <w:numFmt w:val="lowerLetter"/>
      <w:start w:val="4"/>
    </w:lvl>
  </w:abstractNum>
  <w:abstractNum w:abstractNumId="402">
    <w:nsid w:val="1DCDF795"/>
    <w:multiLevelType w:val="hybridMultilevel"/>
    <w:lvl w:ilvl="0">
      <w:lvlJc w:val="left"/>
      <w:lvlText w:val="(%1)"/>
      <w:numFmt w:val="upperLetter"/>
      <w:start w:val="1"/>
    </w:lvl>
  </w:abstractNum>
  <w:abstractNum w:abstractNumId="403">
    <w:nsid w:val="564580C8"/>
    <w:multiLevelType w:val="hybridMultilevel"/>
    <w:lvl w:ilvl="0">
      <w:lvlJc w:val="left"/>
      <w:lvlText w:val="(%1)"/>
      <w:numFmt w:val="lowerLetter"/>
      <w:start w:val="5"/>
    </w:lvl>
  </w:abstractNum>
  <w:abstractNum w:abstractNumId="404">
    <w:nsid w:val="508ED897"/>
    <w:multiLevelType w:val="hybridMultilevel"/>
    <w:lvl w:ilvl="0">
      <w:lvlJc w:val="left"/>
      <w:lvlText w:val="(%1)"/>
      <w:numFmt w:val="lowerLetter"/>
      <w:start w:val="8"/>
    </w:lvl>
  </w:abstractNum>
  <w:abstractNum w:abstractNumId="405">
    <w:nsid w:val="6A9126B5"/>
    <w:multiLevelType w:val="hybridMultilevel"/>
    <w:lvl w:ilvl="0">
      <w:lvlJc w:val="left"/>
      <w:lvlText w:val="(%1)"/>
      <w:numFmt w:val="lowerLetter"/>
      <w:start w:val="1"/>
    </w:lvl>
  </w:abstractNum>
  <w:abstractNum w:abstractNumId="406">
    <w:nsid w:val="68104812"/>
    <w:multiLevelType w:val="hybridMultilevel"/>
    <w:lvl w:ilvl="0">
      <w:lvlJc w:val="left"/>
      <w:lvlText w:val="(%1)"/>
      <w:numFmt w:val="lowerLetter"/>
      <w:start w:val="2"/>
    </w:lvl>
  </w:abstractNum>
  <w:abstractNum w:abstractNumId="407">
    <w:nsid w:val="62FB8680"/>
    <w:multiLevelType w:val="hybridMultilevel"/>
    <w:lvl w:ilvl="0">
      <w:lvlJc w:val="left"/>
      <w:lvlText w:val="(%1)"/>
      <w:numFmt w:val="lowerLetter"/>
      <w:start w:val="1"/>
    </w:lvl>
  </w:abstractNum>
  <w:abstractNum w:abstractNumId="408">
    <w:nsid w:val="3A45530"/>
    <w:multiLevelType w:val="hybridMultilevel"/>
    <w:lvl w:ilvl="0">
      <w:lvlJc w:val="left"/>
      <w:lvlText w:val="(%1)"/>
      <w:numFmt w:val="lowerLetter"/>
      <w:start w:val="4"/>
    </w:lvl>
  </w:abstractNum>
  <w:abstractNum w:abstractNumId="409">
    <w:nsid w:val="4B9275D2"/>
    <w:multiLevelType w:val="hybridMultilevel"/>
    <w:lvl w:ilvl="0">
      <w:lvlJc w:val="left"/>
      <w:lvlText w:val="(%1)"/>
      <w:numFmt w:val="lowerLetter"/>
      <w:start w:val="1"/>
    </w:lvl>
  </w:abstractNum>
  <w:abstractNum w:abstractNumId="410">
    <w:nsid w:val="4F0CEEDB"/>
    <w:multiLevelType w:val="hybridMultilevel"/>
    <w:lvl w:ilvl="0">
      <w:lvlJc w:val="left"/>
      <w:lvlText w:val="(%1)"/>
      <w:numFmt w:val="lowerLetter"/>
      <w:start w:val="1"/>
    </w:lvl>
  </w:abstractNum>
  <w:abstractNum w:abstractNumId="411">
    <w:nsid w:val="61C30361"/>
    <w:multiLevelType w:val="hybridMultilevel"/>
    <w:lvl w:ilvl="0">
      <w:lvlJc w:val="left"/>
      <w:lvlText w:val="%1"/>
      <w:numFmt w:val="lowerLetter"/>
      <w:start w:val="1"/>
    </w:lvl>
    <w:lvl w:ilvl="1">
      <w:lvlJc w:val="left"/>
      <w:lvlText w:val="(%2)"/>
      <w:numFmt w:val="lowerLetter"/>
      <w:start w:val="2"/>
    </w:lvl>
  </w:abstractNum>
  <w:abstractNum w:abstractNumId="412">
    <w:nsid w:val="632099E0"/>
    <w:multiLevelType w:val="hybridMultilevel"/>
    <w:lvl w:ilvl="0">
      <w:lvlJc w:val="left"/>
      <w:lvlText w:val="(%1)"/>
      <w:numFmt w:val="lowerLetter"/>
      <w:start w:val="9"/>
    </w:lvl>
    <w:lvl w:ilvl="1">
      <w:lvlJc w:val="left"/>
      <w:lvlText w:val="(%2)"/>
      <w:numFmt w:val="lowerLetter"/>
      <w:start w:val="4"/>
    </w:lvl>
  </w:abstractNum>
  <w:abstractNum w:abstractNumId="413">
    <w:nsid w:val="24639756"/>
    <w:multiLevelType w:val="hybridMultilevel"/>
    <w:lvl w:ilvl="0">
      <w:lvlJc w:val="left"/>
      <w:lvlText w:val="(%1)"/>
      <w:numFmt w:val="lowerLetter"/>
      <w:start w:val="1"/>
    </w:lvl>
  </w:abstractNum>
  <w:abstractNum w:abstractNumId="414">
    <w:nsid w:val="9D30DFD"/>
    <w:multiLevelType w:val="hybridMultilevel"/>
    <w:lvl w:ilvl="0">
      <w:lvlJc w:val="left"/>
      <w:lvlText w:val="(%1)"/>
      <w:numFmt w:val="lowerLetter"/>
      <w:start w:val="2"/>
    </w:lvl>
  </w:abstractNum>
  <w:abstractNum w:abstractNumId="415">
    <w:nsid w:val="70A42016"/>
    <w:multiLevelType w:val="hybridMultilevel"/>
    <w:lvl w:ilvl="0">
      <w:lvlJc w:val="left"/>
      <w:lvlText w:val="(%1)"/>
      <w:numFmt w:val="lowerLetter"/>
      <w:start w:val="1"/>
    </w:lvl>
  </w:abstractNum>
  <w:abstractNum w:abstractNumId="416">
    <w:nsid w:val="161BC243"/>
    <w:multiLevelType w:val="hybridMultilevel"/>
    <w:lvl w:ilvl="0">
      <w:lvlJc w:val="left"/>
      <w:lvlText w:val="%1"/>
      <w:numFmt w:val="upperLetter"/>
      <w:start w:val="1"/>
    </w:lvl>
    <w:lvl w:ilvl="1">
      <w:lvlJc w:val="left"/>
      <w:lvlText w:val="(%2)"/>
      <w:numFmt w:val="lowerLetter"/>
      <w:start w:val="1"/>
    </w:lvl>
  </w:abstractNum>
  <w:abstractNum w:abstractNumId="417">
    <w:nsid w:val="16E908C8"/>
    <w:multiLevelType w:val="hybridMultilevel"/>
    <w:lvl w:ilvl="0">
      <w:lvlJc w:val="left"/>
      <w:lvlText w:val="(%1)"/>
      <w:numFmt w:val="upperLetter"/>
      <w:start w:val="2"/>
    </w:lvl>
    <w:lvl w:ilvl="1">
      <w:lvlJc w:val="left"/>
      <w:lvlText w:val="%2"/>
      <w:numFmt w:val="lowerLetter"/>
      <w:start w:val="1"/>
    </w:lvl>
  </w:abstractNum>
  <w:abstractNum w:abstractNumId="418">
    <w:nsid w:val="2E0D7671"/>
    <w:multiLevelType w:val="hybridMultilevel"/>
    <w:lvl w:ilvl="0">
      <w:lvlJc w:val="left"/>
      <w:lvlText w:val="(%1)"/>
      <w:numFmt w:val="lowerLetter"/>
      <w:start w:val="1"/>
    </w:lvl>
  </w:abstractNum>
  <w:abstractNum w:abstractNumId="419">
    <w:nsid w:val="38B59EFF"/>
    <w:multiLevelType w:val="hybridMultilevel"/>
    <w:lvl w:ilvl="0">
      <w:lvlJc w:val="left"/>
      <w:lvlText w:val="(%1)"/>
      <w:numFmt w:val="lowerLetter"/>
      <w:start w:val="6"/>
    </w:lvl>
  </w:abstractNum>
  <w:abstractNum w:abstractNumId="420">
    <w:nsid w:val="307995CA"/>
    <w:multiLevelType w:val="hybridMultilevel"/>
    <w:lvl w:ilvl="0">
      <w:lvlJc w:val="left"/>
      <w:lvlText w:val="(%1)"/>
      <w:numFmt w:val="lowerRoman"/>
      <w:start w:val="2"/>
    </w:lvl>
  </w:abstractNum>
  <w:abstractNum w:abstractNumId="421">
    <w:nsid w:val="52E2024D"/>
    <w:multiLevelType w:val="hybridMultilevel"/>
    <w:lvl w:ilvl="0">
      <w:lvlJc w:val="left"/>
      <w:lvlText w:val="(%1)"/>
      <w:numFmt w:val="lowerLetter"/>
      <w:start w:val="25"/>
    </w:lvl>
    <w:lvl w:ilvl="1">
      <w:lvlJc w:val="left"/>
      <w:lvlText w:val="(%2)"/>
      <w:numFmt w:val="lowerRoman"/>
      <w:start w:val="1"/>
    </w:lvl>
  </w:abstractNum>
  <w:abstractNum w:abstractNumId="422">
    <w:nsid w:val="CE344B5"/>
    <w:multiLevelType w:val="hybridMultilevel"/>
    <w:lvl w:ilvl="0">
      <w:lvlJc w:val="left"/>
      <w:lvlText w:val="(%1)"/>
      <w:numFmt w:val="upperLetter"/>
      <w:start w:val="4"/>
    </w:lvl>
    <w:lvl w:ilvl="1">
      <w:lvlJc w:val="left"/>
      <w:lvlText w:val="(%2)"/>
      <w:numFmt w:val="lowerRoman"/>
      <w:start w:val="4"/>
    </w:lvl>
  </w:abstractNum>
  <w:abstractNum w:abstractNumId="423">
    <w:nsid w:val="29B0E9A8"/>
    <w:multiLevelType w:val="hybridMultilevel"/>
    <w:lvl w:ilvl="0">
      <w:lvlJc w:val="left"/>
      <w:lvlText w:val="%1"/>
      <w:numFmt w:val="lowerLetter"/>
      <w:start w:val="1"/>
    </w:lvl>
    <w:lvl w:ilvl="1">
      <w:lvlJc w:val="left"/>
      <w:lvlText w:val="(%2)"/>
      <w:numFmt w:val="lowerLetter"/>
      <w:start w:val="2"/>
    </w:lvl>
  </w:abstractNum>
  <w:abstractNum w:abstractNumId="424">
    <w:nsid w:val="6F49CD8A"/>
    <w:multiLevelType w:val="hybridMultilevel"/>
    <w:lvl w:ilvl="0">
      <w:lvlJc w:val="left"/>
      <w:lvlText w:val="(%1)"/>
      <w:numFmt w:val="lowerLetter"/>
      <w:start w:val="24"/>
    </w:lvl>
    <w:lvl w:ilvl="1">
      <w:lvlJc w:val="left"/>
      <w:lvlText w:val="%2"/>
      <w:numFmt w:val="lowerLetter"/>
      <w:start w:val="1"/>
    </w:lvl>
  </w:abstractNum>
  <w:abstractNum w:abstractNumId="425">
    <w:nsid w:val="4DC5D907"/>
    <w:multiLevelType w:val="hybridMultilevel"/>
    <w:lvl w:ilvl="0">
      <w:lvlJc w:val="left"/>
      <w:lvlText w:val="%1"/>
      <w:numFmt w:val="lowerLetter"/>
      <w:start w:val="1"/>
    </w:lvl>
    <w:lvl w:ilvl="1">
      <w:lvlJc w:val="left"/>
      <w:lvlText w:val="(%2)"/>
      <w:numFmt w:val="lowerLetter"/>
      <w:start w:val="1"/>
    </w:lvl>
  </w:abstractNum>
  <w:abstractNum w:abstractNumId="426">
    <w:nsid w:val="D55945E"/>
    <w:multiLevelType w:val="hybridMultilevel"/>
    <w:lvl w:ilvl="0">
      <w:lvlJc w:val="left"/>
      <w:lvlText w:val="(%1)"/>
      <w:numFmt w:val="lowerLetter"/>
      <w:start w:val="61"/>
    </w:lvl>
    <w:lvl w:ilvl="1">
      <w:lvlJc w:val="left"/>
      <w:lvlText w:val="(%2)"/>
      <w:numFmt w:val="lowerLetter"/>
      <w:start w:val="2"/>
    </w:lvl>
  </w:abstractNum>
  <w:abstractNum w:abstractNumId="427">
    <w:nsid w:val="672417E1"/>
    <w:multiLevelType w:val="hybridMultilevel"/>
    <w:lvl w:ilvl="0">
      <w:lvlJc w:val="left"/>
      <w:lvlText w:val="(%1)"/>
      <w:numFmt w:val="lowerLetter"/>
      <w:start w:val="3"/>
    </w:lvl>
  </w:abstractNum>
  <w:abstractNum w:abstractNumId="428">
    <w:nsid w:val="5FF6CA09"/>
    <w:multiLevelType w:val="hybridMultilevel"/>
    <w:lvl w:ilvl="0">
      <w:lvlJc w:val="left"/>
      <w:lvlText w:val="(%1)"/>
      <w:numFmt w:val="lowerRoman"/>
      <w:start w:val="2"/>
    </w:lvl>
  </w:abstractNum>
  <w:abstractNum w:abstractNumId="429">
    <w:nsid w:val="330B1333"/>
    <w:multiLevelType w:val="hybridMultilevel"/>
    <w:lvl w:ilvl="0">
      <w:lvlJc w:val="left"/>
      <w:lvlText w:val="(%1)"/>
      <w:numFmt w:val="upperLetter"/>
      <w:start w:val="1"/>
    </w:lvl>
  </w:abstractNum>
  <w:abstractNum w:abstractNumId="430">
    <w:nsid w:val="2EF32EA6"/>
    <w:multiLevelType w:val="hybridMultilevel"/>
    <w:lvl w:ilvl="0">
      <w:lvlJc w:val="left"/>
      <w:lvlText w:val="(%1)"/>
      <w:numFmt w:val="upperLetter"/>
      <w:start w:val="8"/>
    </w:lvl>
  </w:abstractNum>
  <w:abstractNum w:abstractNumId="431">
    <w:nsid w:val="32766A55"/>
    <w:multiLevelType w:val="hybridMultilevel"/>
    <w:lvl w:ilvl="0">
      <w:lvlJc w:val="left"/>
      <w:lvlText w:val="(%1)"/>
      <w:numFmt w:val="lowerLetter"/>
      <w:start w:val="2"/>
    </w:lvl>
  </w:abstractNum>
  <w:abstractNum w:abstractNumId="432">
    <w:nsid w:val="22D71957"/>
    <w:multiLevelType w:val="hybridMultilevel"/>
    <w:lvl w:ilvl="0">
      <w:lvlJc w:val="left"/>
      <w:lvlText w:val="%1"/>
      <w:numFmt w:val="upperLetter"/>
      <w:start w:val="1"/>
    </w:lvl>
    <w:lvl w:ilvl="1">
      <w:lvlJc w:val="left"/>
      <w:lvlText w:val="(%2)"/>
      <w:numFmt w:val="lowerRoman"/>
      <w:start w:val="1"/>
    </w:lvl>
  </w:abstractNum>
  <w:abstractNum w:abstractNumId="433">
    <w:nsid w:val="4CC1263B"/>
    <w:multiLevelType w:val="hybridMultilevel"/>
    <w:lvl w:ilvl="0">
      <w:lvlJc w:val="left"/>
      <w:lvlText w:val="(%1)"/>
      <w:numFmt w:val="upperLetter"/>
      <w:start w:val="2"/>
    </w:lvl>
    <w:lvl w:ilvl="1">
      <w:lvlJc w:val="left"/>
      <w:lvlText w:val="%2"/>
      <w:numFmt w:val="lowerRoman"/>
      <w:start w:val="1"/>
    </w:lvl>
  </w:abstractNum>
  <w:abstractNum w:abstractNumId="434">
    <w:nsid w:val="8BBEB1D"/>
    <w:multiLevelType w:val="hybridMultilevel"/>
    <w:lvl w:ilvl="0">
      <w:lvlJc w:val="left"/>
      <w:lvlText w:val="(%1)"/>
      <w:numFmt w:val="lowerRoman"/>
      <w:start w:val="2"/>
    </w:lvl>
  </w:abstractNum>
  <w:abstractNum w:abstractNumId="435">
    <w:nsid w:val="7365F1EE"/>
    <w:multiLevelType w:val="hybridMultilevel"/>
    <w:lvl w:ilvl="0">
      <w:lvlJc w:val="left"/>
      <w:lvlText w:val="(%1)"/>
      <w:numFmt w:val="lowerLetter"/>
      <w:start w:val="5"/>
    </w:lvl>
  </w:abstractNum>
  <w:abstractNum w:abstractNumId="436">
    <w:nsid w:val="37524CF0"/>
    <w:multiLevelType w:val="hybridMultilevel"/>
    <w:lvl w:ilvl="0">
      <w:lvlJc w:val="left"/>
      <w:lvlText w:val="(%1)"/>
      <w:numFmt w:val="lowerLetter"/>
      <w:start w:val="2"/>
    </w:lvl>
  </w:abstractNum>
  <w:abstractNum w:abstractNumId="437">
    <w:nsid w:val="70CC332F"/>
    <w:multiLevelType w:val="hybridMultilevel"/>
    <w:lvl w:ilvl="0">
      <w:lvlJc w:val="left"/>
      <w:lvlText w:val="(%1)"/>
      <w:numFmt w:val="lowerLetter"/>
      <w:start w:val="4"/>
    </w:lvl>
  </w:abstractNum>
  <w:abstractNum w:abstractNumId="438">
    <w:nsid w:val="5661786E"/>
    <w:multiLevelType w:val="hybridMultilevel"/>
    <w:lvl w:ilvl="0">
      <w:lvlJc w:val="left"/>
      <w:lvlText w:val="(%1)"/>
      <w:numFmt w:val="lowerLetter"/>
      <w:start w:val="1"/>
    </w:lvl>
  </w:abstractNum>
  <w:abstractNum w:abstractNumId="439">
    <w:nsid w:val="3AF6A220"/>
    <w:multiLevelType w:val="hybridMultilevel"/>
    <w:lvl w:ilvl="0">
      <w:lvlJc w:val="left"/>
      <w:lvlText w:val="(%1)"/>
      <w:numFmt w:val="lowerLetter"/>
      <w:start w:val="2"/>
    </w:lvl>
  </w:abstractNum>
  <w:abstractNum w:abstractNumId="440">
    <w:nsid w:val="3C5EA902"/>
    <w:multiLevelType w:val="hybridMultilevel"/>
    <w:lvl w:ilvl="0">
      <w:lvlJc w:val="left"/>
      <w:lvlText w:val="(%1)"/>
      <w:numFmt w:val="lowerLetter"/>
      <w:start w:val="5"/>
    </w:lvl>
  </w:abstractNum>
  <w:abstractNum w:abstractNumId="441">
    <w:nsid w:val="256E6749"/>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442">
    <w:nsid w:val="1CB9A581"/>
    <w:multiLevelType w:val="hybridMultilevel"/>
    <w:lvl w:ilvl="0">
      <w:lvlJc w:val="left"/>
      <w:lvlText w:val="(%1)"/>
      <w:numFmt w:val="lowerLetter"/>
      <w:start w:val="25"/>
    </w:lvl>
  </w:abstractNum>
  <w:abstractNum w:abstractNumId="443">
    <w:nsid w:val="1F7F42E2"/>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444">
    <w:nsid w:val="49D1FEA0"/>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445">
    <w:nsid w:val="268CB37F"/>
    <w:multiLevelType w:val="hybridMultilevel"/>
    <w:lvl w:ilvl="0">
      <w:lvlJc w:val="left"/>
      <w:lvlText w:val="(%1)"/>
      <w:numFmt w:val="lowerLetter"/>
      <w:start w:val="22"/>
    </w:lvl>
    <w:lvl w:ilvl="1">
      <w:lvlJc w:val="left"/>
      <w:lvlText w:val="(%2)"/>
      <w:numFmt w:val="lowerLetter"/>
      <w:start w:val="3"/>
    </w:lvl>
  </w:abstractNum>
  <w:abstractNum w:abstractNumId="446">
    <w:nsid w:val="102362F8"/>
    <w:multiLevelType w:val="hybridMultilevel"/>
    <w:lvl w:ilvl="0">
      <w:lvlJc w:val="left"/>
      <w:lvlText w:val="(%1)"/>
      <w:numFmt w:val="lowerRoman"/>
      <w:start w:val="2"/>
    </w:lvl>
  </w:abstractNum>
  <w:abstractNum w:abstractNumId="447">
    <w:nsid w:val="5FEDC0E3"/>
    <w:multiLevelType w:val="hybridMultilevel"/>
    <w:lvl w:ilvl="0">
      <w:lvlJc w:val="left"/>
      <w:lvlText w:val="(%1)"/>
      <w:numFmt w:val="lowerLetter"/>
      <w:start w:val="4"/>
    </w:lvl>
  </w:abstractNum>
  <w:abstractNum w:abstractNumId="448">
    <w:nsid w:val="3D75BC47"/>
    <w:multiLevelType w:val="hybridMultilevel"/>
    <w:lvl w:ilvl="0">
      <w:lvlJc w:val="left"/>
      <w:lvlText w:val="(%1)"/>
      <w:numFmt w:val="lowerLetter"/>
      <w:start w:val="1"/>
    </w:lvl>
  </w:abstractNum>
  <w:abstractNum w:abstractNumId="449">
    <w:nsid w:val="3E30D969"/>
    <w:multiLevelType w:val="hybridMultilevel"/>
    <w:lvl w:ilvl="0">
      <w:lvlJc w:val="left"/>
      <w:lvlText w:val="(%1)"/>
      <w:numFmt w:val="lowerLetter"/>
      <w:start w:val="1"/>
    </w:lvl>
    <w:lvl w:ilvl="1">
      <w:lvlJc w:val="left"/>
      <w:lvlText w:val="(%2)"/>
      <w:numFmt w:val="lowerRoman"/>
      <w:start w:val="1"/>
    </w:lvl>
  </w:abstractNum>
  <w:abstractNum w:abstractNumId="450">
    <w:nsid w:val="18A35FE3"/>
    <w:multiLevelType w:val="hybridMultilevel"/>
    <w:lvl w:ilvl="0">
      <w:lvlJc w:val="left"/>
      <w:lvlText w:val="(%1)"/>
      <w:numFmt w:val="lowerLetter"/>
      <w:start w:val="1"/>
    </w:lvl>
  </w:abstractNum>
  <w:abstractNum w:abstractNumId="451">
    <w:nsid w:val="6DEF5211"/>
    <w:multiLevelType w:val="hybridMultilevel"/>
    <w:lvl w:ilvl="0">
      <w:lvlJc w:val="left"/>
      <w:lvlText w:val="(%1)"/>
      <w:numFmt w:val="lowerLetter"/>
      <w:start w:val="3"/>
    </w:lvl>
  </w:abstractNum>
  <w:abstractNum w:abstractNumId="452">
    <w:nsid w:val="1112DBB6"/>
    <w:multiLevelType w:val="hybridMultilevel"/>
    <w:lvl w:ilvl="0">
      <w:lvlJc w:val="left"/>
      <w:lvlText w:val="(%1)"/>
      <w:numFmt w:val="lowerLetter"/>
      <w:start w:val="1"/>
    </w:lvl>
  </w:abstractNum>
  <w:abstractNum w:abstractNumId="453">
    <w:nsid w:val="2586A498"/>
    <w:multiLevelType w:val="hybridMultilevel"/>
    <w:lvl w:ilvl="0">
      <w:lvlJc w:val="left"/>
      <w:lvlText w:val="(%1)"/>
      <w:numFmt w:val="lowerLetter"/>
      <w:start w:val="2"/>
    </w:lvl>
  </w:abstractNum>
  <w:abstractNum w:abstractNumId="454">
    <w:nsid w:val="17A03BB9"/>
    <w:multiLevelType w:val="hybridMultilevel"/>
    <w:lvl w:ilvl="0">
      <w:lvlJc w:val="left"/>
      <w:lvlText w:val="(%1)"/>
      <w:numFmt w:val="lowerLetter"/>
      <w:start w:val="4"/>
    </w:lvl>
  </w:abstractNum>
  <w:abstractNum w:abstractNumId="455">
    <w:nsid w:val="5CA941"/>
    <w:multiLevelType w:val="hybridMultilevel"/>
    <w:lvl w:ilvl="0">
      <w:lvlJc w:val="left"/>
      <w:lvlText w:val="(%1)"/>
      <w:numFmt w:val="lowerLetter"/>
      <w:start w:val="1"/>
    </w:lvl>
  </w:abstractNum>
  <w:abstractNum w:abstractNumId="456">
    <w:nsid w:val="734C7D9F"/>
    <w:multiLevelType w:val="hybridMultilevel"/>
    <w:lvl w:ilvl="0">
      <w:lvlJc w:val="left"/>
      <w:lvlText w:val="(%1)"/>
      <w:numFmt w:val="lowerRoman"/>
      <w:start w:val="1"/>
    </w:lvl>
  </w:abstractNum>
  <w:abstractNum w:abstractNumId="457">
    <w:nsid w:val="24F5D018"/>
    <w:multiLevelType w:val="hybridMultilevel"/>
    <w:lvl w:ilvl="0">
      <w:lvlJc w:val="left"/>
      <w:lvlText w:val="(%1)"/>
      <w:numFmt w:val="lowerRoman"/>
      <w:start w:val="2"/>
    </w:lvl>
  </w:abstractNum>
  <w:abstractNum w:abstractNumId="458">
    <w:nsid w:val="6780C122"/>
    <w:multiLevelType w:val="hybridMultilevel"/>
    <w:lvl w:ilvl="0">
      <w:lvlJc w:val="left"/>
      <w:lvlText w:val="(%1)"/>
      <w:numFmt w:val="lowerLetter"/>
      <w:start w:val="1"/>
    </w:lvl>
  </w:abstractNum>
  <w:abstractNum w:abstractNumId="459">
    <w:nsid w:val="534347A8"/>
    <w:multiLevelType w:val="hybridMultilevel"/>
    <w:lvl w:ilvl="0">
      <w:lvlJc w:val="left"/>
      <w:lvlText w:val="(%1)"/>
      <w:numFmt w:val="lowerLetter"/>
      <w:start w:val="1"/>
    </w:lvl>
  </w:abstractNum>
  <w:abstractNum w:abstractNumId="460">
    <w:nsid w:val="5800E34B"/>
    <w:multiLevelType w:val="hybridMultilevel"/>
    <w:lvl w:ilvl="0">
      <w:lvlJc w:val="left"/>
      <w:lvlText w:val="(%1)"/>
      <w:numFmt w:val="lowerLetter"/>
      <w:start w:val="2"/>
    </w:lvl>
  </w:abstractNum>
  <w:abstractNum w:abstractNumId="461">
    <w:nsid w:val="1673EFC8"/>
    <w:multiLevelType w:val="hybridMultilevel"/>
    <w:lvl w:ilvl="0">
      <w:lvlJc w:val="left"/>
      <w:lvlText w:val="(%1)"/>
      <w:numFmt w:val="lowerLetter"/>
      <w:start w:val="1"/>
    </w:lvl>
  </w:abstractNum>
  <w:abstractNum w:abstractNumId="462">
    <w:nsid w:val="5B9B1FD"/>
    <w:multiLevelType w:val="hybridMultilevel"/>
    <w:lvl w:ilvl="0">
      <w:lvlJc w:val="left"/>
      <w:lvlText w:val="(%1)"/>
      <w:numFmt w:val="lowerLetter"/>
      <w:start w:val="3"/>
    </w:lvl>
  </w:abstractNum>
  <w:abstractNum w:abstractNumId="463">
    <w:nsid w:val="7AD7FCA2"/>
    <w:multiLevelType w:val="hybridMultilevel"/>
    <w:lvl w:ilvl="0">
      <w:lvlJc w:val="left"/>
      <w:lvlText w:val="(%1)"/>
      <w:numFmt w:val="lowerLetter"/>
      <w:start w:val="2"/>
    </w:lvl>
  </w:abstractNum>
  <w:abstractNum w:abstractNumId="464">
    <w:nsid w:val="63351604"/>
    <w:multiLevelType w:val="hybridMultilevel"/>
    <w:lvl w:ilvl="0">
      <w:lvlJc w:val="left"/>
      <w:lvlText w:val="(%1)"/>
      <w:numFmt w:val="lowerLetter"/>
      <w:start w:val="4"/>
    </w:lvl>
  </w:abstractNum>
  <w:abstractNum w:abstractNumId="465">
    <w:nsid w:val="E759D1A"/>
    <w:multiLevelType w:val="hybridMultilevel"/>
    <w:lvl w:ilvl="0">
      <w:lvlJc w:val="left"/>
      <w:lvlText w:val="(%1)"/>
      <w:numFmt w:val="lowerLetter"/>
      <w:start w:val="3"/>
    </w:lvl>
  </w:abstractNum>
  <w:abstractNum w:abstractNumId="466">
    <w:nsid w:val="6E3DEE90"/>
    <w:multiLevelType w:val="hybridMultilevel"/>
    <w:lvl w:ilvl="0">
      <w:lvlJc w:val="left"/>
      <w:lvlText w:val="(%1)"/>
      <w:numFmt w:val="lowerLetter"/>
      <w:start w:val="3"/>
    </w:lvl>
  </w:abstractNum>
  <w:abstractNum w:abstractNumId="467">
    <w:nsid w:val="1A8762F4"/>
    <w:multiLevelType w:val="hybridMultilevel"/>
    <w:lvl w:ilvl="0">
      <w:lvlJc w:val="left"/>
      <w:lvlText w:val="(%1)"/>
      <w:numFmt w:val="lowerLetter"/>
      <w:start w:val="5"/>
    </w:lvl>
  </w:abstractNum>
  <w:abstractNum w:abstractNumId="468">
    <w:nsid w:val="7F41D049"/>
    <w:multiLevelType w:val="hybridMultilevel"/>
    <w:lvl w:ilvl="0">
      <w:lvlJc w:val="left"/>
      <w:lvlText w:val="(%1)"/>
      <w:numFmt w:val="lowerLetter"/>
      <w:start w:val="1"/>
    </w:lvl>
  </w:abstractNum>
  <w:abstractNum w:abstractNumId="469">
    <w:nsid w:val="449F66FE"/>
    <w:multiLevelType w:val="hybridMultilevel"/>
    <w:lvl w:ilvl="0">
      <w:lvlJc w:val="left"/>
      <w:lvlText w:val="(%1)"/>
      <w:numFmt w:val="lowerLetter"/>
      <w:start w:val="7"/>
    </w:lvl>
  </w:abstractNum>
  <w:abstractNum w:abstractNumId="470">
    <w:nsid w:val="557E0515"/>
    <w:multiLevelType w:val="hybridMultilevel"/>
    <w:lvl w:ilvl="0">
      <w:lvlJc w:val="left"/>
      <w:lvlText w:val="(%1)"/>
      <w:numFmt w:val="lowerLetter"/>
      <w:start w:val="2"/>
    </w:lvl>
  </w:abstractNum>
  <w:abstractNum w:abstractNumId="471">
    <w:nsid w:val="3BA0794B"/>
    <w:multiLevelType w:val="hybridMultilevel"/>
    <w:lvl w:ilvl="0">
      <w:lvlJc w:val="left"/>
      <w:lvlText w:val="(%1)"/>
      <w:numFmt w:val="lowerLetter"/>
      <w:start w:val="8"/>
    </w:lvl>
  </w:abstractNum>
  <w:abstractNum w:abstractNumId="472">
    <w:nsid w:val="6A0DCE48"/>
    <w:multiLevelType w:val="hybridMultilevel"/>
    <w:lvl w:ilvl="0">
      <w:lvlJc w:val="left"/>
      <w:lvlText w:val="(%1)"/>
      <w:numFmt w:val="lowerLetter"/>
      <w:start w:val="3"/>
    </w:lvl>
  </w:abstractNum>
  <w:abstractNum w:abstractNumId="473">
    <w:nsid w:val="7237AA96"/>
    <w:multiLevelType w:val="hybridMultilevel"/>
    <w:lvl w:ilvl="0">
      <w:lvlJc w:val="left"/>
      <w:lvlText w:val="(%1)"/>
      <w:numFmt w:val="lowerRoman"/>
      <w:start w:val="1"/>
    </w:lvl>
  </w:abstractNum>
  <w:abstractNum w:abstractNumId="474">
    <w:nsid w:val="5B1FBC2D"/>
    <w:multiLevelType w:val="hybridMultilevel"/>
    <w:lvl w:ilvl="0">
      <w:lvlJc w:val="left"/>
      <w:lvlText w:val="(%1)"/>
      <w:numFmt w:val="lowerLetter"/>
      <w:start w:val="1"/>
    </w:lvl>
  </w:abstractNum>
  <w:abstractNum w:abstractNumId="475">
    <w:nsid w:val="33DFCCE8"/>
    <w:multiLevelType w:val="hybridMultilevel"/>
    <w:lvl w:ilvl="0">
      <w:lvlJc w:val="left"/>
      <w:lvlText w:val="(%1)"/>
      <w:numFmt w:val="lowerLetter"/>
      <w:start w:val="10"/>
    </w:lvl>
  </w:abstractNum>
  <w:abstractNum w:abstractNumId="476">
    <w:nsid w:val="18C45E15"/>
    <w:multiLevelType w:val="hybridMultilevel"/>
    <w:lvl w:ilvl="0">
      <w:lvlJc w:val="left"/>
      <w:lvlText w:val="(%1)"/>
      <w:numFmt w:val="lowerLetter"/>
      <w:start w:val="2"/>
    </w:lvl>
  </w:abstractNum>
  <w:abstractNum w:abstractNumId="477">
    <w:nsid w:val="6B431F25"/>
    <w:multiLevelType w:val="hybridMultilevel"/>
    <w:lvl w:ilvl="0">
      <w:lvlJc w:val="left"/>
      <w:lvlText w:val="%1."/>
      <w:numFmt w:val="decimal"/>
      <w:start w:val="1"/>
    </w:lvl>
  </w:abstractNum>
  <w:abstractNum w:abstractNumId="478">
    <w:nsid w:val="13CD8DCB"/>
    <w:multiLevelType w:val="hybridMultilevel"/>
    <w:lvl w:ilvl="0">
      <w:lvlJc w:val="left"/>
      <w:lvlText w:val="%1."/>
      <w:numFmt w:val="decimal"/>
      <w:start w:val="1"/>
    </w:lvl>
  </w:abstractNum>
  <w:abstractNum w:abstractNumId="479">
    <w:nsid w:val="563A1A5C"/>
    <w:multiLevelType w:val="hybridMultilevel"/>
    <w:lvl w:ilvl="0">
      <w:lvlJc w:val="left"/>
      <w:lvlText w:val="%1."/>
      <w:numFmt w:val="decimal"/>
      <w:start w:val="3"/>
    </w:lvl>
    <w:lvl w:ilvl="1">
      <w:lvlJc w:val="left"/>
      <w:lvlText w:val="(%2)"/>
      <w:numFmt w:val="lowerLetter"/>
      <w:start w:val="1"/>
    </w:lvl>
  </w:abstractNum>
  <w:abstractNum w:abstractNumId="480">
    <w:nsid w:val="2973F88F"/>
    <w:multiLevelType w:val="hybridMultilevel"/>
    <w:lvl w:ilvl="0">
      <w:lvlJc w:val="left"/>
      <w:lvlText w:val="%1."/>
      <w:numFmt w:val="decimal"/>
      <w:start w:val="1"/>
    </w:lvl>
  </w:abstractNum>
  <w:abstractNum w:abstractNumId="481">
    <w:nsid w:val="2C70EDAE"/>
    <w:multiLevelType w:val="hybridMultilevel"/>
    <w:lvl w:ilvl="0">
      <w:lvlJc w:val="left"/>
      <w:lvlText w:val="%1."/>
      <w:numFmt w:val="decimal"/>
      <w:start w:val="4"/>
    </w:lvl>
  </w:abstractNum>
  <w:abstractNum w:abstractNumId="482">
    <w:nsid w:val="44296C6D"/>
    <w:multiLevelType w:val="hybridMultilevel"/>
    <w:lvl w:ilvl="0">
      <w:lvlJc w:val="left"/>
      <w:lvlText w:val="%1"/>
      <w:numFmt w:val="decimal"/>
      <w:start w:val="1"/>
    </w:lvl>
    <w:lvl w:ilvl="1">
      <w:lvlJc w:val="left"/>
      <w:lvlText w:val="%2."/>
      <w:numFmt w:val="decimal"/>
      <w:start w:val="1"/>
    </w:lvl>
  </w:abstractNum>
  <w:abstractNum w:abstractNumId="483">
    <w:nsid w:val="3A86D445"/>
    <w:multiLevelType w:val="hybridMultilevel"/>
    <w:lvl w:ilvl="0">
      <w:lvlJc w:val="left"/>
      <w:lvlText w:val="%1."/>
      <w:numFmt w:val="decimal"/>
      <w:start w:val="2"/>
    </w:lvl>
    <w:lvl w:ilvl="1">
      <w:lvlJc w:val="left"/>
      <w:lvlText w:val="%2"/>
      <w:numFmt w:val="decimal"/>
      <w:start w:val="1"/>
    </w:lvl>
  </w:abstractNum>
  <w:abstractNum w:abstractNumId="484">
    <w:nsid w:val="51F79246"/>
    <w:multiLevelType w:val="hybridMultilevel"/>
    <w:lvl w:ilvl="0">
      <w:lvlJc w:val="left"/>
      <w:lvlText w:val="1"/>
      <w:numFmt w:val="bullet"/>
      <w:start w:val="1"/>
    </w:lvl>
  </w:abstractNum>
  <w:abstractNum w:abstractNumId="485">
    <w:nsid w:val="5BC9A827"/>
    <w:multiLevelType w:val="hybridMultilevel"/>
    <w:lvl w:ilvl="0">
      <w:lvlJc w:val="left"/>
      <w:lvlText w:val="2"/>
      <w:numFmt w:val="bullet"/>
      <w:start w:val="1"/>
    </w:lvl>
  </w:abstractNum>
  <w:abstractNum w:abstractNumId="486">
    <w:nsid w:val="3AE37D86"/>
    <w:multiLevelType w:val="hybridMultilevel"/>
    <w:lvl w:ilvl="0">
      <w:lvlJc w:val="left"/>
      <w:lvlText w:val="%1."/>
      <w:numFmt w:val="decimal"/>
      <w:start w:val="1"/>
    </w:lvl>
  </w:abstractNum>
  <w:abstractNum w:abstractNumId="487">
    <w:nsid w:val="45440FE5"/>
    <w:multiLevelType w:val="hybridMultilevel"/>
    <w:lvl w:ilvl="0">
      <w:lvlJc w:val="left"/>
      <w:lvlText w:val="%1)"/>
      <w:numFmt w:val="decimal"/>
      <w:start w:val="3"/>
    </w:lvl>
  </w:abstractNum>
  <w:abstractNum w:abstractNumId="488">
    <w:nsid w:val="BF783F"/>
    <w:multiLevelType w:val="hybridMultilevel"/>
    <w:lvl w:ilvl="0">
      <w:lvlJc w:val="left"/>
      <w:lvlText w:val="%1."/>
      <w:numFmt w:val="decimal"/>
      <w:start w:val="3"/>
    </w:lvl>
  </w:abstractNum>
  <w:abstractNum w:abstractNumId="489">
    <w:nsid w:val="22643EA9"/>
    <w:multiLevelType w:val="hybridMultilevel"/>
    <w:lvl w:ilvl="0">
      <w:lvlJc w:val="left"/>
      <w:lvlText w:val="4"/>
      <w:numFmt w:val="bullet"/>
      <w:start w:val="1"/>
    </w:lvl>
  </w:abstractNum>
  <w:abstractNum w:abstractNumId="490">
    <w:nsid w:val="1887578D"/>
    <w:multiLevelType w:val="hybridMultilevel"/>
    <w:lvl w:ilvl="0">
      <w:lvlJc w:val="left"/>
      <w:lvlText w:val="5"/>
      <w:numFmt w:val="bullet"/>
      <w:start w:val="1"/>
    </w:lvl>
  </w:abstractNum>
  <w:abstractNum w:abstractNumId="491">
    <w:nsid w:val="58C05B8A"/>
    <w:multiLevelType w:val="hybridMultilevel"/>
    <w:lvl w:ilvl="0">
      <w:lvlJc w:val="left"/>
      <w:lvlText w:val="%1."/>
      <w:numFmt w:val="decimal"/>
      <w:start w:val="1"/>
    </w:lvl>
  </w:abstractNum>
  <w:abstractNum w:abstractNumId="492">
    <w:nsid w:val="38D82E71"/>
    <w:multiLevelType w:val="hybridMultilevel"/>
    <w:lvl w:ilvl="0">
      <w:lvlJc w:val="left"/>
      <w:lvlText w:val="(%1)"/>
      <w:numFmt w:val="lowerRoman"/>
      <w:start w:val="2"/>
    </w:lvl>
  </w:abstractNum>
  <w:abstractNum w:abstractNumId="493">
    <w:nsid w:val="1E41098A"/>
    <w:multiLevelType w:val="hybridMultilevel"/>
    <w:lvl w:ilvl="0">
      <w:lvlJc w:val="left"/>
      <w:lvlText w:val="%1."/>
      <w:numFmt w:val="decimal"/>
      <w:start w:val="2"/>
    </w:lvl>
  </w:abstractNum>
  <w:abstractNum w:abstractNumId="494">
    <w:nsid w:val="5398582C"/>
    <w:multiLevelType w:val="hybridMultilevel"/>
    <w:lvl w:ilvl="0">
      <w:lvlJc w:val="left"/>
      <w:lvlText w:val="%1."/>
      <w:numFmt w:val="decimal"/>
      <w:start w:val="1"/>
    </w:lvl>
  </w:abstractNum>
  <w:abstractNum w:abstractNumId="495">
    <w:nsid w:val="1C0D4475"/>
    <w:multiLevelType w:val="hybridMultilevel"/>
    <w:lvl w:ilvl="0">
      <w:lvlJc w:val="left"/>
      <w:lvlText w:val="(%1)"/>
      <w:numFmt w:val="lowerRoman"/>
      <w:start w:val="2"/>
    </w:lvl>
  </w:abstractNum>
  <w:abstractNum w:abstractNumId="496">
    <w:nsid w:val="2CB6A6A4"/>
    <w:multiLevelType w:val="hybridMultilevel"/>
    <w:lvl w:ilvl="0">
      <w:lvlJc w:val="left"/>
      <w:lvlText w:val="%1."/>
      <w:numFmt w:val="decimal"/>
      <w:start w:val="1"/>
    </w:lvl>
  </w:abstractNum>
  <w:abstractNum w:abstractNumId="497">
    <w:nsid w:val="41D646BC"/>
    <w:multiLevelType w:val="hybridMultilevel"/>
    <w:lvl w:ilvl="0">
      <w:lvlJc w:val="left"/>
      <w:lvlText w:val="(%1)"/>
      <w:numFmt w:val="upperLetter"/>
      <w:start w:val="1"/>
    </w:lvl>
  </w:abstractNum>
  <w:abstractNum w:abstractNumId="498">
    <w:nsid w:val="3694A76A"/>
    <w:multiLevelType w:val="hybridMultilevel"/>
    <w:lvl w:ilvl="0">
      <w:lvlJc w:val="left"/>
      <w:lvlText w:val="(%1)"/>
      <w:numFmt w:val="upperLetter"/>
      <w:start w:val="5"/>
    </w:lvl>
  </w:abstractNum>
  <w:abstractNum w:abstractNumId="499">
    <w:nsid w:val="2BF876EE"/>
    <w:multiLevelType w:val="hybridMultilevel"/>
    <w:lvl w:ilvl="0">
      <w:lvlJc w:val="left"/>
      <w:lvlText w:val="(%1)"/>
      <w:numFmt w:val="upperLetter"/>
      <w:start w:val="6"/>
    </w:lvl>
  </w:abstractNum>
  <w:abstractNum w:abstractNumId="500">
    <w:nsid w:val="675ADBA"/>
    <w:multiLevelType w:val="hybridMultilevel"/>
    <w:lvl w:ilvl="0">
      <w:lvlJc w:val="left"/>
      <w:lvlText w:val="1"/>
      <w:numFmt w:val="bullet"/>
      <w:start w:val="1"/>
    </w:lvl>
  </w:abstractNum>
  <w:abstractNum w:abstractNumId="501">
    <w:nsid w:val="C12AC7F"/>
    <w:multiLevelType w:val="hybridMultilevel"/>
    <w:lvl w:ilvl="0">
      <w:lvlJc w:val="left"/>
      <w:lvlText w:val="2"/>
      <w:numFmt w:val="bullet"/>
      <w:start w:val="1"/>
    </w:lvl>
  </w:abstractNum>
  <w:abstractNum w:abstractNumId="502">
    <w:nsid w:val="6798F039"/>
    <w:multiLevelType w:val="hybridMultilevel"/>
    <w:lvl w:ilvl="0">
      <w:lvlJc w:val="left"/>
      <w:lvlText w:val="(%1)"/>
      <w:numFmt w:val="upperLetter"/>
      <w:start w:val="1"/>
    </w:lvl>
  </w:abstractNum>
  <w:abstractNum w:abstractNumId="503">
    <w:nsid w:val="70837C02"/>
    <w:multiLevelType w:val="hybridMultilevel"/>
    <w:lvl w:ilvl="0">
      <w:lvlJc w:val="left"/>
      <w:lvlText w:val="(%1)"/>
      <w:numFmt w:val="upperLetter"/>
      <w:start w:val="5"/>
    </w:lvl>
  </w:abstractNum>
  <w:abstractNum w:abstractNumId="504">
    <w:nsid w:val="7E4A5715"/>
    <w:multiLevelType w:val="hybridMultilevel"/>
    <w:lvl w:ilvl="0">
      <w:lvlJc w:val="left"/>
      <w:lvlText w:val="(%1)"/>
      <w:numFmt w:val="upperLetter"/>
      <w:start w:val="6"/>
    </w:lvl>
  </w:abstractNum>
  <w:abstractNum w:abstractNumId="505">
    <w:nsid w:val="42B8AC67"/>
    <w:multiLevelType w:val="hybridMultilevel"/>
    <w:lvl w:ilvl="0">
      <w:lvlJc w:val="left"/>
      <w:lvlText w:val="1"/>
      <w:numFmt w:val="bullet"/>
      <w:start w:val="1"/>
    </w:lvl>
  </w:abstractNum>
  <w:abstractNum w:abstractNumId="506">
    <w:nsid w:val="246348EA"/>
    <w:multiLevelType w:val="hybridMultilevel"/>
    <w:lvl w:ilvl="0">
      <w:lvlJc w:val="left"/>
      <w:lvlText w:val="2"/>
      <w:numFmt w:val="bullet"/>
      <w:start w:val="1"/>
    </w:lvl>
  </w:abstractNum>
  <w:abstractNum w:abstractNumId="507">
    <w:nsid w:val="170EB52B"/>
    <w:multiLevelType w:val="hybridMultilevel"/>
    <w:lvl w:ilvl="0">
      <w:lvlJc w:val="left"/>
      <w:lvlText w:val="(%1)"/>
      <w:numFmt w:val="upperLetter"/>
      <w:start w:val="1"/>
    </w:lvl>
  </w:abstractNum>
  <w:abstractNum w:abstractNumId="508">
    <w:nsid w:val="2DFBCB8C"/>
    <w:multiLevelType w:val="hybridMultilevel"/>
    <w:lvl w:ilvl="0">
      <w:lvlJc w:val="left"/>
      <w:lvlText w:val="1"/>
      <w:numFmt w:val="bullet"/>
      <w:start w:val="1"/>
    </w:lvl>
  </w:abstractNum>
  <w:abstractNum w:abstractNumId="509">
    <w:nsid w:val="3830D6B6"/>
    <w:multiLevelType w:val="hybridMultilevel"/>
    <w:lvl w:ilvl="0">
      <w:lvlJc w:val="left"/>
      <w:lvlText w:val="2"/>
      <w:numFmt w:val="bullet"/>
      <w:start w:val="1"/>
    </w:lvl>
  </w:abstractNum>
  <w:abstractNum w:abstractNumId="510">
    <w:nsid w:val="6D48CF87"/>
    <w:multiLevelType w:val="hybridMultilevel"/>
    <w:lvl w:ilvl="0">
      <w:lvlJc w:val="left"/>
      <w:lvlText w:val="3"/>
      <w:numFmt w:val="bullet"/>
      <w:start w:val="1"/>
    </w:lvl>
  </w:abstractNum>
  <w:abstractNum w:abstractNumId="511">
    <w:nsid w:val="576FC41B"/>
    <w:multiLevelType w:val="hybridMultilevel"/>
    <w:lvl w:ilvl="0">
      <w:lvlJc w:val="left"/>
      <w:lvlText w:val="(%1)"/>
      <w:numFmt w:val="upperLetter"/>
      <w:start w:val="4"/>
    </w:lvl>
  </w:abstractNum>
  <w:abstractNum w:abstractNumId="512">
    <w:nsid w:val="64A1C464"/>
    <w:multiLevelType w:val="hybridMultilevel"/>
    <w:lvl w:ilvl="0">
      <w:lvlJc w:val="left"/>
      <w:lvlText w:val="4"/>
      <w:numFmt w:val="bullet"/>
      <w:start w:val="1"/>
    </w:lvl>
  </w:abstractNum>
  <w:abstractNum w:abstractNumId="513">
    <w:nsid w:val="31723BF5"/>
    <w:multiLevelType w:val="hybridMultilevel"/>
    <w:lvl w:ilvl="0">
      <w:lvlJc w:val="left"/>
      <w:lvlText w:val="5"/>
      <w:numFmt w:val="bullet"/>
      <w:start w:val="1"/>
    </w:lvl>
  </w:abstractNum>
  <w:abstractNum w:abstractNumId="514">
    <w:nsid w:val="11F69861"/>
    <w:multiLevelType w:val="hybridMultilevel"/>
    <w:lvl w:ilvl="0">
      <w:lvlJc w:val="left"/>
      <w:lvlText w:val="6"/>
      <w:numFmt w:val="bullet"/>
      <w:start w:val="1"/>
    </w:lvl>
  </w:abstractNum>
  <w:abstractNum w:abstractNumId="515">
    <w:nsid w:val="369956AB"/>
    <w:multiLevelType w:val="hybridMultilevel"/>
    <w:lvl w:ilvl="0">
      <w:lvlJc w:val="left"/>
      <w:lvlText w:val="7"/>
      <w:numFmt w:val="bullet"/>
      <w:start w:val="1"/>
    </w:lvl>
  </w:abstractNum>
  <w:abstractNum w:abstractNumId="516">
    <w:nsid w:val="D3BE41C"/>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2023-03-31T08:27:54Z</dcterms:created>
  <dcterms:modified xsi:type="dcterms:W3CDTF">2023-03-31T08:27:54Z</dcterms:modified>
</cp:coreProperties>
</file>