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6125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1252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63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Ardila Jaime</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0"/>
        <w:spacing w:after="0" w:line="315"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12/31/2011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8"/>
        <w:spacing w:after="0"/>
        <w:rPr>
          <w:sz w:val="20"/>
          <w:szCs w:val="20"/>
          <w:color w:val="auto"/>
        </w:rPr>
      </w:pPr>
      <w:r>
        <w:rPr>
          <w:rFonts w:ascii="Arial" w:cs="Arial" w:eastAsia="Arial" w:hAnsi="Arial"/>
          <w:sz w:val="17"/>
          <w:szCs w:val="17"/>
          <w:color w:val="0000FF"/>
        </w:rPr>
        <w:t>Vice President</w:t>
      </w:r>
    </w:p>
    <w:p>
      <w:pPr>
        <w:spacing w:after="0" w:line="451" w:lineRule="exact"/>
        <w:rPr>
          <w:sz w:val="24"/>
          <w:szCs w:val="24"/>
          <w:color w:val="auto"/>
        </w:rPr>
      </w:pPr>
    </w:p>
    <w:p>
      <w:pPr>
        <w:sectPr>
          <w:pgSz w:w="11900" w:h="16838" w:orient="portrait"/>
          <w:cols w:equalWidth="0" w:num="3">
            <w:col w:w="3340" w:space="720"/>
            <w:col w:w="3262" w:space="720"/>
            <w:col w:w="3478"/>
          </w:cols>
          <w:pgMar w:left="240" w:top="225" w:right="139" w:bottom="635"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6"/>
          </w:tcPr>
          <w:p>
            <w:pPr>
              <w:jc w:val="center"/>
              <w:ind w:right="51"/>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w w:val="95"/>
              </w:rPr>
              <w:t>MI</w:t>
            </w:r>
          </w:p>
        </w:tc>
        <w:tc>
          <w:tcPr>
            <w:tcW w:w="102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6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12/31/2011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85"/>
              </w:rPr>
              <w:t>1,548</w:t>
            </w:r>
            <w:r>
              <w:rPr>
                <w:rFonts w:ascii="Arial" w:cs="Arial" w:eastAsia="Arial" w:hAnsi="Arial"/>
                <w:sz w:val="22"/>
                <w:szCs w:val="22"/>
                <w:color w:val="008000"/>
                <w:w w:val="85"/>
                <w:vertAlign w:val="superscript"/>
              </w:rPr>
              <w:t>(2)</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25,175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12/31/2011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91"/>
              </w:rPr>
              <w:t>449</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20.21</w:t>
            </w:r>
            <w:r>
              <w:rPr>
                <w:rFonts w:ascii="Arial" w:cs="Arial" w:eastAsia="Arial" w:hAnsi="Arial"/>
                <w:sz w:val="22"/>
                <w:szCs w:val="22"/>
                <w:color w:val="008000"/>
                <w:w w:val="88"/>
                <w:vertAlign w:val="superscript"/>
              </w:rPr>
              <w:t>(3)</w:t>
            </w: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24,726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12/31/2011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9"/>
              </w:rPr>
              <w:t>1,604</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26,330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12/31/2011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91"/>
              </w:rPr>
              <w:t>466</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20.21</w:t>
            </w:r>
            <w:r>
              <w:rPr>
                <w:rFonts w:ascii="Arial" w:cs="Arial" w:eastAsia="Arial" w:hAnsi="Arial"/>
                <w:sz w:val="22"/>
                <w:szCs w:val="22"/>
                <w:color w:val="008000"/>
                <w:w w:val="88"/>
                <w:vertAlign w:val="superscript"/>
              </w:rPr>
              <w:t>(3)</w:t>
            </w: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25,864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(5)</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12/31/2011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9"/>
              </w:rPr>
              <w:t>9,897</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35,761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60" w:type="dxa"/>
            <w:vAlign w:val="bottom"/>
            <w:gridSpan w:val="10"/>
          </w:tcPr>
          <w:p>
            <w:pPr>
              <w:jc w:val="center"/>
              <w:ind w:left="4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jc w:val="center"/>
              <w:ind w:right="39"/>
              <w:spacing w:after="0"/>
              <w:rPr>
                <w:sz w:val="20"/>
                <w:szCs w:val="20"/>
                <w:color w:val="auto"/>
              </w:rPr>
            </w:pPr>
            <w:r>
              <w:rPr>
                <w:rFonts w:ascii="Arial" w:cs="Arial" w:eastAsia="Arial" w:hAnsi="Arial"/>
                <w:sz w:val="13"/>
                <w:szCs w:val="13"/>
                <w:color w:val="0000FF"/>
              </w:rPr>
              <w:t>1,548</w:t>
            </w:r>
            <w:r>
              <w:rPr>
                <w:rFonts w:ascii="Arial" w:cs="Arial" w:eastAsia="Arial" w:hAnsi="Arial"/>
                <w:sz w:val="22"/>
                <w:szCs w:val="22"/>
                <w:color w:val="008000"/>
                <w:vertAlign w:val="superscript"/>
              </w:rPr>
              <w:t>(2)</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5"/>
              </w:rPr>
              <w:t>1,548</w:t>
            </w:r>
            <w:r>
              <w:rPr>
                <w:rFonts w:ascii="Arial" w:cs="Arial" w:eastAsia="Arial" w:hAnsi="Arial"/>
                <w:sz w:val="22"/>
                <w:szCs w:val="22"/>
                <w:color w:val="008000"/>
                <w:w w:val="85"/>
                <w:vertAlign w:val="superscript"/>
              </w:rPr>
              <w:t>(2)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12/31/2011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780" w:type="dxa"/>
            <w:vAlign w:val="bottom"/>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299"/>
              <w:spacing w:after="0"/>
              <w:rPr>
                <w:sz w:val="20"/>
                <w:szCs w:val="20"/>
                <w:color w:val="auto"/>
              </w:rPr>
            </w:pPr>
            <w:r>
              <w:rPr>
                <w:rFonts w:ascii="Arial" w:cs="Arial" w:eastAsia="Arial" w:hAnsi="Arial"/>
                <w:sz w:val="11"/>
                <w:szCs w:val="11"/>
                <w:color w:val="008000"/>
              </w:rPr>
              <w:t>(3)</w:t>
            </w:r>
          </w:p>
        </w:tc>
        <w:tc>
          <w:tcPr>
            <w:tcW w:w="600" w:type="dxa"/>
            <w:vAlign w:val="bottom"/>
          </w:tcPr>
          <w:p>
            <w:pPr>
              <w:ind w:left="260"/>
              <w:spacing w:after="0"/>
              <w:rPr>
                <w:sz w:val="20"/>
                <w:szCs w:val="20"/>
                <w:color w:val="auto"/>
              </w:rPr>
            </w:pPr>
            <w:r>
              <w:rPr>
                <w:rFonts w:ascii="Arial" w:cs="Arial" w:eastAsia="Arial" w:hAnsi="Arial"/>
                <w:sz w:val="13"/>
                <w:szCs w:val="13"/>
                <w:color w:val="0000FF"/>
                <w:w w:val="98"/>
              </w:rPr>
              <w:t>1,545</w:t>
            </w:r>
          </w:p>
        </w:tc>
        <w:tc>
          <w:tcPr>
            <w:tcW w:w="300" w:type="dxa"/>
            <w:vAlign w:val="bottom"/>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line="226"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right"/>
              <w:ind w:right="151"/>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ind w:right="53"/>
              <w:spacing w:after="0"/>
              <w:rPr>
                <w:sz w:val="20"/>
                <w:szCs w:val="20"/>
                <w:color w:val="auto"/>
              </w:rPr>
            </w:pPr>
            <w:r>
              <w:rPr>
                <w:rFonts w:ascii="Arial" w:cs="Arial" w:eastAsia="Arial" w:hAnsi="Arial"/>
                <w:sz w:val="17"/>
                <w:szCs w:val="17"/>
                <w:color w:val="0000FF"/>
              </w:rPr>
              <w:t>1,604</w:t>
            </w:r>
          </w:p>
        </w:tc>
        <w:tc>
          <w:tcPr>
            <w:tcW w:w="60" w:type="dxa"/>
            <w:vAlign w:val="bottom"/>
          </w:tcPr>
          <w:p>
            <w:pPr>
              <w:spacing w:after="0"/>
              <w:rPr>
                <w:sz w:val="16"/>
                <w:szCs w:val="16"/>
                <w:color w:val="auto"/>
              </w:rPr>
            </w:pPr>
          </w:p>
        </w:tc>
        <w:tc>
          <w:tcPr>
            <w:tcW w:w="720" w:type="dxa"/>
            <w:vAlign w:val="bottom"/>
            <w:gridSpan w:val="2"/>
            <w:vMerge w:val="restart"/>
          </w:tcPr>
          <w:p>
            <w:pPr>
              <w:jc w:val="center"/>
              <w:ind w:right="199"/>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restart"/>
          </w:tcPr>
          <w:p>
            <w:pPr>
              <w:jc w:val="right"/>
              <w:ind w:right="153"/>
              <w:spacing w:after="0" w:line="142" w:lineRule="exact"/>
              <w:rPr>
                <w:sz w:val="20"/>
                <w:szCs w:val="20"/>
                <w:color w:val="auto"/>
              </w:rPr>
            </w:pPr>
            <w:r>
              <w:rPr>
                <w:rFonts w:ascii="Arial" w:cs="Arial" w:eastAsia="Arial" w:hAnsi="Arial"/>
                <w:sz w:val="13"/>
                <w:szCs w:val="13"/>
                <w:color w:val="0000FF"/>
              </w:rPr>
              <w:t>12/31/2011</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D</w:t>
            </w:r>
          </w:p>
        </w:tc>
        <w:tc>
          <w:tcPr>
            <w:tcW w:w="180" w:type="dxa"/>
            <w:vAlign w:val="bottom"/>
          </w:tcPr>
          <w:p>
            <w:pPr>
              <w:spacing w:after="0"/>
              <w:rPr>
                <w:sz w:val="6"/>
                <w:szCs w:val="6"/>
                <w:color w:val="auto"/>
              </w:rPr>
            </w:pPr>
          </w:p>
        </w:tc>
        <w:tc>
          <w:tcPr>
            <w:tcW w:w="940" w:type="dxa"/>
            <w:vAlign w:val="bottom"/>
            <w:vMerge w:val="restart"/>
          </w:tcPr>
          <w:p>
            <w:pPr>
              <w:jc w:val="right"/>
              <w:ind w:right="119"/>
              <w:spacing w:after="0" w:line="142" w:lineRule="exact"/>
              <w:rPr>
                <w:sz w:val="20"/>
                <w:szCs w:val="20"/>
                <w:color w:val="auto"/>
              </w:rPr>
            </w:pPr>
            <w:r>
              <w:rPr>
                <w:rFonts w:ascii="Arial" w:cs="Arial" w:eastAsia="Arial" w:hAnsi="Arial"/>
                <w:sz w:val="13"/>
                <w:szCs w:val="13"/>
                <w:color w:val="0000FF"/>
              </w:rPr>
              <w:t>1,604</w:t>
            </w: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restart"/>
          </w:tcPr>
          <w:p>
            <w:pPr>
              <w:ind w:left="260"/>
              <w:spacing w:after="0" w:line="142" w:lineRule="exact"/>
              <w:rPr>
                <w:sz w:val="20"/>
                <w:szCs w:val="20"/>
                <w:color w:val="auto"/>
              </w:rPr>
            </w:pPr>
            <w:r>
              <w:rPr>
                <w:rFonts w:ascii="Arial" w:cs="Arial" w:eastAsia="Arial" w:hAnsi="Arial"/>
                <w:sz w:val="13"/>
                <w:szCs w:val="13"/>
                <w:color w:val="0000FF"/>
                <w:w w:val="98"/>
              </w:rPr>
              <w:t>3,207</w:t>
            </w:r>
          </w:p>
        </w:tc>
        <w:tc>
          <w:tcPr>
            <w:tcW w:w="300" w:type="dxa"/>
            <w:vAlign w:val="bottom"/>
          </w:tcPr>
          <w:p>
            <w:pPr>
              <w:spacing w:after="0"/>
              <w:rPr>
                <w:sz w:val="6"/>
                <w:szCs w:val="6"/>
                <w:color w:val="auto"/>
              </w:rPr>
            </w:pPr>
          </w:p>
        </w:tc>
        <w:tc>
          <w:tcPr>
            <w:tcW w:w="68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restart"/>
          </w:tcPr>
          <w:p>
            <w:pPr>
              <w:jc w:val="right"/>
              <w:ind w:right="151"/>
              <w:spacing w:after="0"/>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issued on December 31, 2009 pursuant to the Company's Salary Stock Plan (the "GMSSP") and vested upon grant. The portion of this award currently payable was settled on December 31, 2011 in shares of the Company's Common Stock, less a portion withheld for taxes.</w:t>
      </w:r>
    </w:p>
    <w:p>
      <w:pPr>
        <w:ind w:left="40" w:right="160" w:firstLine="6"/>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31, 2009 the employee received a grant of 1,547 SSUs, of which 516 SSUs were scheduled to be payable on December 31,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4,641 SSUs granted on December 31, 2009, of which 1,548 SSUs became payable on December 31, 2011.</w:t>
      </w:r>
    </w:p>
    <w:p>
      <w:pPr>
        <w:spacing w:after="0" w:line="28" w:lineRule="exact"/>
        <w:rPr>
          <w:rFonts w:ascii="Arial" w:cs="Arial" w:eastAsia="Arial" w:hAnsi="Arial"/>
          <w:sz w:val="13"/>
          <w:szCs w:val="13"/>
          <w:color w:val="008000"/>
        </w:rPr>
      </w:pPr>
    </w:p>
    <w:p>
      <w:pPr>
        <w:ind w:left="40" w:right="30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Common Stock. Under the GMSSP, the Fair Market Value of the Common Stock is the average of the high and low trading prices for the Common Stock as reported on the New York Stock Exchange, on which the Common Stock is listed, on the date of the transaction, which was $20.21.</w:t>
      </w:r>
    </w:p>
    <w:p>
      <w:pPr>
        <w:spacing w:after="0" w:line="25" w:lineRule="exact"/>
        <w:rPr>
          <w:rFonts w:ascii="Arial" w:cs="Arial" w:eastAsia="Arial" w:hAnsi="Arial"/>
          <w:sz w:val="13"/>
          <w:szCs w:val="13"/>
          <w:color w:val="008000"/>
        </w:rPr>
      </w:pPr>
    </w:p>
    <w:p>
      <w:pPr>
        <w:ind w:left="40" w:right="28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issued on December 31, 2010 pursuant to the GMSSP and vested upon grant. The portion of this award currently payable was settled on December 31, 2011 in shares of Common Stock, less a portion withheld for taxes.</w:t>
      </w:r>
    </w:p>
    <w:p>
      <w:pPr>
        <w:spacing w:after="0" w:line="15" w:lineRule="exact"/>
        <w:rPr>
          <w:rFonts w:ascii="Arial" w:cs="Arial" w:eastAsia="Arial" w:hAnsi="Arial"/>
          <w:sz w:val="13"/>
          <w:szCs w:val="13"/>
          <w:color w:val="008000"/>
        </w:rPr>
      </w:pPr>
    </w:p>
    <w:p>
      <w:pPr>
        <w:ind w:left="40" w:right="20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December 31, 2011 pursuant to the GMSSP and were fully vested upon grant. The SSUs will be delivered in the form of shares of Common Stock in three equal, annual installments beginning on December 31, 2012.</w:t>
      </w:r>
    </w:p>
    <w:p>
      <w:pPr>
        <w:spacing w:after="0" w:line="2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20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01/04/2012</w:t>
            </w:r>
          </w:p>
        </w:tc>
        <w:tc>
          <w:tcPr>
            <w:tcW w:w="0" w:type="dxa"/>
            <w:vAlign w:val="bottom"/>
          </w:tcPr>
          <w:p>
            <w:pPr>
              <w:spacing w:after="0"/>
              <w:rPr>
                <w:sz w:val="1"/>
                <w:szCs w:val="1"/>
                <w:color w:val="auto"/>
              </w:rPr>
            </w:pPr>
          </w:p>
        </w:tc>
      </w:tr>
      <w:tr>
        <w:trPr>
          <w:trHeight w:val="91"/>
        </w:trPr>
        <w:tc>
          <w:tcPr>
            <w:tcW w:w="1280" w:type="dxa"/>
            <w:vAlign w:val="bottom"/>
            <w:vMerge w:val="restart"/>
          </w:tcPr>
          <w:p>
            <w:pPr>
              <w:spacing w:after="0" w:line="193" w:lineRule="exact"/>
              <w:rPr>
                <w:sz w:val="20"/>
                <w:szCs w:val="20"/>
                <w:color w:val="auto"/>
              </w:rPr>
            </w:pPr>
            <w:r>
              <w:rPr>
                <w:rFonts w:ascii="Arial" w:cs="Arial" w:eastAsia="Arial" w:hAnsi="Arial"/>
                <w:sz w:val="17"/>
                <w:szCs w:val="17"/>
                <w:color w:val="0000FF"/>
                <w:w w:val="97"/>
              </w:rPr>
              <w:t>fact for Mr. Ardila</w:t>
            </w:r>
          </w:p>
        </w:tc>
        <w:tc>
          <w:tcPr>
            <w:tcW w:w="100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8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63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57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2019-12-17T01:04:01Z</dcterms:created>
  <dcterms:modified xsi:type="dcterms:W3CDTF">2019-12-17T01:04:01Z</dcterms:modified>
</cp:coreProperties>
</file>