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11,104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103,551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03/15/2015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5,131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38.06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98,420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03/15/2015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11,104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400" w:firstLine="8"/>
        <w:spacing w:after="0" w:line="30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Common Stock reported in this item was issued and delivered upon the vesting of a grant of Restricted Stock Units ("RSUs") awarded on March 15, 2012 pursuant to the Company's 2009 Long-Term Incentive Plan (the "GMLTIP"). This is the final installment of this delivery. The Company has determined that 25% of this award will not vest because the terms set forth in the GMLTIP cannot be satisfied.</w:t>
      </w: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 for Mr. Reuss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2019-12-08T22:00:48Z</dcterms:created>
  <dcterms:modified xsi:type="dcterms:W3CDTF">2019-12-08T22:00:48Z</dcterms:modified>
</cp:coreProperties>
</file>