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20549-1004</w:t>
      </w:r>
    </w:p>
    <w:p>
      <w:pPr>
        <w:spacing w:after="0" w:line="64"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1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30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December 8, 2017</w:t>
      </w:r>
    </w:p>
    <w:p>
      <w:pPr>
        <w:spacing w:after="0" w:line="46"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GENERAL MOTORS COMPANY</w:t>
      </w:r>
    </w:p>
    <w:p>
      <w:pPr>
        <w:spacing w:after="0" w:line="8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42"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398"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3760" w:type="dxa"/>
            <w:vAlign w:val="bottom"/>
          </w:tcPr>
          <w:p>
            <w:pPr>
              <w:jc w:val="center"/>
              <w:ind w:right="1570"/>
              <w:spacing w:after="0"/>
              <w:rPr>
                <w:sz w:val="20"/>
                <w:szCs w:val="20"/>
                <w:color w:val="auto"/>
              </w:rPr>
            </w:pPr>
            <w:r>
              <w:rPr>
                <w:rFonts w:ascii="Arial" w:cs="Arial" w:eastAsia="Arial" w:hAnsi="Arial"/>
                <w:sz w:val="18"/>
                <w:szCs w:val="18"/>
                <w:b w:val="1"/>
                <w:bCs w:val="1"/>
                <w:color w:val="auto"/>
                <w:w w:val="98"/>
              </w:rPr>
              <w:t>DELAWARE</w:t>
            </w:r>
          </w:p>
        </w:tc>
        <w:tc>
          <w:tcPr>
            <w:tcW w:w="2820" w:type="dxa"/>
            <w:vAlign w:val="bottom"/>
            <w:vMerge w:val="restart"/>
          </w:tcPr>
          <w:p>
            <w:pPr>
              <w:jc w:val="right"/>
              <w:ind w:right="1230"/>
              <w:spacing w:after="0"/>
              <w:rPr>
                <w:sz w:val="20"/>
                <w:szCs w:val="20"/>
                <w:color w:val="auto"/>
              </w:rPr>
            </w:pPr>
            <w:r>
              <w:rPr>
                <w:rFonts w:ascii="Arial" w:cs="Arial" w:eastAsia="Arial" w:hAnsi="Arial"/>
                <w:sz w:val="18"/>
                <w:szCs w:val="18"/>
                <w:b w:val="1"/>
                <w:bCs w:val="1"/>
                <w:color w:val="auto"/>
              </w:rPr>
              <w:t>001-34960</w:t>
            </w:r>
          </w:p>
        </w:tc>
        <w:tc>
          <w:tcPr>
            <w:tcW w:w="2780" w:type="dxa"/>
            <w:vAlign w:val="bottom"/>
          </w:tcPr>
          <w:p>
            <w:pPr>
              <w:jc w:val="center"/>
              <w:ind w:left="1370"/>
              <w:spacing w:after="0"/>
              <w:rPr>
                <w:sz w:val="20"/>
                <w:szCs w:val="20"/>
                <w:color w:val="auto"/>
              </w:rPr>
            </w:pPr>
            <w:r>
              <w:rPr>
                <w:rFonts w:ascii="Arial" w:cs="Arial" w:eastAsia="Arial" w:hAnsi="Arial"/>
                <w:sz w:val="18"/>
                <w:szCs w:val="18"/>
                <w:b w:val="1"/>
                <w:bCs w:val="1"/>
                <w:color w:val="auto"/>
                <w:w w:val="91"/>
              </w:rPr>
              <w:t>27-0756180</w:t>
            </w:r>
          </w:p>
        </w:tc>
        <w:tc>
          <w:tcPr>
            <w:tcW w:w="0" w:type="dxa"/>
            <w:vAlign w:val="bottom"/>
          </w:tcPr>
          <w:p>
            <w:pPr>
              <w:spacing w:after="0"/>
              <w:rPr>
                <w:sz w:val="1"/>
                <w:szCs w:val="1"/>
                <w:color w:val="auto"/>
              </w:rPr>
            </w:pPr>
          </w:p>
        </w:tc>
      </w:tr>
      <w:tr>
        <w:trPr>
          <w:trHeight w:val="216"/>
        </w:trPr>
        <w:tc>
          <w:tcPr>
            <w:tcW w:w="3760" w:type="dxa"/>
            <w:vAlign w:val="bottom"/>
          </w:tcPr>
          <w:p>
            <w:pPr>
              <w:jc w:val="center"/>
              <w:ind w:right="1570"/>
              <w:spacing w:after="0"/>
              <w:rPr>
                <w:sz w:val="20"/>
                <w:szCs w:val="20"/>
                <w:color w:val="auto"/>
              </w:rPr>
            </w:pPr>
            <w:r>
              <w:rPr>
                <w:rFonts w:ascii="Arial" w:cs="Arial" w:eastAsia="Arial" w:hAnsi="Arial"/>
                <w:sz w:val="18"/>
                <w:szCs w:val="18"/>
                <w:color w:val="auto"/>
                <w:w w:val="93"/>
              </w:rPr>
              <w:t>(State or other jurisdiction of</w:t>
            </w:r>
          </w:p>
        </w:tc>
        <w:tc>
          <w:tcPr>
            <w:tcW w:w="2820" w:type="dxa"/>
            <w:vAlign w:val="bottom"/>
            <w:vMerge w:val="continue"/>
          </w:tcPr>
          <w:p>
            <w:pPr>
              <w:spacing w:after="0"/>
              <w:rPr>
                <w:sz w:val="18"/>
                <w:szCs w:val="18"/>
                <w:color w:val="auto"/>
              </w:rPr>
            </w:pPr>
          </w:p>
        </w:tc>
        <w:tc>
          <w:tcPr>
            <w:tcW w:w="2780" w:type="dxa"/>
            <w:vAlign w:val="bottom"/>
          </w:tcPr>
          <w:p>
            <w:pPr>
              <w:jc w:val="center"/>
              <w:ind w:left="137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3760" w:type="dxa"/>
            <w:vAlign w:val="bottom"/>
          </w:tcPr>
          <w:p>
            <w:pPr>
              <w:jc w:val="center"/>
              <w:ind w:right="1570"/>
              <w:spacing w:after="0"/>
              <w:rPr>
                <w:sz w:val="20"/>
                <w:szCs w:val="20"/>
                <w:color w:val="auto"/>
              </w:rPr>
            </w:pPr>
            <w:r>
              <w:rPr>
                <w:rFonts w:ascii="Arial" w:cs="Arial" w:eastAsia="Arial" w:hAnsi="Arial"/>
                <w:sz w:val="18"/>
                <w:szCs w:val="18"/>
                <w:color w:val="auto"/>
                <w:w w:val="92"/>
              </w:rPr>
              <w:t>incorporation)</w:t>
            </w:r>
          </w:p>
        </w:tc>
        <w:tc>
          <w:tcPr>
            <w:tcW w:w="2820" w:type="dxa"/>
            <w:vAlign w:val="bottom"/>
          </w:tcPr>
          <w:p>
            <w:pPr>
              <w:jc w:val="center"/>
              <w:ind w:right="510"/>
              <w:spacing w:after="0"/>
              <w:rPr>
                <w:sz w:val="20"/>
                <w:szCs w:val="20"/>
                <w:color w:val="auto"/>
              </w:rPr>
            </w:pPr>
            <w:r>
              <w:rPr>
                <w:rFonts w:ascii="Arial" w:cs="Arial" w:eastAsia="Arial" w:hAnsi="Arial"/>
                <w:sz w:val="18"/>
                <w:szCs w:val="18"/>
                <w:color w:val="auto"/>
                <w:w w:val="92"/>
              </w:rPr>
              <w:t>(Commission File Number)</w:t>
            </w:r>
          </w:p>
        </w:tc>
        <w:tc>
          <w:tcPr>
            <w:tcW w:w="2780" w:type="dxa"/>
            <w:vAlign w:val="bottom"/>
          </w:tcPr>
          <w:p>
            <w:pPr>
              <w:jc w:val="center"/>
              <w:ind w:left="13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376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820" w:type="dxa"/>
            <w:vAlign w:val="bottom"/>
          </w:tcPr>
          <w:p>
            <w:pPr>
              <w:spacing w:after="0"/>
              <w:rPr>
                <w:sz w:val="24"/>
                <w:szCs w:val="24"/>
                <w:color w:val="auto"/>
              </w:rPr>
            </w:pPr>
          </w:p>
        </w:tc>
        <w:tc>
          <w:tcPr>
            <w:tcW w:w="2780" w:type="dxa"/>
            <w:vAlign w:val="bottom"/>
          </w:tcPr>
          <w:p>
            <w:pPr>
              <w:jc w:val="right"/>
              <w:ind w:right="111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760" w:type="dxa"/>
            <w:vAlign w:val="bottom"/>
          </w:tcPr>
          <w:p>
            <w:pPr>
              <w:jc w:val="center"/>
              <w:ind w:left="19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Pr>
          <w:p>
            <w:pPr>
              <w:spacing w:after="0"/>
              <w:rPr>
                <w:sz w:val="20"/>
                <w:szCs w:val="20"/>
                <w:color w:val="auto"/>
              </w:rPr>
            </w:pPr>
          </w:p>
        </w:tc>
        <w:tc>
          <w:tcPr>
            <w:tcW w:w="2780" w:type="dxa"/>
            <w:vAlign w:val="bottom"/>
          </w:tcPr>
          <w:p>
            <w:pPr>
              <w:jc w:val="center"/>
              <w:ind w:right="41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4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640" w:hanging="578"/>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03" w:lineRule="exact"/>
        <w:rPr>
          <w:rFonts w:ascii="MS PGothic" w:cs="MS PGothic" w:eastAsia="MS PGothic" w:hAnsi="MS PGothic"/>
          <w:sz w:val="18"/>
          <w:szCs w:val="18"/>
          <w:color w:val="auto"/>
        </w:rPr>
      </w:pPr>
    </w:p>
    <w:p>
      <w:pPr>
        <w:ind w:left="640" w:hanging="578"/>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203" w:lineRule="exact"/>
        <w:rPr>
          <w:rFonts w:ascii="MS PGothic" w:cs="MS PGothic" w:eastAsia="MS PGothic" w:hAnsi="MS PGothic"/>
          <w:sz w:val="18"/>
          <w:szCs w:val="18"/>
          <w:color w:val="auto"/>
        </w:rPr>
      </w:pPr>
    </w:p>
    <w:p>
      <w:pPr>
        <w:ind w:left="640" w:hanging="578"/>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203" w:lineRule="exact"/>
        <w:rPr>
          <w:rFonts w:ascii="MS PGothic" w:cs="MS PGothic" w:eastAsia="MS PGothic" w:hAnsi="MS PGothic"/>
          <w:sz w:val="18"/>
          <w:szCs w:val="18"/>
          <w:color w:val="auto"/>
        </w:rPr>
      </w:pPr>
    </w:p>
    <w:p>
      <w:pPr>
        <w:ind w:left="640" w:hanging="578"/>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190" w:lineRule="exact"/>
        <w:rPr>
          <w:sz w:val="24"/>
          <w:szCs w:val="24"/>
          <w:color w:val="auto"/>
        </w:rPr>
      </w:pPr>
    </w:p>
    <w:p>
      <w:pPr>
        <w:spacing w:after="0" w:line="194"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00" w:lineRule="exact"/>
        <w:rPr>
          <w:sz w:val="24"/>
          <w:szCs w:val="24"/>
          <w:color w:val="auto"/>
        </w:rPr>
      </w:pPr>
    </w:p>
    <w:p>
      <w:pPr>
        <w:ind w:right="100"/>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360"/>
          </w:cols>
          <w:pgMar w:left="240" w:top="535" w:right="29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5.02 Departure of Directors or Certain Officers; Election of Directors; Appointment of Certain Officers; Compensatory Arrangements of Certain Officers.</w:t>
      </w:r>
    </w:p>
    <w:p>
      <w:pPr>
        <w:spacing w:after="0" w:line="210" w:lineRule="exact"/>
        <w:rPr>
          <w:sz w:val="20"/>
          <w:szCs w:val="20"/>
          <w:color w:val="auto"/>
        </w:rPr>
      </w:pPr>
    </w:p>
    <w:p>
      <w:pPr>
        <w:ind w:firstLine="8"/>
        <w:spacing w:after="0" w:line="275" w:lineRule="auto"/>
        <w:tabs>
          <w:tab w:leader="none" w:pos="401"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December 8, 2017, Joseph J. Ashton, a director of General Motors Company (the Company), notified the Company of his decision to resign from the Company’s Board of Directors effective immediately.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Company’s press statement announcing Mr. Ashton’s resignation is attached hereto as Exhibit 99.1 and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EXHIBIT</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Exhibit</w:t>
            </w:r>
          </w:p>
        </w:tc>
        <w:tc>
          <w:tcPr>
            <w:tcW w:w="22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2"/>
              </w:rPr>
              <w:t>Description</w:t>
            </w:r>
          </w:p>
        </w:tc>
        <w:tc>
          <w:tcPr>
            <w:tcW w:w="2020" w:type="dxa"/>
            <w:vAlign w:val="bottom"/>
          </w:tcPr>
          <w:p>
            <w:pPr>
              <w:spacing w:after="0"/>
              <w:rPr>
                <w:sz w:val="16"/>
                <w:szCs w:val="16"/>
                <w:color w:val="auto"/>
              </w:rPr>
            </w:pPr>
          </w:p>
        </w:tc>
      </w:tr>
      <w:tr>
        <w:trPr>
          <w:trHeight w:val="493"/>
        </w:trPr>
        <w:tc>
          <w:tcPr>
            <w:tcW w:w="274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2780" w:type="dxa"/>
            <w:vAlign w:val="bottom"/>
            <w:tcBorders>
              <w:bottom w:val="single" w:sz="8" w:color="0000FF"/>
            </w:tcBorders>
            <w:gridSpan w:val="2"/>
          </w:tcPr>
          <w:p>
            <w:pPr>
              <w:spacing w:after="0"/>
              <w:rPr>
                <w:rFonts w:ascii="Arial" w:cs="Arial" w:eastAsia="Arial" w:hAnsi="Arial"/>
                <w:sz w:val="16"/>
                <w:szCs w:val="16"/>
                <w:color w:val="0000FF"/>
                <w:w w:val="88"/>
              </w:rPr>
            </w:pPr>
            <w:hyperlink w:anchor="page4">
              <w:r>
                <w:rPr>
                  <w:rFonts w:ascii="Arial" w:cs="Arial" w:eastAsia="Arial" w:hAnsi="Arial"/>
                  <w:sz w:val="16"/>
                  <w:szCs w:val="16"/>
                  <w:color w:val="0000FF"/>
                  <w:w w:val="88"/>
                </w:rPr>
                <w:t>Press Statement, dated December 13, 2017</w:t>
              </w:r>
            </w:hyperlink>
          </w:p>
        </w:tc>
      </w:tr>
    </w:tbl>
    <w:p>
      <w:pPr>
        <w:sectPr>
          <w:pgSz w:w="11900" w:h="16838" w:orient="portrait"/>
          <w:cols w:equalWidth="0" w:num="1">
            <w:col w:w="11400"/>
          </w:cols>
          <w:pgMar w:left="240" w:top="369"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3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/s/ Rick E. Hansen</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Date: December 13, 2017</w:t>
            </w:r>
          </w:p>
        </w:tc>
        <w:tc>
          <w:tcPr>
            <w:tcW w:w="2460" w:type="dxa"/>
            <w:vAlign w:val="bottom"/>
            <w:vMerge w:val="restart"/>
          </w:tcPr>
          <w:p>
            <w:pPr>
              <w:ind w:left="18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60" w:type="dxa"/>
            <w:vAlign w:val="bottom"/>
            <w:vMerge w:val="continue"/>
          </w:tcPr>
          <w:p>
            <w:pPr>
              <w:spacing w:after="0"/>
              <w:rPr>
                <w:sz w:val="19"/>
                <w:szCs w:val="19"/>
                <w:color w:val="auto"/>
              </w:rPr>
            </w:pPr>
          </w:p>
        </w:tc>
        <w:tc>
          <w:tcPr>
            <w:tcW w:w="2460" w:type="dxa"/>
            <w:vAlign w:val="bottom"/>
            <w:vMerge w:val="continue"/>
          </w:tcPr>
          <w:p>
            <w:pPr>
              <w:spacing w:after="0"/>
              <w:rPr>
                <w:sz w:val="19"/>
                <w:szCs w:val="19"/>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Rick E. Hansen</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60"/>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53" w:right="239" w:bottom="1440" w:gutter="0" w:footer="0" w:header="0"/>
        </w:sectPr>
      </w:pPr>
    </w:p>
    <w:bookmarkStart w:id="3" w:name="page4"/>
    <w:bookmarkEnd w:id="3"/>
    <w:p>
      <w:pPr>
        <w:spacing w:after="0" w:line="2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2215515</wp:posOffset>
            </wp:positionH>
            <wp:positionV relativeFrom="page">
              <wp:posOffset>328930</wp:posOffset>
            </wp:positionV>
            <wp:extent cx="2109470"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09470" cy="10287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color w:val="ACACAC"/>
        </w:rPr>
        <w:t>Wednesday, Dec. 13, 2017</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GM Announces Joe Ashton Resigns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From Board of Directors</w:t>
      </w:r>
    </w:p>
    <w:p>
      <w:pPr>
        <w:spacing w:after="0" w:line="200" w:lineRule="exact"/>
        <w:rPr>
          <w:sz w:val="20"/>
          <w:szCs w:val="20"/>
          <w:color w:val="auto"/>
        </w:rPr>
      </w:pPr>
    </w:p>
    <w:p>
      <w:pPr>
        <w:spacing w:after="0" w:line="227"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announced today that Joe Ashton has elected to resign from GM’s Board of Directors. Ashton joined GM’s</w:t>
      </w:r>
      <w:r>
        <w:rPr>
          <w:rFonts w:ascii="Arial" w:cs="Arial" w:eastAsia="Arial" w:hAnsi="Arial"/>
          <w:sz w:val="20"/>
          <w:szCs w:val="20"/>
          <w:b w:val="1"/>
          <w:bCs w:val="1"/>
          <w:color w:val="auto"/>
        </w:rPr>
        <w:t xml:space="preserve"> </w:t>
      </w:r>
      <w:r>
        <w:rPr>
          <w:rFonts w:ascii="Arial" w:cs="Arial" w:eastAsia="Arial" w:hAnsi="Arial"/>
          <w:sz w:val="20"/>
          <w:szCs w:val="20"/>
          <w:color w:val="auto"/>
        </w:rPr>
        <w:t>board in August 2014, and was designated to the board by the VEBA Trust.</w:t>
      </w:r>
    </w:p>
    <w:p>
      <w:pPr>
        <w:spacing w:after="0" w:line="183"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Prior to joining the GM board, Ashton was a member of the UAW International staff from 1986 to 2014. He was also active in labor and civic affairs during his career, including previously serving as Executive Vice President of the Pennsylvania AFL-CIO Executive Council and Executive Vice President of the New Jersey AFL-CIO.</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its subsidiaries and joint venture entities produce and sell vehicles under the Chevrolet, Cadillac, Baojun, Buick, GMC,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Holden, Jiefang and Wuling brands. GM has leadership positions in several of the world’s most significant automotive markets and is committed to lead the future of personal mobility. More information on the company and its subsidiaries, including OnStar, a global leader in vehicle safety, security and information services, can be found at </w:t>
      </w:r>
      <w:r>
        <w:rPr>
          <w:rFonts w:ascii="Arial" w:cs="Arial" w:eastAsia="Arial" w:hAnsi="Arial"/>
          <w:sz w:val="19"/>
          <w:szCs w:val="19"/>
          <w:u w:val="single" w:color="auto"/>
          <w:color w:val="0563C1"/>
        </w:rPr>
        <w:t>http://www.gm.com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Pat Morrissey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313-407-4548</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patrick.e.morrissey@gm.com</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2019-12-29T02:33:57Z</dcterms:created>
  <dcterms:modified xsi:type="dcterms:W3CDTF">2019-12-29T02:33:57Z</dcterms:modified>
</cp:coreProperties>
</file>