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60"/>
        <w:spacing w:after="0"/>
        <w:rPr>
          <w:sz w:val="20"/>
          <w:szCs w:val="20"/>
          <w:color w:val="auto"/>
        </w:rPr>
      </w:pPr>
      <w:r>
        <w:rPr>
          <w:rFonts w:ascii="Arial" w:cs="Arial" w:eastAsia="Arial" w:hAnsi="Arial"/>
          <w:sz w:val="19"/>
          <w:szCs w:val="19"/>
          <w:b w:val="1"/>
          <w:bCs w:val="1"/>
          <w:color w:val="auto"/>
        </w:rPr>
        <w:t>Date of Report (Date of earliest event reported) September 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Withdrawal of Escrowed Funds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previously disclosed by General Motors Company (GM) in a Form 8-K filed on July 16, 2009, on July 10, 2009, GM entered into a credit agreement with the United States Department of the Treasury (UST Credit Agreement). Also on July 10, 2009, General Motors of Canada Limited (GMCL), a wholly-owned subsidiary of GM, entered into the amended and restated Canadian Loan Agreement with Export Development Canada (EDC), a corporation wholly-owned by the Government of Canada.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Proceeds of the UST Credit Agreement of $16.4 billion were deposited in escrow and will be distributed to GM at its request if the following conditions are met:</w:t>
      </w:r>
    </w:p>
    <w:p>
      <w:pPr>
        <w:spacing w:after="0" w:line="38" w:lineRule="exact"/>
        <w:rPr>
          <w:sz w:val="20"/>
          <w:szCs w:val="20"/>
          <w:color w:val="auto"/>
        </w:rPr>
      </w:pPr>
    </w:p>
    <w:p>
      <w:pPr>
        <w:ind w:right="40" w:firstLine="8"/>
        <w:spacing w:after="0" w:line="255"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representations and warranties GM made in the loan documents are true and correct in all material respects on the date of the request; (2) GM is not in default on the date of the request taking into consideration the amount of the withdrawal request; and (3) the United States Department of the Treasury (UST), in its sole discretion, approves the amount and intended use of the requested disbursement.</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July 7, 2009, CAD $1.0 billion was deposited into an escrow account pursuant to an agreement between GM, EDC and an escrow agent. In accordance with the terms of such agreement, the CAD $1.0 billion was released to GM on September 2, 2009.</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July 10, 2009, GM subscribed for additional common shares in GMCL and paid the subscription price in cash. As required under the Canadian Loan Agreement, CAD $3.0 billion of the subscription price was deposited into an escrow account to fund certain of GMCL’s pension plans pending the completion of certain preconditions. The preconditions were met, and on September 2, 2009, the release of CAD $3.0 billion from the escrow account was approved by the Ontario and Federal governments.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September 2, 2009 GMCL also contributed CAD $1.0 billion to its pension plans from its unrestricted cash.</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October 2009, the UST granted a request for the release of funds from the escrowed proceeds of the UST Credit Agreement. Approximately $1.7 billion was utilized to acquire a membership interest in the new Delphi entity and approximately $1.1 billion was expended in the acquisition of Delphi’s global steering business, certain domestic facilities and other related payments as previously disclosed in a Form 8-K filed on July 30,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Participation in GM Daewoo Equity Rights Offering</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27, 2009, GM completed its participation in an equity rights offering in GM Daewoo Auto &amp; Technology Co. (GM Daewoo), a majority-owned and consolidated subsidiary, for KRW 491 billion (approximately $417 million). As a result of the participation in the equity rights offering, GM’s ownership interest in GM Daewoo increased from 50.9% to 70.1%. Funds from GM’s unrestricted cash were utilized for this acquisition. GM Daewoo plans to use the proceeds for general corporate purposes, including funding the repayment of maturing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GM has not finalized the accounting treatment for the participation in GM Daewoo’s equity rights offering.</w:t>
      </w:r>
    </w:p>
    <w:p>
      <w:pPr>
        <w:sectPr>
          <w:pgSz w:w="11900" w:h="16838" w:orient="portrait"/>
          <w:cols w:equalWidth="0" w:num="1">
            <w:col w:w="11340"/>
          </w:cols>
          <w:pgMar w:left="240" w:top="274" w:right="3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604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6020" w:val="left"/>
          <w:tab w:leader="none" w:pos="7980" w:val="left"/>
          <w:tab w:leader="none" w:pos="8320" w:val="left"/>
        </w:tabs>
        <w:rPr>
          <w:sz w:val="20"/>
          <w:szCs w:val="20"/>
          <w:color w:val="auto"/>
        </w:rPr>
      </w:pPr>
      <w:r>
        <w:rPr>
          <w:rFonts w:ascii="Arial" w:cs="Arial" w:eastAsia="Arial" w:hAnsi="Arial"/>
          <w:sz w:val="18"/>
          <w:szCs w:val="18"/>
          <w:color w:val="auto"/>
        </w:rPr>
        <w:t>Date: November 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3"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Nick S. Cyprus</w:t>
      </w:r>
    </w:p>
    <w:p>
      <w:pPr>
        <w:jc w:val="center"/>
        <w:ind w:left="6420"/>
        <w:spacing w:after="0"/>
        <w:rPr>
          <w:sz w:val="20"/>
          <w:szCs w:val="20"/>
          <w:color w:val="auto"/>
        </w:rPr>
      </w:pPr>
      <w:r>
        <w:rPr>
          <w:rFonts w:ascii="Arial" w:cs="Arial" w:eastAsia="Arial" w:hAnsi="Arial"/>
          <w:sz w:val="14"/>
          <w:szCs w:val="14"/>
          <w:b w:val="1"/>
          <w:bCs w:val="1"/>
          <w:color w:val="auto"/>
        </w:rPr>
        <w:t>Vice President, Controller and Chief Accounting Officer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2019-12-11T06:19:09Z</dcterms:created>
  <dcterms:modified xsi:type="dcterms:W3CDTF">2019-12-11T06:19:09Z</dcterms:modified>
</cp:coreProperties>
</file>