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Hatto Christopher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482-C23-A68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5"/>
        <w:spacing w:after="0"/>
        <w:rPr>
          <w:sz w:val="20"/>
          <w:szCs w:val="20"/>
          <w:color w:val="auto"/>
        </w:rPr>
      </w:pPr>
      <w:r>
        <w:rPr>
          <w:rFonts w:ascii="Arial" w:cs="Arial" w:eastAsia="Arial" w:hAnsi="Arial"/>
          <w:sz w:val="17"/>
          <w:szCs w:val="17"/>
          <w:color w:val="0000FF"/>
        </w:rPr>
        <w:t>Vice President &amp; CAO</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jc w:val="right"/>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200" w:type="dxa"/>
            <w:vAlign w:val="bottom"/>
          </w:tcPr>
          <w:p>
            <w:pPr>
              <w:spacing w:after="0"/>
              <w:rPr>
                <w:sz w:val="11"/>
                <w:szCs w:val="11"/>
                <w:color w:val="auto"/>
              </w:rPr>
            </w:pPr>
          </w:p>
        </w:tc>
        <w:tc>
          <w:tcPr>
            <w:tcW w:w="3560" w:type="dxa"/>
            <w:vAlign w:val="bottom"/>
            <w:gridSpan w:val="9"/>
          </w:tcPr>
          <w:p>
            <w:pPr>
              <w:ind w:left="22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0"/>
              </w:rPr>
              <w:t>Common Stock</w:t>
            </w:r>
            <w:r>
              <w:rPr>
                <w:rFonts w:ascii="Arial" w:cs="Arial" w:eastAsia="Arial" w:hAnsi="Arial"/>
                <w:sz w:val="22"/>
                <w:szCs w:val="22"/>
                <w:color w:val="008000"/>
                <w:w w:val="90"/>
                <w:vertAlign w:val="superscript"/>
              </w:rPr>
              <w:t>(1)</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02/13/2022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0000FF"/>
              </w:rPr>
              <w:t>15,740</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26,077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0" w:type="dxa"/>
            <w:vAlign w:val="bottom"/>
            <w:gridSpan w:val="3"/>
          </w:tcPr>
          <w:p>
            <w:pPr>
              <w:ind w:left="860"/>
              <w:spacing w:after="0"/>
              <w:rPr>
                <w:sz w:val="20"/>
                <w:szCs w:val="20"/>
                <w:color w:val="auto"/>
              </w:rPr>
            </w:pPr>
            <w:r>
              <w:rPr>
                <w:rFonts w:ascii="Arial" w:cs="Arial" w:eastAsia="Arial" w:hAnsi="Arial"/>
                <w:sz w:val="17"/>
                <w:szCs w:val="17"/>
                <w:color w:val="0000FF"/>
              </w:rPr>
              <w:t>02/13/2022</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53"/>
              <w:spacing w:after="0"/>
              <w:rPr>
                <w:sz w:val="20"/>
                <w:szCs w:val="20"/>
                <w:color w:val="auto"/>
              </w:rPr>
            </w:pPr>
            <w:r>
              <w:rPr>
                <w:rFonts w:ascii="Arial" w:cs="Arial" w:eastAsia="Arial" w:hAnsi="Arial"/>
                <w:sz w:val="17"/>
                <w:szCs w:val="17"/>
                <w:color w:val="0000FF"/>
              </w:rPr>
              <w:t>4,570</w:t>
            </w:r>
          </w:p>
        </w:tc>
        <w:tc>
          <w:tcPr>
            <w:tcW w:w="440" w:type="dxa"/>
            <w:vAlign w:val="bottom"/>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48.83</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21,507</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13, 2019, the Reporting Person received a grant of Performance Stock Units ("PSUs"). Under the grant, the PSUs could be earned based on the achievement of certain financial targets. The PSUs vested on February 13, 2022, and were awarded in shares of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02/15/2022</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 for Mr. Hatto</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921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2022-02-15T16:20:19Z</dcterms:created>
  <dcterms:modified xsi:type="dcterms:W3CDTF">2022-02-15T16:20:19Z</dcterms:modified>
</cp:coreProperties>
</file>