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59690</wp:posOffset>
            </wp:positionH>
            <wp:positionV relativeFrom="page">
              <wp:posOffset>440055</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Washington, DC 20549-1004</w:t>
      </w:r>
    </w:p>
    <w:p>
      <w:pPr>
        <w:spacing w:after="0" w:line="8" w:lineRule="exact"/>
        <w:rPr>
          <w:sz w:val="24"/>
          <w:szCs w:val="24"/>
          <w:color w:val="auto"/>
        </w:rPr>
      </w:pPr>
    </w:p>
    <w:p>
      <w:pPr>
        <w:ind w:left="4920"/>
        <w:spacing w:after="0"/>
        <w:rPr>
          <w:sz w:val="20"/>
          <w:szCs w:val="20"/>
          <w:color w:val="auto"/>
        </w:rPr>
      </w:pPr>
      <w:r>
        <w:rPr>
          <w:rFonts w:ascii="Arial" w:cs="Arial" w:eastAsia="Arial" w:hAnsi="Arial"/>
          <w:sz w:val="23"/>
          <w:szCs w:val="23"/>
          <w:color w:val="auto"/>
        </w:rPr>
        <w:t>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34"/>
          <w:szCs w:val="34"/>
          <w:b w:val="1"/>
          <w:bCs w:val="1"/>
          <w:color w:val="auto"/>
        </w:rPr>
        <w:t>FORM 8-K</w:t>
      </w:r>
    </w:p>
    <w:p>
      <w:pPr>
        <w:spacing w:after="0" w:line="50" w:lineRule="exact"/>
        <w:rPr>
          <w:sz w:val="24"/>
          <w:szCs w:val="24"/>
          <w:color w:val="auto"/>
        </w:rPr>
      </w:pPr>
    </w:p>
    <w:p>
      <w:pPr>
        <w:ind w:left="4920"/>
        <w:spacing w:after="0"/>
        <w:rPr>
          <w:sz w:val="20"/>
          <w:szCs w:val="20"/>
          <w:color w:val="auto"/>
        </w:rPr>
      </w:pPr>
      <w:r>
        <w:rPr>
          <w:rFonts w:ascii="Arial" w:cs="Arial" w:eastAsia="Arial" w:hAnsi="Arial"/>
          <w:sz w:val="23"/>
          <w:szCs w:val="23"/>
          <w:color w:val="auto"/>
        </w:rPr>
        <w:t>___________________</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Pursuant to Section 13 or 15(d) of</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the Securities Exchange Act of 1934</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Date of Report (Date of earliest event reported) January 11, 2019</w:t>
      </w:r>
    </w:p>
    <w:p>
      <w:pPr>
        <w:spacing w:after="0" w:line="29" w:lineRule="exact"/>
        <w:rPr>
          <w:sz w:val="24"/>
          <w:szCs w:val="24"/>
          <w:color w:val="auto"/>
        </w:rPr>
      </w:pPr>
    </w:p>
    <w:p>
      <w:pPr>
        <w:ind w:left="4920"/>
        <w:spacing w:after="0"/>
        <w:rPr>
          <w:sz w:val="20"/>
          <w:szCs w:val="20"/>
          <w:color w:val="auto"/>
        </w:rPr>
      </w:pPr>
      <w:r>
        <w:rPr>
          <w:rFonts w:ascii="Arial" w:cs="Arial" w:eastAsia="Arial" w:hAnsi="Arial"/>
          <w:sz w:val="23"/>
          <w:szCs w:val="23"/>
          <w:color w:val="auto"/>
        </w:rPr>
        <w:t>___________________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46"/>
          <w:szCs w:val="46"/>
          <w:b w:val="1"/>
          <w:bCs w:val="1"/>
          <w:color w:val="auto"/>
        </w:rPr>
        <w:t>GENERAL MOTORS COMPANY</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23"/>
          <w:szCs w:val="23"/>
          <w:color w:val="auto"/>
        </w:rPr>
        <w:t>___________________</w:t>
      </w:r>
    </w:p>
    <w:p>
      <w:pPr>
        <w:spacing w:after="0" w:line="158"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3540" w:type="dxa"/>
            <w:vAlign w:val="bottom"/>
          </w:tcPr>
          <w:p>
            <w:pPr>
              <w:jc w:val="center"/>
              <w:ind w:right="1205"/>
              <w:spacing w:after="0"/>
              <w:rPr>
                <w:sz w:val="20"/>
                <w:szCs w:val="20"/>
                <w:color w:val="auto"/>
              </w:rPr>
            </w:pPr>
            <w:r>
              <w:rPr>
                <w:rFonts w:ascii="Arial" w:cs="Arial" w:eastAsia="Arial" w:hAnsi="Arial"/>
                <w:sz w:val="19"/>
                <w:szCs w:val="19"/>
                <w:b w:val="1"/>
                <w:bCs w:val="1"/>
                <w:color w:val="auto"/>
                <w:w w:val="98"/>
              </w:rPr>
              <w:t>DELAWARE</w:t>
            </w:r>
          </w:p>
        </w:tc>
        <w:tc>
          <w:tcPr>
            <w:tcW w:w="2660" w:type="dxa"/>
            <w:vAlign w:val="bottom"/>
            <w:vMerge w:val="restart"/>
          </w:tcPr>
          <w:p>
            <w:pPr>
              <w:jc w:val="right"/>
              <w:ind w:right="1085"/>
              <w:spacing w:after="0"/>
              <w:rPr>
                <w:sz w:val="20"/>
                <w:szCs w:val="20"/>
                <w:color w:val="auto"/>
              </w:rPr>
            </w:pPr>
            <w:r>
              <w:rPr>
                <w:rFonts w:ascii="Arial" w:cs="Arial" w:eastAsia="Arial" w:hAnsi="Arial"/>
                <w:sz w:val="19"/>
                <w:szCs w:val="19"/>
                <w:b w:val="1"/>
                <w:bCs w:val="1"/>
                <w:color w:val="auto"/>
              </w:rPr>
              <w:t>001-34960</w:t>
            </w:r>
          </w:p>
        </w:tc>
        <w:tc>
          <w:tcPr>
            <w:tcW w:w="2600" w:type="dxa"/>
            <w:vAlign w:val="bottom"/>
          </w:tcPr>
          <w:p>
            <w:pPr>
              <w:jc w:val="center"/>
              <w:ind w:left="1105"/>
              <w:spacing w:after="0"/>
              <w:rPr>
                <w:sz w:val="20"/>
                <w:szCs w:val="20"/>
                <w:color w:val="auto"/>
              </w:rPr>
            </w:pPr>
            <w:r>
              <w:rPr>
                <w:rFonts w:ascii="Arial" w:cs="Arial" w:eastAsia="Arial" w:hAnsi="Arial"/>
                <w:sz w:val="19"/>
                <w:szCs w:val="19"/>
                <w:b w:val="1"/>
                <w:bCs w:val="1"/>
                <w:color w:val="auto"/>
                <w:w w:val="90"/>
              </w:rPr>
              <w:t>27-0756180</w:t>
            </w:r>
          </w:p>
        </w:tc>
        <w:tc>
          <w:tcPr>
            <w:tcW w:w="0" w:type="dxa"/>
            <w:vAlign w:val="bottom"/>
          </w:tcPr>
          <w:p>
            <w:pPr>
              <w:spacing w:after="0"/>
              <w:rPr>
                <w:sz w:val="1"/>
                <w:szCs w:val="1"/>
                <w:color w:val="auto"/>
              </w:rPr>
            </w:pPr>
          </w:p>
        </w:tc>
      </w:tr>
      <w:tr>
        <w:trPr>
          <w:trHeight w:val="228"/>
        </w:trPr>
        <w:tc>
          <w:tcPr>
            <w:tcW w:w="3540" w:type="dxa"/>
            <w:vAlign w:val="bottom"/>
          </w:tcPr>
          <w:p>
            <w:pPr>
              <w:jc w:val="center"/>
              <w:ind w:right="1225"/>
              <w:spacing w:after="0"/>
              <w:rPr>
                <w:sz w:val="20"/>
                <w:szCs w:val="20"/>
                <w:color w:val="auto"/>
              </w:rPr>
            </w:pPr>
            <w:r>
              <w:rPr>
                <w:rFonts w:ascii="Arial" w:cs="Arial" w:eastAsia="Arial" w:hAnsi="Arial"/>
                <w:sz w:val="19"/>
                <w:szCs w:val="19"/>
                <w:color w:val="auto"/>
                <w:w w:val="93"/>
              </w:rPr>
              <w:t>(State or other jurisdiction of</w:t>
            </w:r>
          </w:p>
        </w:tc>
        <w:tc>
          <w:tcPr>
            <w:tcW w:w="2660" w:type="dxa"/>
            <w:vAlign w:val="bottom"/>
            <w:vMerge w:val="continue"/>
          </w:tcPr>
          <w:p>
            <w:pPr>
              <w:spacing w:after="0"/>
              <w:rPr>
                <w:sz w:val="19"/>
                <w:szCs w:val="19"/>
                <w:color w:val="auto"/>
              </w:rPr>
            </w:pPr>
          </w:p>
        </w:tc>
        <w:tc>
          <w:tcPr>
            <w:tcW w:w="2600" w:type="dxa"/>
            <w:vAlign w:val="bottom"/>
          </w:tcPr>
          <w:p>
            <w:pPr>
              <w:jc w:val="center"/>
              <w:ind w:left="1085"/>
              <w:spacing w:after="0"/>
              <w:rPr>
                <w:sz w:val="20"/>
                <w:szCs w:val="20"/>
                <w:color w:val="auto"/>
              </w:rPr>
            </w:pPr>
            <w:r>
              <w:rPr>
                <w:rFonts w:ascii="Arial" w:cs="Arial" w:eastAsia="Arial" w:hAnsi="Arial"/>
                <w:sz w:val="19"/>
                <w:szCs w:val="19"/>
                <w:color w:val="auto"/>
                <w:w w:val="93"/>
              </w:rPr>
              <w:t>(I.R.S. Employer</w:t>
            </w:r>
          </w:p>
        </w:tc>
        <w:tc>
          <w:tcPr>
            <w:tcW w:w="0" w:type="dxa"/>
            <w:vAlign w:val="bottom"/>
          </w:tcPr>
          <w:p>
            <w:pPr>
              <w:spacing w:after="0"/>
              <w:rPr>
                <w:sz w:val="1"/>
                <w:szCs w:val="1"/>
                <w:color w:val="auto"/>
              </w:rPr>
            </w:pPr>
          </w:p>
        </w:tc>
      </w:tr>
      <w:tr>
        <w:trPr>
          <w:trHeight w:val="241"/>
        </w:trPr>
        <w:tc>
          <w:tcPr>
            <w:tcW w:w="3540" w:type="dxa"/>
            <w:vAlign w:val="bottom"/>
          </w:tcPr>
          <w:p>
            <w:pPr>
              <w:jc w:val="center"/>
              <w:ind w:right="1225"/>
              <w:spacing w:after="0"/>
              <w:rPr>
                <w:sz w:val="20"/>
                <w:szCs w:val="20"/>
                <w:color w:val="auto"/>
              </w:rPr>
            </w:pPr>
            <w:r>
              <w:rPr>
                <w:rFonts w:ascii="Arial" w:cs="Arial" w:eastAsia="Arial" w:hAnsi="Arial"/>
                <w:sz w:val="19"/>
                <w:szCs w:val="19"/>
                <w:color w:val="auto"/>
                <w:w w:val="94"/>
              </w:rPr>
              <w:t>incorporation)</w:t>
            </w:r>
          </w:p>
        </w:tc>
        <w:tc>
          <w:tcPr>
            <w:tcW w:w="2660" w:type="dxa"/>
            <w:vAlign w:val="bottom"/>
          </w:tcPr>
          <w:p>
            <w:pPr>
              <w:jc w:val="center"/>
              <w:ind w:right="425"/>
              <w:spacing w:after="0"/>
              <w:rPr>
                <w:sz w:val="20"/>
                <w:szCs w:val="20"/>
                <w:color w:val="auto"/>
              </w:rPr>
            </w:pPr>
            <w:r>
              <w:rPr>
                <w:rFonts w:ascii="Arial" w:cs="Arial" w:eastAsia="Arial" w:hAnsi="Arial"/>
                <w:sz w:val="19"/>
                <w:szCs w:val="19"/>
                <w:color w:val="auto"/>
                <w:w w:val="92"/>
              </w:rPr>
              <w:t>(Commission File Number)</w:t>
            </w:r>
          </w:p>
        </w:tc>
        <w:tc>
          <w:tcPr>
            <w:tcW w:w="2600" w:type="dxa"/>
            <w:vAlign w:val="bottom"/>
          </w:tcPr>
          <w:p>
            <w:pPr>
              <w:jc w:val="center"/>
              <w:ind w:left="1085"/>
              <w:spacing w:after="0"/>
              <w:rPr>
                <w:sz w:val="20"/>
                <w:szCs w:val="20"/>
                <w:color w:val="auto"/>
              </w:rPr>
            </w:pPr>
            <w:r>
              <w:rPr>
                <w:rFonts w:ascii="Arial" w:cs="Arial" w:eastAsia="Arial" w:hAnsi="Arial"/>
                <w:sz w:val="19"/>
                <w:szCs w:val="19"/>
                <w:color w:val="auto"/>
                <w:w w:val="96"/>
              </w:rPr>
              <w:t>Identification No.)</w:t>
            </w:r>
          </w:p>
        </w:tc>
        <w:tc>
          <w:tcPr>
            <w:tcW w:w="0" w:type="dxa"/>
            <w:vAlign w:val="bottom"/>
          </w:tcPr>
          <w:p>
            <w:pPr>
              <w:spacing w:after="0"/>
              <w:rPr>
                <w:sz w:val="1"/>
                <w:szCs w:val="1"/>
                <w:color w:val="auto"/>
              </w:rPr>
            </w:pPr>
          </w:p>
        </w:tc>
      </w:tr>
      <w:tr>
        <w:trPr>
          <w:trHeight w:val="500"/>
        </w:trPr>
        <w:tc>
          <w:tcPr>
            <w:tcW w:w="6200" w:type="dxa"/>
            <w:vAlign w:val="bottom"/>
            <w:gridSpan w:val="2"/>
          </w:tcPr>
          <w:p>
            <w:pPr>
              <w:jc w:val="center"/>
              <w:ind w:right="2105"/>
              <w:spacing w:after="0"/>
              <w:rPr>
                <w:sz w:val="20"/>
                <w:szCs w:val="20"/>
                <w:color w:val="auto"/>
              </w:rPr>
            </w:pPr>
            <w:r>
              <w:rPr>
                <w:rFonts w:ascii="Arial" w:cs="Arial" w:eastAsia="Arial" w:hAnsi="Arial"/>
                <w:sz w:val="19"/>
                <w:szCs w:val="19"/>
                <w:b w:val="1"/>
                <w:bCs w:val="1"/>
                <w:color w:val="auto"/>
                <w:w w:val="89"/>
              </w:rPr>
              <w:t>300 Renaissance Center, Detroit, Michigan</w:t>
            </w:r>
          </w:p>
        </w:tc>
        <w:tc>
          <w:tcPr>
            <w:tcW w:w="2600" w:type="dxa"/>
            <w:vAlign w:val="bottom"/>
          </w:tcPr>
          <w:p>
            <w:pPr>
              <w:jc w:val="right"/>
              <w:ind w:right="1045"/>
              <w:spacing w:after="0"/>
              <w:rPr>
                <w:sz w:val="20"/>
                <w:szCs w:val="20"/>
                <w:color w:val="auto"/>
              </w:rPr>
            </w:pPr>
            <w:r>
              <w:rPr>
                <w:rFonts w:ascii="Arial" w:cs="Arial" w:eastAsia="Arial" w:hAnsi="Arial"/>
                <w:sz w:val="19"/>
                <w:szCs w:val="19"/>
                <w:b w:val="1"/>
                <w:bCs w:val="1"/>
                <w:color w:val="auto"/>
              </w:rPr>
              <w:t>48265-3000</w:t>
            </w:r>
          </w:p>
        </w:tc>
        <w:tc>
          <w:tcPr>
            <w:tcW w:w="0" w:type="dxa"/>
            <w:vAlign w:val="bottom"/>
          </w:tcPr>
          <w:p>
            <w:pPr>
              <w:spacing w:after="0"/>
              <w:rPr>
                <w:sz w:val="1"/>
                <w:szCs w:val="1"/>
                <w:color w:val="auto"/>
              </w:rPr>
            </w:pPr>
          </w:p>
        </w:tc>
      </w:tr>
      <w:tr>
        <w:trPr>
          <w:trHeight w:val="241"/>
        </w:trPr>
        <w:tc>
          <w:tcPr>
            <w:tcW w:w="3540" w:type="dxa"/>
            <w:vAlign w:val="bottom"/>
          </w:tcPr>
          <w:p>
            <w:pPr>
              <w:jc w:val="center"/>
              <w:ind w:left="385"/>
              <w:spacing w:after="0"/>
              <w:rPr>
                <w:sz w:val="20"/>
                <w:szCs w:val="20"/>
                <w:color w:val="auto"/>
              </w:rPr>
            </w:pPr>
            <w:r>
              <w:rPr>
                <w:rFonts w:ascii="Arial" w:cs="Arial" w:eastAsia="Arial" w:hAnsi="Arial"/>
                <w:sz w:val="19"/>
                <w:szCs w:val="19"/>
                <w:color w:val="auto"/>
                <w:w w:val="92"/>
              </w:rPr>
              <w:t>(Address of principal executive offices)</w:t>
            </w:r>
          </w:p>
        </w:tc>
        <w:tc>
          <w:tcPr>
            <w:tcW w:w="2660" w:type="dxa"/>
            <w:vAlign w:val="bottom"/>
          </w:tcPr>
          <w:p>
            <w:pPr>
              <w:spacing w:after="0"/>
              <w:rPr>
                <w:sz w:val="20"/>
                <w:szCs w:val="20"/>
                <w:color w:val="auto"/>
              </w:rPr>
            </w:pPr>
          </w:p>
        </w:tc>
        <w:tc>
          <w:tcPr>
            <w:tcW w:w="2600" w:type="dxa"/>
            <w:vAlign w:val="bottom"/>
          </w:tcPr>
          <w:p>
            <w:pPr>
              <w:jc w:val="center"/>
              <w:ind w:right="505"/>
              <w:spacing w:after="0"/>
              <w:rPr>
                <w:sz w:val="20"/>
                <w:szCs w:val="20"/>
                <w:color w:val="auto"/>
              </w:rPr>
            </w:pPr>
            <w:r>
              <w:rPr>
                <w:rFonts w:ascii="Arial" w:cs="Arial" w:eastAsia="Arial" w:hAnsi="Arial"/>
                <w:sz w:val="19"/>
                <w:szCs w:val="19"/>
                <w:color w:val="auto"/>
                <w:w w:val="93"/>
              </w:rPr>
              <w:t>(Zip Code)</w:t>
            </w:r>
          </w:p>
        </w:tc>
        <w:tc>
          <w:tcPr>
            <w:tcW w:w="0" w:type="dxa"/>
            <w:vAlign w:val="bottom"/>
          </w:tcPr>
          <w:p>
            <w:pPr>
              <w:spacing w:after="0"/>
              <w:rPr>
                <w:sz w:val="1"/>
                <w:szCs w:val="1"/>
                <w:color w:val="auto"/>
              </w:rPr>
            </w:pPr>
          </w:p>
        </w:tc>
      </w:tr>
    </w:tbl>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313</w:t>
      </w:r>
      <w:r>
        <w:rPr>
          <w:rFonts w:ascii="Arial" w:cs="Arial" w:eastAsia="Arial" w:hAnsi="Arial"/>
          <w:sz w:val="19"/>
          <w:szCs w:val="19"/>
          <w:color w:val="auto"/>
        </w:rPr>
        <w:t xml:space="preserve">) </w:t>
      </w:r>
      <w:r>
        <w:rPr>
          <w:rFonts w:ascii="Arial" w:cs="Arial" w:eastAsia="Arial" w:hAnsi="Arial"/>
          <w:sz w:val="19"/>
          <w:szCs w:val="19"/>
          <w:b w:val="1"/>
          <w:bCs w:val="1"/>
          <w:color w:val="auto"/>
        </w:rPr>
        <w:t>667-1500</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(Registrant's telephone number, including area code)</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Not Applicable</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(Former name or former address, if changed since last report)</w:t>
      </w:r>
    </w:p>
    <w:p>
      <w:pPr>
        <w:spacing w:after="0" w:line="10" w:lineRule="exact"/>
        <w:rPr>
          <w:sz w:val="24"/>
          <w:szCs w:val="24"/>
          <w:color w:val="auto"/>
        </w:rPr>
      </w:pPr>
    </w:p>
    <w:p>
      <w:pPr>
        <w:ind w:left="4920"/>
        <w:spacing w:after="0"/>
        <w:rPr>
          <w:sz w:val="20"/>
          <w:szCs w:val="20"/>
          <w:color w:val="auto"/>
        </w:rPr>
      </w:pPr>
      <w:r>
        <w:rPr>
          <w:rFonts w:ascii="Arial" w:cs="Arial" w:eastAsia="Arial" w:hAnsi="Arial"/>
          <w:sz w:val="23"/>
          <w:szCs w:val="23"/>
          <w:color w:val="auto"/>
        </w:rPr>
        <w:t>___________________</w:t>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58" w:lineRule="exact"/>
        <w:rPr>
          <w:sz w:val="24"/>
          <w:szCs w:val="24"/>
          <w:color w:val="auto"/>
        </w:rPr>
      </w:pPr>
    </w:p>
    <w:p>
      <w:pPr>
        <w:ind w:left="640" w:hanging="61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46" w:lineRule="exact"/>
        <w:rPr>
          <w:rFonts w:ascii="MS PGothic" w:cs="MS PGothic" w:eastAsia="MS PGothic" w:hAnsi="MS PGothic"/>
          <w:sz w:val="17"/>
          <w:szCs w:val="17"/>
          <w:color w:val="auto"/>
        </w:rPr>
      </w:pPr>
    </w:p>
    <w:p>
      <w:pPr>
        <w:ind w:left="640" w:hanging="61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346" w:lineRule="exact"/>
        <w:rPr>
          <w:rFonts w:ascii="MS PGothic" w:cs="MS PGothic" w:eastAsia="MS PGothic" w:hAnsi="MS PGothic"/>
          <w:sz w:val="17"/>
          <w:szCs w:val="17"/>
          <w:color w:val="auto"/>
        </w:rPr>
      </w:pPr>
    </w:p>
    <w:p>
      <w:pPr>
        <w:ind w:left="640" w:hanging="61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346" w:lineRule="exact"/>
        <w:rPr>
          <w:rFonts w:ascii="MS PGothic" w:cs="MS PGothic" w:eastAsia="MS PGothic" w:hAnsi="MS PGothic"/>
          <w:sz w:val="17"/>
          <w:szCs w:val="17"/>
          <w:color w:val="auto"/>
        </w:rPr>
      </w:pPr>
    </w:p>
    <w:p>
      <w:pPr>
        <w:ind w:left="640" w:hanging="617"/>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5" w:lineRule="exact"/>
        <w:rPr>
          <w:sz w:val="24"/>
          <w:szCs w:val="24"/>
          <w:color w:val="auto"/>
        </w:rPr>
      </w:pPr>
    </w:p>
    <w:p>
      <w:pPr>
        <w:spacing w:after="0" w:line="218"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93" w:lineRule="exact"/>
        <w:rPr>
          <w:sz w:val="24"/>
          <w:szCs w:val="24"/>
          <w:color w:val="auto"/>
        </w:rPr>
      </w:pPr>
    </w:p>
    <w:p>
      <w:pPr>
        <w:ind w:right="100"/>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170180</wp:posOffset>
            </wp:positionV>
            <wp:extent cx="765048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1980"/>
          </w:cols>
          <w:pgMar w:left="120" w:top="1059" w:right="140"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ITEM 2.02. Results of Operations and Financial Condition.</w:t>
      </w:r>
    </w:p>
    <w:p>
      <w:pPr>
        <w:spacing w:after="0" w:line="244"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On January 11, 2019 General Motors Company ("GM") announced that it expects 2018 earnings per share-diluted-adjusted and adjusted automotive free cash flow to exceed the guidance provided in connection with its third quarter 2018 earnings release on October 31, 2018.</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b w:val="1"/>
          <w:bCs w:val="1"/>
          <w:color w:val="auto"/>
        </w:rPr>
        <w:t xml:space="preserve">Non-GAAP Financial Measures: </w:t>
      </w:r>
      <w:r>
        <w:rPr>
          <w:rFonts w:ascii="Arial" w:cs="Arial" w:eastAsia="Arial" w:hAnsi="Arial"/>
          <w:sz w:val="19"/>
          <w:szCs w:val="19"/>
          <w:color w:val="auto"/>
        </w:rPr>
        <w:t>See GM’s Annual Report on Form 10-K for the fiscal year ended December 31, 2017 and subsequent filings with the U.S.</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and Exchange Commission for a description of earnings per share-diluted-adjusted and adjusted automotive free cash flow, which are non-GAAP measures, along with a description of various uses for such measures. GM’s calculation of these non-GAAP measures are set forth within these reports and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Cautionary Note on Forward Looking Statements. </w:t>
      </w:r>
      <w:r>
        <w:rPr>
          <w:rFonts w:ascii="Arial" w:cs="Arial" w:eastAsia="Arial" w:hAnsi="Arial"/>
          <w:sz w:val="18"/>
          <w:szCs w:val="18"/>
          <w:color w:val="auto"/>
        </w:rPr>
        <w:t>This Current Report on Form 8-K contains forward-looking statements within the meaning of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27A of the Securities Act of 1933 and Section 21E of the Securities Exchange Act of 1934, as amended. We caution readers not to place undue reliance on forward-looking statements. Statements including words such as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to identify forward-looking statements represent GM’s current judgment about possible future events. In making these statements we rely upon assumptions and analysis based on GM’s experience and perception of historical trends, current conditions and expected future developments, as well as other factors we consider appropriate under the circumstances. These statements are not guarantees of future performance; they involve risks and uncertainties and actual events or results may differ materially from these statements. Factors that might cause such differences include, but are not limited to, a variety of economic, competitive and regulatory factors, many of which are beyond GM’s control and are described in GM’s Annual Report on Form 10-K for the year ended December 31, 2017, as well as additional factors it may describe from time to time in other filings with the U.S. Securities and Exchange Commission.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ectPr>
          <w:pgSz w:w="12240" w:h="15840" w:orient="portrait"/>
          <w:cols w:equalWidth="0" w:num="1">
            <w:col w:w="12000"/>
          </w:cols>
          <w:pgMar w:left="120" w:top="464" w:right="120" w:bottom="1440" w:gutter="0" w:footer="0" w:header="0"/>
        </w:sectPr>
      </w:pPr>
    </w:p>
    <w:bookmarkStart w:id="2" w:name="page3"/>
    <w:bookmarkEnd w:id="2"/>
    <w:p>
      <w:pPr>
        <w:jc w:val="center"/>
        <w:spacing w:after="0"/>
        <w:rPr>
          <w:sz w:val="20"/>
          <w:szCs w:val="20"/>
          <w:color w:val="auto"/>
        </w:rPr>
      </w:pPr>
      <w:r>
        <w:rPr>
          <w:rFonts w:ascii="Arial" w:cs="Arial" w:eastAsia="Arial" w:hAnsi="Arial"/>
          <w:sz w:val="19"/>
          <w:szCs w:val="19"/>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80"/>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460" w:type="dxa"/>
            <w:vAlign w:val="bottom"/>
          </w:tcPr>
          <w:p>
            <w:pPr>
              <w:spacing w:after="0"/>
              <w:rPr>
                <w:sz w:val="20"/>
                <w:szCs w:val="20"/>
                <w:color w:val="auto"/>
              </w:rPr>
            </w:pPr>
          </w:p>
        </w:tc>
        <w:tc>
          <w:tcPr>
            <w:tcW w:w="5520" w:type="dxa"/>
            <w:vAlign w:val="bottom"/>
          </w:tcPr>
          <w:p>
            <w:pPr>
              <w:ind w:left="40"/>
              <w:spacing w:after="0"/>
              <w:rPr>
                <w:sz w:val="20"/>
                <w:szCs w:val="20"/>
                <w:color w:val="auto"/>
              </w:rPr>
            </w:pPr>
            <w:r>
              <w:rPr>
                <w:rFonts w:ascii="Arial" w:cs="Arial" w:eastAsia="Arial" w:hAnsi="Arial"/>
                <w:sz w:val="19"/>
                <w:szCs w:val="19"/>
                <w:color w:val="auto"/>
              </w:rPr>
              <w:t>GENERAL MOTORS COMPANY (Registrant)</w:t>
            </w:r>
          </w:p>
        </w:tc>
        <w:tc>
          <w:tcPr>
            <w:tcW w:w="0" w:type="dxa"/>
            <w:vAlign w:val="bottom"/>
          </w:tcPr>
          <w:p>
            <w:pPr>
              <w:spacing w:after="0"/>
              <w:rPr>
                <w:sz w:val="1"/>
                <w:szCs w:val="1"/>
                <w:color w:val="auto"/>
              </w:rPr>
            </w:pPr>
          </w:p>
        </w:tc>
      </w:tr>
      <w:tr>
        <w:trPr>
          <w:trHeight w:val="742"/>
        </w:trPr>
        <w:tc>
          <w:tcPr>
            <w:tcW w:w="6460" w:type="dxa"/>
            <w:vAlign w:val="bottom"/>
          </w:tcPr>
          <w:p>
            <w:pPr>
              <w:ind w:left="5780"/>
              <w:spacing w:after="0"/>
              <w:rPr>
                <w:sz w:val="20"/>
                <w:szCs w:val="20"/>
                <w:color w:val="auto"/>
              </w:rPr>
            </w:pPr>
            <w:r>
              <w:rPr>
                <w:rFonts w:ascii="Arial" w:cs="Arial" w:eastAsia="Arial" w:hAnsi="Arial"/>
                <w:sz w:val="19"/>
                <w:szCs w:val="19"/>
                <w:color w:val="auto"/>
              </w:rPr>
              <w:t>By:</w:t>
            </w:r>
          </w:p>
        </w:tc>
        <w:tc>
          <w:tcPr>
            <w:tcW w:w="5520" w:type="dxa"/>
            <w:vAlign w:val="bottom"/>
          </w:tcPr>
          <w:p>
            <w:pPr>
              <w:ind w:left="40"/>
              <w:spacing w:after="0"/>
              <w:rPr>
                <w:sz w:val="20"/>
                <w:szCs w:val="20"/>
                <w:color w:val="auto"/>
              </w:rPr>
            </w:pPr>
            <w:r>
              <w:rPr>
                <w:rFonts w:ascii="Arial" w:cs="Arial" w:eastAsia="Arial" w:hAnsi="Arial"/>
                <w:sz w:val="19"/>
                <w:szCs w:val="19"/>
                <w:color w:val="auto"/>
              </w:rPr>
              <w:t>/s/ RICK E. HANSEN</w:t>
            </w:r>
          </w:p>
        </w:tc>
        <w:tc>
          <w:tcPr>
            <w:tcW w:w="0" w:type="dxa"/>
            <w:vAlign w:val="bottom"/>
          </w:tcPr>
          <w:p>
            <w:pPr>
              <w:spacing w:after="0"/>
              <w:rPr>
                <w:sz w:val="1"/>
                <w:szCs w:val="1"/>
                <w:color w:val="auto"/>
              </w:rPr>
            </w:pPr>
          </w:p>
        </w:tc>
      </w:tr>
      <w:tr>
        <w:trPr>
          <w:trHeight w:val="30"/>
        </w:trPr>
        <w:tc>
          <w:tcPr>
            <w:tcW w:w="6460" w:type="dxa"/>
            <w:vAlign w:val="bottom"/>
            <w:vMerge w:val="restart"/>
          </w:tcPr>
          <w:p>
            <w:pPr>
              <w:spacing w:after="0"/>
              <w:rPr>
                <w:sz w:val="20"/>
                <w:szCs w:val="20"/>
                <w:color w:val="auto"/>
              </w:rPr>
            </w:pPr>
            <w:r>
              <w:rPr>
                <w:rFonts w:ascii="Arial" w:cs="Arial" w:eastAsia="Arial" w:hAnsi="Arial"/>
                <w:sz w:val="19"/>
                <w:szCs w:val="19"/>
                <w:color w:val="auto"/>
              </w:rPr>
              <w:t>Date: January 11, 2019</w:t>
            </w:r>
          </w:p>
        </w:tc>
        <w:tc>
          <w:tcPr>
            <w:tcW w:w="5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60" w:type="dxa"/>
            <w:vAlign w:val="bottom"/>
            <w:vMerge w:val="continue"/>
          </w:tcPr>
          <w:p>
            <w:pPr>
              <w:spacing w:after="0"/>
              <w:rPr>
                <w:sz w:val="21"/>
                <w:szCs w:val="21"/>
                <w:color w:val="auto"/>
              </w:rPr>
            </w:pPr>
          </w:p>
        </w:tc>
        <w:tc>
          <w:tcPr>
            <w:tcW w:w="5520" w:type="dxa"/>
            <w:vAlign w:val="bottom"/>
          </w:tcPr>
          <w:p>
            <w:pPr>
              <w:ind w:left="40"/>
              <w:spacing w:after="0"/>
              <w:rPr>
                <w:sz w:val="20"/>
                <w:szCs w:val="20"/>
                <w:color w:val="auto"/>
              </w:rPr>
            </w:pPr>
            <w:r>
              <w:rPr>
                <w:rFonts w:ascii="Arial" w:cs="Arial" w:eastAsia="Arial" w:hAnsi="Arial"/>
                <w:sz w:val="19"/>
                <w:szCs w:val="19"/>
                <w:color w:val="auto"/>
                <w:w w:val="94"/>
              </w:rPr>
              <w:t>Rick E. Hansen, Assistant General Counsel and Corporate 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2240" w:h="15840" w:orient="portrait"/>
      <w:cols w:equalWidth="0" w:num="1">
        <w:col w:w="12000"/>
      </w:cols>
      <w:pgMar w:left="120" w:top="692"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2019-12-15T16:56:50Z</dcterms:created>
  <dcterms:modified xsi:type="dcterms:W3CDTF">2019-12-15T16:56:50Z</dcterms:modified>
</cp:coreProperties>
</file>