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362585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20549-1004</w:t>
      </w:r>
    </w:p>
    <w:p>
      <w:pPr>
        <w:spacing w:after="0" w:line="1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161" w:lineRule="exact"/>
        <w:rPr>
          <w:sz w:val="24"/>
          <w:szCs w:val="24"/>
          <w:color w:val="auto"/>
        </w:rPr>
      </w:pPr>
    </w:p>
    <w:p>
      <w:pPr>
        <w:ind w:left="440" w:right="1540" w:hanging="405"/>
        <w:spacing w:after="0" w:line="375" w:lineRule="auto"/>
        <w:tabs>
          <w:tab w:leader="none" w:pos="72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2015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449" w:right="239" w:bottom="1440" w:gutter="0" w:footer="0" w:header="0"/>
        </w:sectPr>
      </w:pPr>
    </w:p>
    <w:p>
      <w:pPr>
        <w:spacing w:after="0" w:line="210" w:lineRule="exact"/>
        <w:rPr>
          <w:sz w:val="24"/>
          <w:szCs w:val="24"/>
          <w:color w:val="auto"/>
        </w:rPr>
      </w:pPr>
    </w:p>
    <w:p>
      <w:pPr>
        <w:ind w:left="4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2760" w:space="640"/>
            <w:col w:w="8020"/>
          </w:cols>
          <w:pgMar w:left="240" w:top="449"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001-34960</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GENERAL MOTORS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449" w:right="239" w:bottom="1440" w:gutter="0" w:footer="0" w:header="0"/>
          <w:type w:val="continuous"/>
        </w:sectPr>
      </w:pPr>
    </w:p>
    <w:p>
      <w:pPr>
        <w:spacing w:after="0" w:line="151" w:lineRule="exact"/>
        <w:rPr>
          <w:sz w:val="24"/>
          <w:szCs w:val="24"/>
          <w:color w:val="auto"/>
        </w:rPr>
      </w:pPr>
    </w:p>
    <w:p>
      <w:pPr>
        <w:ind w:left="1900"/>
        <w:spacing w:after="0"/>
        <w:rPr>
          <w:sz w:val="20"/>
          <w:szCs w:val="20"/>
          <w:color w:val="auto"/>
        </w:rPr>
      </w:pPr>
      <w:r>
        <w:rPr>
          <w:rFonts w:ascii="Arial" w:cs="Arial" w:eastAsia="Arial" w:hAnsi="Arial"/>
          <w:sz w:val="17"/>
          <w:szCs w:val="17"/>
          <w:b w:val="1"/>
          <w:bCs w:val="1"/>
          <w:color w:val="auto"/>
        </w:rPr>
        <w:t>STATE OF 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27-0756180</w:t>
      </w:r>
    </w:p>
    <w:p>
      <w:pPr>
        <w:spacing w:after="0" w:line="90" w:lineRule="exact"/>
        <w:rPr>
          <w:sz w:val="24"/>
          <w:szCs w:val="24"/>
          <w:color w:val="auto"/>
        </w:rPr>
      </w:pPr>
    </w:p>
    <w:p>
      <w:pPr>
        <w:sectPr>
          <w:pgSz w:w="11900" w:h="16838" w:orient="portrait"/>
          <w:cols w:equalWidth="0" w:num="2">
            <w:col w:w="7420" w:space="720"/>
            <w:col w:w="3280"/>
          </w:cols>
          <w:pgMar w:left="240" w:top="449" w:right="239" w:bottom="1440" w:gutter="0" w:footer="0" w:header="0"/>
          <w:type w:val="continuous"/>
        </w:sectPr>
      </w:pPr>
    </w:p>
    <w:p>
      <w:pPr>
        <w:ind w:left="1800"/>
        <w:spacing w:after="0"/>
        <w:rPr>
          <w:sz w:val="20"/>
          <w:szCs w:val="20"/>
          <w:color w:val="auto"/>
        </w:rPr>
      </w:pPr>
      <w:r>
        <w:rPr>
          <w:rFonts w:ascii="Arial" w:cs="Arial" w:eastAsia="Arial" w:hAnsi="Arial"/>
          <w:sz w:val="17"/>
          <w:szCs w:val="17"/>
          <w:i w:val="1"/>
          <w:iCs w:val="1"/>
          <w:color w:val="auto"/>
        </w:rPr>
        <w:t>(State or other jurisdiction of</w:t>
      </w:r>
    </w:p>
    <w:p>
      <w:pPr>
        <w:spacing w:after="0" w:line="35" w:lineRule="exact"/>
        <w:rPr>
          <w:sz w:val="24"/>
          <w:szCs w:val="24"/>
          <w:color w:val="auto"/>
        </w:rPr>
      </w:pPr>
    </w:p>
    <w:p>
      <w:pPr>
        <w:ind w:left="1760"/>
        <w:spacing w:after="0"/>
        <w:rPr>
          <w:sz w:val="20"/>
          <w:szCs w:val="20"/>
          <w:color w:val="auto"/>
        </w:rPr>
      </w:pPr>
      <w:r>
        <w:rPr>
          <w:rFonts w:ascii="Arial" w:cs="Arial" w:eastAsia="Arial" w:hAnsi="Arial"/>
          <w:sz w:val="17"/>
          <w:szCs w:val="17"/>
          <w:i w:val="1"/>
          <w:i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180"/>
        <w:spacing w:after="0"/>
        <w:rPr>
          <w:sz w:val="20"/>
          <w:szCs w:val="20"/>
          <w:color w:val="auto"/>
        </w:rPr>
      </w:pPr>
      <w:r>
        <w:rPr>
          <w:rFonts w:ascii="Arial" w:cs="Arial" w:eastAsia="Arial" w:hAnsi="Arial"/>
          <w:sz w:val="18"/>
          <w:szCs w:val="18"/>
          <w:i w:val="1"/>
          <w:iCs w:val="1"/>
          <w:color w:val="auto"/>
        </w:rPr>
        <w:t>(I.R.S. Employer</w:t>
      </w:r>
    </w:p>
    <w:p>
      <w:pPr>
        <w:spacing w:after="0" w:line="23" w:lineRule="exact"/>
        <w:rPr>
          <w:sz w:val="24"/>
          <w:szCs w:val="24"/>
          <w:color w:val="auto"/>
        </w:rPr>
      </w:pPr>
    </w:p>
    <w:p>
      <w:pPr>
        <w:jc w:val="center"/>
        <w:ind w:right="2180"/>
        <w:spacing w:after="0"/>
        <w:rPr>
          <w:sz w:val="20"/>
          <w:szCs w:val="20"/>
          <w:color w:val="auto"/>
        </w:rPr>
      </w:pPr>
      <w:r>
        <w:rPr>
          <w:rFonts w:ascii="Arial" w:cs="Arial" w:eastAsia="Arial" w:hAnsi="Arial"/>
          <w:sz w:val="17"/>
          <w:szCs w:val="17"/>
          <w:i w:val="1"/>
          <w:iCs w:val="1"/>
          <w:color w:val="auto"/>
        </w:rPr>
        <w:t>Identification No.)</w:t>
      </w:r>
    </w:p>
    <w:p>
      <w:pPr>
        <w:spacing w:after="0" w:line="191" w:lineRule="exact"/>
        <w:rPr>
          <w:sz w:val="24"/>
          <w:szCs w:val="24"/>
          <w:color w:val="auto"/>
        </w:rPr>
      </w:pPr>
    </w:p>
    <w:p>
      <w:pPr>
        <w:sectPr>
          <w:pgSz w:w="11900" w:h="16838" w:orient="portrait"/>
          <w:cols w:equalWidth="0" w:num="2">
            <w:col w:w="7180" w:space="720"/>
            <w:col w:w="3520"/>
          </w:cols>
          <w:pgMar w:left="240" w:top="449" w:right="239" w:bottom="1440" w:gutter="0" w:footer="0" w:header="0"/>
          <w:type w:val="continuous"/>
        </w:sectPr>
      </w:pPr>
    </w:p>
    <w:p>
      <w:pPr>
        <w:ind w:left="1220"/>
        <w:spacing w:after="0"/>
        <w:rPr>
          <w:sz w:val="20"/>
          <w:szCs w:val="20"/>
          <w:color w:val="auto"/>
        </w:rPr>
      </w:pPr>
      <w:r>
        <w:rPr>
          <w:rFonts w:ascii="Arial" w:cs="Arial" w:eastAsia="Arial" w:hAnsi="Arial"/>
          <w:sz w:val="16"/>
          <w:szCs w:val="16"/>
          <w:b w:val="1"/>
          <w:bCs w:val="1"/>
          <w:color w:val="auto"/>
        </w:rPr>
        <w:t>300 Renaissance Center, Detroit, Michigan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48265-3000</w:t>
      </w:r>
    </w:p>
    <w:p>
      <w:pPr>
        <w:spacing w:after="0" w:line="90" w:lineRule="exact"/>
        <w:rPr>
          <w:sz w:val="24"/>
          <w:szCs w:val="24"/>
          <w:color w:val="auto"/>
        </w:rPr>
      </w:pPr>
    </w:p>
    <w:p>
      <w:pPr>
        <w:sectPr>
          <w:pgSz w:w="11900" w:h="16838" w:orient="portrait"/>
          <w:cols w:equalWidth="0" w:num="2">
            <w:col w:w="7420" w:space="720"/>
            <w:col w:w="3280"/>
          </w:cols>
          <w:pgMar w:left="240" w:top="449" w:right="239" w:bottom="1440" w:gutter="0" w:footer="0" w:header="0"/>
          <w:type w:val="continuous"/>
        </w:sectPr>
      </w:pPr>
    </w:p>
    <w:p>
      <w:pPr>
        <w:ind w:left="146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(Zip Code)</w:t>
      </w:r>
    </w:p>
    <w:p>
      <w:pPr>
        <w:spacing w:after="0" w:line="55" w:lineRule="exact"/>
        <w:rPr>
          <w:sz w:val="24"/>
          <w:szCs w:val="24"/>
          <w:color w:val="auto"/>
        </w:rPr>
      </w:pPr>
    </w:p>
    <w:p>
      <w:pPr>
        <w:sectPr>
          <w:pgSz w:w="11900" w:h="16838" w:orient="portrait"/>
          <w:cols w:equalWidth="0" w:num="2">
            <w:col w:w="7460" w:space="720"/>
            <w:col w:w="3240"/>
          </w:cols>
          <w:pgMar w:left="240" w:top="449"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(313) 556-5000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ectPr>
          <w:pgSz w:w="11900" w:h="16838" w:orient="portrait"/>
          <w:cols w:equalWidth="0" w:num="1">
            <w:col w:w="11420"/>
          </w:cols>
          <w:pgMar w:left="240" w:top="449" w:right="239" w:bottom="1440" w:gutter="0" w:footer="0" w:header="0"/>
          <w:type w:val="continuous"/>
        </w:sect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former address and former fiscal year, if changed since last report)</w:t>
      </w:r>
    </w:p>
    <w:p>
      <w:pPr>
        <w:spacing w:after="0" w:line="319"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firstLine="108"/>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30" w:lineRule="exact"/>
        <w:rPr>
          <w:sz w:val="24"/>
          <w:szCs w:val="24"/>
          <w:color w:val="auto"/>
        </w:rPr>
      </w:pPr>
    </w:p>
    <w:p>
      <w:pPr>
        <w:ind w:left="1920"/>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p>
    <w:p>
      <w:pPr>
        <w:spacing w:after="0" w:line="124"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left="120"/>
        <w:spacing w:after="0"/>
        <w:rPr>
          <w:sz w:val="20"/>
          <w:szCs w:val="20"/>
          <w:color w:val="auto"/>
        </w:rPr>
      </w:pPr>
      <w:r>
        <w:rPr>
          <w:rFonts w:ascii="Arial" w:cs="Arial" w:eastAsia="Arial" w:hAnsi="Arial"/>
          <w:sz w:val="18"/>
          <w:szCs w:val="18"/>
          <w:color w:val="auto"/>
        </w:rPr>
        <w:t>As of October 14, 2015 the number of shares outstanding of common stock was 1,556,176,910 shares.</w:t>
      </w:r>
    </w:p>
    <w:p>
      <w:pPr>
        <w:spacing w:after="0" w:line="3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Website Access to Company's Reports</w:t>
      </w:r>
    </w:p>
    <w:p>
      <w:pPr>
        <w:spacing w:after="0" w:line="229" w:lineRule="exact"/>
        <w:rPr>
          <w:sz w:val="24"/>
          <w:szCs w:val="24"/>
          <w:color w:val="auto"/>
        </w:rPr>
      </w:pPr>
    </w:p>
    <w:p>
      <w:pPr>
        <w:jc w:val="both"/>
        <w:ind w:firstLine="81"/>
        <w:spacing w:after="0" w:line="259" w:lineRule="auto"/>
        <w:rPr>
          <w:sz w:val="20"/>
          <w:szCs w:val="20"/>
          <w:color w:val="auto"/>
        </w:rPr>
      </w:pPr>
      <w:r>
        <w:rPr>
          <w:rFonts w:ascii="Arial" w:cs="Arial" w:eastAsia="Arial" w:hAnsi="Arial"/>
          <w:sz w:val="18"/>
          <w:szCs w:val="18"/>
          <w:color w:val="auto"/>
        </w:rPr>
        <w:t>General Motors Company's internet website address is www.gm.com. Our annual report on Form 10-K, quarterly reports on Form 10-Q, current reports on Form 8-K and amendments to those reports filed or furnished pursuant to section 13(a) or 15(d) of the Securities Exchange Act of 1934 are available free of charge through our website as soon as reasonably practicable after they are electronically filed with, or furnished to, the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0" w:type="dxa"/>
            <w:vAlign w:val="bottom"/>
            <w:gridSpan w:val="6"/>
          </w:tcPr>
          <w:p>
            <w:pPr>
              <w:ind w:left="1680"/>
              <w:spacing w:after="0"/>
              <w:rPr>
                <w:sz w:val="20"/>
                <w:szCs w:val="20"/>
                <w:color w:val="auto"/>
              </w:rPr>
            </w:pPr>
            <w:r>
              <w:rPr>
                <w:rFonts w:ascii="Arial" w:cs="Arial" w:eastAsia="Arial" w:hAnsi="Arial"/>
                <w:sz w:val="18"/>
                <w:szCs w:val="18"/>
                <w:b w:val="1"/>
                <w:bCs w:val="1"/>
                <w:color w:val="auto"/>
              </w:rPr>
              <w:t>Page</w:t>
            </w:r>
          </w:p>
        </w:tc>
      </w:tr>
      <w:tr>
        <w:trPr>
          <w:trHeight w:val="291"/>
        </w:trPr>
        <w:tc>
          <w:tcPr>
            <w:tcW w:w="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80" w:type="dxa"/>
            <w:vAlign w:val="bottom"/>
          </w:tcPr>
          <w:p>
            <w:pPr>
              <w:ind w:left="3380"/>
              <w:spacing w:after="0"/>
              <w:rPr>
                <w:sz w:val="20"/>
                <w:szCs w:val="20"/>
                <w:color w:val="auto"/>
              </w:rPr>
            </w:pPr>
            <w:r>
              <w:rPr>
                <w:rFonts w:ascii="Arial" w:cs="Arial" w:eastAsia="Arial" w:hAnsi="Arial"/>
                <w:sz w:val="18"/>
                <w:szCs w:val="18"/>
                <w:b w:val="1"/>
                <w:bCs w:val="1"/>
                <w:color w:val="auto"/>
              </w:rPr>
              <w:t>PART I</w:t>
            </w:r>
          </w:p>
        </w:tc>
        <w:tc>
          <w:tcPr>
            <w:tcW w:w="16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0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Financial Statements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Income Statements (Unaudited)</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Comprehensive Income (Unaudited)</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Balance Sheets (Unaudited)</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Condensed Consolidated Statements of Equity (Unaudited)</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Condensed Consolidated Statements of Cash Flows (Unaudited)</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Notes to Condensed Consolidated Financial Statements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Nature of Operations and Basis of Presentation</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8">
              <w:r>
                <w:rPr>
                  <w:rFonts w:ascii="Arial" w:cs="Arial" w:eastAsia="Arial" w:hAnsi="Arial"/>
                  <w:sz w:val="18"/>
                  <w:szCs w:val="18"/>
                  <w:color w:val="0000FF"/>
                </w:rPr>
                <w:t>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2.</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Marketable Securities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FF"/>
            </w:tcBorders>
            <w:shd w:val="clear" w:color="auto" w:fill="CCEEFF"/>
          </w:tcPr>
          <w:p>
            <w:pPr>
              <w:jc w:val="right"/>
              <w:spacing w:after="0" w:line="202" w:lineRule="exact"/>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GM Financial Receivables, net</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10">
              <w:r>
                <w:rPr>
                  <w:rFonts w:ascii="Arial" w:cs="Arial" w:eastAsia="Arial" w:hAnsi="Arial"/>
                  <w:sz w:val="18"/>
                  <w:szCs w:val="18"/>
                  <w:color w:val="0000FF"/>
                </w:rPr>
                <w:t>7</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320"/>
              <w:spacing w:after="0" w:line="202" w:lineRule="exact"/>
              <w:rPr>
                <w:sz w:val="20"/>
                <w:szCs w:val="20"/>
                <w:color w:val="auto"/>
              </w:rPr>
            </w:pPr>
            <w:r>
              <w:rPr>
                <w:rFonts w:ascii="Arial" w:cs="Arial" w:eastAsia="Arial" w:hAnsi="Arial"/>
                <w:sz w:val="18"/>
                <w:szCs w:val="18"/>
                <w:color w:val="auto"/>
              </w:rPr>
              <w:t>Note 4.</w:t>
            </w:r>
          </w:p>
        </w:tc>
        <w:tc>
          <w:tcPr>
            <w:tcW w:w="718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Inventories</w:t>
            </w:r>
          </w:p>
        </w:tc>
        <w:tc>
          <w:tcPr>
            <w:tcW w:w="2080" w:type="dxa"/>
            <w:vAlign w:val="bottom"/>
            <w:tcBorders>
              <w:bottom w:val="single" w:sz="8" w:color="CCEEFF"/>
            </w:tcBorders>
            <w:gridSpan w:val="4"/>
            <w:shd w:val="clear" w:color="auto" w:fill="CCEEFF"/>
          </w:tcPr>
          <w:p>
            <w:pPr>
              <w:spacing w:after="0"/>
              <w:rPr>
                <w:sz w:val="21"/>
                <w:szCs w:val="21"/>
                <w:color w:val="auto"/>
              </w:rPr>
            </w:pPr>
          </w:p>
        </w:tc>
        <w:tc>
          <w:tcPr>
            <w:tcW w:w="100" w:type="dxa"/>
            <w:vAlign w:val="bottom"/>
            <w:tcBorders>
              <w:bottom w:val="single" w:sz="8" w:color="0000EE"/>
            </w:tcBorders>
            <w:shd w:val="clear" w:color="auto" w:fill="CCEEFF"/>
          </w:tcPr>
          <w:p>
            <w:pPr>
              <w:jc w:val="right"/>
              <w:spacing w:after="0" w:line="202" w:lineRule="exact"/>
              <w:rPr>
                <w:rFonts w:ascii="Arial" w:cs="Arial" w:eastAsia="Arial" w:hAnsi="Arial"/>
                <w:sz w:val="18"/>
                <w:szCs w:val="18"/>
                <w:color w:val="0000EE"/>
                <w:w w:val="79"/>
              </w:rPr>
            </w:pPr>
            <w:hyperlink w:anchor="page12">
              <w:r>
                <w:rPr>
                  <w:rFonts w:ascii="Arial" w:cs="Arial" w:eastAsia="Arial" w:hAnsi="Arial"/>
                  <w:sz w:val="18"/>
                  <w:szCs w:val="18"/>
                  <w:color w:val="0000EE"/>
                  <w:w w:val="79"/>
                </w:rPr>
                <w:t>9</w:t>
              </w:r>
            </w:hyperlink>
          </w:p>
        </w:tc>
        <w:tc>
          <w:tcPr>
            <w:tcW w:w="20" w:type="dxa"/>
            <w:vAlign w:val="bottom"/>
            <w:tcBorders>
              <w:bottom w:val="single" w:sz="8" w:color="CCEEFF"/>
            </w:tcBorders>
            <w:shd w:val="clear" w:color="auto" w:fill="CCEEFF"/>
          </w:tcPr>
          <w:p>
            <w:pPr>
              <w:spacing w:after="0"/>
              <w:rPr>
                <w:sz w:val="21"/>
                <w:szCs w:val="21"/>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Equity in Net Assets of Nonconsolidated Affiliates</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12">
              <w:r>
                <w:rPr>
                  <w:rFonts w:ascii="Arial" w:cs="Arial" w:eastAsia="Arial" w:hAnsi="Arial"/>
                  <w:sz w:val="18"/>
                  <w:szCs w:val="18"/>
                  <w:color w:val="0000FF"/>
                </w:rPr>
                <w:t>9</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6.</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Variable Interest Entities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13">
              <w:r>
                <w:rPr>
                  <w:rFonts w:ascii="Arial" w:cs="Arial" w:eastAsia="Arial" w:hAnsi="Arial"/>
                  <w:sz w:val="18"/>
                  <w:szCs w:val="18"/>
                  <w:color w:val="0000FF"/>
                </w:rPr>
                <w:t>10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7.</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Short-Term and Long-Term Debt</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14">
              <w:r>
                <w:rPr>
                  <w:rFonts w:ascii="Arial" w:cs="Arial" w:eastAsia="Arial" w:hAnsi="Arial"/>
                  <w:sz w:val="18"/>
                  <w:szCs w:val="18"/>
                  <w:color w:val="0000FF"/>
                </w:rPr>
                <w:t>11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8.</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Product Warranty and Related Liabilities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9.</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Pensions and Other Postretirement Benefits</w:t>
            </w:r>
          </w:p>
        </w:tc>
        <w:tc>
          <w:tcPr>
            <w:tcW w:w="2200" w:type="dxa"/>
            <w:vAlign w:val="bottom"/>
            <w:gridSpan w:val="6"/>
          </w:tcPr>
          <w:p>
            <w:pPr>
              <w:jc w:val="right"/>
              <w:ind w:right="2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10.</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Commitments and Contingencies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EE"/>
              </w:rPr>
            </w:pPr>
            <w:hyperlink w:anchor="page16">
              <w:r>
                <w:rPr>
                  <w:rFonts w:ascii="Arial" w:cs="Arial" w:eastAsia="Arial" w:hAnsi="Arial"/>
                  <w:sz w:val="18"/>
                  <w:szCs w:val="18"/>
                  <w:color w:val="0000EE"/>
                </w:rPr>
                <w:t>13</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11.</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Income Taxes</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22">
              <w:r>
                <w:rPr>
                  <w:rFonts w:ascii="Arial" w:cs="Arial" w:eastAsia="Arial" w:hAnsi="Arial"/>
                  <w:sz w:val="18"/>
                  <w:szCs w:val="18"/>
                  <w:color w:val="0000FF"/>
                </w:rPr>
                <w:t>19</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12.</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Restructuring and Other Initiatives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3">
              <w:r>
                <w:rPr>
                  <w:rFonts w:ascii="Arial" w:cs="Arial" w:eastAsia="Arial" w:hAnsi="Arial"/>
                  <w:sz w:val="18"/>
                  <w:szCs w:val="18"/>
                  <w:color w:val="0000FF"/>
                </w:rPr>
                <w:t>20</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13.</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Stockholders' Equity</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24">
              <w:r>
                <w:rPr>
                  <w:rFonts w:ascii="Arial" w:cs="Arial" w:eastAsia="Arial" w:hAnsi="Arial"/>
                  <w:sz w:val="18"/>
                  <w:szCs w:val="18"/>
                  <w:color w:val="0000FF"/>
                </w:rPr>
                <w:t>21</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spacing w:after="0"/>
              <w:rPr>
                <w:sz w:val="17"/>
                <w:szCs w:val="17"/>
                <w:color w:val="auto"/>
              </w:rPr>
            </w:pPr>
          </w:p>
        </w:tc>
        <w:tc>
          <w:tcPr>
            <w:tcW w:w="11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Note 14.</w:t>
            </w:r>
          </w:p>
        </w:tc>
        <w:tc>
          <w:tcPr>
            <w:tcW w:w="71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Earnings Per Share</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5">
              <w:r>
                <w:rPr>
                  <w:rFonts w:ascii="Arial" w:cs="Arial" w:eastAsia="Arial" w:hAnsi="Arial"/>
                  <w:sz w:val="18"/>
                  <w:szCs w:val="18"/>
                  <w:color w:val="0000FF"/>
                </w:rPr>
                <w:t>22</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spacing w:after="0"/>
              <w:rPr>
                <w:sz w:val="17"/>
                <w:szCs w:val="17"/>
                <w:color w:val="auto"/>
              </w:rPr>
            </w:pPr>
          </w:p>
        </w:tc>
        <w:tc>
          <w:tcPr>
            <w:tcW w:w="1140" w:type="dxa"/>
            <w:vAlign w:val="bottom"/>
          </w:tcPr>
          <w:p>
            <w:pPr>
              <w:ind w:left="320"/>
              <w:spacing w:after="0" w:line="202" w:lineRule="exact"/>
              <w:rPr>
                <w:sz w:val="20"/>
                <w:szCs w:val="20"/>
                <w:color w:val="auto"/>
              </w:rPr>
            </w:pPr>
            <w:r>
              <w:rPr>
                <w:rFonts w:ascii="Arial" w:cs="Arial" w:eastAsia="Arial" w:hAnsi="Arial"/>
                <w:sz w:val="18"/>
                <w:szCs w:val="18"/>
                <w:color w:val="auto"/>
              </w:rPr>
              <w:t>Note 15.</w:t>
            </w:r>
          </w:p>
        </w:tc>
        <w:tc>
          <w:tcPr>
            <w:tcW w:w="7180" w:type="dxa"/>
            <w:vAlign w:val="bottom"/>
          </w:tcPr>
          <w:p>
            <w:pPr>
              <w:ind w:left="60"/>
              <w:spacing w:after="0" w:line="202" w:lineRule="exact"/>
              <w:rPr>
                <w:sz w:val="20"/>
                <w:szCs w:val="20"/>
                <w:color w:val="auto"/>
              </w:rPr>
            </w:pPr>
            <w:r>
              <w:rPr>
                <w:rFonts w:ascii="Arial" w:cs="Arial" w:eastAsia="Arial" w:hAnsi="Arial"/>
                <w:sz w:val="18"/>
                <w:szCs w:val="18"/>
                <w:color w:val="auto"/>
              </w:rPr>
              <w:t>Segment Reporting</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28">
              <w:r>
                <w:rPr>
                  <w:rFonts w:ascii="Arial" w:cs="Arial" w:eastAsia="Arial" w:hAnsi="Arial"/>
                  <w:sz w:val="18"/>
                  <w:szCs w:val="18"/>
                  <w:color w:val="0000FF"/>
                </w:rPr>
                <w:t>26</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3.</w:t>
            </w:r>
          </w:p>
        </w:tc>
        <w:tc>
          <w:tcPr>
            <w:tcW w:w="8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Quantitative and Qualitative Disclosures About Market Risk</w:t>
            </w: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46</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4.</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Controls and Procedures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49">
              <w:r>
                <w:rPr>
                  <w:rFonts w:ascii="Arial" w:cs="Arial" w:eastAsia="Arial" w:hAnsi="Arial"/>
                  <w:sz w:val="18"/>
                  <w:szCs w:val="18"/>
                  <w:color w:val="0000FF"/>
                </w:rPr>
                <w:t>46</w:t>
              </w:r>
            </w:hyperlink>
          </w:p>
        </w:tc>
      </w:tr>
      <w:tr>
        <w:trPr>
          <w:trHeight w:val="243"/>
        </w:trPr>
        <w:tc>
          <w:tcPr>
            <w:tcW w:w="90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7180" w:type="dxa"/>
            <w:vAlign w:val="bottom"/>
            <w:tcBorders>
              <w:top w:val="single" w:sz="8" w:color="CCEEFF"/>
            </w:tcBorders>
          </w:tcPr>
          <w:p>
            <w:pPr>
              <w:ind w:left="3340"/>
              <w:spacing w:after="0"/>
              <w:rPr>
                <w:sz w:val="20"/>
                <w:szCs w:val="20"/>
                <w:color w:val="auto"/>
              </w:rPr>
            </w:pPr>
            <w:r>
              <w:rPr>
                <w:rFonts w:ascii="Arial" w:cs="Arial" w:eastAsia="Arial" w:hAnsi="Arial"/>
                <w:sz w:val="18"/>
                <w:szCs w:val="18"/>
                <w:b w:val="1"/>
                <w:bCs w:val="1"/>
                <w:color w:val="auto"/>
              </w:rPr>
              <w:t>PART II</w:t>
            </w:r>
          </w:p>
        </w:tc>
        <w:tc>
          <w:tcPr>
            <w:tcW w:w="1680" w:type="dxa"/>
            <w:vAlign w:val="bottom"/>
            <w:tcBorders>
              <w:top w:val="single" w:sz="8" w:color="CCEEFF"/>
            </w:tcBorders>
          </w:tcPr>
          <w:p>
            <w:pPr>
              <w:spacing w:after="0"/>
              <w:rPr>
                <w:sz w:val="21"/>
                <w:szCs w:val="21"/>
                <w:color w:val="auto"/>
              </w:rPr>
            </w:pPr>
          </w:p>
        </w:tc>
        <w:tc>
          <w:tcPr>
            <w:tcW w:w="320" w:type="dxa"/>
            <w:vAlign w:val="bottom"/>
            <w:tcBorders>
              <w:top w:val="single" w:sz="8" w:color="CCEE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4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r>
      <w:tr>
        <w:trPr>
          <w:trHeight w:val="27"/>
        </w:trPr>
        <w:tc>
          <w:tcPr>
            <w:tcW w:w="900" w:type="dxa"/>
            <w:vAlign w:val="bottom"/>
          </w:tcPr>
          <w:p>
            <w:pPr>
              <w:spacing w:after="0"/>
              <w:rPr>
                <w:sz w:val="2"/>
                <w:szCs w:val="2"/>
                <w:color w:val="auto"/>
              </w:rPr>
            </w:pPr>
          </w:p>
        </w:tc>
        <w:tc>
          <w:tcPr>
            <w:tcW w:w="832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1.</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Legal Proceedings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47</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1A.</w:t>
            </w:r>
          </w:p>
        </w:tc>
        <w:tc>
          <w:tcPr>
            <w:tcW w:w="1140" w:type="dxa"/>
            <w:vAlign w:val="bottom"/>
          </w:tcPr>
          <w:p>
            <w:pPr>
              <w:ind w:left="180"/>
              <w:spacing w:after="0" w:line="202" w:lineRule="exact"/>
              <w:rPr>
                <w:sz w:val="20"/>
                <w:szCs w:val="20"/>
                <w:color w:val="auto"/>
              </w:rPr>
            </w:pPr>
            <w:r>
              <w:rPr>
                <w:rFonts w:ascii="Arial" w:cs="Arial" w:eastAsia="Arial" w:hAnsi="Arial"/>
                <w:sz w:val="18"/>
                <w:szCs w:val="18"/>
                <w:color w:val="auto"/>
                <w:w w:val="93"/>
              </w:rPr>
              <w:t>Risk Factors</w:t>
            </w:r>
          </w:p>
        </w:tc>
        <w:tc>
          <w:tcPr>
            <w:tcW w:w="7180" w:type="dxa"/>
            <w:vAlign w:val="bottom"/>
          </w:tcPr>
          <w:p>
            <w:pPr>
              <w:spacing w:after="0"/>
              <w:rPr>
                <w:sz w:val="17"/>
                <w:szCs w:val="17"/>
                <w:color w:val="auto"/>
              </w:rPr>
            </w:pPr>
          </w:p>
        </w:tc>
        <w:tc>
          <w:tcPr>
            <w:tcW w:w="2200" w:type="dxa"/>
            <w:vAlign w:val="bottom"/>
            <w:gridSpan w:val="6"/>
          </w:tcPr>
          <w:p>
            <w:pPr>
              <w:jc w:val="right"/>
              <w:ind w:right="2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Item 2.</w:t>
            </w:r>
          </w:p>
        </w:tc>
        <w:tc>
          <w:tcPr>
            <w:tcW w:w="83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Unregistered Sales of Equity Securities and Use of Proceeds</w:t>
            </w: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47</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900" w:type="dxa"/>
            <w:vAlign w:val="bottom"/>
          </w:tcPr>
          <w:p>
            <w:pPr>
              <w:ind w:left="40"/>
              <w:spacing w:after="0" w:line="202" w:lineRule="exact"/>
              <w:rPr>
                <w:sz w:val="20"/>
                <w:szCs w:val="20"/>
                <w:color w:val="auto"/>
              </w:rPr>
            </w:pPr>
            <w:r>
              <w:rPr>
                <w:rFonts w:ascii="Arial" w:cs="Arial" w:eastAsia="Arial" w:hAnsi="Arial"/>
                <w:sz w:val="18"/>
                <w:szCs w:val="18"/>
                <w:color w:val="auto"/>
              </w:rPr>
              <w:t>Item 6.</w:t>
            </w:r>
          </w:p>
        </w:tc>
        <w:tc>
          <w:tcPr>
            <w:tcW w:w="1140" w:type="dxa"/>
            <w:vAlign w:val="bottom"/>
          </w:tcPr>
          <w:p>
            <w:pPr>
              <w:ind w:left="180"/>
              <w:spacing w:after="0" w:line="202" w:lineRule="exact"/>
              <w:rPr>
                <w:sz w:val="20"/>
                <w:szCs w:val="20"/>
                <w:color w:val="auto"/>
              </w:rPr>
            </w:pPr>
            <w:r>
              <w:rPr>
                <w:rFonts w:ascii="Arial" w:cs="Arial" w:eastAsia="Arial" w:hAnsi="Arial"/>
                <w:sz w:val="18"/>
                <w:szCs w:val="18"/>
                <w:color w:val="auto"/>
              </w:rPr>
              <w:t>Exhibits</w:t>
            </w:r>
          </w:p>
        </w:tc>
        <w:tc>
          <w:tcPr>
            <w:tcW w:w="7180" w:type="dxa"/>
            <w:vAlign w:val="bottom"/>
          </w:tcPr>
          <w:p>
            <w:pPr>
              <w:spacing w:after="0"/>
              <w:rPr>
                <w:sz w:val="17"/>
                <w:szCs w:val="17"/>
                <w:color w:val="auto"/>
              </w:rPr>
            </w:pPr>
          </w:p>
        </w:tc>
        <w:tc>
          <w:tcPr>
            <w:tcW w:w="2200" w:type="dxa"/>
            <w:vAlign w:val="bottom"/>
            <w:gridSpan w:val="6"/>
          </w:tcPr>
          <w:p>
            <w:pPr>
              <w:jc w:val="right"/>
              <w:ind w:right="20"/>
              <w:spacing w:after="0" w:line="202" w:lineRule="exact"/>
              <w:rPr>
                <w:rFonts w:ascii="Arial" w:cs="Arial" w:eastAsia="Arial" w:hAnsi="Arial"/>
                <w:sz w:val="18"/>
                <w:szCs w:val="18"/>
                <w:color w:val="0000FF"/>
              </w:rPr>
            </w:pPr>
            <w:hyperlink w:anchor="page50">
              <w:r>
                <w:rPr>
                  <w:rFonts w:ascii="Arial" w:cs="Arial" w:eastAsia="Arial" w:hAnsi="Arial"/>
                  <w:sz w:val="18"/>
                  <w:szCs w:val="18"/>
                  <w:color w:val="0000FF"/>
                </w:rPr>
                <w:t>48</w:t>
              </w:r>
            </w:hyperlink>
          </w:p>
        </w:tc>
      </w:tr>
      <w:tr>
        <w:trPr>
          <w:trHeight w:val="48"/>
        </w:trPr>
        <w:tc>
          <w:tcPr>
            <w:tcW w:w="9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0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Signature</w:t>
            </w:r>
          </w:p>
        </w:tc>
        <w:tc>
          <w:tcPr>
            <w:tcW w:w="1140" w:type="dxa"/>
            <w:vAlign w:val="bottom"/>
            <w:shd w:val="clear" w:color="auto" w:fill="CCEEFF"/>
          </w:tcPr>
          <w:p>
            <w:pPr>
              <w:spacing w:after="0"/>
              <w:rPr>
                <w:sz w:val="17"/>
                <w:szCs w:val="17"/>
                <w:color w:val="auto"/>
              </w:rPr>
            </w:pPr>
          </w:p>
        </w:tc>
        <w:tc>
          <w:tcPr>
            <w:tcW w:w="7180" w:type="dxa"/>
            <w:vAlign w:val="bottom"/>
            <w:shd w:val="clear" w:color="auto" w:fill="CCEEFF"/>
          </w:tcPr>
          <w:p>
            <w:pPr>
              <w:spacing w:after="0"/>
              <w:rPr>
                <w:sz w:val="17"/>
                <w:szCs w:val="17"/>
                <w:color w:val="auto"/>
              </w:rPr>
            </w:pPr>
          </w:p>
        </w:tc>
        <w:tc>
          <w:tcPr>
            <w:tcW w:w="2200" w:type="dxa"/>
            <w:vAlign w:val="bottom"/>
            <w:gridSpan w:val="6"/>
            <w:shd w:val="clear" w:color="auto" w:fill="CCEEFF"/>
          </w:tcPr>
          <w:p>
            <w:pPr>
              <w:jc w:val="right"/>
              <w:ind w:right="20"/>
              <w:spacing w:after="0" w:line="202" w:lineRule="exact"/>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r>
      <w:tr>
        <w:trPr>
          <w:trHeight w:val="48"/>
        </w:trPr>
        <w:tc>
          <w:tcPr>
            <w:tcW w:w="9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7180" w:type="dxa"/>
            <w:vAlign w:val="bottom"/>
            <w:tcBorders>
              <w:top w:val="single" w:sz="8" w:color="CCEEFF"/>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0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5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080" w:type="dxa"/>
            <w:vAlign w:val="bottom"/>
          </w:tcPr>
          <w:p>
            <w:pPr>
              <w:jc w:val="right"/>
              <w:ind w:right="91"/>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 and revenue</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Automotive</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37,140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37,999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108,174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112,776</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w:t>
            </w:r>
          </w:p>
        </w:tc>
        <w:tc>
          <w:tcPr>
            <w:tcW w:w="3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1,703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37"/>
        </w:trPr>
        <w:tc>
          <w:tcPr>
            <w:tcW w:w="6020" w:type="dxa"/>
            <w:vAlign w:val="bottom"/>
          </w:tcPr>
          <w:p>
            <w:pPr>
              <w:ind w:left="180"/>
              <w:spacing w:after="0"/>
              <w:rPr>
                <w:sz w:val="20"/>
                <w:szCs w:val="20"/>
                <w:color w:val="auto"/>
              </w:rPr>
            </w:pPr>
            <w:r>
              <w:rPr>
                <w:rFonts w:ascii="Arial" w:cs="Arial" w:eastAsia="Arial" w:hAnsi="Arial"/>
                <w:sz w:val="18"/>
                <w:szCs w:val="18"/>
                <w:color w:val="auto"/>
              </w:rPr>
              <w:t>Total net sales and revenue</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38,843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39,255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112,735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116,312</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Automotive cost of sales (Note 8)</w:t>
            </w: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32,058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34,054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95,329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104,032</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GM Financial interest, operating and other expenses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2,854</w:t>
            </w:r>
          </w:p>
        </w:tc>
        <w:tc>
          <w:tcPr>
            <w:tcW w:w="0" w:type="dxa"/>
            <w:vAlign w:val="bottom"/>
          </w:tcPr>
          <w:p>
            <w:pPr>
              <w:spacing w:after="0"/>
              <w:rPr>
                <w:sz w:val="1"/>
                <w:szCs w:val="1"/>
                <w:color w:val="auto"/>
              </w:rPr>
            </w:pP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Automotive selling, general and administrative expense (Note 10)</w:t>
            </w: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4,282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10,376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costs and expenses</w:t>
            </w:r>
          </w:p>
        </w:tc>
        <w:tc>
          <w:tcPr>
            <w:tcW w:w="3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37,846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38,028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109,697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116,091</w:t>
            </w:r>
          </w:p>
        </w:tc>
        <w:tc>
          <w:tcPr>
            <w:tcW w:w="0" w:type="dxa"/>
            <w:vAlign w:val="bottom"/>
          </w:tcPr>
          <w:p>
            <w:pPr>
              <w:spacing w:after="0"/>
              <w:rPr>
                <w:sz w:val="1"/>
                <w:szCs w:val="1"/>
                <w:color w:val="auto"/>
              </w:rPr>
            </w:pPr>
          </w:p>
        </w:tc>
      </w:tr>
      <w:tr>
        <w:trPr>
          <w:trHeight w:val="237"/>
        </w:trPr>
        <w:tc>
          <w:tcPr>
            <w:tcW w:w="602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3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3,038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Interest income and other non-operating income, net</w:t>
            </w: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extinguishment of debt</w:t>
            </w: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Equity income (Note 5)</w:t>
            </w: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1,958</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Income tax expense (benefit) (Note 11)</w:t>
            </w: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interests</w:t>
            </w: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stockholders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1,962</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6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324"/>
        </w:trPr>
        <w:tc>
          <w:tcPr>
            <w:tcW w:w="6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share (Note 14)</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 per common share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180"/>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Weighted-average common shares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122"/>
        </w:trPr>
        <w:tc>
          <w:tcPr>
            <w:tcW w:w="6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common share</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7"/>
        </w:trPr>
        <w:tc>
          <w:tcPr>
            <w:tcW w:w="60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341"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2014</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2015</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 (Note 13)</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Unrealized gains (losses) on securities, net</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Defined benefit plans, net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643</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3,438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40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stockholders</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1,674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2,145</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72"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2014</w:t>
            </w:r>
          </w:p>
        </w:tc>
        <w:tc>
          <w:tcPr>
            <w:tcW w:w="0" w:type="dxa"/>
            <w:vAlign w:val="bottom"/>
          </w:tcPr>
          <w:p>
            <w:pPr>
              <w:spacing w:after="0"/>
              <w:rPr>
                <w:sz w:val="1"/>
                <w:szCs w:val="1"/>
                <w:color w:val="auto"/>
              </w:rPr>
            </w:pPr>
          </w:p>
        </w:tc>
      </w:tr>
      <w:tr>
        <w:trPr>
          <w:trHeight w:val="210"/>
        </w:trPr>
        <w:tc>
          <w:tcPr>
            <w:tcW w:w="8120" w:type="dxa"/>
            <w:vAlign w:val="bottom"/>
            <w:tcBorders>
              <w:top w:val="single" w:sz="8" w:color="CCEEFF"/>
            </w:tcBorders>
            <w:shd w:val="clear" w:color="auto" w:fill="CCEEFF"/>
          </w:tcPr>
          <w:p>
            <w:pPr>
              <w:ind w:left="3760"/>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12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18,954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Marketable securities (Note 2)</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8,029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9,222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Restricted cash and marketable securities (Note 2; Note 6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Accounts and notes receivable (net of allowance of $329 and $340)</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10,486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9,078</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3; Note 6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17,217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16,528</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Inventories (Note 4)</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14,368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13,642</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Equipment on operating leases,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3,564</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9,208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9,760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17"/>
        </w:trPr>
        <w:tc>
          <w:tcPr>
            <w:tcW w:w="812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82,341</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83,670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Restricted cash and marketable securities (Note 2; Note 6 at VIEs)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935</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receivables, net (Note 3; Note 6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16,006</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Equity in net assets of nonconsolidated affiliates (Note 5)</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8,872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8,350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Property, net</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29,381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27,743</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Goodwill and intangible assets, net</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6,083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6,410</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GM Financial equipment on operating leases, net (Note 6 at VIEs)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7,060</w:t>
            </w:r>
          </w:p>
        </w:tc>
        <w:tc>
          <w:tcPr>
            <w:tcW w:w="0" w:type="dxa"/>
            <w:vAlign w:val="bottom"/>
          </w:tcPr>
          <w:p>
            <w:pPr>
              <w:spacing w:after="0"/>
              <w:rPr>
                <w:sz w:val="1"/>
                <w:szCs w:val="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24,799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25,414</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2,089</w:t>
            </w:r>
          </w:p>
        </w:tc>
        <w:tc>
          <w:tcPr>
            <w:tcW w:w="0" w:type="dxa"/>
            <w:vAlign w:val="bottom"/>
          </w:tcPr>
          <w:p>
            <w:pPr>
              <w:spacing w:after="0"/>
              <w:rPr>
                <w:sz w:val="1"/>
                <w:szCs w:val="1"/>
                <w:color w:val="auto"/>
              </w:rPr>
            </w:pPr>
          </w:p>
        </w:tc>
      </w:tr>
      <w:tr>
        <w:trPr>
          <w:trHeight w:val="217"/>
        </w:trPr>
        <w:tc>
          <w:tcPr>
            <w:tcW w:w="8120" w:type="dxa"/>
            <w:vAlign w:val="bottom"/>
          </w:tcPr>
          <w:p>
            <w:pPr>
              <w:ind w:left="180"/>
              <w:spacing w:after="0"/>
              <w:rPr>
                <w:sz w:val="20"/>
                <w:szCs w:val="20"/>
                <w:color w:val="auto"/>
              </w:rPr>
            </w:pPr>
            <w:r>
              <w:rPr>
                <w:rFonts w:ascii="Arial" w:cs="Arial" w:eastAsia="Arial" w:hAnsi="Arial"/>
                <w:sz w:val="16"/>
                <w:szCs w:val="16"/>
                <w:color w:val="auto"/>
              </w:rPr>
              <w:t>Total non-current assets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106,659</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94,007</w:t>
            </w:r>
          </w:p>
        </w:tc>
        <w:tc>
          <w:tcPr>
            <w:tcW w:w="0" w:type="dxa"/>
            <w:vAlign w:val="bottom"/>
          </w:tcPr>
          <w:p>
            <w:pPr>
              <w:spacing w:after="0"/>
              <w:rPr>
                <w:sz w:val="1"/>
                <w:szCs w:val="1"/>
                <w:color w:val="auto"/>
              </w:rPr>
            </w:pPr>
          </w:p>
        </w:tc>
      </w:tr>
      <w:tr>
        <w:trPr>
          <w:trHeight w:val="33"/>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177,677</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0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1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sectPr>
          <w:pgSz w:w="11900" w:h="16838" w:orient="portrait"/>
          <w:cols w:equalWidth="0" w:num="1">
            <w:col w:w="11420"/>
          </w:cols>
          <w:pgMar w:left="240" w:top="341" w:right="239" w:bottom="0" w:gutter="0" w:footer="0" w:header="0"/>
        </w:sectPr>
      </w:pPr>
    </w:p>
    <w:p>
      <w:pPr>
        <w:ind w:left="180"/>
        <w:spacing w:after="0"/>
        <w:rPr>
          <w:sz w:val="20"/>
          <w:szCs w:val="20"/>
          <w:color w:val="auto"/>
        </w:rPr>
      </w:pPr>
      <w:r>
        <w:rPr>
          <w:rFonts w:ascii="Arial" w:cs="Arial" w:eastAsia="Arial" w:hAnsi="Arial"/>
          <w:sz w:val="16"/>
          <w:szCs w:val="16"/>
          <w:color w:val="auto"/>
        </w:rPr>
        <w:t>Accounts payable (principally trade)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Short-term debt and current portion of long-term debt (Note 7)</w:t>
      </w:r>
    </w:p>
    <w:p>
      <w:pPr>
        <w:spacing w:after="0" w:line="10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6 at VIEs)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current liabilities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debt (Note 7)</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Automotive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GM Financial (Note 6 at VIEs)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Postretirement benefits other than pensions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Pensions (Note 9)</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Total non-current liabilities</w:t>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Commitments and contingencies (Note 10)</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Equity (Note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$0.01 par value</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Retained earnings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Total stockholders’ equity</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Noncontrolling interests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25,188</w:t>
            </w:r>
          </w:p>
        </w:tc>
        <w:tc>
          <w:tcPr>
            <w:tcW w:w="100" w:type="dxa"/>
            <w:vAlign w:val="bottom"/>
          </w:tcPr>
          <w:p>
            <w:pPr>
              <w:spacing w:after="0"/>
              <w:rPr>
                <w:sz w:val="17"/>
                <w:szCs w:val="17"/>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22,529</w:t>
            </w:r>
          </w:p>
        </w:tc>
      </w:tr>
      <w:tr>
        <w:trPr>
          <w:trHeight w:val="54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641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500</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16,361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14,488</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30,549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28,184</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72,739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65,701</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8,503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8,910</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31,898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22,943</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5,959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6,229</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21,618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23,788</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13,148</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14,082</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81,126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75,952</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153,865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141,653</w:t>
            </w:r>
          </w:p>
        </w:tc>
      </w:tr>
      <w:tr>
        <w:trPr>
          <w:trHeight w:val="810"/>
        </w:trPr>
        <w:tc>
          <w:tcPr>
            <w:tcW w:w="540" w:type="dxa"/>
            <w:vAlign w:val="bottom"/>
          </w:tcPr>
          <w:p>
            <w:pPr>
              <w:spacing w:after="0"/>
              <w:rPr>
                <w:sz w:val="24"/>
                <w:szCs w:val="24"/>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27,744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28,937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14,912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14,577</w:t>
            </w:r>
          </w:p>
        </w:tc>
      </w:tr>
      <w:tr>
        <w:trPr>
          <w:trHeight w:val="270"/>
        </w:trPr>
        <w:tc>
          <w:tcPr>
            <w:tcW w:w="5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(8,034)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(8,073)</w:t>
            </w:r>
          </w:p>
        </w:tc>
      </w:tr>
      <w:tr>
        <w:trPr>
          <w:trHeight w:val="33"/>
        </w:trPr>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540" w:type="dxa"/>
            <w:vAlign w:val="bottom"/>
          </w:tcPr>
          <w:p>
            <w:pPr>
              <w:spacing w:after="0"/>
              <w:rPr>
                <w:sz w:val="18"/>
                <w:szCs w:val="18"/>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34,638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35,457</w:t>
            </w:r>
          </w:p>
        </w:tc>
      </w:tr>
      <w:tr>
        <w:trPr>
          <w:trHeight w:val="270"/>
        </w:trPr>
        <w:tc>
          <w:tcPr>
            <w:tcW w:w="540" w:type="dxa"/>
            <w:vAlign w:val="bottom"/>
          </w:tcPr>
          <w:p>
            <w:pPr>
              <w:spacing w:after="0"/>
              <w:rPr>
                <w:sz w:val="23"/>
                <w:szCs w:val="23"/>
                <w:color w:val="auto"/>
              </w:rPr>
            </w:pPr>
          </w:p>
        </w:tc>
        <w:tc>
          <w:tcPr>
            <w:tcW w:w="1080" w:type="dxa"/>
            <w:vAlign w:val="bottom"/>
          </w:tcPr>
          <w:p>
            <w:pPr>
              <w:jc w:val="right"/>
              <w:ind w:right="39"/>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567</w:t>
            </w:r>
          </w:p>
        </w:tc>
      </w:tr>
    </w:tbl>
    <w:p>
      <w:pPr>
        <w:spacing w:after="0" w:line="13" w:lineRule="exact"/>
        <w:rPr>
          <w:sz w:val="20"/>
          <w:szCs w:val="20"/>
          <w:color w:val="auto"/>
        </w:rPr>
      </w:pPr>
    </w:p>
    <w:p>
      <w:pPr>
        <w:sectPr>
          <w:pgSz w:w="11900" w:h="16838" w:orient="portrait"/>
          <w:cols w:equalWidth="0" w:num="2">
            <w:col w:w="7400" w:space="720"/>
            <w:col w:w="3300"/>
          </w:cols>
          <w:pgMar w:left="240" w:top="341" w:right="239" w:bottom="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Equity</w:t>
            </w:r>
          </w:p>
        </w:tc>
        <w:tc>
          <w:tcPr>
            <w:tcW w:w="540" w:type="dxa"/>
            <w:vAlign w:val="bottom"/>
            <w:tcBorders>
              <w:top w:val="single" w:sz="8" w:color="auto"/>
              <w:bottom w:val="single" w:sz="8" w:color="CCEEFF"/>
            </w:tcBorders>
            <w:shd w:val="clear" w:color="auto" w:fill="CCEEFF"/>
          </w:tcPr>
          <w:p>
            <w:pPr>
              <w:spacing w:after="0"/>
              <w:rPr>
                <w:sz w:val="23"/>
                <w:szCs w:val="23"/>
                <w:color w:val="auto"/>
              </w:rPr>
            </w:pPr>
          </w:p>
        </w:tc>
        <w:tc>
          <w:tcPr>
            <w:tcW w:w="10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35,135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520" w:type="dxa"/>
            <w:vAlign w:val="bottom"/>
            <w:tcBorders>
              <w:top w:val="single" w:sz="8" w:color="auto"/>
              <w:bottom w:val="single" w:sz="8" w:color="CCEEFF"/>
            </w:tcBorders>
            <w:shd w:val="clear" w:color="auto" w:fill="CCEEFF"/>
          </w:tcPr>
          <w:p>
            <w:pPr>
              <w:spacing w:after="0"/>
              <w:rPr>
                <w:sz w:val="23"/>
                <w:szCs w:val="23"/>
                <w:color w:val="auto"/>
              </w:rPr>
            </w:pPr>
          </w:p>
        </w:tc>
        <w:tc>
          <w:tcPr>
            <w:tcW w:w="10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36,024</w:t>
            </w: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Equity</w:t>
            </w: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189,000</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177,677</w:t>
            </w:r>
          </w:p>
        </w:tc>
      </w:tr>
      <w:tr>
        <w:trPr>
          <w:trHeight w:val="33"/>
        </w:trPr>
        <w:tc>
          <w:tcPr>
            <w:tcW w:w="8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41" w:right="239" w:bottom="0" w:gutter="0" w:footer="0" w:header="0"/>
          <w:type w:val="continuous"/>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Reference should be made to the notes to condensed consolidated financial statements.</w:t>
      </w:r>
    </w:p>
    <w:p>
      <w:pPr>
        <w:sectPr>
          <w:pgSz w:w="11900" w:h="16838" w:orient="portrait"/>
          <w:cols w:equalWidth="0" w:num="1">
            <w:col w:w="11420"/>
          </w:cols>
          <w:pgMar w:left="240" w:top="341" w:right="23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125" w:right="1440"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Common Stockholders’</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3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tcPr>
          <w:p>
            <w:pPr>
              <w:ind w:left="20"/>
              <w:spacing w:after="0" w:line="144" w:lineRule="exact"/>
              <w:rPr>
                <w:sz w:val="20"/>
                <w:szCs w:val="20"/>
                <w:color w:val="auto"/>
              </w:rPr>
            </w:pPr>
            <w:r>
              <w:rPr>
                <w:rFonts w:ascii="Arial" w:cs="Arial" w:eastAsia="Arial" w:hAnsi="Arial"/>
                <w:sz w:val="13"/>
                <w:szCs w:val="13"/>
                <w:b w:val="1"/>
                <w:bCs w:val="1"/>
                <w:color w:val="auto"/>
                <w:w w:val="98"/>
              </w:rPr>
              <w:t>Accumulated Other</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Series A</w:t>
            </w: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900" w:type="dxa"/>
            <w:vAlign w:val="bottom"/>
          </w:tcPr>
          <w:p>
            <w:pPr>
              <w:spacing w:after="0"/>
              <w:rPr>
                <w:sz w:val="15"/>
                <w:szCs w:val="15"/>
                <w:color w:val="auto"/>
              </w:rPr>
            </w:pPr>
          </w:p>
        </w:tc>
        <w:tc>
          <w:tcPr>
            <w:tcW w:w="1060" w:type="dxa"/>
            <w:vAlign w:val="bottom"/>
            <w:gridSpan w:val="3"/>
          </w:tcPr>
          <w:p>
            <w:pPr>
              <w:ind w:left="40"/>
              <w:spacing w:after="0"/>
              <w:rPr>
                <w:sz w:val="20"/>
                <w:szCs w:val="20"/>
                <w:color w:val="auto"/>
              </w:rPr>
            </w:pPr>
            <w:r>
              <w:rPr>
                <w:rFonts w:ascii="Arial" w:cs="Arial" w:eastAsia="Arial" w:hAnsi="Arial"/>
                <w:sz w:val="13"/>
                <w:szCs w:val="13"/>
                <w:b w:val="1"/>
                <w:bCs w:val="1"/>
                <w:color w:val="auto"/>
              </w:rPr>
              <w:t>Preferred Stock</w:t>
            </w:r>
          </w:p>
        </w:tc>
        <w:tc>
          <w:tcPr>
            <w:tcW w:w="1040" w:type="dxa"/>
            <w:vAlign w:val="bottom"/>
            <w:gridSpan w:val="3"/>
          </w:tcPr>
          <w:p>
            <w:pPr>
              <w:ind w:left="40"/>
              <w:spacing w:after="0"/>
              <w:rPr>
                <w:sz w:val="20"/>
                <w:szCs w:val="20"/>
                <w:color w:val="auto"/>
              </w:rPr>
            </w:pPr>
            <w:r>
              <w:rPr>
                <w:rFonts w:ascii="Arial" w:cs="Arial" w:eastAsia="Arial" w:hAnsi="Arial"/>
                <w:sz w:val="13"/>
                <w:szCs w:val="13"/>
                <w:b w:val="1"/>
                <w:bCs w:val="1"/>
                <w:color w:val="auto"/>
              </w:rPr>
              <w:t>Common Stock</w:t>
            </w:r>
          </w:p>
        </w:tc>
        <w:tc>
          <w:tcPr>
            <w:tcW w:w="10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0"/>
              </w:rPr>
              <w:t>Paid-in Capital</w:t>
            </w:r>
          </w:p>
        </w:tc>
        <w:tc>
          <w:tcPr>
            <w:tcW w:w="160" w:type="dxa"/>
            <w:vAlign w:val="bottom"/>
          </w:tcPr>
          <w:p>
            <w:pPr>
              <w:spacing w:after="0"/>
              <w:rPr>
                <w:sz w:val="15"/>
                <w:szCs w:val="15"/>
                <w:color w:val="auto"/>
              </w:rPr>
            </w:pPr>
          </w:p>
        </w:tc>
        <w:tc>
          <w:tcPr>
            <w:tcW w:w="860" w:type="dxa"/>
            <w:vAlign w:val="bottom"/>
            <w:gridSpan w:val="2"/>
          </w:tcPr>
          <w:p>
            <w:pPr>
              <w:ind w:left="40"/>
              <w:spacing w:after="0"/>
              <w:rPr>
                <w:sz w:val="20"/>
                <w:szCs w:val="20"/>
                <w:color w:val="auto"/>
              </w:rPr>
            </w:pPr>
            <w:r>
              <w:rPr>
                <w:rFonts w:ascii="Arial" w:cs="Arial" w:eastAsia="Arial" w:hAnsi="Arial"/>
                <w:sz w:val="13"/>
                <w:szCs w:val="13"/>
                <w:b w:val="1"/>
                <w:bCs w:val="1"/>
                <w:color w:val="auto"/>
              </w:rPr>
              <w:t>Earnings</w:t>
            </w: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Interests</w:t>
            </w:r>
          </w:p>
        </w:tc>
        <w:tc>
          <w:tcPr>
            <w:tcW w:w="12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Arial" w:cs="Arial" w:eastAsia="Arial" w:hAnsi="Arial"/>
                <w:sz w:val="13"/>
                <w:szCs w:val="13"/>
                <w:b w:val="1"/>
                <w:bCs w:val="1"/>
                <w:color w:val="auto"/>
                <w:w w:val="85"/>
              </w:rPr>
              <w:t>Total Equity</w:t>
            </w:r>
          </w:p>
        </w:tc>
        <w:tc>
          <w:tcPr>
            <w:tcW w:w="0" w:type="dxa"/>
            <w:vAlign w:val="bottom"/>
          </w:tcPr>
          <w:p>
            <w:pPr>
              <w:spacing w:after="0"/>
              <w:rPr>
                <w:sz w:val="1"/>
                <w:szCs w:val="1"/>
                <w:color w:val="auto"/>
              </w:rPr>
            </w:pPr>
          </w:p>
        </w:tc>
      </w:tr>
      <w:tr>
        <w:trPr>
          <w:trHeight w:val="17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January 1, 2014</w:t>
            </w: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3,109</w:t>
            </w: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28,780</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13,816</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(3,113)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567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43,174</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6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1,962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183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Purchase of common stock</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common stock warrants</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Stock based compensation</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paid on common stock</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(1,445)</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Cash dividends paid on Series A preferred stock</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 or paid to noncontrolling interests</w:t>
            </w:r>
          </w:p>
        </w:tc>
        <w:tc>
          <w:tcPr>
            <w:tcW w:w="16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6"/>
                <w:szCs w:val="16"/>
                <w:color w:val="auto"/>
              </w:rPr>
            </w:pP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ind w:right="29"/>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9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September 30, 2014</w:t>
            </w: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3,109</w:t>
            </w: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vMerge w:val="restart"/>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28,832</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13,975</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(2,930)</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561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43,563</w:t>
            </w:r>
          </w:p>
        </w:tc>
        <w:tc>
          <w:tcPr>
            <w:tcW w:w="0" w:type="dxa"/>
            <w:vAlign w:val="bottom"/>
          </w:tcPr>
          <w:p>
            <w:pPr>
              <w:spacing w:after="0"/>
              <w:rPr>
                <w:sz w:val="1"/>
                <w:szCs w:val="1"/>
                <w:color w:val="auto"/>
              </w:rPr>
            </w:pPr>
          </w:p>
        </w:tc>
      </w:tr>
      <w:tr>
        <w:trPr>
          <w:trHeight w:val="60"/>
        </w:trPr>
        <w:tc>
          <w:tcPr>
            <w:tcW w:w="39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6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380" w:type="dxa"/>
            <w:vAlign w:val="bottom"/>
            <w:tcBorders>
              <w:bottom w:val="single" w:sz="8" w:color="auto"/>
            </w:tcBorders>
            <w:vMerge w:val="continue"/>
            <w:shd w:val="clear" w:color="auto" w:fill="CCEEFF"/>
          </w:tcPr>
          <w:p>
            <w:pPr>
              <w:spacing w:after="0"/>
              <w:rPr>
                <w:sz w:val="5"/>
                <w:szCs w:val="5"/>
                <w:color w:val="auto"/>
              </w:rPr>
            </w:pPr>
          </w:p>
        </w:tc>
        <w:tc>
          <w:tcPr>
            <w:tcW w:w="5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40" w:type="dxa"/>
            <w:vAlign w:val="bottom"/>
            <w:tcBorders>
              <w:bottom w:val="single" w:sz="8" w:color="auto"/>
            </w:tcBorders>
            <w:vMerge w:val="continue"/>
            <w:shd w:val="clear" w:color="auto" w:fill="CCEEFF"/>
          </w:tcPr>
          <w:p>
            <w:pPr>
              <w:spacing w:after="0"/>
              <w:rPr>
                <w:sz w:val="5"/>
                <w:szCs w:val="5"/>
                <w:color w:val="auto"/>
              </w:rPr>
            </w:pPr>
          </w:p>
        </w:tc>
        <w:tc>
          <w:tcPr>
            <w:tcW w:w="8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20" w:type="dxa"/>
            <w:vAlign w:val="bottom"/>
            <w:tcBorders>
              <w:bottom w:val="single" w:sz="8" w:color="auto"/>
            </w:tcBorders>
            <w:vMerge w:val="continue"/>
            <w:shd w:val="clear" w:color="auto" w:fill="CCEEFF"/>
          </w:tcPr>
          <w:p>
            <w:pPr>
              <w:spacing w:after="0"/>
              <w:rPr>
                <w:sz w:val="5"/>
                <w:szCs w:val="5"/>
                <w:color w:val="auto"/>
              </w:rPr>
            </w:pPr>
          </w:p>
        </w:tc>
        <w:tc>
          <w:tcPr>
            <w:tcW w:w="7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January 1, 2015</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vMerge w:val="restart"/>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28,937</w:t>
            </w:r>
          </w:p>
        </w:tc>
        <w:tc>
          <w:tcPr>
            <w:tcW w:w="12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14,577</w:t>
            </w:r>
          </w:p>
        </w:tc>
        <w:tc>
          <w:tcPr>
            <w:tcW w:w="12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(8,073)</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36,024</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vMerge w:val="continue"/>
            <w:shd w:val="clear" w:color="auto" w:fill="CCEEFF"/>
          </w:tcPr>
          <w:p>
            <w:pPr>
              <w:spacing w:after="0"/>
              <w:rPr>
                <w:sz w:val="6"/>
                <w:szCs w:val="6"/>
                <w:color w:val="auto"/>
              </w:rPr>
            </w:pPr>
          </w:p>
        </w:tc>
        <w:tc>
          <w:tcPr>
            <w:tcW w:w="5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29"/>
              <w:spacing w:after="0"/>
              <w:rPr>
                <w:sz w:val="20"/>
                <w:szCs w:val="20"/>
                <w:color w:val="auto"/>
              </w:rPr>
            </w:pPr>
            <w:r>
              <w:rPr>
                <w:rFonts w:ascii="Arial" w:cs="Arial" w:eastAsia="Arial" w:hAnsi="Arial"/>
                <w:sz w:val="14"/>
                <w:szCs w:val="14"/>
                <w:color w:val="auto"/>
              </w:rPr>
              <w:t>3,421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3,389</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Purchase of common stock</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(1,441)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(2,888)</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common stock warrants</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Stock based compensation</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vMerge w:val="restart"/>
          </w:tcPr>
          <w:p>
            <w:pPr>
              <w:jc w:val="right"/>
              <w:ind w:right="28"/>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paid on common stock</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900" w:type="dxa"/>
            <w:vAlign w:val="bottom"/>
          </w:tcPr>
          <w:p>
            <w:pPr>
              <w:ind w:left="40"/>
              <w:spacing w:after="0"/>
              <w:rPr>
                <w:sz w:val="20"/>
                <w:szCs w:val="20"/>
                <w:color w:val="auto"/>
              </w:rPr>
            </w:pPr>
            <w:r>
              <w:rPr>
                <w:rFonts w:ascii="Arial" w:cs="Arial" w:eastAsia="Arial" w:hAnsi="Arial"/>
                <w:sz w:val="14"/>
                <w:szCs w:val="14"/>
                <w:color w:val="auto"/>
              </w:rPr>
              <w:t>Dividends declared or paid to noncontrolling interests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74"/>
        </w:trPr>
        <w:tc>
          <w:tcPr>
            <w:tcW w:w="3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80"/>
        </w:trPr>
        <w:tc>
          <w:tcPr>
            <w:tcW w:w="39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0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900" w:type="dxa"/>
            <w:vAlign w:val="bottom"/>
          </w:tcPr>
          <w:p>
            <w:pPr>
              <w:ind w:left="40"/>
              <w:spacing w:after="0"/>
              <w:rPr>
                <w:sz w:val="20"/>
                <w:szCs w:val="20"/>
                <w:color w:val="auto"/>
              </w:rPr>
            </w:pPr>
            <w:r>
              <w:rPr>
                <w:rFonts w:ascii="Arial" w:cs="Arial" w:eastAsia="Arial" w:hAnsi="Arial"/>
                <w:sz w:val="14"/>
                <w:szCs w:val="14"/>
                <w:b w:val="1"/>
                <w:bCs w:val="1"/>
                <w:color w:val="auto"/>
              </w:rPr>
              <w:t>Balance at September 30, 2015</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27,744</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14,912</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(8,034)</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35,135</w:t>
            </w:r>
          </w:p>
        </w:tc>
        <w:tc>
          <w:tcPr>
            <w:tcW w:w="0" w:type="dxa"/>
            <w:vAlign w:val="bottom"/>
          </w:tcPr>
          <w:p>
            <w:pPr>
              <w:spacing w:after="0"/>
              <w:rPr>
                <w:sz w:val="1"/>
                <w:szCs w:val="1"/>
                <w:color w:val="auto"/>
              </w:rPr>
            </w:pPr>
          </w:p>
        </w:tc>
      </w:tr>
      <w:tr>
        <w:trPr>
          <w:trHeight w:val="65"/>
        </w:trPr>
        <w:tc>
          <w:tcPr>
            <w:tcW w:w="39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Borders>
              <w:bottom w:val="single" w:sz="8" w:color="auto"/>
            </w:tcBorders>
            <w:vMerge w:val="continue"/>
          </w:tcPr>
          <w:p>
            <w:pPr>
              <w:spacing w:after="0"/>
              <w:rPr>
                <w:sz w:val="5"/>
                <w:szCs w:val="5"/>
                <w:color w:val="auto"/>
              </w:rPr>
            </w:pPr>
          </w:p>
        </w:tc>
        <w:tc>
          <w:tcPr>
            <w:tcW w:w="5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74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4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051"/>
              <w:spacing w:after="0"/>
              <w:rPr>
                <w:sz w:val="20"/>
                <w:szCs w:val="20"/>
                <w:color w:val="auto"/>
              </w:rPr>
            </w:pPr>
            <w:r>
              <w:rPr>
                <w:rFonts w:ascii="Arial" w:cs="Arial" w:eastAsia="Arial" w:hAnsi="Arial"/>
                <w:sz w:val="14"/>
                <w:szCs w:val="14"/>
                <w:b w:val="1"/>
                <w:bCs w:val="1"/>
                <w:color w:val="auto"/>
              </w:rPr>
              <w:t>Nine Months Ended</w:t>
            </w:r>
          </w:p>
        </w:tc>
      </w:tr>
      <w:tr>
        <w:trPr>
          <w:trHeight w:val="264"/>
        </w:trPr>
        <w:tc>
          <w:tcPr>
            <w:tcW w:w="7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22"/>
                <w:szCs w:val="22"/>
                <w:color w:val="auto"/>
              </w:rPr>
            </w:pPr>
          </w:p>
        </w:tc>
        <w:tc>
          <w:tcPr>
            <w:tcW w:w="1520" w:type="dxa"/>
            <w:vAlign w:val="bottom"/>
          </w:tcPr>
          <w:p>
            <w:pPr>
              <w:jc w:val="right"/>
              <w:ind w:right="171"/>
              <w:spacing w:after="0"/>
              <w:rPr>
                <w:sz w:val="20"/>
                <w:szCs w:val="20"/>
                <w:color w:val="auto"/>
              </w:rPr>
            </w:pPr>
            <w:r>
              <w:rPr>
                <w:rFonts w:ascii="Arial" w:cs="Arial" w:eastAsia="Arial" w:hAnsi="Arial"/>
                <w:sz w:val="14"/>
                <w:szCs w:val="14"/>
                <w:b w:val="1"/>
                <w:bCs w:val="1"/>
                <w:color w:val="auto"/>
                <w:w w:val="94"/>
              </w:rPr>
              <w:t>September 30, 2014</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Expenditures for property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Available-for-sale marketable securities, acquisitions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(6,203)</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Trading marketable securities, acquisitions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(1,426)</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Available-for-sale marketable securities, liquidations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7,485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5,242</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Trading marketable securities, liquidations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1,696</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Acquisition of companies/investments, net of cash acquired</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restricted cash and marketable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Decrease in restricted cash and marketable securities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368</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finance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(10,824)</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Principal collections and recoveries on finance receivables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8,718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8,124</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Purchases of leased vehicles,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Proceeds from termination of leased vehicles</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395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(11,425)</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Net increase (decrease) in short-term debt</w:t>
            </w:r>
          </w:p>
        </w:tc>
        <w:tc>
          <w:tcPr>
            <w:tcW w:w="18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debt (original maturities greater than three months)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21,848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Payments on debt (original maturities greater than three months)</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(12,323)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(15,526)</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Payments to purchase stock</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Dividends paid</w:t>
            </w:r>
          </w:p>
        </w:tc>
        <w:tc>
          <w:tcPr>
            <w:tcW w:w="1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(1,781)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financing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3,360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Net decrease in cash and cash equivalents</w:t>
            </w:r>
          </w:p>
        </w:tc>
        <w:tc>
          <w:tcPr>
            <w:tcW w:w="18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20,021</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15,433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18,060</w:t>
            </w:r>
          </w:p>
        </w:tc>
      </w:tr>
      <w:tr>
        <w:trPr>
          <w:trHeight w:val="67"/>
        </w:trPr>
        <w:tc>
          <w:tcPr>
            <w:tcW w:w="79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Non-cash property additions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4,192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3,372</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Reference should be made to the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General Motors Company is sometimes referred to in this Quarterly Report on Form 10-Q as “we,” “our,” “us,” “ourselves,” the “Company,” “General Motors,” or “GM.” We design, build and sell cars, trucks and automobile parts worldwide. We also provide automotive financing services through General Motors Financial Company, Inc. (GM Financial). We analyze the results of our business through the following segments: GM North America (GMNA), GM Europe (GME), GM International Operations (GMIO), GM South America (GMSA) and GM Financial. Nonsegment operations are classified as Corporate. Corporate includes certain centrally recorded income and costs, such as interest, income taxes and corporate expenditures and certain nonsegment specific revenues and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The accompanying condensed consolidated financial statements have been prepared in conformity with U.S. GAAP pursuant to the rules and regulations of the Securities and Exchange Commission (SEC) for interim financial information. Accordingly they do not include all of the information and notes required by U.S. GAAP for complete financial statements. The accompanying condensed consolidated financial statements include all adjustments, which consist of normal recurring adjustments and transactions or events discretely impacting the interim periods, considered necessary by management to fairly state our results of operations, financial position and cash flows. The operating results for interim periods are not necessarily indicative of results that may be expected for any other interim period or for the full year. These condensed consolidated financial statements should be read in conjunction with the audited consolidated financial statements and notes thereto included in our 2014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Not Yet Adopted</w:t>
      </w:r>
    </w:p>
    <w:p>
      <w:pPr>
        <w:spacing w:after="0" w:line="22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May 2014 the Financial Accounting Standards Board (FASB) issued Accounting Standards Update 2014-09, “Revenue from Contracts with Customers” (ASU 2014-09) which requires companies to recognize revenue when a customer obtains control rather than when companies have transferred substantially all risks and rewards of a good or service and requires expanded disclosures. ASU 2014-09 was originally effective for annual reporting periods beginning on or after December 15, 2016 and interim periods therein. In August 2015 the FASB issued ASU 2015-14 which defers the effective date of ASU 2014-09 one year making it effective for annual reporting periods beginning on or after December 15, 2017 while also providing for early adoption but not before the original effective date. We are currently assessing the impact the adoption of ASU 2014-09 will have on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Marketable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fair value of marketable securities which approximates cost (dollars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Fair Value Level</w:t>
            </w:r>
          </w:p>
        </w:tc>
        <w:tc>
          <w:tcPr>
            <w:tcW w:w="160" w:type="dxa"/>
            <w:vAlign w:val="bottom"/>
          </w:tcPr>
          <w:p>
            <w:pPr>
              <w:spacing w:after="0"/>
              <w:rPr>
                <w:sz w:val="16"/>
                <w:szCs w:val="16"/>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b w:val="1"/>
                <w:bCs w:val="1"/>
                <w:color w:val="auto"/>
                <w:w w:val="93"/>
              </w:rPr>
              <w:t>September 30, 2015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31"/>
              <w:spacing w:after="0"/>
              <w:rPr>
                <w:sz w:val="20"/>
                <w:szCs w:val="20"/>
                <w:color w:val="auto"/>
              </w:rPr>
            </w:pPr>
            <w:r>
              <w:rPr>
                <w:rFonts w:ascii="Arial" w:cs="Arial" w:eastAsia="Arial" w:hAnsi="Arial"/>
                <w:sz w:val="14"/>
                <w:szCs w:val="14"/>
                <w:b w:val="1"/>
                <w:bCs w:val="1"/>
                <w:color w:val="auto"/>
                <w:w w:val="93"/>
              </w:rPr>
              <w:t>December 31, 2014</w:t>
            </w:r>
          </w:p>
        </w:tc>
        <w:tc>
          <w:tcPr>
            <w:tcW w:w="0" w:type="dxa"/>
            <w:vAlign w:val="bottom"/>
          </w:tcPr>
          <w:p>
            <w:pPr>
              <w:spacing w:after="0"/>
              <w:rPr>
                <w:sz w:val="1"/>
                <w:szCs w:val="1"/>
                <w:color w:val="auto"/>
              </w:rPr>
            </w:pPr>
          </w:p>
        </w:tc>
      </w:tr>
      <w:tr>
        <w:trPr>
          <w:trHeight w:val="250"/>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Available-for-sale securities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government and agencies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Sovereign debt</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2,468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Corporate debt</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4,240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10,890</w:t>
            </w:r>
          </w:p>
        </w:tc>
        <w:tc>
          <w:tcPr>
            <w:tcW w:w="0" w:type="dxa"/>
            <w:vAlign w:val="bottom"/>
          </w:tcPr>
          <w:p>
            <w:pPr>
              <w:spacing w:after="0"/>
              <w:rPr>
                <w:sz w:val="1"/>
                <w:szCs w:val="1"/>
                <w:color w:val="auto"/>
              </w:rPr>
            </w:pPr>
          </w:p>
        </w:tc>
      </w:tr>
      <w:tr>
        <w:trPr>
          <w:trHeight w:val="291"/>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Trading securities </w:t>
            </w:r>
            <w:r>
              <w:rPr>
                <w:rFonts w:ascii="Arial" w:cs="Arial" w:eastAsia="Arial" w:hAnsi="Arial"/>
                <w:sz w:val="21"/>
                <w:szCs w:val="21"/>
                <w:color w:val="auto"/>
              </w:rPr>
              <w:t>–</w:t>
            </w:r>
            <w:r>
              <w:rPr>
                <w:rFonts w:ascii="Arial" w:cs="Arial" w:eastAsia="Arial" w:hAnsi="Arial"/>
                <w:sz w:val="18"/>
                <w:szCs w:val="18"/>
                <w:color w:val="auto"/>
              </w:rPr>
              <w:t xml:space="preserve"> sovereign and corporate debt</w:t>
            </w:r>
          </w:p>
        </w:tc>
        <w:tc>
          <w:tcPr>
            <w:tcW w:w="11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marketable securities classified as cash equivalents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11,321</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Cash, cash equivalents and time deposits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7,653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7,633</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15,433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18,954</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Marketable securities</w:t>
            </w: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200"/>
              <w:spacing w:after="0"/>
              <w:rPr>
                <w:sz w:val="20"/>
                <w:szCs w:val="20"/>
                <w:color w:val="auto"/>
              </w:rPr>
            </w:pPr>
            <w:r>
              <w:rPr>
                <w:rFonts w:ascii="Arial" w:cs="Arial" w:eastAsia="Arial" w:hAnsi="Arial"/>
                <w:sz w:val="18"/>
                <w:szCs w:val="18"/>
                <w:color w:val="auto"/>
              </w:rPr>
              <w:t>U.S. government and agencies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5,088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Corporate debt</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37"/>
        </w:trPr>
        <w:tc>
          <w:tcPr>
            <w:tcW w:w="6860" w:type="dxa"/>
            <w:vAlign w:val="bottom"/>
          </w:tcPr>
          <w:p>
            <w:pPr>
              <w:ind w:left="40"/>
              <w:spacing w:after="0"/>
              <w:rPr>
                <w:sz w:val="20"/>
                <w:szCs w:val="20"/>
                <w:color w:val="auto"/>
              </w:rPr>
            </w:pPr>
            <w:r>
              <w:rPr>
                <w:rFonts w:ascii="Arial" w:cs="Arial" w:eastAsia="Arial" w:hAnsi="Arial"/>
                <w:sz w:val="18"/>
                <w:szCs w:val="18"/>
                <w:color w:val="auto"/>
              </w:rPr>
              <w:t>Total available-for-sale securities</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7,955</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6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Trading securities </w:t>
            </w:r>
            <w:r>
              <w:rPr>
                <w:rFonts w:ascii="Arial" w:cs="Arial" w:eastAsia="Arial" w:hAnsi="Arial"/>
                <w:sz w:val="21"/>
                <w:szCs w:val="21"/>
                <w:color w:val="auto"/>
              </w:rPr>
              <w:t>–</w:t>
            </w:r>
            <w:r>
              <w:rPr>
                <w:rFonts w:ascii="Arial" w:cs="Arial" w:eastAsia="Arial" w:hAnsi="Arial"/>
                <w:sz w:val="18"/>
                <w:szCs w:val="18"/>
                <w:color w:val="auto"/>
              </w:rPr>
              <w:t xml:space="preserve"> sovereign debt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1,267</w:t>
            </w:r>
          </w:p>
        </w:tc>
        <w:tc>
          <w:tcPr>
            <w:tcW w:w="0" w:type="dxa"/>
            <w:vAlign w:val="bottom"/>
          </w:tcPr>
          <w:p>
            <w:pPr>
              <w:spacing w:after="0"/>
              <w:rPr>
                <w:sz w:val="1"/>
                <w:szCs w:val="1"/>
                <w:color w:val="auto"/>
              </w:rPr>
            </w:pPr>
          </w:p>
        </w:tc>
      </w:tr>
      <w:tr>
        <w:trPr>
          <w:trHeight w:val="304"/>
        </w:trPr>
        <w:tc>
          <w:tcPr>
            <w:tcW w:w="6860" w:type="dxa"/>
            <w:vAlign w:val="bottom"/>
          </w:tcPr>
          <w:p>
            <w:pPr>
              <w:ind w:left="40"/>
              <w:spacing w:after="0"/>
              <w:rPr>
                <w:sz w:val="20"/>
                <w:szCs w:val="20"/>
                <w:color w:val="auto"/>
              </w:rPr>
            </w:pPr>
            <w:r>
              <w:rPr>
                <w:rFonts w:ascii="Arial" w:cs="Arial" w:eastAsia="Arial" w:hAnsi="Arial"/>
                <w:sz w:val="18"/>
                <w:szCs w:val="18"/>
                <w:color w:val="auto"/>
              </w:rPr>
              <w:t>Total marketable securities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8,029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9,222</w:t>
            </w:r>
          </w:p>
        </w:tc>
        <w:tc>
          <w:tcPr>
            <w:tcW w:w="0" w:type="dxa"/>
            <w:vAlign w:val="bottom"/>
          </w:tcPr>
          <w:p>
            <w:pPr>
              <w:spacing w:after="0"/>
              <w:rPr>
                <w:sz w:val="1"/>
                <w:szCs w:val="1"/>
                <w:color w:val="auto"/>
              </w:rPr>
            </w:pPr>
          </w:p>
        </w:tc>
      </w:tr>
      <w:tr>
        <w:trPr>
          <w:trHeight w:val="237"/>
        </w:trPr>
        <w:tc>
          <w:tcPr>
            <w:tcW w:w="68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Restricted cash and marketable securities</w:t>
            </w:r>
          </w:p>
        </w:tc>
        <w:tc>
          <w:tcPr>
            <w:tcW w:w="1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Available-for-sale securities, primarily money market funds</w:t>
            </w:r>
          </w:p>
        </w:tc>
        <w:tc>
          <w:tcPr>
            <w:tcW w:w="11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1,318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cash equivalents and time deposits</w:t>
            </w:r>
          </w:p>
        </w:tc>
        <w:tc>
          <w:tcPr>
            <w:tcW w:w="1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restricted cash and marketable securities</w:t>
            </w: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71"/>
        </w:trPr>
        <w:tc>
          <w:tcPr>
            <w:tcW w:w="686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Available-for-sale securities included above with contractual maturities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one year or less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Due between one year and five years</w:t>
            </w: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available-for-sale securities with contractual maturities</w:t>
            </w: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Sales proceeds from investments classified as available-for-sale and sold prior to maturity were $1.1 billion and $663 million in the three months ended September 30, 2015 and 2014 and $7.0 billion and $2.1 billion in the nine months ended September 30, 2015 and 2014. Cumulative unrealized gains and losses on available-for-sale securities were insignificant at September 30, 2015 and December 31, 2014 and net unrealized gains and losses on trading securities were insignificant in the three and nine months ended September 30, 2015 and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GM Financial Receivables, net</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GM Financial receivables, net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 2015</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December 31, 2014</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r>
      <w:tr>
        <w:trPr>
          <w:trHeight w:val="217"/>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134"/>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2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8"/>
                <w:szCs w:val="18"/>
                <w:color w:val="auto"/>
              </w:rPr>
            </w:pPr>
          </w:p>
        </w:tc>
        <w:tc>
          <w:tcPr>
            <w:tcW w:w="860" w:type="dxa"/>
            <w:vAlign w:val="bottom"/>
          </w:tcPr>
          <w:p>
            <w:pPr>
              <w:jc w:val="right"/>
              <w:ind w:right="94"/>
              <w:spacing w:after="0"/>
              <w:rPr>
                <w:sz w:val="20"/>
                <w:szCs w:val="20"/>
                <w:color w:val="auto"/>
              </w:rPr>
            </w:pPr>
            <w:r>
              <w:rPr>
                <w:rFonts w:ascii="Arial" w:cs="Arial" w:eastAsia="Arial" w:hAnsi="Arial"/>
                <w:sz w:val="14"/>
                <w:szCs w:val="14"/>
                <w:b w:val="1"/>
                <w:bCs w:val="1"/>
                <w:color w:val="auto"/>
                <w:w w:val="95"/>
              </w:rPr>
              <w:t>Consumer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Commercial</w:t>
            </w:r>
          </w:p>
        </w:tc>
        <w:tc>
          <w:tcPr>
            <w:tcW w:w="2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53"/>
        </w:trPr>
        <w:tc>
          <w:tcPr>
            <w:tcW w:w="47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receivables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27,987</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25,623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33,229</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(695)</w:t>
            </w:r>
          </w:p>
        </w:tc>
      </w:tr>
      <w:tr>
        <w:trPr>
          <w:trHeight w:val="27"/>
        </w:trPr>
        <w:tc>
          <w:tcPr>
            <w:tcW w:w="4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receivables,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27,269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7,619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34,888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24,968</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7,566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32,534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GM Financial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35,039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33,106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Allowance for loan losses classified as current</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(529)</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GM Financial estimates the fair value of consumer finance receivables using observable and unobservable inputs within a cash flow model, a Level 3 input. The inputs reflect assumptions regarding expected prepayments, deferrals, delinquencies, recoveries and charge-offs of the loans within the portfolio. The cash flow model produces an estimated amortization schedule of the finance receivables which is the basis for the calculation of the series of cash flows that derive the fair value of the portfolio. The series of cash flows is calculated and discounted using a weighted-average cost of capital or current interest rates. The weighted-average cost of capital uses debt and equity percentages, an unobservable cost of equity and an observable cost of debt based on companies with a similar credit rating and maturity profile as the portfolio. Macroeconomic factors could affect the credit performance of the portfolio and therefore could potentially affect the assumptions used in GM Financial's cash flow model. A substantial majority of GM Financial's commercial finance receivables have variable interest rates and maturities of one year or less. Therefore the carrying amount is considered to be a reasonable estimate of fair value using Level 2 inputs.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the allowance for loan losses on finance receivables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Three Months Ended</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56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2014</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2015</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408</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Charge-offs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Recoveries</w:t>
            </w: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340</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2"/>
                <w:szCs w:val="22"/>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645</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activity for the allowance for commercial loan losses was insignificant in the three and nine months ended September 30, 2015 and 2014.</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Quality</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Consumer Finance Receivables</w:t>
      </w:r>
    </w:p>
    <w:p>
      <w:pPr>
        <w:spacing w:after="0" w:line="225"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GM Financial uses proprietary scoring systems in its underwriting process that measure the credit quality of the receivables using several factors, such as credit bureau information, consumer credit risk scores (e.g. FICO scores) and contract characteristics. In addition to GM Financial's proprietary scoring systems GM Financial considers other individual consumer factors such as employment history, financial stability and capacity to pay. Subsequent to origination GM Financial reviews the credit quality of retail receivables based on customer payment activity. At the time of loan origination substantially all of GM Financial's international consumers were considered to be prime credit quality. At September 30, 2015 and December 31, 2014, 65% and 83% of the consumer finance receivables in North America were from consumers with sub-prime credit scores, which are defined as FICO scores of less than 620 at the time of loan origination.</w:t>
      </w:r>
    </w:p>
    <w:p>
      <w:pPr>
        <w:spacing w:after="0" w:line="189"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An account is considered delinquent if a substantial portion of a scheduled payment has not been received by the date such payment was contractually due. At September 30, 2015 and December 31, 2014 the accrual of finance charge income has been suspended on delinquent consumer finance receivables with contractual amounts due of $726 million and $682 million. The following table summarizes the contractual amount of delinquent contracts, which is not significantly different than the recorded investment of the consumer finance receivables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rPr>
              <w:t>September 30, 2014</w:t>
            </w:r>
          </w:p>
        </w:tc>
        <w:tc>
          <w:tcPr>
            <w:tcW w:w="0" w:type="dxa"/>
            <w:vAlign w:val="bottom"/>
          </w:tcPr>
          <w:p>
            <w:pPr>
              <w:spacing w:after="0"/>
              <w:rPr>
                <w:sz w:val="1"/>
                <w:szCs w:val="1"/>
                <w:color w:val="auto"/>
              </w:rPr>
            </w:pPr>
          </w:p>
        </w:tc>
      </w:tr>
      <w:tr>
        <w:trPr>
          <w:trHeight w:val="152"/>
        </w:trPr>
        <w:tc>
          <w:tcPr>
            <w:tcW w:w="55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0"/>
              </w:rPr>
              <w:t>Percent of</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 of</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74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vMerge w:val="restart"/>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Amount Due</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31-to-60 days delinquent</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Greater-than-60 days delinquent</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finance receivables more than 30 days delinquent</w:t>
            </w:r>
          </w:p>
        </w:tc>
        <w:tc>
          <w:tcPr>
            <w:tcW w:w="1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1,591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1,404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In repossession</w:t>
            </w: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Total finance receivables more than 30 days delinquent or in repossession</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1,644</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CCEEFF"/>
            </w:tcBorders>
            <w:vMerge w:val="restart"/>
          </w:tcPr>
          <w:p>
            <w:pPr>
              <w:jc w:val="right"/>
              <w:ind w:right="790"/>
              <w:spacing w:after="0"/>
              <w:rPr>
                <w:sz w:val="20"/>
                <w:szCs w:val="20"/>
                <w:color w:val="auto"/>
              </w:rPr>
            </w:pPr>
            <w:r>
              <w:rPr>
                <w:rFonts w:ascii="Arial" w:cs="Arial" w:eastAsia="Arial" w:hAnsi="Arial"/>
                <w:sz w:val="18"/>
                <w:szCs w:val="18"/>
                <w:color w:val="auto"/>
              </w:rPr>
              <w:t>8</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500" w:type="dxa"/>
            <w:vAlign w:val="bottom"/>
          </w:tcPr>
          <w:p>
            <w:pPr>
              <w:spacing w:after="0"/>
              <w:rPr>
                <w:sz w:val="24"/>
                <w:szCs w:val="24"/>
                <w:color w:val="auto"/>
              </w:rPr>
            </w:pPr>
          </w:p>
        </w:tc>
        <w:tc>
          <w:tcPr>
            <w:tcW w:w="11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Impaired Finance Receivables – Troubled Debt Restructurings</w:t>
      </w:r>
    </w:p>
    <w:p>
      <w:pPr>
        <w:spacing w:after="0" w:line="23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outstanding recorded investment for consumer finance receivables that are considered to be troubled debt restructurings and the related allowance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Pr>
          <w:p>
            <w:pPr>
              <w:spacing w:after="0"/>
              <w:rPr>
                <w:sz w:val="16"/>
                <w:szCs w:val="16"/>
                <w:color w:val="auto"/>
              </w:rPr>
            </w:pPr>
          </w:p>
        </w:tc>
        <w:tc>
          <w:tcPr>
            <w:tcW w:w="1480" w:type="dxa"/>
            <w:vAlign w:val="bottom"/>
          </w:tcPr>
          <w:p>
            <w:pPr>
              <w:jc w:val="right"/>
              <w:ind w:right="173"/>
              <w:spacing w:after="0"/>
              <w:rPr>
                <w:sz w:val="20"/>
                <w:szCs w:val="20"/>
                <w:color w:val="auto"/>
              </w:rPr>
            </w:pPr>
            <w:r>
              <w:rPr>
                <w:rFonts w:ascii="Arial" w:cs="Arial" w:eastAsia="Arial" w:hAnsi="Arial"/>
                <w:sz w:val="14"/>
                <w:szCs w:val="14"/>
                <w:b w:val="1"/>
                <w:bCs w:val="1"/>
                <w:color w:val="auto"/>
                <w:w w:val="95"/>
              </w:rPr>
              <w:t>December 31, 2014</w:t>
            </w:r>
          </w:p>
        </w:tc>
      </w:tr>
      <w:tr>
        <w:trPr>
          <w:trHeight w:val="250"/>
        </w:trPr>
        <w:tc>
          <w:tcPr>
            <w:tcW w:w="7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1,234</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Less: allowance for loan losses</w:t>
            </w:r>
          </w:p>
        </w:tc>
        <w:tc>
          <w:tcPr>
            <w:tcW w:w="180" w:type="dxa"/>
            <w:vAlign w:val="bottom"/>
          </w:tcPr>
          <w:p>
            <w:pPr>
              <w:spacing w:after="0"/>
              <w:rPr>
                <w:sz w:val="21"/>
                <w:szCs w:val="21"/>
                <w:color w:val="auto"/>
              </w:rPr>
            </w:pPr>
          </w:p>
        </w:tc>
        <w:tc>
          <w:tcPr>
            <w:tcW w:w="1500" w:type="dxa"/>
            <w:vAlign w:val="bottom"/>
          </w:tcPr>
          <w:p>
            <w:pPr>
              <w:jc w:val="right"/>
              <w:ind w:right="53"/>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(172)</w:t>
            </w:r>
          </w:p>
        </w:tc>
      </w:tr>
      <w:tr>
        <w:trPr>
          <w:trHeight w:val="27"/>
        </w:trPr>
        <w:tc>
          <w:tcPr>
            <w:tcW w:w="7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recorded investment, net of allowance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1,300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1,062</w:t>
            </w:r>
          </w:p>
        </w:tc>
      </w:tr>
      <w:tr>
        <w:trPr>
          <w:trHeight w:val="20"/>
        </w:trPr>
        <w:tc>
          <w:tcPr>
            <w:tcW w:w="7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09"/>
        </w:trPr>
        <w:tc>
          <w:tcPr>
            <w:tcW w:w="7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80" w:type="dxa"/>
            <w:vAlign w:val="bottom"/>
          </w:tcPr>
          <w:p>
            <w:pPr>
              <w:spacing w:after="0"/>
              <w:rPr>
                <w:sz w:val="9"/>
                <w:szCs w:val="9"/>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Unpaid principal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1,255</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Outstanding recorded investment percentage of finance receivables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Commercial Finance Receivables</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GM Financial's commercial finance receivables consist of dealer financings, primarily for inventory purchases. A proprietary model is used to assign a risk rating to each dealer. A credit review of each dealer is performed at least annually, and if necessary, the dealer's risk rating is adjusted on the basis of the review. The credit lines for Group VI dealers are typically suspended and no further funding is extended to these dealers. At September 30, 2015 and December 31, 2014 the commercial finance receivables on non-accrual status were insignificant. The following table summarizes the credit risk profile by dealer grouping of the commercial finance receivables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2014</w:t>
            </w:r>
          </w:p>
        </w:tc>
      </w:tr>
      <w:tr>
        <w:trPr>
          <w:trHeight w:val="53"/>
        </w:trPr>
        <w:tc>
          <w:tcPr>
            <w:tcW w:w="8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 – Dealers with superior financial metrics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II – Dealers with strong financial metrics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2,022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III – Dealers with fair financial metrics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2,599</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IV – Dealers with weak financial metrics</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1,173</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Group V – Dealers warranting special mention due to potential weaknesses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Group VI – Dealers with loans classified as substandard, doubtful or impaired</w:t>
            </w:r>
          </w:p>
        </w:tc>
        <w:tc>
          <w:tcPr>
            <w:tcW w:w="1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238</w:t>
            </w: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7,606</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the components of Inventories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2015</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751</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5,807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4,215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8,561</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7,351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3,001</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14,368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86"/>
        </w:trPr>
        <w:tc>
          <w:tcPr>
            <w:tcW w:w="5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1"/>
              </w:rPr>
              <w:t>December 31, 2014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r>
      <w:tr>
        <w:trPr>
          <w:trHeight w:val="264"/>
        </w:trPr>
        <w:tc>
          <w:tcPr>
            <w:tcW w:w="5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GMNA</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GME</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54"/>
              <w:spacing w:after="0"/>
              <w:rPr>
                <w:sz w:val="20"/>
                <w:szCs w:val="20"/>
                <w:color w:val="auto"/>
              </w:rPr>
            </w:pPr>
            <w:r>
              <w:rPr>
                <w:rFonts w:ascii="Arial" w:cs="Arial" w:eastAsia="Arial" w:hAnsi="Arial"/>
                <w:sz w:val="14"/>
                <w:szCs w:val="14"/>
                <w:b w:val="1"/>
                <w:bCs w:val="1"/>
                <w:color w:val="auto"/>
              </w:rPr>
              <w:t>GMIO</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GMSA</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Total</w:t>
            </w: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productive material, supplies and work in process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778</w:t>
            </w:r>
          </w:p>
        </w:tc>
        <w:tc>
          <w:tcPr>
            <w:tcW w:w="3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5,380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Finished product, including service parts</w:t>
            </w:r>
          </w:p>
        </w:tc>
        <w:tc>
          <w:tcPr>
            <w:tcW w:w="24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2,394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1,026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8,262</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inventories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6,912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3,172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2,242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13,642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Equity in Net Assets of Nonconsolidated Affiliates</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Nonconsolidated affiliates are entities in which an equity ownership interest is maintained and for which the equity method of accounting is used due to the ability to exert significant influence over decisions relating to their operating and financial affairs. Our nonconsolidated affiliates are involved in various aspects of the development, production and marketing of cars, trucks and</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automobile parts. We enter into transactions with certain nonconsolidated affiliates to purchase and sell component parts and vehicles.</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Revenue and expenses of our Automotive China joint ventures (Automotive China JVs) are not consolidated into our financial statements; rather, our proportionate share of the earnings of each joint venture is reflected as Equity income. There have been no significant ownership changes in our Automotive China JVs since December 31, 2014. The following table summarizes information regarding Equity income (dollars in millions):</w:t>
      </w:r>
    </w:p>
    <w:p>
      <w:pPr>
        <w:spacing w:after="0" w:line="17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2015</w:t>
            </w: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60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397"/>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Automotive China JVs</w:t>
            </w:r>
          </w:p>
        </w:tc>
        <w:tc>
          <w:tcPr>
            <w:tcW w:w="3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1,555</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Other joint ventures</w:t>
            </w:r>
          </w:p>
        </w:tc>
        <w:tc>
          <w:tcPr>
            <w:tcW w:w="3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equity income</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1,625</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On January 2, 2015 GM Financial completed its acquisition of Ally Financial, Inc.'s (Ally Financial) 40% equity interest in SAIC-GMAC Automotive Finance Company Limited (SAIC-GMAC) in China. The aggregate purchase price was $1.0 billion. Also on January 2, 2015 GM Financial sold a 5% equity interest in SAIC-GMAC to Shanghai Automotive Group Finance Company Ltd. (SAICFC), a current shareholder of SAIC-GMAC, for proceeds of $125 million. As a result of these transactions GM Financial now owns 35%, SAICFC owns 45% and, in the aggregate, GM indirectly owns 45% of SAIC-GMAC. GM Financial's share of earnings of SAIC-GMAC is included in the Equity income of Other joint ventures in the table above. The difference between GM Financial's carrying amount of its investment and its share of the underlying net assets of SAIC-GMAC was $356 million at September 30, 2015, which was primarily related to goodwill. The pro forma effect on earnings had this acquisition occurred on January 1, 2014 was not significant.</w:t>
      </w:r>
    </w:p>
    <w:p>
      <w:pPr>
        <w:spacing w:after="0" w:line="16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transactions with and additional information related to our nonconsolidated affiliates (dollars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20" w:type="dxa"/>
            <w:vAlign w:val="bottom"/>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0" w:type="dxa"/>
            <w:vAlign w:val="bottom"/>
            <w:gridSpan w:val="3"/>
          </w:tcPr>
          <w:p>
            <w:pPr>
              <w:ind w:left="28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Pr>
          <w:p>
            <w:pPr>
              <w:spacing w:after="0"/>
              <w:rPr>
                <w:sz w:val="16"/>
                <w:szCs w:val="16"/>
                <w:color w:val="auto"/>
              </w:rPr>
            </w:pPr>
          </w:p>
        </w:tc>
      </w:tr>
      <w:tr>
        <w:trPr>
          <w:trHeight w:val="53"/>
        </w:trPr>
        <w:tc>
          <w:tcPr>
            <w:tcW w:w="6060" w:type="dxa"/>
            <w:vAlign w:val="bottom"/>
          </w:tcPr>
          <w:p>
            <w:pPr>
              <w:spacing w:after="0"/>
              <w:rPr>
                <w:sz w:val="4"/>
                <w:szCs w:val="4"/>
                <w:color w:val="auto"/>
              </w:rPr>
            </w:pPr>
          </w:p>
        </w:tc>
        <w:tc>
          <w:tcPr>
            <w:tcW w:w="138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1260" w:type="dxa"/>
            <w:vAlign w:val="bottom"/>
            <w:tcBorders>
              <w:bottom w:val="single" w:sz="8" w:color="auto"/>
            </w:tcBorders>
            <w:gridSpan w:val="2"/>
          </w:tcPr>
          <w:p>
            <w:pPr>
              <w:spacing w:after="0"/>
              <w:rPr>
                <w:sz w:val="4"/>
                <w:szCs w:val="4"/>
                <w:color w:val="auto"/>
              </w:rPr>
            </w:pPr>
          </w:p>
        </w:tc>
      </w:tr>
      <w:tr>
        <w:trPr>
          <w:trHeight w:val="211"/>
        </w:trPr>
        <w:tc>
          <w:tcPr>
            <w:tcW w:w="6060" w:type="dxa"/>
            <w:vAlign w:val="bottom"/>
          </w:tcPr>
          <w:p>
            <w:pPr>
              <w:spacing w:after="0"/>
              <w:rPr>
                <w:sz w:val="18"/>
                <w:szCs w:val="18"/>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2014</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2015</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2014</w:t>
            </w:r>
          </w:p>
        </w:tc>
      </w:tr>
      <w:tr>
        <w:trPr>
          <w:trHeight w:val="53"/>
        </w:trPr>
        <w:tc>
          <w:tcPr>
            <w:tcW w:w="606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Automotive sales and revenue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Automotive purchases, net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287</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received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Operating cash flows</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3,767</w:t>
            </w: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and notes receivable, net</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205</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Undistributed earnings including dividends declared but not received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2,011</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Variable Interest Entities</w:t>
      </w:r>
    </w:p>
    <w:p>
      <w:pPr>
        <w:spacing w:after="0" w:line="229" w:lineRule="exact"/>
        <w:rPr>
          <w:sz w:val="20"/>
          <w:szCs w:val="20"/>
          <w:color w:val="auto"/>
        </w:rPr>
      </w:pPr>
    </w:p>
    <w:p>
      <w:pPr>
        <w:jc w:val="both"/>
        <w:ind w:firstLine="162"/>
        <w:spacing w:after="0" w:line="289" w:lineRule="auto"/>
        <w:rPr>
          <w:sz w:val="20"/>
          <w:szCs w:val="20"/>
          <w:color w:val="auto"/>
        </w:rPr>
      </w:pPr>
      <w:r>
        <w:rPr>
          <w:rFonts w:ascii="Arial" w:cs="Arial" w:eastAsia="Arial" w:hAnsi="Arial"/>
          <w:sz w:val="16"/>
          <w:szCs w:val="16"/>
          <w:color w:val="auto"/>
        </w:rPr>
        <w:t>GM Financial uses special purpose entities (SPEs) that are considered variable interest entities (VIEs) to issue variable funding notes to third party bank-sponsored warehouse facilities or asset-backed securities to investors in securitization transactions. The debt issued by these VIEs is backed by finance receivables and leasing related assets transferred by GM Financial to the VIEs (Securitized Assets). GM Financial holds variable interests in the VIEs that could potentially be significant to the VIEs. GM Financial determined that it is the primary beneficiary of the SPEs because: (1) the servicing responsibilities for the Securitized Assets give GM Financial the power to direct the activities that most significantly impact the performance of the VIEs; and (2) the variable interests in the VIEs give GM Financial the obligation to absorb losses and the right to receive residual returns that could potentially be significant. The assets of the VIEs serve as the sole source of repayment for the debt issued by these entities. Investors in the notes issued by the VIEs do not have recourse to GM Financial or its other assets, with the exception of customary representation and warranty repurchase provisions and indemnities that GM Financial provides as the servicer. GM Financial is not required and does not currently intend to provide additional financial support to these SPEs. While these subsidiaries 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GM Financial's condensed consolidated financial statements, they are separate legal entities and their assets are legally owned by them and are not available to GM Financial's creditors.</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assets and liabilities related to GM Financial's consolidated VIEs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6"/>
                <w:szCs w:val="16"/>
                <w:color w:val="auto"/>
              </w:rPr>
            </w:pPr>
          </w:p>
        </w:tc>
        <w:tc>
          <w:tcPr>
            <w:tcW w:w="1420" w:type="dxa"/>
            <w:vAlign w:val="bottom"/>
          </w:tcPr>
          <w:p>
            <w:pPr>
              <w:jc w:val="right"/>
              <w:ind w:right="132"/>
              <w:spacing w:after="0"/>
              <w:rPr>
                <w:sz w:val="20"/>
                <w:szCs w:val="20"/>
                <w:color w:val="auto"/>
              </w:rPr>
            </w:pPr>
            <w:r>
              <w:rPr>
                <w:rFonts w:ascii="Arial" w:cs="Arial" w:eastAsia="Arial" w:hAnsi="Arial"/>
                <w:sz w:val="14"/>
                <w:szCs w:val="14"/>
                <w:b w:val="1"/>
                <w:bCs w:val="1"/>
                <w:color w:val="auto"/>
                <w:w w:val="93"/>
              </w:rPr>
              <w:t>December 31, 2014</w:t>
            </w:r>
          </w:p>
        </w:tc>
      </w:tr>
      <w:tr>
        <w:trPr>
          <w:trHeight w:val="28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1,348</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r>
      <w:tr>
        <w:trPr>
          <w:trHeight w:val="289"/>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611</w:t>
            </w:r>
          </w:p>
        </w:tc>
      </w:tr>
      <w:tr>
        <w:trPr>
          <w:trHeight w:val="306"/>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GM Financial receivables, net </w:t>
            </w:r>
            <w:r>
              <w:rPr>
                <w:rFonts w:ascii="Arial" w:cs="Arial" w:eastAsia="Arial" w:hAnsi="Arial"/>
                <w:sz w:val="21"/>
                <w:szCs w:val="21"/>
                <w:color w:val="auto"/>
              </w:rPr>
              <w:t>–</w:t>
            </w:r>
            <w:r>
              <w:rPr>
                <w:rFonts w:ascii="Arial" w:cs="Arial" w:eastAsia="Arial" w:hAnsi="Arial"/>
                <w:sz w:val="18"/>
                <w:szCs w:val="18"/>
                <w:color w:val="auto"/>
              </w:rPr>
              <w:t xml:space="preserve"> current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12,762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11,134</w:t>
            </w:r>
          </w:p>
        </w:tc>
      </w:tr>
      <w:tr>
        <w:trPr>
          <w:trHeight w:val="289"/>
        </w:trPr>
        <w:tc>
          <w:tcPr>
            <w:tcW w:w="8120" w:type="dxa"/>
            <w:vAlign w:val="bottom"/>
          </w:tcPr>
          <w:p>
            <w:pPr>
              <w:ind w:left="40"/>
              <w:spacing w:after="0"/>
              <w:rPr>
                <w:sz w:val="20"/>
                <w:szCs w:val="20"/>
                <w:color w:val="auto"/>
              </w:rPr>
            </w:pPr>
            <w:r>
              <w:rPr>
                <w:rFonts w:ascii="Arial" w:cs="Arial" w:eastAsia="Arial" w:hAnsi="Arial"/>
                <w:sz w:val="18"/>
                <w:szCs w:val="18"/>
                <w:color w:val="auto"/>
              </w:rPr>
              <w:t xml:space="preserve">GM Financial receivables, net </w:t>
            </w:r>
            <w:r>
              <w:rPr>
                <w:rFonts w:ascii="Arial" w:cs="Arial" w:eastAsia="Arial" w:hAnsi="Arial"/>
                <w:sz w:val="21"/>
                <w:szCs w:val="21"/>
                <w:color w:val="auto"/>
              </w:rPr>
              <w:t>–</w:t>
            </w:r>
            <w:r>
              <w:rPr>
                <w:rFonts w:ascii="Arial" w:cs="Arial" w:eastAsia="Arial" w:hAnsi="Arial"/>
                <w:sz w:val="18"/>
                <w:szCs w:val="18"/>
                <w:color w:val="auto"/>
              </w:rPr>
              <w:t xml:space="preserve"> non-current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12,869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11,583</w:t>
            </w:r>
          </w:p>
        </w:tc>
      </w:tr>
      <w:tr>
        <w:trPr>
          <w:trHeight w:val="25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 equipment on operating leases,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 Financial short-term debt and 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13,119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10,502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GM Financial long-term debt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13,797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12,292</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GM Financial recognizes finance charge, leased vehicle and fee income on the Securitized Assets and interest expense on the secured debt issued in a securitization transaction and records a provision for loan losses to recognize probable loan losses inherent in the Securitized Assets.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Short-Term and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Carrying Amount</w:t>
            </w:r>
          </w:p>
        </w:tc>
        <w:tc>
          <w:tcPr>
            <w:tcW w:w="180" w:type="dxa"/>
            <w:vAlign w:val="bottom"/>
          </w:tcPr>
          <w:p>
            <w:pPr>
              <w:spacing w:after="0"/>
              <w:rPr>
                <w:sz w:val="13"/>
                <w:szCs w:val="13"/>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3"/>
                <w:szCs w:val="13"/>
                <w:color w:val="auto"/>
              </w:rPr>
            </w:pPr>
          </w:p>
        </w:tc>
        <w:tc>
          <w:tcPr>
            <w:tcW w:w="10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3"/>
                <w:szCs w:val="13"/>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Automotive debt</w:t>
            </w: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9,144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9,410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9,799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Fair value utilizing Level 1 inputs</w:t>
            </w: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7,033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7,550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36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2,249</w:t>
            </w:r>
          </w:p>
        </w:tc>
        <w:tc>
          <w:tcPr>
            <w:tcW w:w="0" w:type="dxa"/>
            <w:vAlign w:val="bottom"/>
          </w:tcPr>
          <w:p>
            <w:pPr>
              <w:spacing w:after="0"/>
              <w:rPr>
                <w:sz w:val="1"/>
                <w:szCs w:val="1"/>
                <w:color w:val="auto"/>
              </w:rPr>
            </w:pPr>
          </w:p>
        </w:tc>
      </w:tr>
      <w:tr>
        <w:trPr>
          <w:trHeight w:val="27"/>
        </w:trPr>
        <w:tc>
          <w:tcPr>
            <w:tcW w:w="65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fair value of debt measured utilizing Level 1 inputs was based on quoted prices in active markets for identical instruments that a market participant can access at the measurement date. The fair value of debt measured utilizing Level 2 inputs was based on a discounted cash flow model using observable inputs. This model utilizes observable inputs such as contractual repayment terms and benchmark yield curves, plus a spread based on our senior unsecured notes that is intended to represent our nonperformance risk. We obtain the benchmark yield curves and yields on unsecured notes from independent sources that are widely used in the financial industry.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 Financing – GM Financial</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carrying amount and fair value of debt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52"/>
        </w:trPr>
        <w:tc>
          <w:tcPr>
            <w:tcW w:w="406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3"/>
                <w:szCs w:val="13"/>
                <w:color w:val="auto"/>
              </w:rPr>
            </w:pPr>
          </w:p>
        </w:tc>
        <w:tc>
          <w:tcPr>
            <w:tcW w:w="8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3"/>
                <w:szCs w:val="13"/>
                <w:color w:val="auto"/>
              </w:rPr>
            </w:pPr>
          </w:p>
        </w:tc>
        <w:tc>
          <w:tcPr>
            <w:tcW w:w="88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4060" w:type="dxa"/>
            <w:vAlign w:val="bottom"/>
            <w:tcBorders>
              <w:bottom w:val="single" w:sz="8" w:color="CCEEFF"/>
            </w:tcBorders>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Secured debt</w:t>
            </w:r>
          </w:p>
        </w:tc>
        <w:tc>
          <w:tcPr>
            <w:tcW w:w="31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28,284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25,214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25,228</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Unsecured debt</w:t>
            </w:r>
          </w:p>
        </w:tc>
        <w:tc>
          <w:tcPr>
            <w:tcW w:w="2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8"/>
                <w:szCs w:val="18"/>
                <w:color w:val="auto"/>
              </w:rPr>
              <w:t>19,975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19,903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9"/>
              <w:spacing w:after="0"/>
              <w:rPr>
                <w:sz w:val="20"/>
                <w:szCs w:val="20"/>
                <w:color w:val="auto"/>
              </w:rPr>
            </w:pPr>
            <w:r>
              <w:rPr>
                <w:rFonts w:ascii="Arial" w:cs="Arial" w:eastAsia="Arial" w:hAnsi="Arial"/>
                <w:sz w:val="18"/>
                <w:szCs w:val="18"/>
                <w:color w:val="auto"/>
              </w:rPr>
              <w:t>12,217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12,479</w:t>
            </w:r>
          </w:p>
        </w:tc>
        <w:tc>
          <w:tcPr>
            <w:tcW w:w="0" w:type="dxa"/>
            <w:vAlign w:val="bottom"/>
          </w:tcPr>
          <w:p>
            <w:pPr>
              <w:spacing w:after="0"/>
              <w:rPr>
                <w:sz w:val="1"/>
                <w:szCs w:val="1"/>
                <w:color w:val="auto"/>
              </w:rPr>
            </w:pPr>
          </w:p>
        </w:tc>
      </w:tr>
      <w:tr>
        <w:trPr>
          <w:trHeight w:val="27"/>
        </w:trPr>
        <w:tc>
          <w:tcPr>
            <w:tcW w:w="40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GM Financial debt</w:t>
            </w:r>
          </w:p>
        </w:tc>
        <w:tc>
          <w:tcPr>
            <w:tcW w:w="3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48,259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48,193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37,431</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37,707</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40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utilizing Level 2 inputs</w:t>
            </w:r>
          </w:p>
        </w:tc>
        <w:tc>
          <w:tcPr>
            <w:tcW w:w="2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43,157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32,790</w:t>
            </w:r>
          </w:p>
        </w:tc>
        <w:tc>
          <w:tcPr>
            <w:tcW w:w="0" w:type="dxa"/>
            <w:vAlign w:val="bottom"/>
          </w:tcPr>
          <w:p>
            <w:pPr>
              <w:spacing w:after="0"/>
              <w:rPr>
                <w:sz w:val="1"/>
                <w:szCs w:val="1"/>
                <w:color w:val="auto"/>
              </w:rPr>
            </w:pPr>
          </w:p>
        </w:tc>
      </w:tr>
      <w:tr>
        <w:trPr>
          <w:trHeight w:val="243"/>
        </w:trPr>
        <w:tc>
          <w:tcPr>
            <w:tcW w:w="4060" w:type="dxa"/>
            <w:vAlign w:val="bottom"/>
          </w:tcPr>
          <w:p>
            <w:pPr>
              <w:ind w:left="40"/>
              <w:spacing w:after="0"/>
              <w:rPr>
                <w:sz w:val="20"/>
                <w:szCs w:val="20"/>
                <w:color w:val="auto"/>
              </w:rPr>
            </w:pPr>
            <w:r>
              <w:rPr>
                <w:rFonts w:ascii="Arial" w:cs="Arial" w:eastAsia="Arial" w:hAnsi="Arial"/>
                <w:sz w:val="18"/>
                <w:szCs w:val="18"/>
                <w:color w:val="auto"/>
              </w:rPr>
              <w:t>Fair value utilizing Level 3 inputs</w:t>
            </w:r>
          </w:p>
        </w:tc>
        <w:tc>
          <w:tcPr>
            <w:tcW w:w="2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5,036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4,917</w:t>
            </w:r>
          </w:p>
        </w:tc>
        <w:tc>
          <w:tcPr>
            <w:tcW w:w="0" w:type="dxa"/>
            <w:vAlign w:val="bottom"/>
          </w:tcPr>
          <w:p>
            <w:pPr>
              <w:spacing w:after="0"/>
              <w:rPr>
                <w:sz w:val="1"/>
                <w:szCs w:val="1"/>
                <w:color w:val="auto"/>
              </w:rPr>
            </w:pPr>
          </w:p>
        </w:tc>
      </w:tr>
      <w:tr>
        <w:trPr>
          <w:trHeight w:val="702"/>
        </w:trPr>
        <w:tc>
          <w:tcPr>
            <w:tcW w:w="4060" w:type="dxa"/>
            <w:vAlign w:val="bottom"/>
          </w:tcPr>
          <w:p>
            <w:pPr>
              <w:spacing w:after="0"/>
              <w:rPr>
                <w:sz w:val="24"/>
                <w:szCs w:val="24"/>
                <w:color w:val="auto"/>
              </w:rPr>
            </w:pPr>
          </w:p>
        </w:tc>
        <w:tc>
          <w:tcPr>
            <w:tcW w:w="2920" w:type="dxa"/>
            <w:vAlign w:val="bottom"/>
          </w:tcPr>
          <w:p>
            <w:pPr>
              <w:jc w:val="right"/>
              <w:ind w:right="109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The fair value of debt measured utilizing Level 2 inputs was based on quoted market prices for identical instruments and if unavailable, quoted market prices of similar instruments. For debt that has terms of one year or less or has been priced within the last six months, the carrying amount or par value is considered to be a reasonable estimate of fair value. The fair value of debt measured utilizing Level 3 inputs was based on the discounted future net cash flows expected to be settled using current risk-adjusted rates.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Secured Debt</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Secured debt consists of revolving credit facilities and securitization notes payable. Most of the secured debt was issued by VIEs and is repayable only from proceeds related to the underlying pledged finance receivables and leases. Refer to Note 6 for additional information on GM Financial's involvement with VIEs. In the nine months ended September 30, 2015 GM Financial issued securitization notes payable of $9.4 billion and entered into new or renewed credit facilities with substantially the same terms as existing debt and a total net additional borrowing capacity of $4.5 billion.</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Unsecured Debt</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Unsecured debt consists of senior notes, credit facilities and other unsecured debt. In the nine months ended September 30, 2015 GM Financial issued the following notes:</w:t>
      </w:r>
    </w:p>
    <w:p>
      <w:pPr>
        <w:spacing w:after="0" w:line="170" w:lineRule="exact"/>
        <w:rPr>
          <w:sz w:val="20"/>
          <w:szCs w:val="20"/>
          <w:color w:val="auto"/>
        </w:rPr>
      </w:pPr>
    </w:p>
    <w:p>
      <w:pPr>
        <w:ind w:left="660" w:hanging="490"/>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$2.25 billion in aggregate principal amount of senior notes issued in January comprising $1.0 billion of 3.15% notes due in January 2020, $1.0 billion of 4.0% notes due in January 2025 and $250 million of floating rate notes due in January 2020;</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 650 million of 0.85% term notes issued in February and due in February 2018;</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$2.4 billion in aggregate principal amount of senior notes issued in April comprising $850 million of 2.4% notes due in April 2018, $1.25 billion of 3.45% notes due in April 2022 and $300 million of floating rate notes due in April 2018;</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Canadian Dollar (CAD) $500 million of 3.08% senior notes issued in May and due in May 2020; and</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$2.3 billion in aggregate principal amount of senior notes issued in July comprising $1.5 billion of 3.2% notes due in July 2020 and $800 million of 4.3% notes due in July 2025.</w:t>
      </w:r>
    </w:p>
    <w:p>
      <w:pPr>
        <w:spacing w:after="0" w:line="279"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October 2015 GM Financial issued $1.75 billion in aggregate principal amount of senior notes comprising $1.5 billion of 3.1% notes due in January 2019 and $250 million of floating rate notes due in January 2019.</w:t>
      </w:r>
    </w:p>
    <w:p>
      <w:pPr>
        <w:spacing w:after="0" w:line="170"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In the three months ended September 30, 2015 GM Financial began accepting deposits from retail banking customers in Germany. At September 30, 2015 the outstanding balance of these deposits was $611 million, of which 39% were overnight deposits.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Product Warranty and Related Liabilities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activity for policy, product warranty, recall campaigns and courtesy transportation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2015</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2014</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30, 2014</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10,528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7,601</w:t>
            </w:r>
          </w:p>
        </w:tc>
      </w:tr>
      <w:tr>
        <w:trPr>
          <w:trHeight w:val="256"/>
        </w:trPr>
        <w:tc>
          <w:tcPr>
            <w:tcW w:w="5620" w:type="dxa"/>
            <w:vAlign w:val="bottom"/>
          </w:tcPr>
          <w:p>
            <w:pPr>
              <w:ind w:left="40"/>
              <w:spacing w:after="0"/>
              <w:rPr>
                <w:sz w:val="20"/>
                <w:szCs w:val="20"/>
                <w:color w:val="auto"/>
              </w:rPr>
            </w:pPr>
            <w:r>
              <w:rPr>
                <w:rFonts w:ascii="Arial" w:cs="Arial" w:eastAsia="Arial" w:hAnsi="Arial"/>
                <w:sz w:val="18"/>
                <w:szCs w:val="18"/>
                <w:color w:val="auto"/>
                <w:w w:val="93"/>
              </w:rPr>
              <w:t xml:space="preserve">Warranties issued and assumed in period </w:t>
            </w:r>
            <w:r>
              <w:rPr>
                <w:rFonts w:ascii="Arial" w:cs="Arial" w:eastAsia="Arial" w:hAnsi="Arial"/>
                <w:sz w:val="21"/>
                <w:szCs w:val="21"/>
                <w:color w:val="auto"/>
                <w:w w:val="93"/>
              </w:rPr>
              <w:t>–</w:t>
            </w:r>
            <w:r>
              <w:rPr>
                <w:rFonts w:ascii="Arial" w:cs="Arial" w:eastAsia="Arial" w:hAnsi="Arial"/>
                <w:sz w:val="18"/>
                <w:szCs w:val="18"/>
                <w:color w:val="auto"/>
                <w:w w:val="93"/>
              </w:rPr>
              <w:t xml:space="preserve"> recall campaigns and courtesy</w:t>
            </w: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30"/>
        </w:trPr>
        <w:tc>
          <w:tcPr>
            <w:tcW w:w="5620" w:type="dxa"/>
            <w:vAlign w:val="bottom"/>
          </w:tcPr>
          <w:p>
            <w:pPr>
              <w:ind w:left="200"/>
              <w:spacing w:after="0"/>
              <w:rPr>
                <w:sz w:val="20"/>
                <w:szCs w:val="20"/>
                <w:color w:val="auto"/>
              </w:rPr>
            </w:pPr>
            <w:r>
              <w:rPr>
                <w:rFonts w:ascii="Arial" w:cs="Arial" w:eastAsia="Arial" w:hAnsi="Arial"/>
                <w:sz w:val="18"/>
                <w:szCs w:val="18"/>
                <w:color w:val="auto"/>
              </w:rPr>
              <w:t>transportation</w:t>
            </w:r>
          </w:p>
        </w:tc>
        <w:tc>
          <w:tcPr>
            <w:tcW w:w="48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2,658</w:t>
            </w:r>
          </w:p>
        </w:tc>
      </w:tr>
      <w:tr>
        <w:trPr>
          <w:trHeight w:val="27"/>
        </w:trPr>
        <w:tc>
          <w:tcPr>
            <w:tcW w:w="5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97"/>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 xml:space="preserve">Warranties issued and assumed in period </w:t>
            </w:r>
            <w:r>
              <w:rPr>
                <w:rFonts w:ascii="Arial" w:cs="Arial" w:eastAsia="Arial" w:hAnsi="Arial"/>
                <w:sz w:val="21"/>
                <w:szCs w:val="21"/>
                <w:color w:val="auto"/>
                <w:w w:val="97"/>
              </w:rPr>
              <w:t>–</w:t>
            </w:r>
            <w:r>
              <w:rPr>
                <w:rFonts w:ascii="Arial" w:cs="Arial" w:eastAsia="Arial" w:hAnsi="Arial"/>
                <w:sz w:val="18"/>
                <w:szCs w:val="18"/>
                <w:color w:val="auto"/>
                <w:w w:val="97"/>
              </w:rPr>
              <w:t xml:space="preserve"> policy and product warranty</w:t>
            </w: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1,742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Payments</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(3,045)</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(3,103)</w:t>
            </w:r>
          </w:p>
        </w:tc>
      </w:tr>
      <w:tr>
        <w:trPr>
          <w:trHeight w:val="27"/>
        </w:trPr>
        <w:tc>
          <w:tcPr>
            <w:tcW w:w="5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pre-existing warranties</w:t>
            </w:r>
          </w:p>
        </w:tc>
        <w:tc>
          <w:tcPr>
            <w:tcW w:w="4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Effect of foreign currency and other</w:t>
            </w: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
        </w:trPr>
        <w:tc>
          <w:tcPr>
            <w:tcW w:w="56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9,253</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10,023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9,253</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10,023</w:t>
            </w:r>
          </w:p>
        </w:tc>
      </w:tr>
      <w:tr>
        <w:trPr>
          <w:trHeight w:val="20"/>
        </w:trPr>
        <w:tc>
          <w:tcPr>
            <w:tcW w:w="5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46"/>
        </w:trPr>
        <w:tc>
          <w:tcPr>
            <w:tcW w:w="562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12</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nine months ended September 30, 2014 we recorded charges of approximately $2.7 billion in Automotive cost of sales for the recall of approximately 34 million vehicles as described in our 2014 Form 10-K. We had historically accrued estimated costs related to recall campaigns in GMNA when probable and reasonably estimable, which typically occurs once it is determined a specific recall campaign is needed and announced. During the three months ended September 30, 2014 we began accruing the costs for recall campaigns at the time of vehicle sale in GMNA.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Pensions and Other Postretirement Benefits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following tables summarize the components of net periodic pension and other postretirement benefits (OPEB) (income) expense (dollars in millions):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7"/>
          </w:tcPr>
          <w:p>
            <w:pPr>
              <w:jc w:val="center"/>
              <w:ind w:right="152"/>
              <w:spacing w:after="0"/>
              <w:rPr>
                <w:sz w:val="20"/>
                <w:szCs w:val="20"/>
                <w:color w:val="auto"/>
              </w:rPr>
            </w:pPr>
            <w:r>
              <w:rPr>
                <w:rFonts w:ascii="Arial" w:cs="Arial" w:eastAsia="Arial" w:hAnsi="Arial"/>
                <w:sz w:val="14"/>
                <w:szCs w:val="14"/>
                <w:b w:val="1"/>
                <w:bCs w:val="1"/>
                <w:color w:val="auto"/>
                <w:w w:val="92"/>
              </w:rPr>
              <w:t>Three Months Ended September 30, 2015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Three Months Ended September 30, 2014</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2"/>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Curtailments, settlements and other</w:t>
            </w:r>
          </w:p>
        </w:tc>
        <w:tc>
          <w:tcPr>
            <w:tcW w:w="2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ind w:right="152"/>
              <w:spacing w:after="0"/>
              <w:rPr>
                <w:sz w:val="20"/>
                <w:szCs w:val="20"/>
                <w:color w:val="auto"/>
              </w:rPr>
            </w:pPr>
            <w:r>
              <w:rPr>
                <w:rFonts w:ascii="Arial" w:cs="Arial" w:eastAsia="Arial" w:hAnsi="Arial"/>
                <w:sz w:val="14"/>
                <w:szCs w:val="14"/>
                <w:b w:val="1"/>
                <w:bCs w:val="1"/>
                <w:color w:val="auto"/>
                <w:w w:val="92"/>
              </w:rPr>
              <w:t>Nine Months Ended September 30, 2015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7"/>
          </w:tcPr>
          <w:p>
            <w:pPr>
              <w:jc w:val="center"/>
              <w:ind w:right="132"/>
              <w:spacing w:after="0"/>
              <w:rPr>
                <w:sz w:val="20"/>
                <w:szCs w:val="20"/>
                <w:color w:val="auto"/>
              </w:rPr>
            </w:pPr>
            <w:r>
              <w:rPr>
                <w:rFonts w:ascii="Arial" w:cs="Arial" w:eastAsia="Arial" w:hAnsi="Arial"/>
                <w:sz w:val="14"/>
                <w:szCs w:val="14"/>
                <w:b w:val="1"/>
                <w:bCs w:val="1"/>
                <w:color w:val="auto"/>
                <w:w w:val="92"/>
              </w:rPr>
              <w:t>Nine Months Ended September 30, 2014</w:t>
            </w: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Global OPEB</w:t>
            </w:r>
          </w:p>
        </w:tc>
        <w:tc>
          <w:tcPr>
            <w:tcW w:w="2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Pension Benefits</w:t>
            </w:r>
          </w:p>
        </w:tc>
        <w:tc>
          <w:tcPr>
            <w:tcW w:w="120" w:type="dxa"/>
            <w:vAlign w:val="bottom"/>
          </w:tcPr>
          <w:p>
            <w:pPr>
              <w:spacing w:after="0"/>
              <w:rPr>
                <w:sz w:val="22"/>
                <w:szCs w:val="22"/>
                <w:color w:val="auto"/>
              </w:rPr>
            </w:pPr>
          </w:p>
        </w:tc>
        <w:tc>
          <w:tcPr>
            <w:tcW w:w="10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Global OPEB</w:t>
            </w:r>
          </w:p>
        </w:tc>
        <w:tc>
          <w:tcPr>
            <w:tcW w:w="0" w:type="dxa"/>
            <w:vAlign w:val="bottom"/>
          </w:tcPr>
          <w:p>
            <w:pPr>
              <w:spacing w:after="0"/>
              <w:rPr>
                <w:sz w:val="1"/>
                <w:szCs w:val="1"/>
                <w:color w:val="auto"/>
              </w:rPr>
            </w:pPr>
          </w:p>
        </w:tc>
      </w:tr>
      <w:tr>
        <w:trPr>
          <w:trHeight w:val="71"/>
        </w:trPr>
        <w:tc>
          <w:tcPr>
            <w:tcW w:w="4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Non-U.S.</w:t>
            </w:r>
          </w:p>
        </w:tc>
        <w:tc>
          <w:tcPr>
            <w:tcW w:w="11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6"/>
                <w:szCs w:val="6"/>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Non-U.S.</w:t>
            </w:r>
          </w:p>
        </w:tc>
        <w:tc>
          <w:tcPr>
            <w:tcW w:w="10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Plans</w:t>
            </w:r>
          </w:p>
        </w:tc>
        <w:tc>
          <w:tcPr>
            <w:tcW w:w="2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center"/>
              <w:ind w:right="132"/>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780" w:type="dxa"/>
            <w:vAlign w:val="bottom"/>
          </w:tcPr>
          <w:p>
            <w:pPr>
              <w:jc w:val="right"/>
              <w:ind w:right="15"/>
              <w:spacing w:after="0"/>
              <w:rPr>
                <w:sz w:val="20"/>
                <w:szCs w:val="20"/>
                <w:color w:val="auto"/>
              </w:rPr>
            </w:pPr>
            <w:r>
              <w:rPr>
                <w:rFonts w:ascii="Arial" w:cs="Arial" w:eastAsia="Arial" w:hAnsi="Arial"/>
                <w:sz w:val="18"/>
                <w:szCs w:val="18"/>
                <w:color w:val="auto"/>
              </w:rPr>
              <w:t>2,066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2,295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net actuarial (gains) losses</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Curtailments, settlements and other</w:t>
            </w:r>
          </w:p>
        </w:tc>
        <w:tc>
          <w:tcPr>
            <w:tcW w:w="2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pension and OPEB (income) expense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582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curtailment charges recorded in the nine months ended September 30, 2015 were due primarily to the General Motors Canada Limited (GMCL) hourly pension plan that was remeasured as a result of a voluntary separation program.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information related to the liabilities recorded for Commitments and contingencies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6"/>
                <w:szCs w:val="16"/>
                <w:color w:val="auto"/>
              </w:rPr>
            </w:pPr>
          </w:p>
        </w:tc>
        <w:tc>
          <w:tcPr>
            <w:tcW w:w="142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Litigation-related liability and tax administrative matters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Product liability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732</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Ignition switch recall compensation program</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Guarantees for product-related indemnification agreements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51</w:t>
            </w: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Guarantees for third party commercial loans and other obligations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r>
      <w:tr>
        <w:trPr>
          <w:trHeight w:val="27"/>
        </w:trPr>
        <w:tc>
          <w:tcPr>
            <w:tcW w:w="8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Litigation-Related Liability and Tax Administrative Matters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normal course of business we have been named, from time to time, as a defendant in various legal actions, including arbitrations, class actions and other litigation, arising in connection with our business as a global company. We have identified below all material individual proceedings and investigatory activity where we believe a material loss is reasonably possible or probable.</w:t>
      </w:r>
    </w:p>
    <w:p>
      <w:pPr>
        <w:spacing w:after="0" w:line="181"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With regard to the litigation matters, reserves have been established for matters for which we believe that losses are probable and can be reasonably estimated. However in many proceedings it is inherently difficult to determine whether any loss is probable or even reasonably possible or to estimate the amount of any loss. In addition even where loss is possible or an exposure to a loss exists in excess of the liability accrued with respect to a loss contingency, it is not always possible to reasonably estimate the size of the possible loss or range of loss. Accordingly it is possible that an adverse outcome from such proceedings could exceed the amounts accrued in an amount that could be material to our financial position, results of operations and cash flows in any particular reporting period. Reserves for litigation losses are recorded in Accrued liabilities and Other liabilities.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Proceedings Related to Ignition Switch Recall and Other Recalls</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year ended December 31, 2014 we announced various recalls relating to safety, customer satisfaction and other matters. Those recalls included recalls to repair ignition switches that could under certain circumstances unintentionally move from the “run” position to the “accessory” or “off” position with a corresponding loss of power, which could in turn prevent airbags from deploying in the event of a crash.</w:t>
      </w:r>
    </w:p>
    <w:p>
      <w:pPr>
        <w:spacing w:after="0" w:line="181"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Through October 16, 2015 we were aware of 101 putative class actions pending against GM in various federal and state trial courts in the U.S. alleging that consumers who purchased or leased vehicles manufactured by GM or General Motors Corporation had been economically harmed by one or more of the recalls announced in 2014 and/or the underlying vehicle conditions associated with those recalls (economic-loss cases). Additionally, through October 16, 2015 we were aware of 21 putative class actions pending in various Provincial Courts in Canada seeking relief similar to that sought in the economic-loss cases in the U.S. In the aggregate these economic-loss cases seek recovery for purported compensatory damages, such as alleged diminution in value of the vehicles, as well as punitive damages, injunctive relief and other relief. Additionally there are two civil actions brought by governmental entities relating to the 2014 recalls which seek injunctive relief as well as economic damages for alleged violations of state consumer protection statutes, as well as attorneys' fees.</w:t>
      </w:r>
    </w:p>
    <w:p>
      <w:pPr>
        <w:spacing w:after="0" w:line="192"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Through October 16, 2015 we were aware of 208 actions pending in various federal and state trial courts in the U.S. against GM alleging injury or death as a result of defects that may be the subject of recalls announced in 2014 (personal injury cases). Additionally, through October 16, 2015 we were aware of 9 actions pending in various Provincial Courts in Canada seeking relief similar to that sought in the personal injury cases in the U.S. In the aggregate these personal injury cases seek recovery for purported compensatory damages, punitive or exemplary damages and other relief.</w:t>
      </w:r>
    </w:p>
    <w:p>
      <w:pPr>
        <w:spacing w:after="0" w:line="171"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Since June 2014 the United States Judicial Panel on Multidistrict Litigation (JPML) has issued orders from time to time directing that certain pending economic-loss and personal injury federal lawsuits involving faulty or allegedly faulty ignition switches or other defects that may be related to the recalls announced in the year ended December 31, 2014 be transferred to, and consolidated in, a single federal court, the Southern District of New York (the multidistrict litigation). Through October 16, 2015 the JPML has transferred 233 pending cases to, and consolidated them with, the multidistrict litigation. At the court's suggestion, the parties to the multidistrict litigation engage from time to time in discussions of possible mechanisms to resolve pending litigation. As described below, on September 17, 2015 we announced that we had reached a memorandum of understanding with certain personal injury claimants.</w:t>
      </w:r>
    </w:p>
    <w:p>
      <w:pPr>
        <w:spacing w:after="0" w:line="165"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Because many plaintiffs in the actions described in the above paragraphs are suing over the conduct of General Motors Corporation or vehicles manufactured by that entity for liabilities not expressly assumed by GM, we moved to enforce the terms of the July 2009 Sale Order and Injunction issued by the United States Bankruptcy Court for the Southern District of New York (Bankruptcy Court) to preclude claims from being asserted against us for, among other things, personal injuries based on pre-sale accidents, any economic-loss claims based on acts or conduct of General Motors Corporation and claims asserting successor liability for obligations owed by General Motors Corporation (successor liability claims). On April 15, 2015 the Bankruptcy Court issued a decision precluding claims against us based upon pre-sale accidents, claims based upon the acts or conduct by General Motors Corporation and successor liability claims, except for claims asserting liabilities that had been expressly assumed by us in the July 2009 Sale Agreement and claims that could be asserted against us only if they were otherwise viable and arose solely out of our own independent post-closing acts and did not in any way rely on acts or conduct by General Motors Corporation. Plaintiffs have appealed the Bankruptcy Court’s decision. We have filed a notice of cross appeal to preserve our rights on appeal. The Second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Circuit has accepted a direct appeal of the matter. The parties have moved for expedited briefing on the appeal. Further, the Bankruptcy Court has pending before it various motions and pleadings which may further define GM's potential liabilities in various lawsuits.</w:t>
      </w:r>
    </w:p>
    <w:p>
      <w:pPr>
        <w:spacing w:after="0" w:line="17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putative shareholder class action filed in the United States District Court for the Eastern District of Michigan (Shareholder Class Action), the court appointed the New York State Teachers’ Retirement System as the lead plaintiff. On January 15, 2015 the New York State Teachers’ Retirement System filed a Consolidated Class Action Complaint against GM and several current and former officers and employees (Defendants). On behalf of purchasers of GM common stock from November 17, 2010 to July 24, 2014, the Consolidated Class Action Complaint alleges that Defendants made material misstatements and omissions relating to problems with the ignition switch and other matters in SEC filings and other public statements. As described below, on September 17, 2015 we announced that we had entered into a binding term sheet regarding settlement of this matter.</w:t>
      </w:r>
    </w:p>
    <w:p>
      <w:pPr>
        <w:spacing w:after="0" w:line="178"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With regard to the shareholder derivative actions, the two shareholder derivative actions pending in the United States District Court for the Eastern District of Michigan have been consolidated and all proceedings, including those related to the motion to dismiss we filed in that court in October 2014, remain suspended pending disposition of the parallel action being litigated in Delaware Chancery Court. With regard to that pending litigation in Delaware Chancery Court, the four shareholder derivative actions pending in that court were consolidated and plaintiffs filed an amended consolidated complaint on October 13, 2014. On June 26, 2015 the Delaware Chancery Court granted our motion to dismiss the amended consolidated complaint. Plaintiffs have appealed that decision. With regard to the two derivative actions filed in the Circuit Court of Wayne County, Michigan, those actions have been consolidated and remain stayed pending disposition of the federal derivative actions.</w:t>
      </w:r>
    </w:p>
    <w:p>
      <w:pPr>
        <w:spacing w:after="0" w:line="189" w:lineRule="exact"/>
        <w:rPr>
          <w:sz w:val="20"/>
          <w:szCs w:val="20"/>
          <w:color w:val="auto"/>
        </w:rPr>
      </w:pPr>
    </w:p>
    <w:p>
      <w:pPr>
        <w:jc w:val="both"/>
        <w:ind w:firstLine="162"/>
        <w:spacing w:after="0" w:line="293" w:lineRule="auto"/>
        <w:rPr>
          <w:sz w:val="20"/>
          <w:szCs w:val="20"/>
          <w:color w:val="auto"/>
        </w:rPr>
      </w:pPr>
      <w:r>
        <w:rPr>
          <w:rFonts w:ascii="Arial" w:cs="Arial" w:eastAsia="Arial" w:hAnsi="Arial"/>
          <w:sz w:val="16"/>
          <w:szCs w:val="16"/>
          <w:color w:val="auto"/>
        </w:rPr>
        <w:t>In connection with the 2014 recalls, various investigations, inquiries and complaints from the United States Attorney’s Office for the Southern District of New York (the Office), Congress, the SEC, Transport Canada and 50 state attorneys general are ongoing. We have received subpoenas and requests for additional information and we have participated in discussions with various governmental authorities. On June 3, 2015 we received notice of an investigation by the Federal Trade Commission concerning certified pre-owned vehicle advertising where dealers had certified vehicles allegedly needing recall repairs. We continue to investigate these matters and believe we are cooperating fully with all requests for information in ongoing investigations. Such matters could in the future result in the imposition of material damages, fines, civil consent orders, civil and criminal penalties or other remedies.</w:t>
      </w:r>
    </w:p>
    <w:p>
      <w:pPr>
        <w:spacing w:after="0" w:line="16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As described more specifically below, substantial activity took place during the three months ended September 30, 2015 that resulted in total or partial resolution of several matters including the recognition of additional liabilities for such matters.</w:t>
      </w:r>
    </w:p>
    <w:p>
      <w:pPr>
        <w:spacing w:after="0" w:line="170"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First, with regard to the investigation by the Office, without prior notice, the Office approached us during the quarter with a specific proposal. We were provided limited time to consider the proposal, which we accepted on September 16, 2015 and entered into a deferred prosecution agreement (the DPA) with the Office regarding its investigation of the events leading up to certain recalls regarding faulty ignition switches announced in February and March 2014. Under the DPA we consented to the filing of a two-count information (the Information) in the U.S. District Court for the Southern District of New York (the Court) charging GM with: (1) a scheme to conceal material facts from a government regulator, in violation of Title 18, United States Code, Section 1001; and</w:t>
      </w:r>
    </w:p>
    <w:p>
      <w:pPr>
        <w:spacing w:after="0" w:line="2" w:lineRule="exact"/>
        <w:rPr>
          <w:sz w:val="20"/>
          <w:szCs w:val="20"/>
          <w:color w:val="auto"/>
        </w:rPr>
      </w:pPr>
    </w:p>
    <w:p>
      <w:pPr>
        <w:jc w:val="both"/>
        <w:ind w:firstLine="8"/>
        <w:spacing w:after="0" w:line="255" w:lineRule="auto"/>
        <w:tabs>
          <w:tab w:leader="none" w:pos="263"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 fraud, in violation of Title 18, United States Code, Section 1343. We have pled not guilty to the charges alleged in the Information. Under the DPA we agreed to pay the United States $900 million as a financial penalty. Prior to this quarter there had been little to no discussions concerning potential resolution of the matter such that no possible range of potential liability could be determined.</w:t>
      </w:r>
    </w:p>
    <w:p>
      <w:pPr>
        <w:spacing w:after="0" w:line="190"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Pursuant to the DPA, the Office agreed to recommend to the Court that prosecution of GM on the Information be deferred for three years. The Office also agreed that if we are in compliance with all of our obligations under the DPA, the Office will, within 30 days after the expiration of the period of deferral (including any extensions thereto), seek dismissal with prejudice of the Information filed against GM. The DPA further provides that, in the event the Office determines during the period of deferral of prosecution (or any extensions thereof) that we have violated any provision of the DPA, the Office may, in its discretion, either prosecute GM on the charges alleged in the Information or impose an extension of the period of deferral of prosecution of up to one additional year, but in no event will the total term of the deferral-of-prosecution period under the DPA exceed four years.</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DPA, we also agreed to retain an independent monitor (the Monitor) to review and assess our policies, practices or procedures related to statements about motor vehicle safety, the provision of information to those responsible for recall decisions, recall processes and addressing known defects in certified pre-owned vehicles. The Monitor’s authority will extend for a period of three years. The Office has the authority to lengthen the Monitor’s term for up to one year if the Office determines we have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violated the DPA. Likewise, the Office may shorten the Monitor’s term if the Office determines that a monitor is no longer necessary. We are required to pay the compensation and expenses of the Monitor and of the persons hired under his or her authority.</w:t>
      </w:r>
    </w:p>
    <w:p>
      <w:pPr>
        <w:spacing w:after="0" w:line="170"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Second, with regard to the Shareholder Class Action described previously, prior to the quarter there had been no discussions concerning potential resolution of the matter such that no possible range of potential liability could be determined. During this quarter, the parties both commenced and reached a proposed settlement of the lawsuit. On September 17, 2015 we announced we had entered into a binding term sheet for the settlement of the Shareholder Class Action for $300 million. The final settlement of the matter remains subject to a formal agreement and court approval.</w:t>
      </w:r>
    </w:p>
    <w:p>
      <w:pPr>
        <w:spacing w:after="0" w:line="171"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Third, GM and attorneys representing certain personal injury claimants in the multidistrict litigation engaged in substantive settlement discussions during the quarter in which agreement was reached as to both material financial and non-financial terms. On September 17, 2015 we announced we had reached a memorandum of understanding regarding a $275 million settlement of these claims that could potentially cover approximately 1,400 personal injury claimants who have lawsuits pending in the multidistrict litigation or who have otherwise asserted claims related to the ignition switch recall or certain other recalls announced in 2014. Prior to this quarter the parties had a substantial gap in their respective positions on financial issues such that no possible range of potential liability could be determined. Further, prior to the quarter the parties had also either not engaged in meaningful discussions concerning material non-financial issues necessary for any agreement or had opposing positions on these issues.</w:t>
      </w:r>
    </w:p>
    <w:p>
      <w:pPr>
        <w:spacing w:after="0" w:line="178"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total, we recorded charges of approximately $1.5 billion in Automotive selling, general and administrative expense in Corporate as a result of the DPA financial penalty and the settlements of the Shareholder Class Action and the multidistrict litigation and other litigation associated with the ignition switch recalls described previously. These charges were treated as adjustments for earnings before interest and taxes (EBIT)-adjusted reporting purposes in the three months ended September 30, 2015.</w:t>
      </w:r>
    </w:p>
    <w:p>
      <w:pPr>
        <w:spacing w:after="0" w:line="187"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believe it is probable that we will incur additional liabilities with regard to at least a portion of the remaining investigations, claims, and/or litigation relating to the ignition switch recalls and other recalls, whether through settlement or judgment. However we are currently unable to estimate a range of possible loss above the initial approximately $1.5 billion for the ongoing lawsuits, claims and investigations because these matters involve significant uncertainties. The resolution of these matters could have a material adverse effect on our financial position, results of operations or cash flows.</w:t>
      </w:r>
    </w:p>
    <w:p>
      <w:pPr>
        <w:spacing w:after="0" w:line="171"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The uncertainties referenced above include the legal theory or the nature of the claims, the complexity of the facts, the results of any investigation or litigation, and the timing of resolution of the investigations or litigation. For example, the appeal from the Bankruptcy Court’s judgment that is currently pending before the Second Circuit (discussed previously), as well as the various motions and pleadings pending before the Bankruptcy Court could have a substantial impact in further clarifying issues such as the potential liability of GM for acts or conduct of General Motors Corporation and what claims plaintiffs may pursue against GM in the multidistrict litigation and other courts. Further, there have been little or no discussions to date concerning any potential resolution of the SEC investigation, the state attorneys general’s investigations, the various claims for economic loss, or the claims concerning death or personal injury not covered by the memorandum of understanding, discussed previously. We will continue to consider potential resolution of open matters involving ignition switch recalls and other recalls where it makes sense to do so.</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GMCL Dealers' Claim</w:t>
      </w:r>
    </w:p>
    <w:p>
      <w:pPr>
        <w:spacing w:after="0" w:line="225" w:lineRule="exact"/>
        <w:rPr>
          <w:sz w:val="20"/>
          <w:szCs w:val="20"/>
          <w:color w:val="auto"/>
        </w:rPr>
      </w:pPr>
    </w:p>
    <w:p>
      <w:pPr>
        <w:jc w:val="both"/>
        <w:ind w:firstLine="162"/>
        <w:spacing w:after="0" w:line="268" w:lineRule="auto"/>
        <w:rPr>
          <w:sz w:val="20"/>
          <w:szCs w:val="20"/>
          <w:color w:val="auto"/>
        </w:rPr>
      </w:pPr>
      <w:r>
        <w:rPr>
          <w:rFonts w:ascii="Arial" w:cs="Arial" w:eastAsia="Arial" w:hAnsi="Arial"/>
          <w:sz w:val="17"/>
          <w:szCs w:val="17"/>
          <w:color w:val="auto"/>
        </w:rPr>
        <w:t>On February 12, 2010 a claim was filed in the Ontario Superior Court of Justice against GMCL on behalf of a purported class of over 200 former GMCL dealers (the Plaintiff Dealers) which had entered into wind-down agreements with GMCL. In May 2009 in the context of the global restructuring of the business and the possibility that GMCL might be required to initiate insolvency proceedings, GMCL offered the Plaintiff Dealers the wind-down agreements to assist with their exit from the GMCL dealer network and to facilitate winding down their operations in an orderly fashion by December 31, 2009 or such other date as GMCL approved but no later than on October 31, 2010. The Plaintiff Dealers allege that the Dealer Sales and Service Agreements were wrongly terminated by GMCL and that GMCL failed to comply with certain disclosure obligations, breached its statutory duty of fair dealing and unlawfully interfered with the Plaintiff Dealers' statutory right to associate in an attempt to coerce the Plaintiff Dealers into accepting the wind-down agreements. The Plaintiff Dealers seek damages and assert that the wind-down agreements are rescindable. The Plaintiff Dealers' initial pleading makes reference to a claim “not exceeding” CAD $750 million, without explanation of any specific measure of damages. On March 1, 2011 the court approved certification of a class for the purpose of deciding a number of specifically defined issues including: (1) whether GMCL breached its obligation of "good faith" in offering the wind-down agreements; (2) whether GMCL interfered with the Plaintiff Dealers' rights of free association; (3) whether GMCL was obligated to provide a disclosure statement and/or disclose more specific information regarding its restructuring plans in connection with proffering the wind-down agreements; and (4) whether the Plaintiff Dealers can recover damages in the aggregate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opposed to proving individual damages). A number of former dealers opted out of participation in the litigation, leaving 181 dealers in the certified class. Trial of the class issues was completed in the three months ended December 31, 2014. On July 8, 2015 the Ontario Superior Court dismissed the Plaintiff Dealers’ claim against GMCL, holding that GMCL did not breach any common law or statutory obligations toward the class members. The court also dismissed GMCL’s counterclaim against the Plaintiff Dealers for repayment of the wind-down payments made to them by GMCL as well as for other relief. All parties have filed notices of appeal. A case management judge has been assigned to manage the appeals.</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Korea Wage Litigation</w:t>
      </w:r>
    </w:p>
    <w:p>
      <w:pPr>
        <w:spacing w:after="0" w:line="225" w:lineRule="exact"/>
        <w:rPr>
          <w:sz w:val="20"/>
          <w:szCs w:val="20"/>
          <w:color w:val="auto"/>
        </w:rPr>
      </w:pPr>
    </w:p>
    <w:p>
      <w:pPr>
        <w:jc w:val="both"/>
        <w:ind w:firstLine="162"/>
        <w:spacing w:after="0" w:line="285" w:lineRule="auto"/>
        <w:rPr>
          <w:sz w:val="20"/>
          <w:szCs w:val="20"/>
          <w:color w:val="auto"/>
        </w:rPr>
      </w:pPr>
      <w:r>
        <w:rPr>
          <w:rFonts w:ascii="Arial" w:cs="Arial" w:eastAsia="Arial" w:hAnsi="Arial"/>
          <w:sz w:val="16"/>
          <w:szCs w:val="16"/>
          <w:color w:val="auto"/>
        </w:rPr>
        <w:t>Commencing on or about September 29, 2010 current and former hourly employees of GM Korea Company (GM Korea) filed eight separate group actions in the Incheon District Court in Incheon, Korea. The cases, which in aggregate involve more than 10,000 employees, allege that GM Korea failed to include bonuses and certain allowances in its calculation of Ordinary Wages due under the Presidential Decree of the Korean Labor Standards Act. On November 23, 2012 the Seoul High Court (an intermediate level appellate court) issued a decision affirming a decision of the Incheon District Court in a case involving five GM Korea employees which was contrary to GM Korea's position. GM Korea appealed to the Supreme Court of the Republic of Korea (Supreme Court) and initiated a constitutional challenge to the adverse interpretation of the relevant statute. In December 2013 the Supreme Court rendered a decision in a case involving another company not affiliated with us which addressed many of the issues presented in the cases pending against GM Korea and resolved many of them in a manner which we believe is favorable to GM Korea. In particular, while the Supreme Court held that fixed bonuses should be included in the calculation of Ordinary Wages, it also held that claims for retroactive application of this rule would be barred under certain circumstances. On May 29, 2014 the Supreme Court rendered its decision with respect to the case involving the five GM Korea hourly employees and remanded the case to the Seoul High Court consistent with its December 2013 ruling. This case was heard before the Seoul High Court on September 17, 2015 and a verdict is expected by October 30, 2015. In July 2014 GM Korea and its labor union agreed to include bonuses and certain allowances in Ordinary Wages retroactively to March 1, 2014. Therefore our accrual related to these cases was reclassified from a contingent liability to the Pensions liability. We estimate our reasonably possible loss in excess of amounts accrued to be 578 billion South Korean Won (equivalent to $488 million) at September 30, 2015, which relates to periods before March 1, 2014. We are also party to litigation with current and former salaried employees over allegations relating to Ordinary Wages regulation. At September 30, 2015 we have identified a reasonably possible loss in excess of the amount of our accrual of 179 billion South Korean Won (equivalent to $151 million). Both the scope of claims asserted and GM Korea's assessment of any or all of the individual claim elements may change if new information becomes available. These cases are currently pending before various courts in Korea.</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Subpoena</w:t>
      </w:r>
    </w:p>
    <w:p>
      <w:pPr>
        <w:spacing w:after="0" w:line="225" w:lineRule="exact"/>
        <w:rPr>
          <w:sz w:val="20"/>
          <w:szCs w:val="20"/>
          <w:color w:val="auto"/>
        </w:rPr>
      </w:pPr>
    </w:p>
    <w:p>
      <w:pPr>
        <w:jc w:val="both"/>
        <w:ind w:firstLine="162"/>
        <w:spacing w:after="0" w:line="269" w:lineRule="auto"/>
        <w:rPr>
          <w:sz w:val="20"/>
          <w:szCs w:val="20"/>
          <w:color w:val="auto"/>
        </w:rPr>
      </w:pPr>
      <w:r>
        <w:rPr>
          <w:rFonts w:ascii="Arial" w:cs="Arial" w:eastAsia="Arial" w:hAnsi="Arial"/>
          <w:sz w:val="17"/>
          <w:szCs w:val="17"/>
          <w:color w:val="auto"/>
        </w:rPr>
        <w:t>In July 2014 GM Financial was served with a subpoena by the U.S. Department of Justice directing GM Financial to produce certain documents relating to the origination and securitization of sub-prime automobile loans by GM Financial and its subsidiaries and affiliates since 2007 in connection with an investigation by the U.S. Department of Justice in contemplation of a civil proceeding for potential violations of the Financial Institutions Reform, Recovery, and Enforcement Act of 1989. Among other matters, the subpoena requests information relating to the underwriting criteria used to originate these automobile loans and the representations and warranties relating to those underwriting criteria that were made in connection with the securitization of the automobile loans. GM Financial was subsequently served with additional investigative subpoenas from state attorneys general and other governmental offices to produce documents relating to its consumer automobile loan business and securitization of automobile loans. In October 2014 GM Financial received a document request from the SEC in connection with its investigation into certain practices in sub-prime automobile loan securitization. GM Financial is investigating these matters internally and believes it is cooperating with all requests. Such investigations could in the future result in the imposition of damages, fines or civil or criminal claims and/or penalties. No assurance can be given that the ultimate outcome of the investigations or any resulting proceedings would not materially and adversely affect GM Financial or any of its subsidiaries and affiliates.</w:t>
      </w:r>
    </w:p>
    <w:p>
      <w:pPr>
        <w:spacing w:after="0" w:line="1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 Litigation-Related Liability and Tax Administrative Matters</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Various other legal actions, governmental investigations, claims and proceedings are pending against us including matters arising out of alleged product defects; employment-related matters; governmental regulations relating to safety, emissions and fuel economy; product warranties; financial services; dealer, supplier and other contractual relationships; government regulations relating to payments to foreign companies; tax-related matters not recorded pursuant to Accounting Standards Codification 740, "Income Taxes" (indirect tax-related matters); and environmental matters.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Indirect tax-related matters are being litigated globally pertaining to value added taxes, customs, duties, sales, property taxes and other non-income tax related tax exposures. The various non-U.S. labor-related matters include claims from current and former employees related to alleged unpaid wage, benefit, severance and other compensation matters. Certain South American administrative proceedings are indirect tax-related and may require that we deposit funds in escrow. Escrow deposits may range from $400 million to $600 million. Some of the matters may involve compensatory, punitive or other treble damage claims, environmental remediation programs or sanctions that, if granted, could require us to pay damages or make other expenditures in amounts that could not be reasonably estimated at September 30, 2015. We believe that appropriate accruals have been established for such matters based on information currently available.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w:t>
      </w:r>
    </w:p>
    <w:p>
      <w:pPr>
        <w:spacing w:after="0" w:line="229"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With respect to product liability claims involving our and General Motors Corporation products, we believe that any judgment against us for actual damages will be adequately covered by our recorded accruals and, where applicable, excess liability insurance coverage. In addition we indemnify dealers for certain product liability related claims including products sold by General Motors Corporation's dealers. Liabilities have been recorded in Accrued liabilities and Other liabilities for the expected cost of all known product liability claims plus an estimate of the expected cost for product liability claims that have already been incurred and are expected to be filed in the future for which we are self-insured. In light of vehicle recalls in recent years it is reasonably possible that our accruals for product liability claims may increase in future periods in material amounts, although we cannot estimate a reasonable range of incremental loss based on currently available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Ignition Switch Recall Compensation Program</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three months ended June 30, 2014 we recorded a charge of $400 million as a result of the creation of a compensation program (the Program) for accident victims who died or suffered physical injury (or for their families) as a result of a faulty ignition switch related to the 2.6 million vehicles recalled in the three months ended March 31, 2014. The Program is being administered by an independent program administrator. The independent administrator has established a protocol that defines the eligibility requirements to participate in the Program. There is no cap on the amount of payments that can be made to claimants under the Program.</w:t>
      </w:r>
    </w:p>
    <w:p>
      <w:pPr>
        <w:spacing w:after="0" w:line="18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amounts recorded for the Program were recorded in Automotive selling, general and administrative expense in Corporate and were treated as an adjustment for EBIT-adjusted reporting purposes. Based on the Program's claims experience we increased our accrual by $150 million and $75 million in the three months ended March 31, 2015 and June 30, 2015. Based on currently available information we believe our accrual at September 30, 2015 is adequate to cover the estimated costs under the Program. Total charges recorded since inception of the Program were $625 million. The following table summarizes the activity for the Program since its inception (dollars in millions):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Activity</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April 1, 2014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400</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Balance at December 31, 2014</w:t>
            </w:r>
          </w:p>
        </w:tc>
        <w:tc>
          <w:tcPr>
            <w:tcW w:w="3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315</w:t>
            </w:r>
          </w:p>
        </w:tc>
      </w:tr>
      <w:tr>
        <w:trPr>
          <w:trHeight w:val="27"/>
        </w:trPr>
        <w:tc>
          <w:tcPr>
            <w:tcW w:w="9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Payments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7"/>
        </w:trPr>
        <w:tc>
          <w:tcPr>
            <w:tcW w:w="9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w:t>
            </w:r>
          </w:p>
        </w:tc>
      </w:tr>
      <w:tr>
        <w:trPr>
          <w:trHeight w:val="20"/>
        </w:trPr>
        <w:tc>
          <w:tcPr>
            <w:tcW w:w="9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The Program accepted claims from August 1, 2014 through January 31, 2015 and received a total of 4,343 claims. The Program completed its claims review process in the three months ended September 30, 2015 and the independent program administrator determined that 399 claims are eligible for payment under the Program. Payments to eligible claimants began in the three months ended December 31, 2014 and will continue through the end of 2015. At October 16, 2015 we had paid approximately 300 eligible claimants $453 million under the Program. Accident victims (or their families) could choose not to participate in the Program and pursue litigation against us. Accident victims (or their families) that accept a payment under the Program agree to settle all claims against GM related to the accident.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enter into indemnification agreements for liability claims involving products manufactured primarily by certain joint ventures. These guarantees terminate in years ranging from 2020 to 2030 and we believe that the related potential costs incurred are adequately covered by recorded accruals. The maximum liability for these guarantees was $2.4 billion and $2.5 billion at September 30, 2015 and December 31, 2014, calculated as future undiscounted payments.</w:t>
      </w:r>
    </w:p>
    <w:p>
      <w:pPr>
        <w:spacing w:after="0" w:line="187"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We also provide vehicle repurchase guarantees and payment guarantees on commercial loans outstanding with third parties such as dealers. These guarantees and other obligations expire in 2015 through 2020 or upon the occurrence of specific events or are ongoing. The maximum liability for these guarantees was $171 million and $197 million at September 30, 2015 and December 31, 2014, calculated as future undiscounted payments.</w:t>
      </w:r>
    </w:p>
    <w:p>
      <w:pPr>
        <w:spacing w:after="0" w:line="166"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In some instances certain assets of the party whose debt or performance we have guaranteed may offset, to some degree, the amount of certain guarantees. Our payables to the party whose debt or performance we have guaranteed may also reduce the amount of certain guarantees. If vehicles are required to be repurchased under vehicle repurchase obligations, the total exposure would be reduced to the extent vehicles are able to be resold to another dealer.</w:t>
      </w:r>
    </w:p>
    <w:p>
      <w:pPr>
        <w:spacing w:after="0" w:line="147"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periodically enter into agreements that incorporate indemnification provisions in the normal course of business. It is not possible to estimate our maximum exposure under these indemnifications or guarantees due to the conditional nature of these obligations. Insignificant amounts have been recorded for such obligations as the majority of them are not probable or estimable at this time and the fair value of the guarantees at issuance was insignificant.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Brazil Excise Tax Incentive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October 2012 the Brazilian government issued a decree which increased an excise tax rate by 30 percentage points, but also provided an offsetting tax incentive that requires participating companies to meet certain criteria, such as local investment and fuel efficiency standards. Participating companies that fail to meet the required criteria are subject to clawback provisions and fines. At September 30, 2015 we believe it is reasonably assured that the program requirements will be met.</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Korea Fuel Economy</w:t>
      </w:r>
    </w:p>
    <w:p>
      <w:pPr>
        <w:spacing w:after="0" w:line="23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2014 we determined the certified fuel economy ratings on our Cruze 1.8L gasoline vehicles sold in Korea were incorrect. We retested and recertified the Cruze fuel economy ratings which fell below our prior certification and self-reported this issue to local government authorities. We voluntarily announced a customer compensation program for current and previous Cruze owners and recorded an insignificant charge in the three months ended December 31, 2014. In November 2014 the Korean government released new fuel economy certification guidelines. Since then, in accordance with the new guidelines, we have completed retesting and recertification of the Chevrolet Captiva 2.0L and 2.2L diesel vehicles and the Malibu 2.0L gas, 2.4L gas and 2.0 LPG vehicles. The Captiva 2.0L diesel was subsequently selected for confirmatory testing by the Korean government and was approved. There are no other domestic models in production to be retested and recertified under the new guidelines.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India Tavera Emissions Compliance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2013 we determined there was an emissions compliance issue with certain Tavera models produced in India. We self-reported this issue in the three months ended September 30, 2013 to local government authorities and are continuing to cooperate. We developed a solution, and while the issue was not safety related, we voluntarily recalled the vehicles to serve our customers. We believe our accrual at September 30, 2015 is adequate to cover the estimated costs of the recalled vehicles.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For interim income tax reporting we estimate our annual effective tax rate and apply it to our year to date ordinary income (loss). Tax jurisdictions with a projected or year to date loss for which a tax benefit cannot be realized are excluded. The tax effects of unusual or infrequently occurring items, including changes in judgment about valuation allowances and effects of changes in tax laws or rates, are reported in the interim period in which they occur.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months ended September 30, 2015 income tax expense of $165 million resulted from tax expense attributable to entities included in our effective tax rate calculation of $608 million, partially offset by net favorable discrete adjustments related to tax settlements, a valuation allowance reversal and other items. In the three months ended September 30, 2014 income tax expense of $427 million resulted from tax expense attributable to entities included in our effective tax rate calculation of $787 million, partially offset by a net tax benefit from various tax settlements and other items.</w:t>
      </w:r>
    </w:p>
    <w:p>
      <w:pPr>
        <w:spacing w:after="0" w:line="171"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nine months ended September 30, 2015 income tax expense of $1.3 billion resulted from tax expense attributable to entities included in our effective tax rate calculation of $1.9 billion, partially offset by net favorable discrete adjustments related to tax settlements, a valuation allowance reversal and other items. In the nine months ended September 30, 2014 income tax benefit of $51 million resulted from tax expense attributable to entities included in our effective tax rate calculation of $799 million, more than offset by a net tax benefit from various tax settlements and other items.</w:t>
      </w:r>
    </w:p>
    <w:p>
      <w:pPr>
        <w:spacing w:after="0" w:line="17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$900 million charge recorded in the three months ended September 30, 2015 for the financial penalty under the DPA is not deductible for income tax purposes. Refer to Note 10 for additional information on the DPA.</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At September 30, 2015 we had $33.2 billion of net deferred tax assets consisting of: (1) net operating losses and income tax credits; (2) capitalized research expenditures; and (3) other timing differences that are available to offset future income tax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Restructuring and Other Initiatives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have executed various restructuring and other initiatives and we plan to execute additional initiatives in the future, if necessary, in order to align manufacturing capacity and other costs with prevailing global automotive production and to improve the utilization of remaining facilities. To the extent these programs involve voluntary separations, no liabilities are generally recorded until offers to employees are accepted. If employees are involuntarily terminated, a liability is generally recorded at the communication date. Related charges are recorded in Automotive cost of sales and Automotive selling, general and administrative expense.</w:t>
      </w:r>
    </w:p>
    <w:p>
      <w:pPr>
        <w:spacing w:after="0" w:line="188"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tables summarize the reserves related to restructuring and other initiatives and charges by segment, including postemployment benefit reserves and charges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GMNA</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GME</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GMIO</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GMSA</w:t>
            </w:r>
          </w:p>
        </w:tc>
        <w:tc>
          <w:tcPr>
            <w:tcW w:w="260" w:type="dxa"/>
            <w:vAlign w:val="bottom"/>
          </w:tcPr>
          <w:p>
            <w:pPr>
              <w:spacing w:after="0"/>
              <w:rPr>
                <w:sz w:val="16"/>
                <w:szCs w:val="16"/>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184</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2015</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163</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2015</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127</w:t>
            </w: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2015(a)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948</w:t>
            </w: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4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ind w:left="1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GMNA</w:t>
            </w:r>
          </w:p>
        </w:tc>
        <w:tc>
          <w:tcPr>
            <w:tcW w:w="26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GME</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GMIO</w:t>
            </w:r>
          </w:p>
        </w:tc>
        <w:tc>
          <w:tcPr>
            <w:tcW w:w="240" w:type="dxa"/>
            <w:vAlign w:val="bottom"/>
          </w:tcPr>
          <w:p>
            <w:pPr>
              <w:spacing w:after="0"/>
              <w:rPr>
                <w:sz w:val="16"/>
                <w:szCs w:val="16"/>
                <w:color w:val="auto"/>
              </w:rPr>
            </w:pPr>
          </w:p>
        </w:tc>
        <w:tc>
          <w:tcPr>
            <w:tcW w:w="1000" w:type="dxa"/>
            <w:vAlign w:val="bottom"/>
            <w:gridSpan w:val="2"/>
          </w:tcPr>
          <w:p>
            <w:pPr>
              <w:ind w:left="120"/>
              <w:spacing w:after="0"/>
              <w:rPr>
                <w:sz w:val="20"/>
                <w:szCs w:val="20"/>
                <w:color w:val="auto"/>
              </w:rPr>
            </w:pPr>
            <w:r>
              <w:rPr>
                <w:rFonts w:ascii="Arial" w:cs="Arial" w:eastAsia="Arial" w:hAnsi="Arial"/>
                <w:sz w:val="14"/>
                <w:szCs w:val="14"/>
                <w:b w:val="1"/>
                <w:bCs w:val="1"/>
                <w:color w:val="auto"/>
              </w:rPr>
              <w:t>GMSA</w:t>
            </w:r>
          </w:p>
        </w:tc>
        <w:tc>
          <w:tcPr>
            <w:tcW w:w="260" w:type="dxa"/>
            <w:vAlign w:val="bottom"/>
          </w:tcPr>
          <w:p>
            <w:pPr>
              <w:spacing w:after="0"/>
              <w:rPr>
                <w:sz w:val="16"/>
                <w:szCs w:val="16"/>
                <w:color w:val="auto"/>
              </w:rPr>
            </w:pPr>
          </w:p>
        </w:tc>
        <w:tc>
          <w:tcPr>
            <w:tcW w:w="88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2014</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 2014</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2014</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Additions, interest accretion and other</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Revisions to estimates and effect of foreign currency</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2014(a)</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63"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remaining cash payments related to these reserves for restructuring and other initiatives, including temporary layoff benefits of $351 million and $352 million at September 30, 2015 and 2014 for GMNA, primarily relate to postemployment benefits to be paid.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2015</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Restructuring and other initiatives related primarily to: (1) the change in our business model in Russia described below; and (2) separation and other programs in Australia, Korea, Thailand and Indonesia and the withdrawal of the Chevrolet brand from Europe which had a total cost since inception of $663 million and affected a total of approximately 5,530 employees at GMIO through September 30, 2015. We expect to complete these programs in GMIO in 2017 and incur additional restructuring and other charges of approximately $266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Nine Months Ended September 30, 2014</w:t>
      </w:r>
    </w:p>
    <w:p>
      <w:pPr>
        <w:spacing w:after="0" w:line="229"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Restructuring and other initiatives related primarily to: (1) the termination of all vehicle and transmission production at our Bochum, Germany facility in 2014 which had a total cost since inception of $716 million through September 30, 2014; and (2) separation programs in Australia and Korea and programs related to the withdrawal of the Chevrolet brand from Europe which had a total cost since inception of $454 million at GMIO through September 30, 2014.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Business Model in Russia</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In March 2015 we announced plans to change our business model in Russia and cease manufacturing, eliminate Opel brand distribution and reduce Chevrolet brand distribution by the end of 2015. This decision impacts 300 dealers and distributors and 1,130 employees. As a result we recorded pre-tax charges of $450 million in GME and GMIO in the nine months ended September 30, 2015, net of noncontrolling interests of $44 million. These charges included dealer restructuring and other contract cancellation costs of $99 million and employee severance costs of $13 million which are reflected in the table above. The remaining charges for cumulative translation adjustment associated with the substantial liquidation of certain legal entities and other of $182 million, sales incentives and inventory related costs of $144 million and asset impairment charges of $56 million are not included in the table above. We may incur additional charges for exit costs of up to $100 million through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and Common Stock</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have 2.0 billion shares of preferred stock and 5.0 billion shares of common stock authorized for issuance. We had 1.6 billion shares of common stock issued and outstanding at September 30, 2015 and December 31, 2014. In December 2014 we redeemed all of the remaining outstanding shares of our Series A preferred stock. In the nine months ended September 30, 2015 we purchased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85 million shares of our outstanding common stock for $2.9 billion as part of the common stock repurchase program announced in March 2015.</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dividends paid on our preferred and common stock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2014</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2015</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Series A preferred stock</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Common stock</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
              <w:spacing w:after="0"/>
              <w:rPr>
                <w:sz w:val="20"/>
                <w:szCs w:val="20"/>
                <w:color w:val="auto"/>
              </w:rPr>
            </w:pPr>
            <w:r>
              <w:rPr>
                <w:rFonts w:ascii="Arial" w:cs="Arial" w:eastAsia="Arial" w:hAnsi="Arial"/>
                <w:sz w:val="18"/>
                <w:szCs w:val="18"/>
                <w:color w:val="auto"/>
              </w:rPr>
              <w:t>563</w:t>
            </w:r>
          </w:p>
        </w:tc>
        <w:tc>
          <w:tcPr>
            <w:tcW w:w="12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7"/>
                <w:szCs w:val="17"/>
                <w:color w:val="auto"/>
              </w:rPr>
              <w:t>$</w:t>
            </w:r>
          </w:p>
        </w:tc>
        <w:tc>
          <w:tcPr>
            <w:tcW w:w="840" w:type="dxa"/>
            <w:vAlign w:val="bottom"/>
          </w:tcPr>
          <w:p>
            <w:pPr>
              <w:jc w:val="right"/>
              <w:ind w:right="41"/>
              <w:spacing w:after="0"/>
              <w:rPr>
                <w:sz w:val="20"/>
                <w:szCs w:val="20"/>
                <w:color w:val="auto"/>
              </w:rPr>
            </w:pPr>
            <w:r>
              <w:rPr>
                <w:rFonts w:ascii="Arial" w:cs="Arial" w:eastAsia="Arial" w:hAnsi="Arial"/>
                <w:sz w:val="17"/>
                <w:szCs w:val="17"/>
                <w:color w:val="auto"/>
              </w:rPr>
              <w:t>1,618</w:t>
            </w:r>
          </w:p>
        </w:tc>
        <w:tc>
          <w:tcPr>
            <w:tcW w:w="100" w:type="dxa"/>
            <w:vAlign w:val="bottom"/>
          </w:tcPr>
          <w:p>
            <w:pPr>
              <w:spacing w:after="0"/>
              <w:rPr>
                <w:sz w:val="21"/>
                <w:szCs w:val="21"/>
                <w:color w:val="auto"/>
              </w:rPr>
            </w:pPr>
          </w:p>
        </w:tc>
        <w:tc>
          <w:tcPr>
            <w:tcW w:w="680" w:type="dxa"/>
            <w:vAlign w:val="bottom"/>
          </w:tcPr>
          <w:p>
            <w:pPr>
              <w:ind w:left="40"/>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15"/>
              <w:spacing w:after="0"/>
              <w:rPr>
                <w:sz w:val="20"/>
                <w:szCs w:val="20"/>
                <w:color w:val="auto"/>
              </w:rPr>
            </w:pPr>
            <w:r>
              <w:rPr>
                <w:rFonts w:ascii="Arial" w:cs="Arial" w:eastAsia="Arial" w:hAnsi="Arial"/>
                <w:sz w:val="17"/>
                <w:szCs w:val="17"/>
                <w:color w:val="auto"/>
              </w:rPr>
              <w:t>1,445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Loss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components of Accumulated other comprehensive loss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5"/>
              </w:rPr>
              <w:t>Three Months Ended</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tcPr>
          <w:p>
            <w:pPr>
              <w:spacing w:after="0"/>
              <w:rPr>
                <w:sz w:val="13"/>
                <w:szCs w:val="13"/>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2014</w:t>
            </w:r>
          </w:p>
        </w:tc>
        <w:tc>
          <w:tcPr>
            <w:tcW w:w="160" w:type="dxa"/>
            <w:vAlign w:val="bottom"/>
          </w:tcPr>
          <w:p>
            <w:pPr>
              <w:spacing w:after="0"/>
              <w:rPr>
                <w:sz w:val="13"/>
                <w:szCs w:val="13"/>
                <w:color w:val="auto"/>
              </w:rPr>
            </w:pPr>
          </w:p>
        </w:tc>
        <w:tc>
          <w:tcPr>
            <w:tcW w:w="12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92"/>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(1,023)</w:t>
            </w:r>
          </w:p>
        </w:tc>
        <w:tc>
          <w:tcPr>
            <w:tcW w:w="12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before reclassification adjustment, net of tax(a)</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Reclassification adjustment, net of tax(a)(b)</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net of tax</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3"/>
              </w:rPr>
              <w:t>Other comprehensive income (loss) attributable to noncontrolling interests, net of</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tax</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Defined Benefit Plans, Net</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(2,477)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1"/>
              </w:rPr>
              <w:t>Other comprehensive loss before reclassification adjustment – prior service cost or</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00"/>
              <w:spacing w:after="0"/>
              <w:rPr>
                <w:sz w:val="20"/>
                <w:szCs w:val="20"/>
                <w:color w:val="auto"/>
              </w:rPr>
            </w:pPr>
            <w:r>
              <w:rPr>
                <w:rFonts w:ascii="Arial" w:cs="Arial" w:eastAsia="Arial" w:hAnsi="Arial"/>
                <w:sz w:val="18"/>
                <w:szCs w:val="18"/>
                <w:color w:val="auto"/>
              </w:rPr>
              <w:t>credit, net of tax(a)</w:t>
            </w: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Other comprehensive income before reclassification adjustment – actuarial gains</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or losses, net of tax(a)</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439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before reclassification adjustment, net of tax</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 – prior service cost or credit, net of tax(a)(c)</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Reclassification adjustment – actuarial losses, net of tax(a)(c)</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 net of tax(a)</w:t>
            </w: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period</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w:t>
            </w: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06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income tax effect was insignificant in the three and nine months ended September 30, 2015 and 2014.</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Related to the change of our business model in Russia. Included in Automotive cost of sales. Refer to Note 12 for additional information.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Included in the computation of net periodic pension and OPEB (income) expense. Refer to Note 9 for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Per Share</w:t>
      </w:r>
    </w:p>
    <w:p>
      <w:pPr>
        <w:spacing w:after="0" w:line="229" w:lineRule="exact"/>
        <w:rPr>
          <w:sz w:val="20"/>
          <w:szCs w:val="20"/>
          <w:color w:val="auto"/>
        </w:rPr>
      </w:pPr>
    </w:p>
    <w:p>
      <w:pPr>
        <w:jc w:val="both"/>
        <w:ind w:right="20" w:firstLine="162"/>
        <w:spacing w:after="0" w:line="264" w:lineRule="auto"/>
        <w:rPr>
          <w:sz w:val="20"/>
          <w:szCs w:val="20"/>
          <w:color w:val="auto"/>
        </w:rPr>
      </w:pPr>
      <w:r>
        <w:rPr>
          <w:rFonts w:ascii="Arial" w:cs="Arial" w:eastAsia="Arial" w:hAnsi="Arial"/>
          <w:sz w:val="18"/>
          <w:szCs w:val="18"/>
          <w:color w:val="auto"/>
        </w:rPr>
        <w:t>Basic and diluted earnings per share are computed by dividing Net income attributable to common stockholders by the weighted-average common shares outstanding in the period. Diluted earnings per share is computed by giving effect to all potentially dilutive securities that are outstanding. The following table summarizes basic and diluted earnings per share (in millions, except for per share amounts):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8"/>
              </w:rPr>
              <w:t>Three Months Ended</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9"/>
              </w:rPr>
              <w:t>Nine Months Ended</w:t>
            </w:r>
          </w:p>
        </w:tc>
        <w:tc>
          <w:tcPr>
            <w:tcW w:w="60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604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2014</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2015</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2014</w:t>
            </w:r>
          </w:p>
        </w:tc>
      </w:tr>
      <w:tr>
        <w:trPr>
          <w:trHeight w:val="250"/>
        </w:trPr>
        <w:tc>
          <w:tcPr>
            <w:tcW w:w="20" w:type="dxa"/>
            <w:vAlign w:val="bottom"/>
          </w:tcPr>
          <w:p>
            <w:pPr>
              <w:spacing w:after="0"/>
              <w:rPr>
                <w:sz w:val="21"/>
                <w:szCs w:val="21"/>
                <w:color w:val="auto"/>
              </w:rPr>
            </w:pPr>
          </w:p>
        </w:tc>
        <w:tc>
          <w:tcPr>
            <w:tcW w:w="6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Net income attributable to stockholders</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1"/>
                <w:szCs w:val="21"/>
                <w:color w:val="auto"/>
              </w:rPr>
            </w:pPr>
          </w:p>
        </w:tc>
        <w:tc>
          <w:tcPr>
            <w:tcW w:w="68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1,471</w:t>
            </w:r>
          </w:p>
        </w:tc>
        <w:tc>
          <w:tcPr>
            <w:tcW w:w="100" w:type="dxa"/>
            <w:vAlign w:val="bottom"/>
          </w:tcPr>
          <w:p>
            <w:pPr>
              <w:spacing w:after="0"/>
              <w:rPr>
                <w:sz w:val="21"/>
                <w:szCs w:val="21"/>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21"/>
                <w:szCs w:val="21"/>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1,962</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cumulative dividends on Series A preferred stock(a)</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97"/>
        </w:trPr>
        <w:tc>
          <w:tcPr>
            <w:tcW w:w="20" w:type="dxa"/>
            <w:vAlign w:val="bottom"/>
          </w:tcPr>
          <w:p>
            <w:pPr>
              <w:spacing w:after="0"/>
              <w:rPr>
                <w:sz w:val="24"/>
                <w:szCs w:val="24"/>
                <w:color w:val="auto"/>
              </w:rPr>
            </w:pPr>
          </w:p>
        </w:tc>
        <w:tc>
          <w:tcPr>
            <w:tcW w:w="6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common stockholders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tcPr>
          <w:p>
            <w:pPr>
              <w:spacing w:after="0"/>
              <w:rPr>
                <w:sz w:val="24"/>
                <w:szCs w:val="24"/>
                <w:color w:val="auto"/>
              </w:rPr>
            </w:pPr>
          </w:p>
        </w:tc>
        <w:tc>
          <w:tcPr>
            <w:tcW w:w="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7"/>
              </w:rPr>
              <w:t>1,384</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CCEEFF"/>
            </w:tcBorders>
          </w:tcPr>
          <w:p>
            <w:pPr>
              <w:spacing w:after="0"/>
              <w:rPr>
                <w:sz w:val="24"/>
                <w:szCs w:val="24"/>
                <w:color w:val="auto"/>
              </w:rPr>
            </w:pPr>
          </w:p>
        </w:tc>
        <w:tc>
          <w:tcPr>
            <w:tcW w:w="6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1,699</w:t>
            </w:r>
          </w:p>
        </w:tc>
      </w:tr>
      <w:tr>
        <w:trPr>
          <w:trHeight w:val="109"/>
        </w:trPr>
        <w:tc>
          <w:tcPr>
            <w:tcW w:w="20" w:type="dxa"/>
            <w:vAlign w:val="bottom"/>
          </w:tcPr>
          <w:p>
            <w:pPr>
              <w:spacing w:after="0"/>
              <w:rPr>
                <w:sz w:val="9"/>
                <w:szCs w:val="9"/>
                <w:color w:val="auto"/>
              </w:rPr>
            </w:pPr>
          </w:p>
        </w:tc>
        <w:tc>
          <w:tcPr>
            <w:tcW w:w="604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1,577</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1,612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1,603</w:t>
            </w: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 – basic</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1,699</w:t>
            </w: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Less: earnings adjustment for dilutive stock compensation rights</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common stockholders – diluted</w:t>
            </w: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1,376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3,418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1,677</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1,612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w:t>
            </w:r>
          </w:p>
        </w:tc>
      </w:tr>
      <w:tr>
        <w:trPr>
          <w:trHeight w:val="243"/>
        </w:trPr>
        <w:tc>
          <w:tcPr>
            <w:tcW w:w="20" w:type="dxa"/>
            <w:vAlign w:val="bottom"/>
          </w:tcPr>
          <w:p>
            <w:pPr>
              <w:spacing w:after="0"/>
              <w:rPr>
                <w:sz w:val="21"/>
                <w:szCs w:val="21"/>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Dilutive effect of warrants and restricted stock units (RSUs)</w:t>
            </w:r>
          </w:p>
        </w:tc>
        <w:tc>
          <w:tcPr>
            <w:tcW w:w="40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87</w:t>
            </w:r>
          </w:p>
        </w:tc>
      </w:tr>
      <w:tr>
        <w:trPr>
          <w:trHeight w:val="27"/>
        </w:trPr>
        <w:tc>
          <w:tcPr>
            <w:tcW w:w="20" w:type="dxa"/>
            <w:vAlign w:val="bottom"/>
          </w:tcPr>
          <w:p>
            <w:pPr>
              <w:spacing w:after="0"/>
              <w:rPr>
                <w:sz w:val="2"/>
                <w:szCs w:val="2"/>
                <w:color w:val="auto"/>
              </w:rPr>
            </w:pPr>
          </w:p>
        </w:tc>
        <w:tc>
          <w:tcPr>
            <w:tcW w:w="60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40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1,618</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1,691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1,690</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6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r>
      <w:tr>
        <w:trPr>
          <w:trHeight w:val="250"/>
        </w:trPr>
        <w:tc>
          <w:tcPr>
            <w:tcW w:w="20" w:type="dxa"/>
            <w:vAlign w:val="bottom"/>
          </w:tcPr>
          <w:p>
            <w:pPr>
              <w:spacing w:after="0"/>
              <w:rPr>
                <w:sz w:val="21"/>
                <w:szCs w:val="21"/>
                <w:color w:val="auto"/>
              </w:rPr>
            </w:pPr>
          </w:p>
        </w:tc>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common share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0.84</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0.99</w:t>
            </w:r>
          </w:p>
        </w:tc>
      </w:tr>
      <w:tr>
        <w:trPr>
          <w:trHeight w:val="193"/>
        </w:trPr>
        <w:tc>
          <w:tcPr>
            <w:tcW w:w="20" w:type="dxa"/>
            <w:vAlign w:val="bottom"/>
          </w:tcPr>
          <w:p>
            <w:pPr>
              <w:spacing w:after="0"/>
              <w:rPr>
                <w:sz w:val="16"/>
                <w:szCs w:val="16"/>
                <w:color w:val="auto"/>
              </w:rPr>
            </w:pPr>
          </w:p>
        </w:tc>
        <w:tc>
          <w:tcPr>
            <w:tcW w:w="6040" w:type="dxa"/>
            <w:vAlign w:val="bottom"/>
          </w:tcPr>
          <w:p>
            <w:pPr>
              <w:spacing w:after="0"/>
              <w:rPr>
                <w:sz w:val="20"/>
                <w:szCs w:val="20"/>
                <w:color w:val="auto"/>
              </w:rPr>
            </w:pPr>
            <w:r>
              <w:rPr>
                <w:rFonts w:ascii="Arial" w:cs="Arial" w:eastAsia="Arial" w:hAnsi="Arial"/>
                <w:sz w:val="16"/>
                <w:szCs w:val="16"/>
                <w:color w:val="auto"/>
              </w:rPr>
              <w:t>________</w:t>
            </w: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Includes earned but undeclared dividends of $15 million on our Series A preferred stock in the three and nine months ended September 30, 2014.</w:t>
      </w:r>
    </w:p>
    <w:p>
      <w:pPr>
        <w:spacing w:after="0" w:line="20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color w:val="auto"/>
        </w:rPr>
        <w:t>In the three and nine months ended September 30, 2015 and 2014 warrants to purchase 46 million shares were not included in the computation of diluted earnings per share because the warrants' exercise price was greater than the average market price of the common shares.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Reporting</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analyze the results of our business through the following segments: GMNA, GME, GMIO, GMSA and GM Financial. The chief operating decision maker evaluates the operating results and performance of our automotive segments through income before interest and income taxes, as adjusted for additional amounts, which is presented net of noncontrolling interests. The chief operating decision maker evaluates GM Financial through income before income taxes-adjusted because he/she believes interest income and interest expense are part of operating results when assessing and measuring the operational and financial performance of the segment. Each segment has a manager responsible for executing our strategies. Our automotive manufacturing operations are integrated within the segments, benefit from broad-based trade agreements and are subject to regulatory requirements, such as Corporate Average Fuel Economy regulations. While not all vehicles within a segment are individually profitable on a fully allocated cost basis, those vehicles are needed in our product mix in order to attract customers to dealer showrooms and to maintain sales volumes for other, more profitable vehicles. Because of these and other factors, we do not manage our business on an individual brand or vehicle basis.</w:t>
      </w:r>
    </w:p>
    <w:p>
      <w:pPr>
        <w:spacing w:after="0" w:line="18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Substantially all of the cars, trucks and parts produced are marketed through retail dealers in North America, and through distributors and dealers outside of North America, the substantial majority of which are independently owned.</w:t>
      </w:r>
    </w:p>
    <w:p>
      <w:pPr>
        <w:spacing w:after="0" w:line="1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addition to the products sold to dealers for consumer retail sales, cars and trucks are also sold to fleet customers, including daily rental car companies, commercial fleet customers, leasing companies and governments. Fleet sales are completed through the network of dealers and in some cases directly with fleet customers. Retail and fleet customers can obtain a wide range of after-sale vehicle services and products through the dealer network, such as maintenance, light repairs, collision repairs, vehicle accessories and extended service warranties.</w:t>
      </w:r>
    </w:p>
    <w:p>
      <w:pPr>
        <w:spacing w:after="0" w:line="187"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GMNA primarily meets the demands of customers in North America with vehicles developed, manufactured and/or marketed under the Buick, Cadillac, Chevrolet and GMC brands. The demands of customers outside North America are primarily met with vehicles developed, manufactured and/or marketed under the Buick, Cadillac, Chevrolet, GMC, Holden, Opel and Vauxhall brands. We also have equity ownership stakes directly or indirectly in entities through various regional subsidiaries, primarily in Asia.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These companies design, manufacture and market vehicles under the Baojun, Buick, Cadillac, Chevrolet, Jiefang and Wuling brands.</w:t>
      </w:r>
    </w:p>
    <w:p>
      <w:pPr>
        <w:spacing w:after="0" w:line="225"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Our automotive operations' interest income and interest expense are recorded centrally in Corporate. Corporate assets consist primarily of cash and cash equivalents, marketable securities and intercompany balances. All intersegment balances and transactions have been eliminated in consolidation.</w:t>
      </w:r>
    </w:p>
    <w:p>
      <w:pPr>
        <w:spacing w:after="0" w:line="14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400"/>
              <w:spacing w:after="0"/>
              <w:rPr>
                <w:sz w:val="20"/>
                <w:szCs w:val="20"/>
                <w:color w:val="auto"/>
              </w:rPr>
            </w:pPr>
            <w:r>
              <w:rPr>
                <w:rFonts w:ascii="Arial" w:cs="Arial" w:eastAsia="Arial" w:hAnsi="Arial"/>
                <w:sz w:val="13"/>
                <w:szCs w:val="13"/>
                <w:b w:val="1"/>
                <w:bCs w:val="1"/>
                <w:color w:val="auto"/>
                <w:w w:val="96"/>
              </w:rPr>
              <w:t>At and For the Three Months Ended September 30, 2015</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7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27,794</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4,556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3,016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1,738</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37,140</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1,707</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38,843</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3,293</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269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(217)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2,867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231</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3,096</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1,506</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(165)</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18</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1,359</w:t>
            </w: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94,744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10,531</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21,324</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7,708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21,718</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(24,765)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131,260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59,692</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(1,952)</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w w:val="89"/>
              </w:rPr>
              <w:t>189,000</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35"/>
        </w:trPr>
        <w:tc>
          <w:tcPr>
            <w:tcW w:w="24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76"/>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1,009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657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1,981</w:t>
            </w:r>
          </w:p>
        </w:tc>
      </w:tr>
    </w:tbl>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2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Consists primarily of charges for various legal matters of approximately $1.5 billion related to the ignition switch recall in Corporate.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740" w:type="dxa"/>
            <w:vAlign w:val="bottom"/>
            <w:tcBorders>
              <w:bottom w:val="single" w:sz="8" w:color="auto"/>
            </w:tcBorders>
            <w:gridSpan w:val="11"/>
          </w:tcPr>
          <w:p>
            <w:pPr>
              <w:ind w:left="400"/>
              <w:spacing w:after="0"/>
              <w:rPr>
                <w:sz w:val="20"/>
                <w:szCs w:val="20"/>
                <w:color w:val="auto"/>
              </w:rPr>
            </w:pPr>
            <w:r>
              <w:rPr>
                <w:rFonts w:ascii="Arial" w:cs="Arial" w:eastAsia="Arial" w:hAnsi="Arial"/>
                <w:sz w:val="13"/>
                <w:szCs w:val="13"/>
                <w:b w:val="1"/>
                <w:bCs w:val="1"/>
                <w:color w:val="auto"/>
                <w:w w:val="96"/>
              </w:rPr>
              <w:t>At and For the Three Months Ended September 30, 2014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Corporate</w:t>
            </w:r>
          </w:p>
        </w:tc>
        <w:tc>
          <w:tcPr>
            <w:tcW w:w="140" w:type="dxa"/>
            <w:vAlign w:val="bottom"/>
          </w:tcPr>
          <w:p>
            <w:pPr>
              <w:spacing w:after="0"/>
              <w:rPr>
                <w:sz w:val="15"/>
                <w:szCs w:val="15"/>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20" w:type="dxa"/>
            <w:vAlign w:val="bottom"/>
          </w:tcPr>
          <w:p>
            <w:pPr>
              <w:spacing w:after="0"/>
              <w:rPr>
                <w:sz w:val="15"/>
                <w:szCs w:val="15"/>
                <w:color w:val="auto"/>
              </w:rPr>
            </w:pPr>
          </w:p>
        </w:tc>
        <w:tc>
          <w:tcPr>
            <w:tcW w:w="540" w:type="dxa"/>
            <w:vAlign w:val="bottom"/>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70"/>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25,816</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5,226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3,716</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3,202</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39</w:t>
            </w: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37,999</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1,261</w:t>
            </w: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(5)</w:t>
            </w: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39,255</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2,452</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(387)</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2,059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2,263</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Gain on extinguishment of debt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r>
      <w:tr>
        <w:trPr>
          <w:trHeight w:val="249"/>
        </w:trPr>
        <w:tc>
          <w:tcPr>
            <w:tcW w:w="2420" w:type="dxa"/>
            <w:vAlign w:val="bottom"/>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1,869</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(427)</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w:t>
            </w:r>
          </w:p>
        </w:tc>
      </w:tr>
      <w:tr>
        <w:trPr>
          <w:trHeight w:val="242"/>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1,471</w:t>
            </w:r>
          </w:p>
        </w:tc>
      </w:tr>
      <w:tr>
        <w:trPr>
          <w:trHeight w:val="20"/>
        </w:trPr>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03"/>
        </w:trPr>
        <w:tc>
          <w:tcPr>
            <w:tcW w:w="2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96,668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11,463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21,797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10,933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29,417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(34,999)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135,279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43,762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(2,133)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176,908</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420" w:type="dxa"/>
            <w:vAlign w:val="bottom"/>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0"/>
        </w:trPr>
        <w:tc>
          <w:tcPr>
            <w:tcW w:w="2420" w:type="dxa"/>
            <w:vAlign w:val="bottom"/>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1,023</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282</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206</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92</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1,622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248</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1,870</w:t>
            </w:r>
          </w:p>
        </w:tc>
      </w:tr>
    </w:tbl>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Consists primarily of charges related to flood damage of $132 million in GMNA; and property and intangible asset impairment charges of $194 million related to our Russian subsidiaries in GME.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0"/>
          </w:tcPr>
          <w:p>
            <w:pPr>
              <w:ind w:left="60"/>
              <w:spacing w:after="0"/>
              <w:rPr>
                <w:sz w:val="20"/>
                <w:szCs w:val="20"/>
                <w:color w:val="auto"/>
              </w:rPr>
            </w:pPr>
            <w:r>
              <w:rPr>
                <w:rFonts w:ascii="Arial" w:cs="Arial" w:eastAsia="Arial" w:hAnsi="Arial"/>
                <w:sz w:val="13"/>
                <w:szCs w:val="13"/>
                <w:b w:val="1"/>
                <w:bCs w:val="1"/>
                <w:color w:val="auto"/>
              </w:rPr>
              <w:t>For the Nine Months Ended September 30, 2015</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78,951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13,992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9,181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5,939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108,174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4,576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112,735</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8,255</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(515)</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989</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(575)</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(768)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7,386</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670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8,049</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(720)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(3,157)</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130</w:t>
            </w: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w:t>
            </w: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rPr>
              <w:t>Net (loss)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4,660</w:t>
            </w: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(1,271)</w:t>
            </w: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32</w:t>
            </w:r>
          </w:p>
        </w:tc>
      </w:tr>
      <w:tr>
        <w:trPr>
          <w:trHeight w:val="282"/>
        </w:trPr>
        <w:tc>
          <w:tcPr>
            <w:tcW w:w="242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3,421</w:t>
            </w:r>
          </w:p>
        </w:tc>
      </w:tr>
      <w:tr>
        <w:trPr>
          <w:trHeight w:val="103"/>
        </w:trPr>
        <w:tc>
          <w:tcPr>
            <w:tcW w:w="24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35"/>
        </w:trPr>
        <w:tc>
          <w:tcPr>
            <w:tcW w:w="2420" w:type="dxa"/>
            <w:vAlign w:val="bottom"/>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60"/>
        </w:trPr>
        <w:tc>
          <w:tcPr>
            <w:tcW w:w="2420" w:type="dxa"/>
            <w:vAlign w:val="bottom"/>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3,143</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378</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643</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239</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4,412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1,496</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5,908</w:t>
            </w:r>
          </w:p>
        </w:tc>
      </w:tr>
    </w:tbl>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__________</w:t>
      </w:r>
    </w:p>
    <w:p>
      <w:pPr>
        <w:spacing w:after="0" w:line="9" w:lineRule="exact"/>
        <w:rPr>
          <w:sz w:val="20"/>
          <w:szCs w:val="20"/>
          <w:color w:val="auto"/>
        </w:rPr>
      </w:pPr>
    </w:p>
    <w:p>
      <w:pPr>
        <w:ind w:left="340" w:right="80" w:hanging="332"/>
        <w:spacing w:after="0" w:line="304" w:lineRule="auto"/>
        <w:tabs>
          <w:tab w:leader="none" w:pos="340" w:val="left"/>
        </w:tabs>
        <w:numPr>
          <w:ilvl w:val="0"/>
          <w:numId w:val="9"/>
        </w:numPr>
        <w:rPr>
          <w:rFonts w:ascii="Arial" w:cs="Arial" w:eastAsia="Arial" w:hAnsi="Arial"/>
          <w:sz w:val="11"/>
          <w:szCs w:val="11"/>
          <w:color w:val="auto"/>
        </w:rPr>
      </w:pPr>
      <w:r>
        <w:rPr>
          <w:rFonts w:ascii="Arial" w:cs="Arial" w:eastAsia="Arial" w:hAnsi="Arial"/>
          <w:sz w:val="11"/>
          <w:szCs w:val="11"/>
          <w:color w:val="auto"/>
        </w:rPr>
        <w:t>Consists primarily of net insurance recoveries related to flood damage of $36 million in GMNA; costs related to the change in our business model in Russia of $354 million in GME and $96 million in GMIO, which is net of noncontrolling interests; asset impairment charges of $297 million related to our Thailand subsidiaries in GMIO; Venezuela currency devaluation of $604 million and asset impairment charges of $116 million related to our Venezuela subsidiaries in GMSA; and charges related to the ignition switch recall including the compensation program of $225 million and various legal matters of approximately $1.5 billion in Corporate.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gridSpan w:val="10"/>
          </w:tcPr>
          <w:p>
            <w:pPr>
              <w:ind w:left="60"/>
              <w:spacing w:after="0"/>
              <w:rPr>
                <w:sz w:val="20"/>
                <w:szCs w:val="20"/>
                <w:color w:val="auto"/>
              </w:rPr>
            </w:pPr>
            <w:r>
              <w:rPr>
                <w:rFonts w:ascii="Arial" w:cs="Arial" w:eastAsia="Arial" w:hAnsi="Arial"/>
                <w:sz w:val="13"/>
                <w:szCs w:val="13"/>
                <w:b w:val="1"/>
                <w:bCs w:val="1"/>
                <w:color w:val="auto"/>
              </w:rPr>
              <w:t>For the Nine Months Ended September 30, 2014</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ind w:left="200"/>
              <w:spacing w:after="0" w:line="144"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2"/>
                <w:szCs w:val="12"/>
                <w:color w:val="auto"/>
              </w:rPr>
            </w:pPr>
          </w:p>
        </w:tc>
        <w:tc>
          <w:tcPr>
            <w:tcW w:w="780" w:type="dxa"/>
            <w:vAlign w:val="bottom"/>
            <w:gridSpan w:val="2"/>
          </w:tcPr>
          <w:p>
            <w:pPr>
              <w:ind w:left="160"/>
              <w:spacing w:after="0" w:line="144" w:lineRule="exact"/>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GMNA</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GME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GMIO</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GMSA</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90"/>
              </w:rPr>
              <w:t>Corporate</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6"/>
              </w:rPr>
              <w:t>Automotive</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0"/>
              </w:rPr>
              <w:t>Eliminations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70"/>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75,891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16,820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9,404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112,776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3,549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9"/>
              </w:rPr>
              <w:t>116,312</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1"/>
              </w:rPr>
              <w:t>Income (loss) before automotive interest and</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200"/>
              <w:spacing w:after="0"/>
              <w:rPr>
                <w:sz w:val="20"/>
                <w:szCs w:val="20"/>
                <w:color w:val="auto"/>
              </w:rPr>
            </w:pPr>
            <w:r>
              <w:rPr>
                <w:rFonts w:ascii="Arial" w:cs="Arial" w:eastAsia="Arial" w:hAnsi="Arial"/>
                <w:sz w:val="13"/>
                <w:szCs w:val="13"/>
                <w:color w:val="auto"/>
              </w:rPr>
              <w:t>taxes-adjusted</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4,394</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17"/>
              <w:spacing w:after="0"/>
              <w:rPr>
                <w:sz w:val="20"/>
                <w:szCs w:val="20"/>
                <w:color w:val="auto"/>
              </w:rPr>
            </w:pPr>
            <w:r>
              <w:rPr>
                <w:rFonts w:ascii="Arial" w:cs="Arial" w:eastAsia="Arial" w:hAnsi="Arial"/>
                <w:sz w:val="13"/>
                <w:szCs w:val="13"/>
                <w:color w:val="auto"/>
              </w:rPr>
              <w:t>(976)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826</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rPr>
              <w:t>(269)</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(576)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3,399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684</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4,080</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Adjustments(a)</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(1,006)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(419)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(2,027)</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Automotive interest income</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Automotive interest expense</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w:t>
            </w:r>
          </w:p>
        </w:tc>
        <w:tc>
          <w:tcPr>
            <w:tcW w:w="0" w:type="dxa"/>
            <w:vAlign w:val="bottom"/>
          </w:tcPr>
          <w:p>
            <w:pPr>
              <w:spacing w:after="0"/>
              <w:rPr>
                <w:sz w:val="1"/>
                <w:szCs w:val="1"/>
                <w:color w:val="auto"/>
              </w:rPr>
            </w:pPr>
          </w:p>
        </w:tc>
      </w:tr>
      <w:tr>
        <w:trPr>
          <w:trHeight w:val="262"/>
        </w:trPr>
        <w:tc>
          <w:tcPr>
            <w:tcW w:w="2420" w:type="dxa"/>
            <w:vAlign w:val="bottom"/>
          </w:tcPr>
          <w:p>
            <w:pPr>
              <w:ind w:left="40"/>
              <w:spacing w:after="0"/>
              <w:rPr>
                <w:sz w:val="20"/>
                <w:szCs w:val="20"/>
                <w:color w:val="auto"/>
              </w:rPr>
            </w:pPr>
            <w:r>
              <w:rPr>
                <w:rFonts w:ascii="Arial" w:cs="Arial" w:eastAsia="Arial" w:hAnsi="Arial"/>
                <w:sz w:val="13"/>
                <w:szCs w:val="13"/>
                <w:color w:val="auto"/>
              </w:rPr>
              <w:t>Gain on extinguishment of debt</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 attributable to noncontrolling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4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49"/>
        </w:trPr>
        <w:tc>
          <w:tcPr>
            <w:tcW w:w="2420" w:type="dxa"/>
            <w:vAlign w:val="bottom"/>
          </w:tcPr>
          <w:p>
            <w:pPr>
              <w:ind w:left="40"/>
              <w:spacing w:after="0"/>
              <w:rPr>
                <w:sz w:val="20"/>
                <w:szCs w:val="20"/>
                <w:color w:val="auto"/>
              </w:rPr>
            </w:pPr>
            <w:r>
              <w:rPr>
                <w:rFonts w:ascii="Arial" w:cs="Arial" w:eastAsia="Arial" w:hAnsi="Arial"/>
                <w:sz w:val="13"/>
                <w:szCs w:val="13"/>
                <w:color w:val="auto"/>
              </w:rPr>
              <w:t>Income before income taxes</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1,958</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tax benefit</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48"/>
        </w:trPr>
        <w:tc>
          <w:tcPr>
            <w:tcW w:w="2420" w:type="dxa"/>
            <w:vAlign w:val="bottom"/>
          </w:tcPr>
          <w:p>
            <w:pPr>
              <w:ind w:left="40"/>
              <w:spacing w:after="0" w:line="148" w:lineRule="exact"/>
              <w:rPr>
                <w:sz w:val="20"/>
                <w:szCs w:val="20"/>
                <w:color w:val="auto"/>
              </w:rPr>
            </w:pPr>
            <w:r>
              <w:rPr>
                <w:rFonts w:ascii="Arial" w:cs="Arial" w:eastAsia="Arial" w:hAnsi="Arial"/>
                <w:sz w:val="13"/>
                <w:szCs w:val="13"/>
                <w:color w:val="auto"/>
                <w:w w:val="97"/>
              </w:rPr>
              <w:t>Net (income) attributable to noncontrolling</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42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interests</w:t>
            </w: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242"/>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income attributable to stockholders</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1,962</w:t>
            </w:r>
          </w:p>
        </w:tc>
        <w:tc>
          <w:tcPr>
            <w:tcW w:w="0" w:type="dxa"/>
            <w:vAlign w:val="bottom"/>
          </w:tcPr>
          <w:p>
            <w:pPr>
              <w:spacing w:after="0"/>
              <w:rPr>
                <w:sz w:val="1"/>
                <w:szCs w:val="1"/>
                <w:color w:val="auto"/>
              </w:rPr>
            </w:pPr>
          </w:p>
        </w:tc>
      </w:tr>
      <w:tr>
        <w:trPr>
          <w:trHeight w:val="20"/>
        </w:trPr>
        <w:tc>
          <w:tcPr>
            <w:tcW w:w="2420" w:type="dxa"/>
            <w:vAlign w:val="bottom"/>
            <w:vMerge w:val="restart"/>
          </w:tcPr>
          <w:p>
            <w:pPr>
              <w:ind w:left="40"/>
              <w:spacing w:after="0"/>
              <w:rPr>
                <w:sz w:val="20"/>
                <w:szCs w:val="20"/>
                <w:color w:val="auto"/>
              </w:rPr>
            </w:pPr>
            <w:r>
              <w:rPr>
                <w:rFonts w:ascii="Arial" w:cs="Arial" w:eastAsia="Arial" w:hAnsi="Arial"/>
                <w:sz w:val="13"/>
                <w:szCs w:val="13"/>
                <w:color w:val="auto"/>
                <w:w w:val="91"/>
              </w:rPr>
              <w:t>Depreciation, amortization and impairment of</w:t>
            </w: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200"/>
              <w:spacing w:after="0" w:line="135" w:lineRule="exact"/>
              <w:rPr>
                <w:sz w:val="20"/>
                <w:szCs w:val="20"/>
                <w:color w:val="auto"/>
              </w:rPr>
            </w:pPr>
            <w:r>
              <w:rPr>
                <w:rFonts w:ascii="Arial" w:cs="Arial" w:eastAsia="Arial" w:hAnsi="Arial"/>
                <w:sz w:val="13"/>
                <w:szCs w:val="13"/>
                <w:color w:val="auto"/>
                <w:w w:val="90"/>
              </w:rPr>
              <w:t>long-lived assets and finite-lived intangible</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420" w:type="dxa"/>
            <w:vAlign w:val="bottom"/>
          </w:tcPr>
          <w:p>
            <w:pPr>
              <w:ind w:left="200"/>
              <w:spacing w:after="0"/>
              <w:rPr>
                <w:sz w:val="20"/>
                <w:szCs w:val="20"/>
                <w:color w:val="auto"/>
              </w:rPr>
            </w:pPr>
            <w:r>
              <w:rPr>
                <w:rFonts w:ascii="Arial" w:cs="Arial" w:eastAsia="Arial" w:hAnsi="Arial"/>
                <w:sz w:val="13"/>
                <w:szCs w:val="13"/>
                <w:color w:val="auto"/>
              </w:rPr>
              <w:t>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3,336</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506</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482</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297</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55</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4,673</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623</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5,296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__________</w:t>
      </w:r>
    </w:p>
    <w:p>
      <w:pPr>
        <w:spacing w:after="0" w:line="9" w:lineRule="exact"/>
        <w:rPr>
          <w:sz w:val="20"/>
          <w:szCs w:val="20"/>
          <w:color w:val="auto"/>
        </w:rPr>
      </w:pPr>
    </w:p>
    <w:p>
      <w:pPr>
        <w:jc w:val="both"/>
        <w:ind w:left="340" w:hanging="332"/>
        <w:spacing w:after="0" w:line="239" w:lineRule="auto"/>
        <w:tabs>
          <w:tab w:leader="none" w:pos="340" w:val="left"/>
        </w:tabs>
        <w:numPr>
          <w:ilvl w:val="0"/>
          <w:numId w:val="10"/>
        </w:numPr>
        <w:rPr>
          <w:rFonts w:ascii="Arial" w:cs="Arial" w:eastAsia="Arial" w:hAnsi="Arial"/>
          <w:sz w:val="13"/>
          <w:szCs w:val="13"/>
          <w:color w:val="auto"/>
        </w:rPr>
      </w:pPr>
      <w:r>
        <w:rPr>
          <w:rFonts w:ascii="Arial" w:cs="Arial" w:eastAsia="Arial" w:hAnsi="Arial"/>
          <w:sz w:val="13"/>
          <w:szCs w:val="13"/>
          <w:color w:val="auto"/>
        </w:rPr>
        <w:t>Consists primarily of a catch-up adjustment related to the change in estimate for recall campaigns of $874 million and charges related to flood damage of $132 million in GMNA; property and intangible asset impairment charges of $194 million related to our Russian subsidiaries in GME; Venezuela currency devaluation of $419 million in GMSA; and a charge related to the ignition switch recall compensation program of $400 million in Corporate.</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the accompanying condensed consolidated financial statements and the audited consolidated financial statements and notes thereto included in our 2014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7"/>
          <w:szCs w:val="17"/>
          <w:color w:val="auto"/>
        </w:rPr>
        <w:t>Management uses EBIT-adjusted to review the operating results of our automotive segments because it excludes interest income, interest expense and income taxes as well as certain additional adjustments. GM Financial uses income before income taxes-adjusted because management believes interest income and interest expense are part of operating results when assessing and measuring the operational and financial performance of the segment. Examples of adjustments to EBIT and GM Financial's income before income taxes include certain impairment charges related to goodwill, other long-lived assets and investments; certain gains or losses on the settlement/extinguishment of obligations; and gains or losses on the sale of non-core investments. Refer to Note 15 to our condensed consolidated financial statements for our reconciliation of these non-GAAP measures to the most directly comparable financial measure under U.S. GAAP, Net income attributable to stockholders.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Management uses return on invested capital (ROIC) to review investment and capital allocation decisions. We define ROIC as EBIT-adjusted for the trailing four quarters divided by average net assets, which is considered to be the average equity balances adjusted for certain assets and liabilities during the same period.</w:t>
      </w:r>
    </w:p>
    <w:p>
      <w:pPr>
        <w:spacing w:after="0" w:line="181"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Management uses adjusted free cash flow to review the liquidity of our automotive operations. We measure adjusted free cash flow as cash flow from operations less capital expenditures adjusted for management actions, primarily related to strengthening our balance sheet, such as accrued interest on prepayments of debt and voluntary contributions to employee benefit plans. Refer to the “Liquidity and Capital Resources” section of the MD&amp;A for our reconciliation of this non-GAAP measure to the most directly comparable financial measure under U.S. GAAP, Net cash provided by operating activities.</w:t>
      </w:r>
    </w:p>
    <w:p>
      <w:pPr>
        <w:spacing w:after="0" w:line="1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calculation of ROIC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Four Quarters Ended</w:t>
            </w:r>
          </w:p>
        </w:tc>
      </w:tr>
      <w:tr>
        <w:trPr>
          <w:trHeight w:val="264"/>
        </w:trPr>
        <w:tc>
          <w:tcPr>
            <w:tcW w:w="8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2015</w:t>
            </w:r>
          </w:p>
        </w:tc>
        <w:tc>
          <w:tcPr>
            <w:tcW w:w="120" w:type="dxa"/>
            <w:vAlign w:val="bottom"/>
          </w:tcPr>
          <w:p>
            <w:pPr>
              <w:spacing w:after="0"/>
              <w:rPr>
                <w:sz w:val="22"/>
                <w:szCs w:val="22"/>
                <w:color w:val="auto"/>
              </w:rPr>
            </w:pPr>
          </w:p>
        </w:tc>
        <w:tc>
          <w:tcPr>
            <w:tcW w:w="1320" w:type="dxa"/>
            <w:vAlign w:val="bottom"/>
          </w:tcPr>
          <w:p>
            <w:pPr>
              <w:jc w:val="right"/>
              <w:ind w:right="32"/>
              <w:spacing w:after="0"/>
              <w:rPr>
                <w:sz w:val="20"/>
                <w:szCs w:val="20"/>
                <w:color w:val="auto"/>
              </w:rPr>
            </w:pPr>
            <w:r>
              <w:rPr>
                <w:rFonts w:ascii="Arial" w:cs="Arial" w:eastAsia="Arial" w:hAnsi="Arial"/>
                <w:sz w:val="14"/>
                <w:szCs w:val="14"/>
                <w:b w:val="1"/>
                <w:bCs w:val="1"/>
                <w:color w:val="auto"/>
                <w:w w:val="90"/>
              </w:rPr>
              <w:t>September 30, 2014</w:t>
            </w:r>
          </w:p>
        </w:tc>
      </w:tr>
      <w:tr>
        <w:trPr>
          <w:trHeight w:val="250"/>
        </w:trPr>
        <w:tc>
          <w:tcPr>
            <w:tcW w:w="8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EBIT-adjusted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10.5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Average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43.0</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Average automotive debt and interest liabilities (excluding capital leases)</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6.3</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Add: Average automotive net pension &amp; OPEB liability</w:t>
            </w:r>
          </w:p>
        </w:tc>
        <w:tc>
          <w:tcPr>
            <w:tcW w:w="140" w:type="dxa"/>
            <w:vAlign w:val="bottom"/>
          </w:tcPr>
          <w:p>
            <w:pPr>
              <w:spacing w:after="0"/>
              <w:rPr>
                <w:sz w:val="21"/>
                <w:szCs w:val="21"/>
                <w:color w:val="auto"/>
              </w:rPr>
            </w:pP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25.5</w:t>
            </w:r>
          </w:p>
        </w:tc>
      </w:tr>
      <w:tr>
        <w:trPr>
          <w:trHeight w:val="27"/>
        </w:trPr>
        <w:tc>
          <w:tcPr>
            <w:tcW w:w="8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Average fresh start accounting goodwill</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Average net automotive income tax asset</w:t>
            </w:r>
          </w:p>
        </w:tc>
        <w:tc>
          <w:tcPr>
            <w:tcW w:w="14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(31.9)</w:t>
            </w:r>
          </w:p>
        </w:tc>
      </w:tr>
      <w:tr>
        <w:trPr>
          <w:trHeight w:val="27"/>
        </w:trPr>
        <w:tc>
          <w:tcPr>
            <w:tcW w:w="8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ROIC average net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42.8</w:t>
            </w:r>
          </w:p>
        </w:tc>
      </w:tr>
      <w:tr>
        <w:trPr>
          <w:trHeight w:val="20"/>
        </w:trPr>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09"/>
        </w:trPr>
        <w:tc>
          <w:tcPr>
            <w:tcW w:w="8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ROIC</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473"/>
        </w:trPr>
        <w:tc>
          <w:tcPr>
            <w:tcW w:w="8320" w:type="dxa"/>
            <w:vAlign w:val="bottom"/>
          </w:tcPr>
          <w:p>
            <w:pPr>
              <w:spacing w:after="0"/>
              <w:rPr>
                <w:sz w:val="20"/>
                <w:szCs w:val="20"/>
                <w:color w:val="auto"/>
              </w:rPr>
            </w:pPr>
            <w:r>
              <w:rPr>
                <w:rFonts w:ascii="Arial" w:cs="Arial" w:eastAsia="Arial" w:hAnsi="Arial"/>
                <w:sz w:val="18"/>
                <w:szCs w:val="18"/>
                <w:b w:val="1"/>
                <w:bCs w:val="1"/>
                <w:color w:val="auto"/>
              </w:rPr>
              <w:t>Overview</w:t>
            </w: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Our strategic plan includes several major initiatives that we anticipate will help us achieve 9% to 10% margins on an EBIT-adjusted basis (EBIT-adjusted margins, calculated as EBIT-adjusted divided by Net sales and revenue) by early next decade: earn customers for life by delivering great products to our customers, leading the industry in quality and safety and improving the customer ownership experience; lead in technology and innovation, including OnStar 4G LTE and connected car, alternative propulsion, urban mobility, active safety features and autonomous vehicles; build our brands, particularly the Cadillac brand 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U.S. and China; continue our growth in China; continue the growth of GM Financial into our full captive automotive financing company; and deliver core operating efficiencies by institutionalizing Operational Excellence.</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overall financial targets include expected improvement of company EBIT-adjusted and EBIT-adjusted margins in 2015 with forecasted consolidated EBIT-adjusted margins of 9% to 10% by the 2020s; expected flat adjusted automotive free cash flow in 2015 compared to 2014; expected consolidated ROIC of 20% plus; and execution of our capital allocation strategy as described below.</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Summary and Outlook</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analyze the results of our automotive business through our four geographically-based segments: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GMNA</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Automotive industry volume has continued to grow in North America primarily driven by the U.S market. In the nine months ended September 30, 2015 the seasonally-adjusted annual selling rate for light vehicles was 17.3 million units. We now expect U.S. industry light vehicle sales for the calendar year 2015 to fall in a range of 17.0 - 17.5 million units. Based on our current cost structure, we continue to estimate GMNA’s breakeven point at the U.S. industry level to be in the range of 10.0 - 11.0 million units.</w:t>
      </w:r>
    </w:p>
    <w:p>
      <w:pPr>
        <w:spacing w:after="0" w:line="187"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nine months ended September 30, 2015 our U.S. retail vehicle sales increased at a rate approximately 1.1 percentage points less than industry sales and our total U.S. market share decreased by 0.2 percentage points. The decrease in our total U.S. market share was primarily driven by lower fleet sales. However U.S. retail market share, which is generally more profitable than fleet sales, increased by 0.4 percentage points, including increases for Chevrolet and GMC and decreases for Buick and Cadillac compared to the corresponding period in 2014. For the year ending December 31, 2015 we expect total market share to be consistent with 2014, including an increase in retail market share offset by a decrease in fleet market share.</w:t>
      </w:r>
    </w:p>
    <w:p>
      <w:pPr>
        <w:spacing w:after="0" w:line="158"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year ending December 31, 2015 we expect an increase in EBIT-adjusted and EBIT-adjusted margins over 2014 and we now expect EBIT-adjusted margins of 10% in 2015, one year earlier than our previously stated target. The International Union, United Automobile, Aerospace and Agriculture Implement Workers of America (UAW) contract we entered into in September 2011 has been extended indefinitely (subject to same day termination) beyond September 2015 as we continue to negotiate with the UAW on a new contract. We consider our relationships with employees to be good, but a work stoppage for any reason could have a material adverse effect on our business.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GME</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Automotive industry sales to retail and fleet customers began to improve in late 2013. As a result of moderate economic growth across Europe (excluding Russia) this trend continued in the nine months ended September 30, 2015 with industry sales to retail and fleet customers of 13.3 million vehicles representing a 9.3% increase compared to the corresponding period in 2014. In Russia industry sales to retail and fleet customers decreased 33.1% to 1.2 million vehicles compared to the corresponding period in 2014.</w:t>
      </w:r>
    </w:p>
    <w:p>
      <w:pPr>
        <w:spacing w:after="0" w:line="18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European operations are benefiting from this trend and, despite seasonally weak vehicle sales in the three months ended September 30, 2015 compared to the first half of 2015, continue to show signs of improvement underscored by further improvement in our Opel and Vauxhall market share in the nine months ended September 30, 2015, which builds on our market share increases in 2013 and 2014.</w:t>
      </w:r>
    </w:p>
    <w:p>
      <w:pPr>
        <w:spacing w:after="0" w:line="18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implement various strategic actions to strengthen our operations and increase our competitiveness. The key actions include investments in our product portfolio including the next generation Opel Astra and Corsa, a revised brand strategy and reducing material, development and production costs, including restructuring activities. The success of these actions will depend on a combination of our ability to execute and external macro-economic factors which are outside of our control.</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Economic and market conditions in Russia remain and are expected to continue to be very challenging for the foreseeable future. In addition we do not have appropriate localization levels for key vehicles built in Russia and we would need to make significant future capital investments in order to improve our localization levels to ensure our products are competitive in the Russian market. As a result of these conditions our Russia business model is not sustainable over the long term. In March 2015 we announced plans to change our business model and will cease manufacturing, eliminate Opel brand distribution and minimize Chevrolet brand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distribution in Russia by the end of 2015. Refer to Note 12 to our condensed consolidated financial statements for additional information related to the impact of the change in our business model in Russia.</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Despite the headwinds in Russia, we expect the European automotive industry to continue to moderately improve and we expect to have positive EBIT-adjusted in GME in 2016.</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GMIO</w:t>
      </w:r>
    </w:p>
    <w:p>
      <w:pPr>
        <w:spacing w:after="0" w:line="225"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We are addressing many of the challenges in our GMIO operations and continue to strategically assess the manner in which we operate in certain countries within GMIO. To address the significant industry, market share, pricing and foreign exchange pressures in the region, we continue to focus on product portfolio enhancements, manufacturing footprint rationalization, increased local sourcing of parts, cost structure reductions, as well as brand and dealer network improvements which we expect to favorably impact the region over the medium term. The impact of these strategic actions combined with the significant reduction in wholesale volumes, forward pricing pressures and foreign exchange volatility in the region may result in deteriorating cash flows in certain markets. Should there be further deterioration, we may be required to test certain long-lived assets for recoverability in conjunction with finalizing the strategic actions we may pursue and our medium term financial forecast. At September 30, 2015 the carrying amount of GMIO’s long-lived assets was $3.1 billion. Determining whether long-lived assets need to be tested for impairment, whether recorded amounts are recoverable and the estimate of impairment and other charges, if any, is subject to significant uncertainty and highly dependent on finalization of our strategic assessments and associated financial forecasts. The results of these impairment tests may have a material impact on our results of operations.</w:t>
      </w:r>
    </w:p>
    <w:p>
      <w:pPr>
        <w:spacing w:after="0" w:line="169"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2013 we announced the withdrawal of the Chevrolet brand from Western and Central Europe and the ceasing of manufacturing and significant reduction of engineering operations in Australia by 2017 and incurred impairment and other charges in 2013, 2014 and 2015. We continue to work on a Southeast Asia transformation plan including the transition of our Indonesian operations to a national sales company and ceased vehicle production in Indonesia in the three months ended June 30, 2015. We are restructuring our Thailand operations to focus on our competitive strengths in trucks and sport utility vehicles (SUVs) given continued challenges in Thailand and several export markets and adverse movements in certain foreign currency exchange rates. We expect that our Thailand restructuring and strategic actions will position the company for long-term sustained profitability. As a result of these strategic actions related to Thailand, we recorded impairment charges of $0.3 billion in Automotive cost of sales in the three months ended June 30, 2015, which were treated as an adjustment for EBIT-adjusted reporting purposes.</w:t>
      </w:r>
    </w:p>
    <w:p>
      <w:pPr>
        <w:spacing w:after="0" w:line="179"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continue to execute our plans and within the financial impact that we projected. As we continue to assess our performance throughout the region, additional restructuring and rationalization actions may be required and may have a material impact on our results of operations.</w:t>
      </w:r>
    </w:p>
    <w:p>
      <w:pPr>
        <w:spacing w:after="0" w:line="170"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year ending December 31, 2015 we expect EBIT-adjusted and EBIT-adjusted margins comparable to 2014 including sustained profit at our Automotive China JVs. We also expect to sustain strong margins at our Automotive China JVs in 2016.</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China we are experiencing a moderation of industry growth and pricing pressures higher than we initially anticipated due primarily to macro-economic volatility, softening consumer demand particularly in the commercial vehicle segment, increasing competition and other economic factors. As a result, we expect moderate industry growth and pricing pressure to continue, with industry growth expected to be low single digits for 2015 and carryover price reductions to be 2% - 3% higher than our historical experience. We have been proactively managing these challenges by optimizing mix and inventory levels and aggressively reducing costs. Despite the more challenging industry conditions, our Automotive China JVs generated $1.5 billion of equity income in the nine months ended September 30, 2015 and we continue to expect an increase in vehicle sales driven by new vehicle launches and a full year of 2014 launches.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GMSA</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During the nine months ended September 30, 2015 the Brazilian automotive industry has been significantly impacted by the deterioration of the Brazilian Real, an economic slowdown and a lack of consumer confidence coupled with overcapacity. Brazilian automotive industry sales to retail and fleet customers were 2.0 million vehicles in the nine months ended September 30, 2015, representing a 22.7% decrease compared to the corresponding period in 2014.</w:t>
      </w:r>
    </w:p>
    <w:p>
      <w:pPr>
        <w:spacing w:after="0" w:line="14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We have formulated a plan to implement various actions in the region to strengthen our operations and increase our competitiveness. The key areas of the plan include optimizing our product portfolio in order to adjust vehicle prices to offset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foreign exchange exposure, reducing labor costs by approximately 20%, including restructuring activities primarily in the form of separation programs in Brazil and Argentina, and production cuts of approximately 25%. The success of these actions will depend on a combination of our ability to execute and external macro-economic factors which are outside of our control. We believe the adverse economic conditions and their effect on the Brazilian automotive industry will continue and do not expect improvement in the near term. Accordingly we expect our results in the second half of 2015 to be similar to the first half of 2015 and our previous guidance of improved EBIT-adjusted and EBIT-adjusted margins for the year ending December 31, 2015 compared to 2014 is no longer likely.</w:t>
      </w:r>
    </w:p>
    <w:p>
      <w:pPr>
        <w:spacing w:after="0" w:line="193" w:lineRule="exact"/>
        <w:rPr>
          <w:sz w:val="20"/>
          <w:szCs w:val="20"/>
          <w:color w:val="auto"/>
        </w:rPr>
      </w:pPr>
    </w:p>
    <w:p>
      <w:pPr>
        <w:jc w:val="both"/>
        <w:ind w:firstLine="162"/>
        <w:spacing w:after="0" w:line="271" w:lineRule="auto"/>
        <w:rPr>
          <w:sz w:val="20"/>
          <w:szCs w:val="20"/>
          <w:color w:val="auto"/>
        </w:rPr>
      </w:pPr>
      <w:r>
        <w:rPr>
          <w:rFonts w:ascii="Arial" w:cs="Arial" w:eastAsia="Arial" w:hAnsi="Arial"/>
          <w:sz w:val="17"/>
          <w:szCs w:val="17"/>
          <w:color w:val="auto"/>
        </w:rPr>
        <w:t>In the three months ended June 30, 2015 we changed the exchange rate used for remeasuring the net assets of our Venezuelan subsidiaries’ non-U.S. Dollar denominated monetary assets and liabilities to the Sistema Marginal de Divisas (SIMADI) rate from the Complementary System of Foreign Currency Administration (SICAD) rate. As a result we recorded devaluation charges of $0.6 billion. In addition we performed recoverability tests of certain assets, including our real and personal property assets, of our Venezuelan subsidiaries and recorded asset impairment charges of $0.1 billion. The devaluation and asset impairment charges were recorded in Automotive cost of sales in the three months ended June 30, 2015 and were treated as an adjustment for EBIT-adjusted reporting purposes. We continue to monitor developments in Venezuela to assess whether government restrictions and exchange rate controls when considered with the economic environment in Venezuela evolve such that we no longer maintain a controlling financial interest. Refer to the "GM South America" section of MD&amp;A for additional information.</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Corporate</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March 2015 management announced its plan to return all available free cash flow to stockholders while maintaining an investment-grade balance sheet. Management's capital allocation framework includes a combined cash and marketable securities balance target of $20 billion and plans to reinvest in the business at an average target ROIC rate of 20% or more. In connection with this plan we announced a program which authorized the initial purchase of $5 billion of our common stock that began in March 2015 and that we intend to conclude before the end of 2016. At October 19, 2015 we had purchased 86 million shares of our outstanding common stock for $2.9 billion.</w:t>
      </w:r>
    </w:p>
    <w:p>
      <w:pPr>
        <w:spacing w:after="0" w:line="18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6"/>
          <w:szCs w:val="16"/>
          <w:color w:val="auto"/>
        </w:rPr>
        <w:t>Based on the ignition switch recall compensation program's claims experience we increased our accrual for the program by $150 million and $75 million in the three months ended March 31, 2015 and June 30, 2015. The increases to the accrual were recorded in Automotive selling, general and administrative expense and were treated as adjustments for EBIT-adjusted reporting purposes. Total charges recorded since inception of the compensation program were $625 million. The ignition switch recalls announced in 2014 have led to various inquiries, investigations, subpoenas, requests for information and complaints from the U.S. Attorney's Office for the Southern District of New York, Congress, the SEC, Transport Canada and 50 state attorneys general. In addition these and other recalls have resulted in a number of claims and lawsuits. We recorded charges of approximately $1.5 billion in Automotive selling, general and administrative expense in Corporate as a result of the DPA financial penalty and the settlements of the Shareholder Class Action, the multidistrict litigation and other litigation associated with the recalls. These charges were treated as adjustments for EBIT-adjusted reporting purposes in the three months ended September 30, 2015. Refer to Note 10 to our condensed consolidated financial statements for additional information. Such lawsuits and investigations could in the future result in the imposition of material damages, fines, civil consent orders, civil and criminal penalties or other remedies. There can be no assurance as to how the resulting consequences, if any, may impact our business, reputation, consolidated financial position, results of operations or cash flows. We cannot currently estimate the remaining potential liability, damages or range of potential loss above the initial approximately $1.5 billion as a result of the ongoing unresolved legal proceedings and government investigations relating to the ignition switch recall, but the resolution of these matters could have a material adverse effect on our financial position, results of operations or cash flows.</w:t>
      </w:r>
    </w:p>
    <w:p>
      <w:pPr>
        <w:spacing w:after="0" w:line="172"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At September 30, 2015 our European operating businesses had deferred tax asset valuation allowances of $4.4 billion. As a result of the 2014 changes in our European operating structure and improving financial performance in certain jurisdictions, we continue to experience positive evidence trends. To the extent the operations in these jurisdictions continue to generate profit and our 2016 and future longer-term forecasts show sustained profitability, our conclusion regarding the need for full valuation allowances could change, leading to the reversal of a significant portion of our valuation allowances for certain jurisdictions in the fourth quarter of 2015. This would result in a significant benefit to earnings and a negative effective tax rate for both the quarter and full year.</w:t>
      </w:r>
    </w:p>
    <w:p>
      <w:pPr>
        <w:spacing w:after="0" w:line="193"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Wholesale and Retail Vehicle Sales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We present both wholesale and retail vehicle sales data to assist in the analysis of our revenue and market share. We do not currently export vehicles to Cuba, Iran, North Korea, Sudan and Syria. Accordingly these countries are excluded from industry sales data in the tables below and corresponding calculations of our market share.</w:t>
      </w:r>
    </w:p>
    <w:p>
      <w:pPr>
        <w:spacing w:after="0" w:line="181"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Wholesale vehicle sales data, which represents sales directly to dealers and others, is the measure that correlates to our revenue from the sale of vehicles, which is the largest component of automotive Net sales and revenue. Wholesale vehicle sales exclude vehicles produced by joint ventures. We estimate our global breakeven point, excluding Automotive China JVs, to be approximately 5 million annual wholesale vehicle sales. In the nine months ended September 30, 2015, 48.4% of our wholesale vehicle sales were generated outside the U.S. The following table summarizes total wholesale vehicle sales of new vehicles by automotive segment (vehicles in thousands):</w:t>
      </w:r>
    </w:p>
    <w:p>
      <w:pPr>
        <w:spacing w:after="0" w:line="193"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Borders>
              <w:bottom w:val="single" w:sz="8" w:color="auto"/>
            </w:tcBorders>
          </w:tcPr>
          <w:p>
            <w:pPr>
              <w:spacing w:after="0"/>
              <w:rPr>
                <w:sz w:val="16"/>
                <w:szCs w:val="16"/>
                <w:color w:val="auto"/>
              </w:rPr>
            </w:pPr>
          </w:p>
        </w:tc>
      </w:tr>
      <w:tr>
        <w:trPr>
          <w:trHeight w:val="264"/>
        </w:trPr>
        <w:tc>
          <w:tcPr>
            <w:tcW w:w="3120" w:type="dxa"/>
            <w:vAlign w:val="bottom"/>
          </w:tcPr>
          <w:p>
            <w:pPr>
              <w:spacing w:after="0"/>
              <w:rPr>
                <w:sz w:val="22"/>
                <w:szCs w:val="22"/>
                <w:color w:val="auto"/>
              </w:rPr>
            </w:pPr>
          </w:p>
        </w:tc>
        <w:tc>
          <w:tcPr>
            <w:tcW w:w="206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 2015</w:t>
            </w:r>
          </w:p>
        </w:tc>
        <w:tc>
          <w:tcPr>
            <w:tcW w:w="204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 2014</w:t>
            </w:r>
          </w:p>
        </w:tc>
        <w:tc>
          <w:tcPr>
            <w:tcW w:w="206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 2015</w:t>
            </w:r>
          </w:p>
        </w:tc>
        <w:tc>
          <w:tcPr>
            <w:tcW w:w="1940" w:type="dxa"/>
            <w:vAlign w:val="bottom"/>
            <w:gridSpan w:val="3"/>
          </w:tcPr>
          <w:p>
            <w:pPr>
              <w:jc w:val="right"/>
              <w:ind w:right="270"/>
              <w:spacing w:after="0"/>
              <w:rPr>
                <w:sz w:val="20"/>
                <w:szCs w:val="20"/>
                <w:color w:val="auto"/>
              </w:rPr>
            </w:pPr>
            <w:r>
              <w:rPr>
                <w:rFonts w:ascii="Arial" w:cs="Arial" w:eastAsia="Arial" w:hAnsi="Arial"/>
                <w:sz w:val="14"/>
                <w:szCs w:val="14"/>
                <w:b w:val="1"/>
                <w:bCs w:val="1"/>
                <w:color w:val="auto"/>
              </w:rPr>
              <w:t>September 30, 2014</w:t>
            </w:r>
          </w:p>
        </w:tc>
      </w:tr>
      <w:tr>
        <w:trPr>
          <w:trHeight w:val="250"/>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GMNA</w:t>
            </w: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938</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834</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2,645</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2,471</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GME</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847</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3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GMIO</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GMSA</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7"/>
        </w:trPr>
        <w:tc>
          <w:tcPr>
            <w:tcW w:w="3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Worldwide</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1,502</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1,484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4,358</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4,455</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3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Retail vehicle sales data, which represents sales to the end customers based upon the good faith estimates of management, including fleets, does not correlate directly to the revenue we recognize during the period. However retail vehicle sales data is indicative of the underlying demand for our vehicles. Market share information is based primarily on retail vehicle sales volume. In countries where end customer data is not readily available other data sources, such as wholesale or forecast volumes, are used to estimate retail vehicle sales.</w:t>
      </w:r>
    </w:p>
    <w:p>
      <w:pPr>
        <w:spacing w:after="0" w:line="187"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sold through the dealer registration channel. This sales channel consists primarily of dealer demonstrator, loaner and self-registered vehicles (primarily in Europe). These vehicles are not eligible to be sold as new vehicles after being registered by dealers. Certain fleet sales that are accounted for as operating leases are included in retail vehicle sales at the time of delivery to the daily rental car companies. The following table summarizes total industry retail sales, or estimated sales where retail sales volume is not available, of new vehicles and the related competitive position by geographic region (vehicles in thousands):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right"/>
              <w:ind w:right="69"/>
              <w:spacing w:after="0"/>
              <w:rPr>
                <w:sz w:val="20"/>
                <w:szCs w:val="20"/>
                <w:color w:val="auto"/>
              </w:rPr>
            </w:pPr>
            <w:r>
              <w:rPr>
                <w:rFonts w:ascii="Arial" w:cs="Arial" w:eastAsia="Arial" w:hAnsi="Arial"/>
                <w:sz w:val="12"/>
                <w:szCs w:val="12"/>
                <w:b w:val="1"/>
                <w:bCs w:val="1"/>
                <w:color w:val="auto"/>
                <w:w w:val="97"/>
              </w:rPr>
              <w:t>Three Months Ended</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3"/>
          </w:tcPr>
          <w:p>
            <w:pPr>
              <w:jc w:val="right"/>
              <w:ind w:right="49"/>
              <w:spacing w:after="0"/>
              <w:rPr>
                <w:sz w:val="20"/>
                <w:szCs w:val="20"/>
                <w:color w:val="auto"/>
              </w:rPr>
            </w:pPr>
            <w:r>
              <w:rPr>
                <w:rFonts w:ascii="Arial" w:cs="Arial" w:eastAsia="Arial" w:hAnsi="Arial"/>
                <w:sz w:val="12"/>
                <w:szCs w:val="12"/>
                <w:b w:val="1"/>
                <w:bCs w:val="1"/>
                <w:color w:val="auto"/>
                <w:w w:val="99"/>
              </w:rPr>
              <w:t>Nine Months Ended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5"/>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5"/>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gridSpan w:val="5"/>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5"/>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2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80" w:type="dxa"/>
            <w:vAlign w:val="bottom"/>
            <w:gridSpan w:val="5"/>
          </w:tcPr>
          <w:p>
            <w:pPr>
              <w:jc w:val="center"/>
              <w:ind w:right="20"/>
              <w:spacing w:after="0"/>
              <w:rPr>
                <w:sz w:val="20"/>
                <w:szCs w:val="20"/>
                <w:color w:val="auto"/>
              </w:rPr>
            </w:pPr>
            <w:r>
              <w:rPr>
                <w:rFonts w:ascii="Arial" w:cs="Arial" w:eastAsia="Arial" w:hAnsi="Arial"/>
                <w:sz w:val="12"/>
                <w:szCs w:val="12"/>
                <w:b w:val="1"/>
                <w:bCs w:val="1"/>
                <w:color w:val="auto"/>
                <w:w w:val="87"/>
              </w:rPr>
              <w:t>September 30, 2015</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gridSpan w:val="5"/>
          </w:tcPr>
          <w:p>
            <w:pPr>
              <w:ind w:left="40"/>
              <w:spacing w:after="0"/>
              <w:rPr>
                <w:sz w:val="20"/>
                <w:szCs w:val="20"/>
                <w:color w:val="auto"/>
              </w:rPr>
            </w:pPr>
            <w:r>
              <w:rPr>
                <w:rFonts w:ascii="Arial" w:cs="Arial" w:eastAsia="Arial" w:hAnsi="Arial"/>
                <w:sz w:val="12"/>
                <w:szCs w:val="12"/>
                <w:b w:val="1"/>
                <w:bCs w:val="1"/>
                <w:color w:val="auto"/>
                <w:w w:val="89"/>
              </w:rPr>
              <w:t>September 30, 2014</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gridSpan w:val="5"/>
          </w:tcPr>
          <w:p>
            <w:pPr>
              <w:ind w:left="20"/>
              <w:spacing w:after="0"/>
              <w:rPr>
                <w:sz w:val="20"/>
                <w:szCs w:val="20"/>
                <w:color w:val="auto"/>
              </w:rPr>
            </w:pPr>
            <w:r>
              <w:rPr>
                <w:rFonts w:ascii="Arial" w:cs="Arial" w:eastAsia="Arial" w:hAnsi="Arial"/>
                <w:sz w:val="12"/>
                <w:szCs w:val="12"/>
                <w:b w:val="1"/>
                <w:bCs w:val="1"/>
                <w:color w:val="auto"/>
                <w:w w:val="85"/>
              </w:rPr>
              <w:t>September 30, 2015</w:t>
            </w: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gridSpan w:val="5"/>
          </w:tcPr>
          <w:p>
            <w:pPr>
              <w:ind w:left="20"/>
              <w:spacing w:after="0"/>
              <w:rPr>
                <w:sz w:val="20"/>
                <w:szCs w:val="20"/>
                <w:color w:val="auto"/>
              </w:rPr>
            </w:pPr>
            <w:r>
              <w:rPr>
                <w:rFonts w:ascii="Arial" w:cs="Arial" w:eastAsia="Arial" w:hAnsi="Arial"/>
                <w:sz w:val="12"/>
                <w:szCs w:val="12"/>
                <w:b w:val="1"/>
                <w:bCs w:val="1"/>
                <w:color w:val="auto"/>
                <w:w w:val="87"/>
              </w:rPr>
              <w:t>September 30, 2014</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Market</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Market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Market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89"/>
              <w:spacing w:after="0"/>
              <w:rPr>
                <w:sz w:val="20"/>
                <w:szCs w:val="20"/>
                <w:color w:val="auto"/>
              </w:rPr>
            </w:pPr>
            <w:r>
              <w:rPr>
                <w:rFonts w:ascii="Arial" w:cs="Arial" w:eastAsia="Arial" w:hAnsi="Arial"/>
                <w:sz w:val="12"/>
                <w:szCs w:val="12"/>
                <w:b w:val="1"/>
                <w:bCs w:val="1"/>
                <w:color w:val="auto"/>
                <w:w w:val="98"/>
              </w:rPr>
              <w:t>Market</w:t>
            </w:r>
          </w:p>
        </w:tc>
        <w:tc>
          <w:tcPr>
            <w:tcW w:w="0" w:type="dxa"/>
            <w:vAlign w:val="bottom"/>
          </w:tcPr>
          <w:p>
            <w:pPr>
              <w:spacing w:after="0"/>
              <w:rPr>
                <w:sz w:val="1"/>
                <w:szCs w:val="1"/>
                <w:color w:val="auto"/>
              </w:rPr>
            </w:pPr>
          </w:p>
        </w:tc>
      </w:tr>
      <w:tr>
        <w:trPr>
          <w:trHeight w:val="150"/>
        </w:trPr>
        <w:tc>
          <w:tcPr>
            <w:tcW w:w="21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b w:val="1"/>
                <w:bCs w:val="1"/>
                <w:color w:val="auto"/>
              </w:rPr>
              <w:t>Industry</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rPr>
              <w:t>GM</w:t>
            </w:r>
          </w:p>
        </w:tc>
        <w:tc>
          <w:tcPr>
            <w:tcW w:w="7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Share</w:t>
            </w: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Industry</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tcPr>
          <w:p>
            <w:pPr>
              <w:ind w:left="240"/>
              <w:spacing w:after="0"/>
              <w:rPr>
                <w:sz w:val="20"/>
                <w:szCs w:val="20"/>
                <w:color w:val="auto"/>
              </w:rPr>
            </w:pPr>
            <w:r>
              <w:rPr>
                <w:rFonts w:ascii="Arial" w:cs="Arial" w:eastAsia="Arial" w:hAnsi="Arial"/>
                <w:sz w:val="12"/>
                <w:szCs w:val="12"/>
                <w:b w:val="1"/>
                <w:bCs w:val="1"/>
                <w:color w:val="auto"/>
              </w:rPr>
              <w:t>GM</w:t>
            </w:r>
          </w:p>
        </w:tc>
        <w:tc>
          <w:tcPr>
            <w:tcW w:w="7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3"/>
              </w:rPr>
              <w:t>Share</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Industry</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tcPr>
          <w:p>
            <w:pPr>
              <w:ind w:left="160"/>
              <w:spacing w:after="0"/>
              <w:rPr>
                <w:sz w:val="20"/>
                <w:szCs w:val="20"/>
                <w:color w:val="auto"/>
              </w:rPr>
            </w:pPr>
            <w:r>
              <w:rPr>
                <w:rFonts w:ascii="Arial" w:cs="Arial" w:eastAsia="Arial" w:hAnsi="Arial"/>
                <w:sz w:val="12"/>
                <w:szCs w:val="12"/>
                <w:b w:val="1"/>
                <w:bCs w:val="1"/>
                <w:color w:val="auto"/>
              </w:rPr>
              <w:t>GM</w:t>
            </w:r>
          </w:p>
        </w:tc>
        <w:tc>
          <w:tcPr>
            <w:tcW w:w="68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Share</w:t>
            </w:r>
          </w:p>
        </w:tc>
        <w:tc>
          <w:tcPr>
            <w:tcW w:w="580" w:type="dxa"/>
            <w:vAlign w:val="bottom"/>
          </w:tcPr>
          <w:p>
            <w:pPr>
              <w:jc w:val="right"/>
              <w:spacing w:after="0"/>
              <w:rPr>
                <w:sz w:val="20"/>
                <w:szCs w:val="20"/>
                <w:color w:val="auto"/>
              </w:rPr>
            </w:pPr>
            <w:r>
              <w:rPr>
                <w:rFonts w:ascii="Arial" w:cs="Arial" w:eastAsia="Arial" w:hAnsi="Arial"/>
                <w:sz w:val="12"/>
                <w:szCs w:val="12"/>
                <w:b w:val="1"/>
                <w:bCs w:val="1"/>
                <w:color w:val="auto"/>
              </w:rPr>
              <w:t>Industry</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3"/>
          </w:tcPr>
          <w:p>
            <w:pPr>
              <w:ind w:left="180"/>
              <w:spacing w:after="0"/>
              <w:rPr>
                <w:sz w:val="20"/>
                <w:szCs w:val="20"/>
                <w:color w:val="auto"/>
              </w:rPr>
            </w:pPr>
            <w:r>
              <w:rPr>
                <w:rFonts w:ascii="Arial" w:cs="Arial" w:eastAsia="Arial" w:hAnsi="Arial"/>
                <w:sz w:val="12"/>
                <w:szCs w:val="12"/>
                <w:b w:val="1"/>
                <w:bCs w:val="1"/>
                <w:color w:val="auto"/>
              </w:rPr>
              <w:t>GM</w:t>
            </w:r>
          </w:p>
        </w:tc>
        <w:tc>
          <w:tcPr>
            <w:tcW w:w="560" w:type="dxa"/>
            <w:vAlign w:val="bottom"/>
          </w:tcPr>
          <w:p>
            <w:pPr>
              <w:jc w:val="right"/>
              <w:ind w:right="149"/>
              <w:spacing w:after="0"/>
              <w:rPr>
                <w:sz w:val="20"/>
                <w:szCs w:val="20"/>
                <w:color w:val="auto"/>
              </w:rPr>
            </w:pPr>
            <w:r>
              <w:rPr>
                <w:rFonts w:ascii="Arial" w:cs="Arial" w:eastAsia="Arial" w:hAnsi="Arial"/>
                <w:sz w:val="12"/>
                <w:szCs w:val="12"/>
                <w:b w:val="1"/>
                <w:bCs w:val="1"/>
                <w:color w:val="auto"/>
                <w:w w:val="95"/>
              </w:rPr>
              <w:t>Share</w:t>
            </w:r>
          </w:p>
        </w:tc>
        <w:tc>
          <w:tcPr>
            <w:tcW w:w="0" w:type="dxa"/>
            <w:vAlign w:val="bottom"/>
          </w:tcPr>
          <w:p>
            <w:pPr>
              <w:spacing w:after="0"/>
              <w:rPr>
                <w:sz w:val="1"/>
                <w:szCs w:val="1"/>
                <w:color w:val="auto"/>
              </w:rPr>
            </w:pPr>
          </w:p>
        </w:tc>
      </w:tr>
      <w:tr>
        <w:trPr>
          <w:trHeight w:val="20"/>
        </w:trPr>
        <w:tc>
          <w:tcPr>
            <w:tcW w:w="21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North America</w:t>
            </w: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United States</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4,632</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4,358</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13,339</w:t>
            </w:r>
          </w:p>
        </w:tc>
        <w:tc>
          <w:tcPr>
            <w:tcW w:w="7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2,300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12,677</w:t>
            </w:r>
          </w:p>
        </w:tc>
        <w:tc>
          <w:tcPr>
            <w:tcW w:w="76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6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901</w:t>
            </w:r>
          </w:p>
        </w:tc>
        <w:tc>
          <w:tcPr>
            <w:tcW w:w="6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2,705</w:t>
            </w:r>
          </w:p>
        </w:tc>
        <w:tc>
          <w:tcPr>
            <w:tcW w:w="80" w:type="dxa"/>
            <w:vAlign w:val="bottom"/>
            <w:vMerge w:val="restart"/>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17"/>
                <w:szCs w:val="17"/>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2,499</w:t>
            </w:r>
          </w:p>
        </w:tc>
        <w:tc>
          <w:tcPr>
            <w:tcW w:w="100" w:type="dxa"/>
            <w:vAlign w:val="bottom"/>
            <w:vMerge w:val="restart"/>
            <w:shd w:val="clear" w:color="auto" w:fill="CCEEFF"/>
          </w:tcPr>
          <w:p>
            <w:pPr>
              <w:spacing w:after="0"/>
              <w:rPr>
                <w:sz w:val="17"/>
                <w:szCs w:val="17"/>
                <w:color w:val="auto"/>
              </w:rPr>
            </w:pPr>
          </w:p>
        </w:tc>
        <w:tc>
          <w:tcPr>
            <w:tcW w:w="100" w:type="dxa"/>
            <w:vAlign w:val="bottom"/>
            <w:vMerge w:val="restart"/>
            <w:shd w:val="clear" w:color="auto" w:fill="CCEEFF"/>
          </w:tcPr>
          <w:p>
            <w:pPr>
              <w:spacing w:after="0"/>
              <w:rPr>
                <w:sz w:val="17"/>
                <w:szCs w:val="17"/>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85"/>
        </w:trPr>
        <w:tc>
          <w:tcPr>
            <w:tcW w:w="2180" w:type="dxa"/>
            <w:vAlign w:val="bottom"/>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 North America</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5,596</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16.6%</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5,259</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885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16,044</w:t>
            </w:r>
          </w:p>
        </w:tc>
        <w:tc>
          <w:tcPr>
            <w:tcW w:w="7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2,685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15,176</w:t>
            </w:r>
          </w:p>
        </w:tc>
        <w:tc>
          <w:tcPr>
            <w:tcW w:w="76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2,559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Europe</w:t>
            </w:r>
          </w:p>
        </w:tc>
        <w:tc>
          <w:tcPr>
            <w:tcW w:w="6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1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United Kingdom</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833</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770</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2,423</w:t>
            </w:r>
          </w:p>
        </w:tc>
        <w:tc>
          <w:tcPr>
            <w:tcW w:w="7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2,232</w:t>
            </w:r>
          </w:p>
        </w:tc>
        <w:tc>
          <w:tcPr>
            <w:tcW w:w="76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Germany</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867</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823</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2,646</w:t>
            </w:r>
          </w:p>
        </w:tc>
        <w:tc>
          <w:tcPr>
            <w:tcW w:w="7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2,515</w:t>
            </w:r>
          </w:p>
        </w:tc>
        <w:tc>
          <w:tcPr>
            <w:tcW w:w="76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6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Other</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2,888</w:t>
            </w:r>
          </w:p>
        </w:tc>
        <w:tc>
          <w:tcPr>
            <w:tcW w:w="6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2,780</w:t>
            </w: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9,409</w:t>
            </w:r>
          </w:p>
        </w:tc>
        <w:tc>
          <w:tcPr>
            <w:tcW w:w="8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4"/>
                <w:szCs w:val="14"/>
                <w:color w:val="auto"/>
              </w:rPr>
              <w:t>473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9,201</w:t>
            </w:r>
          </w:p>
        </w:tc>
        <w:tc>
          <w:tcPr>
            <w:tcW w:w="10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4"/>
                <w:szCs w:val="14"/>
                <w:color w:val="auto"/>
              </w:rPr>
              <w:t>541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74"/>
        </w:trPr>
        <w:tc>
          <w:tcPr>
            <w:tcW w:w="218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Europe</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4,588</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4,373</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14,478</w:t>
            </w:r>
          </w:p>
        </w:tc>
        <w:tc>
          <w:tcPr>
            <w:tcW w:w="7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898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13,948</w:t>
            </w:r>
          </w:p>
        </w:tc>
        <w:tc>
          <w:tcPr>
            <w:tcW w:w="76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6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2180" w:type="dxa"/>
            <w:vAlign w:val="bottom"/>
          </w:tcPr>
          <w:p>
            <w:pPr>
              <w:ind w:left="40"/>
              <w:spacing w:after="0" w:line="133" w:lineRule="exact"/>
              <w:rPr>
                <w:sz w:val="20"/>
                <w:szCs w:val="20"/>
                <w:color w:val="auto"/>
              </w:rPr>
            </w:pPr>
            <w:r>
              <w:rPr>
                <w:rFonts w:ascii="Arial" w:cs="Arial" w:eastAsia="Arial" w:hAnsi="Arial"/>
                <w:sz w:val="14"/>
                <w:szCs w:val="14"/>
                <w:b w:val="1"/>
                <w:bCs w:val="1"/>
                <w:color w:val="auto"/>
              </w:rPr>
              <w:t>Asia/Pacific, Middle East and</w:t>
            </w: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180" w:type="dxa"/>
            <w:vAlign w:val="bottom"/>
          </w:tcPr>
          <w:p>
            <w:pPr>
              <w:jc w:val="center"/>
              <w:ind w:right="1328"/>
              <w:spacing w:after="0"/>
              <w:rPr>
                <w:sz w:val="20"/>
                <w:szCs w:val="20"/>
                <w:color w:val="auto"/>
              </w:rPr>
            </w:pPr>
            <w:r>
              <w:rPr>
                <w:rFonts w:ascii="Arial" w:cs="Arial" w:eastAsia="Arial" w:hAnsi="Arial"/>
                <w:sz w:val="14"/>
                <w:szCs w:val="14"/>
                <w:b w:val="1"/>
                <w:bCs w:val="1"/>
                <w:color w:val="auto"/>
                <w:w w:val="95"/>
              </w:rPr>
              <w:t>Africa</w:t>
            </w: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China(a)</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5,287</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5,478</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17,319</w:t>
            </w:r>
          </w:p>
        </w:tc>
        <w:tc>
          <w:tcPr>
            <w:tcW w:w="7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2,576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7"/>
                <w:szCs w:val="17"/>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17,421</w:t>
            </w:r>
          </w:p>
        </w:tc>
        <w:tc>
          <w:tcPr>
            <w:tcW w:w="76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2,581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6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Other</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4,582</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4,665</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14,122</w:t>
            </w:r>
          </w:p>
        </w:tc>
        <w:tc>
          <w:tcPr>
            <w:tcW w:w="7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14,432</w:t>
            </w:r>
          </w:p>
        </w:tc>
        <w:tc>
          <w:tcPr>
            <w:tcW w:w="76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74"/>
        </w:trPr>
        <w:tc>
          <w:tcPr>
            <w:tcW w:w="21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3"/>
        </w:trPr>
        <w:tc>
          <w:tcPr>
            <w:tcW w:w="2180" w:type="dxa"/>
            <w:vAlign w:val="bottom"/>
            <w:tcBorders>
              <w:top w:val="single" w:sz="8" w:color="CCEEFF"/>
            </w:tcBorders>
            <w:shd w:val="clear" w:color="auto" w:fill="CCEEFF"/>
          </w:tcPr>
          <w:p>
            <w:pPr>
              <w:ind w:left="40"/>
              <w:spacing w:after="0" w:line="143" w:lineRule="exact"/>
              <w:rPr>
                <w:sz w:val="20"/>
                <w:szCs w:val="20"/>
                <w:color w:val="auto"/>
              </w:rPr>
            </w:pPr>
            <w:r>
              <w:rPr>
                <w:rFonts w:ascii="Arial" w:cs="Arial" w:eastAsia="Arial" w:hAnsi="Arial"/>
                <w:sz w:val="14"/>
                <w:szCs w:val="14"/>
                <w:color w:val="auto"/>
                <w:w w:val="98"/>
              </w:rPr>
              <w:t>Total Asia/Pacific, Middle East and</w:t>
            </w:r>
          </w:p>
        </w:tc>
        <w:tc>
          <w:tcPr>
            <w:tcW w:w="6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80" w:type="dxa"/>
            <w:vAlign w:val="bottom"/>
            <w:shd w:val="clear" w:color="auto" w:fill="CCEEFF"/>
          </w:tcPr>
          <w:p>
            <w:pPr>
              <w:jc w:val="center"/>
              <w:ind w:right="1348"/>
              <w:spacing w:after="0"/>
              <w:rPr>
                <w:sz w:val="20"/>
                <w:szCs w:val="20"/>
                <w:color w:val="auto"/>
              </w:rPr>
            </w:pPr>
            <w:r>
              <w:rPr>
                <w:rFonts w:ascii="Arial" w:cs="Arial" w:eastAsia="Arial" w:hAnsi="Arial"/>
                <w:sz w:val="14"/>
                <w:szCs w:val="14"/>
                <w:color w:val="auto"/>
              </w:rPr>
              <w:t>Africa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9,869</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1,005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10,143</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1,063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31,441</w:t>
            </w:r>
          </w:p>
        </w:tc>
        <w:tc>
          <w:tcPr>
            <w:tcW w:w="7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3,166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31,853</w:t>
            </w:r>
          </w:p>
        </w:tc>
        <w:tc>
          <w:tcPr>
            <w:tcW w:w="76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3,213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South America</w:t>
            </w:r>
          </w:p>
        </w:tc>
        <w:tc>
          <w:tcPr>
            <w:tcW w:w="6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2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Brazil</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16"/>
                <w:szCs w:val="16"/>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863</w:t>
            </w:r>
          </w:p>
        </w:tc>
        <w:tc>
          <w:tcPr>
            <w:tcW w:w="8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1,953</w:t>
            </w:r>
          </w:p>
        </w:tc>
        <w:tc>
          <w:tcPr>
            <w:tcW w:w="740" w:type="dxa"/>
            <w:vAlign w:val="bottom"/>
            <w:gridSpan w:val="3"/>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289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2,526</w:t>
            </w:r>
          </w:p>
        </w:tc>
        <w:tc>
          <w:tcPr>
            <w:tcW w:w="760" w:type="dxa"/>
            <w:vAlign w:val="bottom"/>
            <w:gridSpan w:val="3"/>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0" w:type="dxa"/>
            <w:vAlign w:val="bottom"/>
          </w:tcPr>
          <w:p>
            <w:pPr>
              <w:spacing w:after="0"/>
              <w:rPr>
                <w:sz w:val="1"/>
                <w:szCs w:val="1"/>
                <w:color w:val="auto"/>
              </w:rPr>
            </w:pPr>
          </w:p>
        </w:tc>
      </w:tr>
      <w:tr>
        <w:trPr>
          <w:trHeight w:val="80"/>
        </w:trPr>
        <w:tc>
          <w:tcPr>
            <w:tcW w:w="2180" w:type="dxa"/>
            <w:vAlign w:val="bottom"/>
            <w:shd w:val="clear" w:color="auto" w:fill="CCEEFF"/>
          </w:tcPr>
          <w:p>
            <w:pPr>
              <w:spacing w:after="0"/>
              <w:rPr>
                <w:sz w:val="6"/>
                <w:szCs w:val="6"/>
                <w:color w:val="auto"/>
              </w:rPr>
            </w:pPr>
          </w:p>
        </w:tc>
        <w:tc>
          <w:tcPr>
            <w:tcW w:w="64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vMerge w:val="continue"/>
            <w:shd w:val="clear" w:color="auto" w:fill="CCEEFF"/>
          </w:tcPr>
          <w:p>
            <w:pPr>
              <w:spacing w:after="0"/>
              <w:rPr>
                <w:sz w:val="6"/>
                <w:szCs w:val="6"/>
                <w:color w:val="auto"/>
              </w:rPr>
            </w:pPr>
          </w:p>
        </w:tc>
        <w:tc>
          <w:tcPr>
            <w:tcW w:w="84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40" w:type="dxa"/>
            <w:vAlign w:val="bottom"/>
            <w:gridSpan w:val="3"/>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760" w:type="dxa"/>
            <w:vAlign w:val="bottom"/>
            <w:gridSpan w:val="3"/>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180" w:type="dxa"/>
            <w:vAlign w:val="bottom"/>
          </w:tcPr>
          <w:p>
            <w:pPr>
              <w:ind w:left="40"/>
              <w:spacing w:after="0"/>
              <w:rPr>
                <w:sz w:val="20"/>
                <w:szCs w:val="20"/>
                <w:color w:val="auto"/>
              </w:rPr>
            </w:pPr>
            <w:r>
              <w:rPr>
                <w:rFonts w:ascii="Arial" w:cs="Arial" w:eastAsia="Arial" w:hAnsi="Arial"/>
                <w:sz w:val="14"/>
                <w:szCs w:val="14"/>
                <w:color w:val="auto"/>
              </w:rPr>
              <w:t>Other</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432</w:t>
            </w:r>
          </w:p>
        </w:tc>
        <w:tc>
          <w:tcPr>
            <w:tcW w:w="6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660" w:type="dxa"/>
            <w:vAlign w:val="bottom"/>
            <w:vMerge w:val="restart"/>
          </w:tcPr>
          <w:p>
            <w:pPr>
              <w:jc w:val="right"/>
              <w:ind w:right="30"/>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464</w:t>
            </w:r>
          </w:p>
        </w:tc>
        <w:tc>
          <w:tcPr>
            <w:tcW w:w="6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680" w:type="dxa"/>
            <w:vAlign w:val="bottom"/>
            <w:vMerge w:val="restart"/>
          </w:tcPr>
          <w:p>
            <w:pPr>
              <w:jc w:val="right"/>
              <w:ind w:right="30"/>
              <w:spacing w:after="0"/>
              <w:rPr>
                <w:sz w:val="20"/>
                <w:szCs w:val="20"/>
                <w:color w:val="auto"/>
              </w:rPr>
            </w:pPr>
            <w:r>
              <w:rPr>
                <w:rFonts w:ascii="Arial" w:cs="Arial" w:eastAsia="Arial" w:hAnsi="Arial"/>
                <w:sz w:val="14"/>
                <w:szCs w:val="14"/>
                <w:color w:val="auto"/>
              </w:rPr>
              <w:t>78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1,226</w:t>
            </w:r>
          </w:p>
        </w:tc>
        <w:tc>
          <w:tcPr>
            <w:tcW w:w="8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540" w:type="dxa"/>
            <w:vAlign w:val="bottom"/>
            <w:vMerge w:val="restart"/>
          </w:tcPr>
          <w:p>
            <w:pPr>
              <w:jc w:val="right"/>
              <w:ind w:right="30"/>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1,380</w:t>
            </w:r>
          </w:p>
        </w:tc>
        <w:tc>
          <w:tcPr>
            <w:tcW w:w="10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560" w:type="dxa"/>
            <w:vAlign w:val="bottom"/>
            <w:vMerge w:val="restart"/>
          </w:tcPr>
          <w:p>
            <w:pPr>
              <w:jc w:val="right"/>
              <w:ind w:right="50"/>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74"/>
        </w:trPr>
        <w:tc>
          <w:tcPr>
            <w:tcW w:w="2180" w:type="dxa"/>
            <w:vAlign w:val="bottom"/>
            <w:tcBorders>
              <w:bottom w:val="single" w:sz="8" w:color="CCEEFF"/>
            </w:tcBorders>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66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620" w:type="dxa"/>
            <w:vAlign w:val="bottom"/>
            <w:tcBorders>
              <w:bottom w:val="single" w:sz="8" w:color="auto"/>
            </w:tcBorders>
            <w:vMerge w:val="continue"/>
          </w:tcPr>
          <w:p>
            <w:pPr>
              <w:spacing w:after="0"/>
              <w:rPr>
                <w:sz w:val="6"/>
                <w:szCs w:val="6"/>
                <w:color w:val="auto"/>
              </w:rPr>
            </w:pPr>
          </w:p>
        </w:tc>
        <w:tc>
          <w:tcPr>
            <w:tcW w:w="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6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vMerge w:val="continue"/>
          </w:tcPr>
          <w:p>
            <w:pPr>
              <w:spacing w:after="0"/>
              <w:rPr>
                <w:sz w:val="6"/>
                <w:szCs w:val="6"/>
                <w:color w:val="auto"/>
              </w:rPr>
            </w:pPr>
          </w:p>
        </w:tc>
        <w:tc>
          <w:tcPr>
            <w:tcW w:w="54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58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vMerge w:val="continue"/>
          </w:tcPr>
          <w:p>
            <w:pPr>
              <w:spacing w:after="0"/>
              <w:rPr>
                <w:sz w:val="6"/>
                <w:szCs w:val="6"/>
                <w:color w:val="auto"/>
              </w:rPr>
            </w:pPr>
          </w:p>
        </w:tc>
        <w:tc>
          <w:tcPr>
            <w:tcW w:w="56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560" w:type="dxa"/>
            <w:vAlign w:val="bottom"/>
            <w:tcBorders>
              <w:bottom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South America</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6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66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1,327</w:t>
            </w:r>
          </w:p>
        </w:tc>
        <w:tc>
          <w:tcPr>
            <w:tcW w:w="6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3,179</w:t>
            </w:r>
          </w:p>
        </w:tc>
        <w:tc>
          <w:tcPr>
            <w:tcW w:w="80" w:type="dxa"/>
            <w:vAlign w:val="bottom"/>
            <w:vMerge w:val="restart"/>
            <w:shd w:val="clear" w:color="auto" w:fill="CCEEFF"/>
          </w:tcPr>
          <w:p>
            <w:pPr>
              <w:spacing w:after="0"/>
              <w:rPr>
                <w:sz w:val="15"/>
                <w:szCs w:val="15"/>
                <w:color w:val="auto"/>
              </w:rPr>
            </w:pPr>
          </w:p>
        </w:tc>
        <w:tc>
          <w:tcPr>
            <w:tcW w:w="120" w:type="dxa"/>
            <w:vAlign w:val="bottom"/>
            <w:vMerge w:val="restart"/>
            <w:shd w:val="clear" w:color="auto" w:fill="CCEEFF"/>
          </w:tcPr>
          <w:p>
            <w:pPr>
              <w:spacing w:after="0"/>
              <w:rPr>
                <w:sz w:val="15"/>
                <w:szCs w:val="15"/>
                <w:color w:val="auto"/>
              </w:rPr>
            </w:pPr>
          </w:p>
        </w:tc>
        <w:tc>
          <w:tcPr>
            <w:tcW w:w="54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486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3,906</w:t>
            </w:r>
          </w:p>
        </w:tc>
        <w:tc>
          <w:tcPr>
            <w:tcW w:w="10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spacing w:after="0"/>
              <w:rPr>
                <w:sz w:val="15"/>
                <w:szCs w:val="15"/>
                <w:color w:val="auto"/>
              </w:rPr>
            </w:pPr>
          </w:p>
        </w:tc>
        <w:tc>
          <w:tcPr>
            <w:tcW w:w="56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642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85"/>
        </w:trPr>
        <w:tc>
          <w:tcPr>
            <w:tcW w:w="2180" w:type="dxa"/>
            <w:vAlign w:val="bottom"/>
            <w:shd w:val="clear" w:color="auto" w:fill="CCEEFF"/>
          </w:tcPr>
          <w:p>
            <w:pPr>
              <w:spacing w:after="0"/>
              <w:rPr>
                <w:sz w:val="6"/>
                <w:szCs w:val="6"/>
                <w:color w:val="auto"/>
              </w:rPr>
            </w:pPr>
          </w:p>
        </w:tc>
        <w:tc>
          <w:tcPr>
            <w:tcW w:w="64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66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20" w:type="dxa"/>
            <w:vAlign w:val="bottom"/>
            <w:tcBorders>
              <w:bottom w:val="single" w:sz="8" w:color="auto"/>
            </w:tcBorders>
            <w:vMerge w:val="continue"/>
            <w:shd w:val="clear" w:color="auto" w:fill="CCEEFF"/>
          </w:tcPr>
          <w:p>
            <w:pPr>
              <w:spacing w:after="0"/>
              <w:rPr>
                <w:sz w:val="6"/>
                <w:szCs w:val="6"/>
                <w:color w:val="auto"/>
              </w:rPr>
            </w:pPr>
          </w:p>
        </w:tc>
        <w:tc>
          <w:tcPr>
            <w:tcW w:w="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6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8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54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vMerge w:val="continue"/>
            <w:shd w:val="clear" w:color="auto" w:fill="CCEEFF"/>
          </w:tcPr>
          <w:p>
            <w:pPr>
              <w:spacing w:after="0"/>
              <w:rPr>
                <w:sz w:val="6"/>
                <w:szCs w:val="6"/>
                <w:color w:val="auto"/>
              </w:rPr>
            </w:pPr>
          </w:p>
        </w:tc>
        <w:tc>
          <w:tcPr>
            <w:tcW w:w="56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5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2180" w:type="dxa"/>
            <w:vAlign w:val="bottom"/>
          </w:tcPr>
          <w:p>
            <w:pPr>
              <w:ind w:left="40"/>
              <w:spacing w:after="0"/>
              <w:rPr>
                <w:sz w:val="20"/>
                <w:szCs w:val="20"/>
                <w:color w:val="auto"/>
              </w:rPr>
            </w:pPr>
            <w:r>
              <w:rPr>
                <w:rFonts w:ascii="Arial" w:cs="Arial" w:eastAsia="Arial" w:hAnsi="Arial"/>
                <w:sz w:val="14"/>
                <w:szCs w:val="14"/>
                <w:color w:val="auto"/>
              </w:rPr>
              <w:t>Total Worldwide</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21,119</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2,374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21,102</w:t>
            </w:r>
          </w:p>
        </w:tc>
        <w:tc>
          <w:tcPr>
            <w:tcW w:w="8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2,450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65,142</w:t>
            </w:r>
          </w:p>
        </w:tc>
        <w:tc>
          <w:tcPr>
            <w:tcW w:w="740" w:type="dxa"/>
            <w:vAlign w:val="bottom"/>
            <w:gridSpan w:val="3"/>
            <w:vMerge w:val="restart"/>
          </w:tcPr>
          <w:p>
            <w:pPr>
              <w:jc w:val="right"/>
              <w:ind w:right="30"/>
              <w:spacing w:after="0"/>
              <w:rPr>
                <w:sz w:val="20"/>
                <w:szCs w:val="20"/>
                <w:color w:val="auto"/>
              </w:rPr>
            </w:pPr>
            <w:r>
              <w:rPr>
                <w:rFonts w:ascii="Arial" w:cs="Arial" w:eastAsia="Arial" w:hAnsi="Arial"/>
                <w:sz w:val="14"/>
                <w:szCs w:val="14"/>
                <w:color w:val="auto"/>
              </w:rPr>
              <w:t>7,235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64,883</w:t>
            </w:r>
          </w:p>
        </w:tc>
        <w:tc>
          <w:tcPr>
            <w:tcW w:w="760" w:type="dxa"/>
            <w:vAlign w:val="bottom"/>
            <w:gridSpan w:val="3"/>
            <w:vMerge w:val="restart"/>
          </w:tcPr>
          <w:p>
            <w:pPr>
              <w:jc w:val="right"/>
              <w:ind w:right="50"/>
              <w:spacing w:after="0"/>
              <w:rPr>
                <w:sz w:val="20"/>
                <w:szCs w:val="20"/>
                <w:color w:val="auto"/>
              </w:rPr>
            </w:pPr>
            <w:r>
              <w:rPr>
                <w:rFonts w:ascii="Arial" w:cs="Arial" w:eastAsia="Arial" w:hAnsi="Arial"/>
                <w:sz w:val="14"/>
                <w:szCs w:val="14"/>
                <w:color w:val="auto"/>
              </w:rPr>
              <w:t>7,372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06"/>
        </w:trPr>
        <w:tc>
          <w:tcPr>
            <w:tcW w:w="21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United States</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Cars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1,978</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262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5,781</w:t>
            </w:r>
          </w:p>
        </w:tc>
        <w:tc>
          <w:tcPr>
            <w:tcW w:w="7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5,863</w:t>
            </w:r>
          </w:p>
        </w:tc>
        <w:tc>
          <w:tcPr>
            <w:tcW w:w="76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841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color w:val="auto"/>
              </w:rPr>
              <w:t>Trucks</w:t>
            </w:r>
          </w:p>
        </w:tc>
        <w:tc>
          <w:tcPr>
            <w:tcW w:w="640" w:type="dxa"/>
            <w:vAlign w:val="bottom"/>
          </w:tcPr>
          <w:p>
            <w:pPr>
              <w:jc w:val="right"/>
              <w:spacing w:after="0"/>
              <w:rPr>
                <w:sz w:val="20"/>
                <w:szCs w:val="20"/>
                <w:color w:val="auto"/>
              </w:rPr>
            </w:pPr>
            <w:r>
              <w:rPr>
                <w:rFonts w:ascii="Arial" w:cs="Arial" w:eastAsia="Arial" w:hAnsi="Arial"/>
                <w:sz w:val="14"/>
                <w:szCs w:val="14"/>
                <w:color w:val="auto"/>
              </w:rPr>
              <w:t>1,343</w:t>
            </w:r>
          </w:p>
        </w:tc>
        <w:tc>
          <w:tcPr>
            <w:tcW w:w="840" w:type="dxa"/>
            <w:vAlign w:val="bottom"/>
            <w:gridSpan w:val="3"/>
          </w:tcPr>
          <w:p>
            <w:pPr>
              <w:jc w:val="right"/>
              <w:ind w:right="30"/>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1,230</w:t>
            </w:r>
          </w:p>
        </w:tc>
        <w:tc>
          <w:tcPr>
            <w:tcW w:w="840" w:type="dxa"/>
            <w:vAlign w:val="bottom"/>
            <w:gridSpan w:val="3"/>
          </w:tcPr>
          <w:p>
            <w:pPr>
              <w:jc w:val="right"/>
              <w:ind w:right="3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3,789</w:t>
            </w:r>
          </w:p>
        </w:tc>
        <w:tc>
          <w:tcPr>
            <w:tcW w:w="740" w:type="dxa"/>
            <w:vAlign w:val="bottom"/>
            <w:gridSpan w:val="3"/>
          </w:tcPr>
          <w:p>
            <w:pPr>
              <w:jc w:val="right"/>
              <w:ind w:right="30"/>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24.4%</w:t>
            </w: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3,495</w:t>
            </w:r>
          </w:p>
        </w:tc>
        <w:tc>
          <w:tcPr>
            <w:tcW w:w="760" w:type="dxa"/>
            <w:vAlign w:val="bottom"/>
            <w:gridSpan w:val="3"/>
          </w:tcPr>
          <w:p>
            <w:pPr>
              <w:jc w:val="right"/>
              <w:ind w:right="50"/>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Crossovers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1,150</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3,769</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664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3,319</w:t>
            </w: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567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83"/>
        </w:trPr>
        <w:tc>
          <w:tcPr>
            <w:tcW w:w="2180" w:type="dxa"/>
            <w:vAlign w:val="bottom"/>
          </w:tcPr>
          <w:p>
            <w:pPr>
              <w:ind w:left="40"/>
              <w:spacing w:after="0"/>
              <w:rPr>
                <w:sz w:val="20"/>
                <w:szCs w:val="20"/>
                <w:color w:val="auto"/>
              </w:rPr>
            </w:pPr>
            <w:r>
              <w:rPr>
                <w:rFonts w:ascii="Arial" w:cs="Arial" w:eastAsia="Arial" w:hAnsi="Arial"/>
                <w:sz w:val="14"/>
                <w:szCs w:val="14"/>
                <w:color w:val="auto"/>
              </w:rPr>
              <w:t>Total United States</w:t>
            </w:r>
          </w:p>
        </w:tc>
        <w:tc>
          <w:tcPr>
            <w:tcW w:w="640" w:type="dxa"/>
            <w:vAlign w:val="bottom"/>
          </w:tcPr>
          <w:p>
            <w:pPr>
              <w:jc w:val="right"/>
              <w:spacing w:after="0"/>
              <w:rPr>
                <w:sz w:val="20"/>
                <w:szCs w:val="20"/>
                <w:color w:val="auto"/>
              </w:rPr>
            </w:pPr>
            <w:r>
              <w:rPr>
                <w:rFonts w:ascii="Arial" w:cs="Arial" w:eastAsia="Arial" w:hAnsi="Arial"/>
                <w:sz w:val="14"/>
                <w:szCs w:val="14"/>
                <w:color w:val="auto"/>
              </w:rPr>
              <w:t>4,632</w:t>
            </w:r>
          </w:p>
        </w:tc>
        <w:tc>
          <w:tcPr>
            <w:tcW w:w="840" w:type="dxa"/>
            <w:vAlign w:val="bottom"/>
            <w:gridSpan w:val="3"/>
          </w:tcPr>
          <w:p>
            <w:pPr>
              <w:jc w:val="right"/>
              <w:ind w:right="30"/>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4,358</w:t>
            </w:r>
          </w:p>
        </w:tc>
        <w:tc>
          <w:tcPr>
            <w:tcW w:w="840" w:type="dxa"/>
            <w:vAlign w:val="bottom"/>
            <w:gridSpan w:val="3"/>
          </w:tcPr>
          <w:p>
            <w:pPr>
              <w:jc w:val="right"/>
              <w:ind w:right="30"/>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13,339</w:t>
            </w:r>
          </w:p>
        </w:tc>
        <w:tc>
          <w:tcPr>
            <w:tcW w:w="740" w:type="dxa"/>
            <w:vAlign w:val="bottom"/>
            <w:gridSpan w:val="3"/>
          </w:tcPr>
          <w:p>
            <w:pPr>
              <w:jc w:val="right"/>
              <w:ind w:right="30"/>
              <w:spacing w:after="0"/>
              <w:rPr>
                <w:sz w:val="20"/>
                <w:szCs w:val="20"/>
                <w:color w:val="auto"/>
              </w:rPr>
            </w:pPr>
            <w:r>
              <w:rPr>
                <w:rFonts w:ascii="Arial" w:cs="Arial" w:eastAsia="Arial" w:hAnsi="Arial"/>
                <w:sz w:val="14"/>
                <w:szCs w:val="14"/>
                <w:color w:val="auto"/>
              </w:rPr>
              <w:t>2,300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12,677</w:t>
            </w:r>
          </w:p>
        </w:tc>
        <w:tc>
          <w:tcPr>
            <w:tcW w:w="760" w:type="dxa"/>
            <w:vAlign w:val="bottom"/>
            <w:gridSpan w:val="3"/>
          </w:tcPr>
          <w:p>
            <w:pPr>
              <w:jc w:val="right"/>
              <w:ind w:right="50"/>
              <w:spacing w:after="0"/>
              <w:rPr>
                <w:sz w:val="20"/>
                <w:szCs w:val="20"/>
                <w:color w:val="auto"/>
              </w:rPr>
            </w:pPr>
            <w:r>
              <w:rPr>
                <w:rFonts w:ascii="Arial" w:cs="Arial" w:eastAsia="Arial" w:hAnsi="Arial"/>
                <w:sz w:val="14"/>
                <w:szCs w:val="14"/>
                <w:color w:val="auto"/>
              </w:rPr>
              <w:t>2,208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16"/>
        </w:trPr>
        <w:tc>
          <w:tcPr>
            <w:tcW w:w="2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180" w:type="dxa"/>
            <w:vAlign w:val="bottom"/>
          </w:tcPr>
          <w:p>
            <w:pPr>
              <w:ind w:left="40"/>
              <w:spacing w:after="0"/>
              <w:rPr>
                <w:sz w:val="20"/>
                <w:szCs w:val="20"/>
                <w:color w:val="auto"/>
              </w:rPr>
            </w:pPr>
            <w:r>
              <w:rPr>
                <w:rFonts w:ascii="Arial" w:cs="Arial" w:eastAsia="Arial" w:hAnsi="Arial"/>
                <w:sz w:val="14"/>
                <w:szCs w:val="14"/>
                <w:b w:val="1"/>
                <w:bCs w:val="1"/>
                <w:color w:val="auto"/>
              </w:rPr>
              <w:t>China</w:t>
            </w:r>
          </w:p>
        </w:tc>
        <w:tc>
          <w:tcPr>
            <w:tcW w:w="6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SGMS</w:t>
            </w:r>
          </w:p>
        </w:tc>
        <w:tc>
          <w:tcPr>
            <w:tcW w:w="64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409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1,158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76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1,229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SGMW and FAW-GM</w:t>
            </w:r>
          </w:p>
        </w:tc>
        <w:tc>
          <w:tcPr>
            <w:tcW w:w="64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gridSpan w:val="2"/>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441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gridSpan w:val="2"/>
          </w:tcPr>
          <w:p>
            <w:pPr>
              <w:spacing w:after="0"/>
              <w:rPr>
                <w:sz w:val="22"/>
                <w:szCs w:val="22"/>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441</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gridSpan w:val="2"/>
          </w:tcPr>
          <w:p>
            <w:pPr>
              <w:spacing w:after="0"/>
              <w:rPr>
                <w:sz w:val="22"/>
                <w:szCs w:val="22"/>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gridSpan w:val="2"/>
          </w:tcPr>
          <w:p>
            <w:pPr>
              <w:spacing w:after="0"/>
              <w:rPr>
                <w:sz w:val="22"/>
                <w:szCs w:val="22"/>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1,352</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China</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5,287</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814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5,478</w:t>
            </w:r>
          </w:p>
        </w:tc>
        <w:tc>
          <w:tcPr>
            <w:tcW w:w="8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850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17,319</w:t>
            </w:r>
          </w:p>
        </w:tc>
        <w:tc>
          <w:tcPr>
            <w:tcW w:w="740" w:type="dxa"/>
            <w:vAlign w:val="bottom"/>
            <w:gridSpan w:val="3"/>
            <w:shd w:val="clear" w:color="auto" w:fill="CCEEFF"/>
          </w:tcPr>
          <w:p>
            <w:pPr>
              <w:jc w:val="right"/>
              <w:ind w:right="30"/>
              <w:spacing w:after="0"/>
              <w:rPr>
                <w:sz w:val="20"/>
                <w:szCs w:val="20"/>
                <w:color w:val="auto"/>
              </w:rPr>
            </w:pPr>
            <w:r>
              <w:rPr>
                <w:rFonts w:ascii="Arial" w:cs="Arial" w:eastAsia="Arial" w:hAnsi="Arial"/>
                <w:sz w:val="14"/>
                <w:szCs w:val="14"/>
                <w:color w:val="auto"/>
              </w:rPr>
              <w:t>2,576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17,421</w:t>
            </w:r>
          </w:p>
        </w:tc>
        <w:tc>
          <w:tcPr>
            <w:tcW w:w="760" w:type="dxa"/>
            <w:vAlign w:val="bottom"/>
            <w:gridSpan w:val="3"/>
            <w:shd w:val="clear" w:color="auto" w:fill="CCEEFF"/>
          </w:tcPr>
          <w:p>
            <w:pPr>
              <w:jc w:val="right"/>
              <w:ind w:right="50"/>
              <w:spacing w:after="0"/>
              <w:rPr>
                <w:sz w:val="20"/>
                <w:szCs w:val="20"/>
                <w:color w:val="auto"/>
              </w:rPr>
            </w:pPr>
            <w:r>
              <w:rPr>
                <w:rFonts w:ascii="Arial" w:cs="Arial" w:eastAsia="Arial" w:hAnsi="Arial"/>
                <w:sz w:val="14"/>
                <w:szCs w:val="14"/>
                <w:color w:val="auto"/>
              </w:rPr>
              <w:t>2,581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bottom w:val="single" w:sz="8" w:color="CCEEFF"/>
            </w:tcBorders>
            <w:vMerge w:val="restart"/>
          </w:tcPr>
          <w:p>
            <w:pPr>
              <w:jc w:val="center"/>
              <w:ind w:right="1288"/>
              <w:spacing w:after="0"/>
              <w:rPr>
                <w:sz w:val="20"/>
                <w:szCs w:val="20"/>
                <w:color w:val="auto"/>
              </w:rPr>
            </w:pPr>
            <w:r>
              <w:rPr>
                <w:rFonts w:ascii="Arial" w:cs="Arial" w:eastAsia="Arial" w:hAnsi="Arial"/>
                <w:sz w:val="16"/>
                <w:szCs w:val="16"/>
                <w:color w:val="auto"/>
                <w:w w:val="92"/>
              </w:rPr>
              <w:t>__________</w:t>
            </w: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1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jc w:val="both"/>
        <w:ind w:left="340" w:hanging="332"/>
        <w:spacing w:after="0" w:line="276" w:lineRule="auto"/>
        <w:tabs>
          <w:tab w:leader="none" w:pos="3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Our China sales include the Automotive China JVs SAIC General Motors Sales Co., Ltd. (SGMS), SAIC-GM-Wuling Automobile Co., Ltd. (SGMW) and FAW-GM Light Duty Commercial Vehicle Co., Ltd. (FAW-GM). End customer data is not readily available for the industry; therefore, wholesale volumes were used for Industry, GM and Market Share. Our retail sales in China were 773 and 807 in the three months ended September 30, 2015 and 2014 and 2,492 and 2,454 in the nine months ended September 30, 2015 and 2014.</w:t>
      </w:r>
    </w:p>
    <w:p>
      <w:pPr>
        <w:spacing w:after="0" w:line="111"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2015 we estimate we had the largest market share in North America and South America, the number two market share in the Asia/Pacific, Middle East and Africa region and the number six market share in Europe.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 Summary and Outlook</w:t>
      </w:r>
    </w:p>
    <w:p>
      <w:pPr>
        <w:spacing w:after="0" w:line="239" w:lineRule="exact"/>
        <w:rPr>
          <w:sz w:val="20"/>
          <w:szCs w:val="20"/>
          <w:color w:val="auto"/>
        </w:rPr>
      </w:pPr>
    </w:p>
    <w:p>
      <w:pPr>
        <w:jc w:val="both"/>
        <w:ind w:firstLine="162"/>
        <w:spacing w:after="0" w:line="272" w:lineRule="auto"/>
        <w:rPr>
          <w:sz w:val="20"/>
          <w:szCs w:val="20"/>
          <w:color w:val="auto"/>
        </w:rPr>
      </w:pPr>
      <w:r>
        <w:rPr>
          <w:rFonts w:ascii="Arial" w:cs="Arial" w:eastAsia="Arial" w:hAnsi="Arial"/>
          <w:sz w:val="18"/>
          <w:szCs w:val="18"/>
          <w:color w:val="auto"/>
        </w:rPr>
        <w:t>GM Financial is expanding its leasing, near prime and prime lending programs in North America and anticipates that leasing and prime lending will become an increasing percentage of the originations and consumer portfolio balance over time. We believe that offering a comprehensive suite of financing products will generate incremental sales of our vehicles, drive incremental GM Financial earnings and help support our sales throughout economic cycles. In the three months ended September 30, 2015 GM Financial's retail penetration in North America grew to approximately 30%, up from approximately 10% in 2014.</w:t>
      </w:r>
    </w:p>
    <w:p>
      <w:pPr>
        <w:spacing w:after="0" w:line="19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February 2015 GM Financial became our exclusive U.S. lease provider for Buick-GMC dealers. Our exclusive leasing arrangements with GM Financial extended to Cadillac dealers in March 2015 and to Chevrolet dealers in April 2015. As a result GM Financial now provides substantially all of the financing on vehicles leased by our customers. In the three months ended September 2015 GM Financial began accepting deposits from retail banking customers in Germany.</w:t>
      </w:r>
    </w:p>
    <w:p>
      <w:pPr>
        <w:sectPr>
          <w:pgSz w:w="11900" w:h="16838" w:orient="portrait"/>
          <w:cols w:equalWidth="0" w:num="1">
            <w:col w:w="11420"/>
          </w:cols>
          <w:pgMar w:left="240" w:top="341"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341"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GM Financial completed the acquisitions of Ally Financial's automotive finance and financial services businesses in Europe and Latin America during 2013. On January 2, 2015 GM Financial completed its acquisition of Ally Financial's 40% equity interest in SAIC-GMAC in China for $1.0 billion. Also on January 2, 2015 GM Financial sold a 5% equity interest in SAIC-GMAC to SAICFC, a current shareholder of SAIC-GMAC, for proceeds of $125 million. As a result of these transactions GM indirectly owns 45% of SAIC-GMAC.</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year ending December 31, 2015 we expect income before income taxes-adjusted to remain consistent with 2014 and we expect income before income taxes-adjusted to more than double from 2014 to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Total Net Sales and Revenue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40" w:type="dxa"/>
            <w:vAlign w:val="bottom"/>
          </w:tcPr>
          <w:p>
            <w:pPr>
              <w:spacing w:after="0"/>
              <w:rPr>
                <w:sz w:val="6"/>
                <w:szCs w:val="6"/>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2014</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6"/>
                <w:szCs w:val="6"/>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1,978</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GME</w:t>
            </w: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4,556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5,226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(670)</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GMSA</w:t>
            </w: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3,202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(1,464)</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(45.7)%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4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37,140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37,999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447</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254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38,843</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39,255</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80" w:type="dxa"/>
            <w:vAlign w:val="bottom"/>
            <w:gridSpan w:val="4"/>
            <w:vMerge w:val="restart"/>
          </w:tcPr>
          <w:p>
            <w:pPr>
              <w:jc w:val="right"/>
              <w:ind w:right="59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vMerge w:val="restart"/>
          </w:tcPr>
          <w:p>
            <w:pPr>
              <w:jc w:val="center"/>
              <w:ind w:right="74"/>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560" w:type="dxa"/>
            <w:vAlign w:val="bottom"/>
            <w:gridSpan w:val="3"/>
            <w:vMerge w:val="restart"/>
          </w:tcPr>
          <w:p>
            <w:pPr>
              <w:jc w:val="right"/>
              <w:ind w:right="293"/>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280" w:type="dxa"/>
            <w:vAlign w:val="bottom"/>
            <w:tcBorders>
              <w:bottom w:val="single" w:sz="8" w:color="auto"/>
            </w:tcBorders>
            <w:gridSpan w:val="4"/>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540" w:type="dxa"/>
            <w:vAlign w:val="bottom"/>
          </w:tcPr>
          <w:p>
            <w:pPr>
              <w:spacing w:after="0"/>
              <w:rPr>
                <w:sz w:val="6"/>
                <w:szCs w:val="6"/>
                <w:color w:val="auto"/>
              </w:rPr>
            </w:pP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September 30, 2014</w:t>
            </w:r>
          </w:p>
        </w:tc>
        <w:tc>
          <w:tcPr>
            <w:tcW w:w="16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6"/>
                <w:szCs w:val="6"/>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4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center"/>
              <w:ind w:right="7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2"/>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40" w:type="dxa"/>
            <w:vAlign w:val="bottom"/>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78,951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75,891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3,060</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4.0 %</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GME</w:t>
            </w: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13,992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16,820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(2,828)</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GMSA</w:t>
            </w: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5,939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(3,465)</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540" w:type="dxa"/>
            <w:vAlign w:val="bottom"/>
          </w:tcPr>
          <w:p>
            <w:pPr>
              <w:ind w:left="40"/>
              <w:spacing w:after="0"/>
              <w:rPr>
                <w:sz w:val="20"/>
                <w:szCs w:val="20"/>
                <w:color w:val="auto"/>
              </w:rPr>
            </w:pPr>
            <w:r>
              <w:rPr>
                <w:rFonts w:ascii="Arial" w:cs="Arial" w:eastAsia="Arial" w:hAnsi="Arial"/>
                <w:sz w:val="18"/>
                <w:szCs w:val="18"/>
                <w:color w:val="auto"/>
              </w:rPr>
              <w:t>Automotive</w:t>
            </w: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108,174</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112,776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(4,602)</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 Financial</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3,536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1,025</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29.0 %</w:t>
            </w:r>
          </w:p>
        </w:tc>
        <w:tc>
          <w:tcPr>
            <w:tcW w:w="12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254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112,735</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116,312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3"/>
              <w:spacing w:after="0"/>
              <w:rPr>
                <w:sz w:val="20"/>
                <w:szCs w:val="20"/>
                <w:color w:val="auto"/>
              </w:rPr>
            </w:pPr>
            <w:r>
              <w:rPr>
                <w:rFonts w:ascii="Arial" w:cs="Arial" w:eastAsia="Arial" w:hAnsi="Arial"/>
                <w:sz w:val="18"/>
                <w:szCs w:val="18"/>
                <w:color w:val="auto"/>
              </w:rPr>
              <w:t>1.1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the regional sections of the MD&amp;A for additional information.</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Cost of Sales and Inventories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46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w w:val="93"/>
              </w:rPr>
              <w:t>Three Months Ended</w:t>
            </w:r>
          </w:p>
        </w:tc>
        <w:tc>
          <w:tcPr>
            <w:tcW w:w="64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Favorable/</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460" w:type="dxa"/>
            <w:vAlign w:val="bottom"/>
          </w:tcPr>
          <w:p>
            <w:pPr>
              <w:spacing w:after="0"/>
              <w:rPr>
                <w:sz w:val="6"/>
                <w:szCs w:val="6"/>
                <w:color w:val="auto"/>
              </w:rPr>
            </w:pPr>
          </w:p>
        </w:tc>
        <w:tc>
          <w:tcPr>
            <w:tcW w:w="13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September 30, 2014</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4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Volume</w:t>
            </w:r>
          </w:p>
        </w:tc>
        <w:tc>
          <w:tcPr>
            <w:tcW w:w="320" w:type="dxa"/>
            <w:vAlign w:val="bottom"/>
          </w:tcPr>
          <w:p>
            <w:pPr>
              <w:spacing w:after="0"/>
              <w:rPr>
                <w:sz w:val="6"/>
                <w:szCs w:val="6"/>
                <w:color w:val="auto"/>
              </w:rPr>
            </w:pPr>
          </w:p>
        </w:tc>
        <w:tc>
          <w:tcPr>
            <w:tcW w:w="72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rPr>
              <w:t>Mix</w:t>
            </w:r>
          </w:p>
        </w:tc>
        <w:tc>
          <w:tcPr>
            <w:tcW w:w="140" w:type="dxa"/>
            <w:vAlign w:val="bottom"/>
          </w:tcPr>
          <w:p>
            <w:pPr>
              <w:spacing w:after="0"/>
              <w:rPr>
                <w:sz w:val="6"/>
                <w:szCs w:val="6"/>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1360" w:type="dxa"/>
            <w:vAlign w:val="bottom"/>
            <w:gridSpan w:val="5"/>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14"/>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gridSpan w:val="4"/>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left="435"/>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22,976</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0"/>
              </w:rPr>
              <w:t>21,996</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1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GME</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4,397</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5,301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904</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17.1 %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2,926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677</w:t>
            </w: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18.8 %</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GMSA</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1,743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3,001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1,258</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41.9 %</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0.8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137</w:t>
            </w: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89.5 %</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4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32,058</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34,054</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1,996</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5.9 %</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60" w:type="dxa"/>
            <w:vAlign w:val="bottom"/>
            <w:gridSpan w:val="7"/>
            <w:vMerge w:val="restart"/>
          </w:tcPr>
          <w:p>
            <w:pPr>
              <w:ind w:left="36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vMerge w:val="restart"/>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Favorable/</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Variance Due To</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7"/>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3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3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6"/>
              </w:rPr>
              <w:t>September 30, 2015</w:t>
            </w:r>
          </w:p>
        </w:tc>
        <w:tc>
          <w:tcPr>
            <w:tcW w:w="40" w:type="dxa"/>
            <w:vAlign w:val="bottom"/>
          </w:tcPr>
          <w:p>
            <w:pPr>
              <w:spacing w:after="0"/>
              <w:rPr>
                <w:sz w:val="6"/>
                <w:szCs w:val="6"/>
                <w:color w:val="auto"/>
              </w:rPr>
            </w:pPr>
          </w:p>
        </w:tc>
        <w:tc>
          <w:tcPr>
            <w:tcW w:w="13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6"/>
              </w:rPr>
              <w:t>September 30, 2014</w:t>
            </w: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4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w:t>
            </w:r>
          </w:p>
        </w:tc>
        <w:tc>
          <w:tcPr>
            <w:tcW w:w="14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0"/>
              </w:rPr>
              <w:t>Volume</w:t>
            </w:r>
          </w:p>
        </w:tc>
        <w:tc>
          <w:tcPr>
            <w:tcW w:w="320" w:type="dxa"/>
            <w:vAlign w:val="bottom"/>
          </w:tcPr>
          <w:p>
            <w:pPr>
              <w:spacing w:after="0"/>
              <w:rPr>
                <w:sz w:val="6"/>
                <w:szCs w:val="6"/>
                <w:color w:val="auto"/>
              </w:rPr>
            </w:pPr>
          </w:p>
        </w:tc>
        <w:tc>
          <w:tcPr>
            <w:tcW w:w="720" w:type="dxa"/>
            <w:vAlign w:val="bottom"/>
            <w:vMerge w:val="restart"/>
          </w:tcPr>
          <w:p>
            <w:pPr>
              <w:jc w:val="center"/>
              <w:ind w:right="233"/>
              <w:spacing w:after="0"/>
              <w:rPr>
                <w:sz w:val="20"/>
                <w:szCs w:val="20"/>
                <w:color w:val="auto"/>
              </w:rPr>
            </w:pPr>
            <w:r>
              <w:rPr>
                <w:rFonts w:ascii="Arial" w:cs="Arial" w:eastAsia="Arial" w:hAnsi="Arial"/>
                <w:sz w:val="14"/>
                <w:szCs w:val="14"/>
                <w:b w:val="1"/>
                <w:bCs w:val="1"/>
                <w:color w:val="auto"/>
              </w:rPr>
              <w:t>Mix</w:t>
            </w:r>
          </w:p>
        </w:tc>
        <w:tc>
          <w:tcPr>
            <w:tcW w:w="140" w:type="dxa"/>
            <w:vAlign w:val="bottom"/>
          </w:tcPr>
          <w:p>
            <w:pPr>
              <w:spacing w:after="0"/>
              <w:rPr>
                <w:sz w:val="6"/>
                <w:szCs w:val="6"/>
                <w:color w:val="auto"/>
              </w:rPr>
            </w:pPr>
          </w:p>
        </w:tc>
        <w:tc>
          <w:tcPr>
            <w:tcW w:w="64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3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40" w:type="dxa"/>
            <w:vAlign w:val="bottom"/>
          </w:tcPr>
          <w:p>
            <w:pPr>
              <w:spacing w:after="0"/>
              <w:rPr>
                <w:sz w:val="16"/>
                <w:szCs w:val="16"/>
                <w:color w:val="auto"/>
              </w:rPr>
            </w:pPr>
          </w:p>
        </w:tc>
        <w:tc>
          <w:tcPr>
            <w:tcW w:w="1320" w:type="dxa"/>
            <w:vAlign w:val="bottom"/>
            <w:gridSpan w:val="4"/>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54"/>
              <w:spacing w:after="0"/>
              <w:rPr>
                <w:sz w:val="20"/>
                <w:szCs w:val="20"/>
                <w:color w:val="auto"/>
              </w:rPr>
            </w:pPr>
            <w:r>
              <w:rPr>
                <w:rFonts w:ascii="Arial" w:cs="Arial" w:eastAsia="Arial" w:hAnsi="Arial"/>
                <w:sz w:val="14"/>
                <w:szCs w:val="14"/>
                <w:b w:val="1"/>
                <w:bCs w:val="1"/>
                <w:color w:val="auto"/>
              </w:rPr>
              <w:t>(Unfavorable)</w:t>
            </w:r>
          </w:p>
        </w:tc>
        <w:tc>
          <w:tcPr>
            <w:tcW w:w="1140" w:type="dxa"/>
            <w:vAlign w:val="bottom"/>
            <w:gridSpan w:val="4"/>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320" w:type="dxa"/>
            <w:vAlign w:val="bottom"/>
            <w:tcBorders>
              <w:top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(Dollars in millions)</w:t>
            </w:r>
          </w:p>
        </w:tc>
        <w:tc>
          <w:tcPr>
            <w:tcW w:w="6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820" w:type="dxa"/>
            <w:vAlign w:val="bottom"/>
            <w:tcBorders>
              <w:top w:val="single" w:sz="8" w:color="auto"/>
            </w:tcBorders>
            <w:gridSpan w:val="4"/>
          </w:tcPr>
          <w:p>
            <w:pPr>
              <w:jc w:val="center"/>
              <w:ind w:left="435"/>
              <w:spacing w:after="0"/>
              <w:rPr>
                <w:sz w:val="20"/>
                <w:szCs w:val="20"/>
                <w:color w:val="auto"/>
              </w:rPr>
            </w:pPr>
            <w:r>
              <w:rPr>
                <w:rFonts w:ascii="Arial" w:cs="Arial" w:eastAsia="Arial" w:hAnsi="Arial"/>
                <w:sz w:val="14"/>
                <w:szCs w:val="14"/>
                <w:b w:val="1"/>
                <w:bCs w:val="1"/>
                <w:color w:val="auto"/>
                <w:w w:val="93"/>
              </w:rPr>
              <w:t>(Dollars in billions)</w:t>
            </w: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4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66,003</w:t>
            </w:r>
          </w:p>
        </w:tc>
        <w:tc>
          <w:tcPr>
            <w:tcW w:w="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67,841</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GME</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13,476</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2,913</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17.8%</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3"/>
              <w:spacing w:after="0"/>
              <w:rPr>
                <w:sz w:val="20"/>
                <w:szCs w:val="20"/>
                <w:color w:val="auto"/>
              </w:rPr>
            </w:pPr>
            <w:r>
              <w:rPr>
                <w:rFonts w:ascii="Arial" w:cs="Arial" w:eastAsia="Arial" w:hAnsi="Arial"/>
                <w:sz w:val="18"/>
                <w:szCs w:val="18"/>
                <w:color w:val="auto"/>
              </w:rPr>
              <w:t>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9,198</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10.4%</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(0.3)</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3460" w:type="dxa"/>
            <w:vAlign w:val="bottom"/>
          </w:tcPr>
          <w:p>
            <w:pPr>
              <w:ind w:left="40"/>
              <w:spacing w:after="0"/>
              <w:rPr>
                <w:sz w:val="20"/>
                <w:szCs w:val="20"/>
                <w:color w:val="auto"/>
              </w:rPr>
            </w:pPr>
            <w:r>
              <w:rPr>
                <w:rFonts w:ascii="Arial" w:cs="Arial" w:eastAsia="Arial" w:hAnsi="Arial"/>
                <w:sz w:val="18"/>
                <w:szCs w:val="18"/>
                <w:color w:val="auto"/>
              </w:rPr>
              <w:t>GMSA</w:t>
            </w: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6,543</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9,387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2,844</w:t>
            </w: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30.3%</w:t>
            </w:r>
          </w:p>
        </w:tc>
        <w:tc>
          <w:tcPr>
            <w:tcW w:w="14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1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c>
          <w:tcPr>
            <w:tcW w:w="140" w:type="dxa"/>
            <w:vAlign w:val="bottom"/>
            <w:tcBorders>
              <w:bottom w:val="single" w:sz="8" w:color="CCEEFF"/>
              <w:right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460" w:type="dxa"/>
            <w:vAlign w:val="bottom"/>
          </w:tcPr>
          <w:p>
            <w:pPr>
              <w:ind w:left="40"/>
              <w:spacing w:after="0"/>
              <w:rPr>
                <w:sz w:val="20"/>
                <w:szCs w:val="20"/>
                <w:color w:val="auto"/>
              </w:rPr>
            </w:pPr>
            <w:r>
              <w:rPr>
                <w:rFonts w:ascii="Arial" w:cs="Arial" w:eastAsia="Arial" w:hAnsi="Arial"/>
                <w:sz w:val="18"/>
                <w:szCs w:val="18"/>
                <w:color w:val="auto"/>
              </w:rPr>
              <w:t>Total automotive cost of sales</w:t>
            </w:r>
          </w:p>
        </w:tc>
        <w:tc>
          <w:tcPr>
            <w:tcW w:w="4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95,329</w:t>
            </w:r>
          </w:p>
        </w:tc>
        <w:tc>
          <w:tcPr>
            <w:tcW w:w="6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104,032</w:t>
            </w:r>
          </w:p>
        </w:tc>
        <w:tc>
          <w:tcPr>
            <w:tcW w:w="40" w:type="dxa"/>
            <w:vAlign w:val="bottom"/>
            <w:tcBorders>
              <w:top w:val="single" w:sz="8" w:color="auto"/>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8,703</w:t>
            </w:r>
          </w:p>
        </w:tc>
        <w:tc>
          <w:tcPr>
            <w:tcW w:w="40" w:type="dxa"/>
            <w:vAlign w:val="bottom"/>
            <w:tcBorders>
              <w:top w:val="single" w:sz="8" w:color="auto"/>
              <w:bottom w:val="single" w:sz="8" w:color="auto"/>
            </w:tcBorders>
          </w:tcPr>
          <w:p>
            <w:pPr>
              <w:spacing w:after="0"/>
              <w:rPr>
                <w:sz w:val="22"/>
                <w:szCs w:val="22"/>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8.4%</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3"/>
              <w:spacing w:after="0"/>
              <w:rPr>
                <w:sz w:val="20"/>
                <w:szCs w:val="20"/>
                <w:color w:val="auto"/>
              </w:rPr>
            </w:pPr>
            <w:r>
              <w:rPr>
                <w:rFonts w:ascii="Arial" w:cs="Arial" w:eastAsia="Arial" w:hAnsi="Arial"/>
                <w:sz w:val="18"/>
                <w:szCs w:val="18"/>
                <w:color w:val="auto"/>
              </w:rPr>
              <w:t>(0.2)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the regional sections of the MD&amp;A for additional information on volume and mix.</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three months ended September 30, 2015 favorable Other was due primarily to: (1) favorable net foreign currency effect of $2.1 billion due primarily to the weakening of the Euro, Brazilian Real, Canadian Dollar, Mexican Peso, British Pound, Korean Won and Columbian Peso against the U.S. Dollar; (2) favorable material and freight costs of $0.7 billion; (3) Russia long-lived asset impairments of $0.2 billion in 2014; and (4) separation charges related to the Bochum plant closing in GME of $0.2 billion in 2014.</w:t>
      </w:r>
    </w:p>
    <w:p>
      <w:pPr>
        <w:spacing w:after="0" w:line="187"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the nine months ended September 30, 2015 favorable Other was due primarily to: (1) favorable net foreign currency effect of $5.0 billion due primarily to the weakening of the Euro, Brazilian Real, Canadian Dollar, British Pound, Mexican Peso, Colombian Peso, Korean Won and Russian Ruble against the U.S. Dollar; partially offset by an increase in the Venezuela Bolivar Fuerte (BsF) devaluation; (2) a decrease in recall campaign and courtesy transportation charges, including catch-up adjustment, of $2.8 billion; (3) favorable material and freight costs of $1.4 billion; (4) separation charges related to the Bochum plant closing in GME of $0.5 billion in 2014; (5) favorable intangible asset amortization of $0.4 billion; and (6) Russia long-lived asset impairments of $0.2 billion in 2014; partially offset by (7) Thailand asset impairments of $0.3 billion; (8) costs related to the change in our business model in Russia of $0.2 billion; (9) costs related to the GMCL hourly pension plan curtailment and restructuring charges related to a voluntary separation program of $0.2 billion; and (10) Venezuela asset impairments of $0.1 billion.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Inventories</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Days on Hand</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200" w:type="dxa"/>
            <w:vAlign w:val="bottom"/>
          </w:tcPr>
          <w:p>
            <w:pPr>
              <w:spacing w:after="0"/>
              <w:rPr>
                <w:sz w:val="13"/>
                <w:szCs w:val="13"/>
                <w:color w:val="auto"/>
              </w:rPr>
            </w:pPr>
          </w:p>
        </w:tc>
        <w:tc>
          <w:tcPr>
            <w:tcW w:w="14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September 30, 2015</w:t>
            </w:r>
          </w:p>
        </w:tc>
        <w:tc>
          <w:tcPr>
            <w:tcW w:w="1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2014</w:t>
            </w:r>
          </w:p>
        </w:tc>
        <w:tc>
          <w:tcPr>
            <w:tcW w:w="200" w:type="dxa"/>
            <w:vAlign w:val="bottom"/>
          </w:tcPr>
          <w:p>
            <w:pPr>
              <w:spacing w:after="0"/>
              <w:rPr>
                <w:sz w:val="13"/>
                <w:szCs w:val="13"/>
                <w:color w:val="auto"/>
              </w:rPr>
            </w:pPr>
          </w:p>
        </w:tc>
        <w:tc>
          <w:tcPr>
            <w:tcW w:w="104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Increase/</w:t>
            </w: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September 30,</w:t>
            </w:r>
          </w:p>
        </w:tc>
        <w:tc>
          <w:tcPr>
            <w:tcW w:w="136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September 30,</w:t>
            </w:r>
          </w:p>
        </w:tc>
        <w:tc>
          <w:tcPr>
            <w:tcW w:w="12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Increase/</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5"/>
              <w:spacing w:after="0"/>
              <w:rPr>
                <w:sz w:val="20"/>
                <w:szCs w:val="20"/>
                <w:color w:val="auto"/>
              </w:rPr>
            </w:pPr>
            <w:r>
              <w:rPr>
                <w:rFonts w:ascii="Arial" w:cs="Arial" w:eastAsia="Arial" w:hAnsi="Arial"/>
                <w:sz w:val="14"/>
                <w:szCs w:val="14"/>
                <w:b w:val="1"/>
                <w:bCs w:val="1"/>
                <w:color w:val="auto"/>
              </w:rPr>
              <w:t>(Decrease)</w:t>
            </w:r>
          </w:p>
        </w:tc>
        <w:tc>
          <w:tcPr>
            <w:tcW w:w="140" w:type="dxa"/>
            <w:vAlign w:val="bottom"/>
            <w:tcBorders>
              <w:right w:val="single" w:sz="8" w:color="auto"/>
            </w:tcBorders>
          </w:tcPr>
          <w:p>
            <w:pPr>
              <w:spacing w:after="0"/>
              <w:rPr>
                <w:sz w:val="16"/>
                <w:szCs w:val="16"/>
                <w:color w:val="auto"/>
              </w:rPr>
            </w:pPr>
          </w:p>
        </w:tc>
        <w:tc>
          <w:tcPr>
            <w:tcW w:w="1340" w:type="dxa"/>
            <w:vAlign w:val="bottom"/>
            <w:gridSpan w:val="2"/>
          </w:tcPr>
          <w:p>
            <w:pPr>
              <w:jc w:val="center"/>
              <w:ind w:left="1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64"/>
        </w:trPr>
        <w:tc>
          <w:tcPr>
            <w:tcW w:w="320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(Dollars in millions)</w:t>
            </w:r>
          </w:p>
        </w:tc>
        <w:tc>
          <w:tcPr>
            <w:tcW w:w="20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GMNA</w:t>
            </w: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6,950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401</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GME</w:t>
            </w:r>
          </w:p>
        </w:tc>
        <w:tc>
          <w:tcPr>
            <w:tcW w:w="4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3,835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(834)</w:t>
            </w:r>
          </w:p>
        </w:tc>
        <w:tc>
          <w:tcPr>
            <w:tcW w:w="140" w:type="dxa"/>
            <w:vAlign w:val="bottom"/>
            <w:tcBorders>
              <w:right w:val="single" w:sz="8" w:color="auto"/>
            </w:tcBorders>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GMIO</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Borders>
              <w:bottom w:val="single" w:sz="8" w:color="CCEEFF"/>
              <w:right w:val="single" w:sz="8" w:color="auto"/>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GMSA</w:t>
            </w:r>
          </w:p>
        </w:tc>
        <w:tc>
          <w:tcPr>
            <w:tcW w:w="4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1,857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140" w:type="dxa"/>
            <w:vAlign w:val="bottom"/>
            <w:tcBorders>
              <w:right w:val="single" w:sz="8" w:color="auto"/>
            </w:tcBorders>
          </w:tcPr>
          <w:p>
            <w:pPr>
              <w:spacing w:after="0"/>
              <w:rPr>
                <w:sz w:val="21"/>
                <w:szCs w:val="21"/>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9"/>
              </w:rPr>
              <w:t>89</w:t>
            </w:r>
          </w:p>
        </w:tc>
        <w:tc>
          <w:tcPr>
            <w:tcW w:w="10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56</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14,368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15,210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40" w:type="dxa"/>
            <w:vAlign w:val="bottom"/>
            <w:tcBorders>
              <w:bottom w:val="single" w:sz="8" w:color="CCEEFF"/>
              <w:right w:val="single" w:sz="8" w:color="auto"/>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Days on hand is calculated as Inventories divided by Automotive cost of sales for the three months ended September 30 multiplied by 90.</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341" w:right="2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Other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(Dollars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3"/>
                <w:szCs w:val="13"/>
                <w:b w:val="1"/>
                <w:bCs w:val="1"/>
                <w:color w:val="auto"/>
              </w:rPr>
              <w:t>Nine Months Ended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44"/>
        </w:trPr>
        <w:tc>
          <w:tcPr>
            <w:tcW w:w="2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2"/>
                <w:szCs w:val="12"/>
                <w:color w:val="auto"/>
              </w:rPr>
            </w:pPr>
          </w:p>
        </w:tc>
        <w:tc>
          <w:tcPr>
            <w:tcW w:w="10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Favorable/</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2"/>
                <w:szCs w:val="12"/>
                <w:color w:val="auto"/>
              </w:rPr>
            </w:pPr>
          </w:p>
        </w:tc>
        <w:tc>
          <w:tcPr>
            <w:tcW w:w="10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September 30,</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4" w:lineRule="exact"/>
              <w:rPr>
                <w:sz w:val="20"/>
                <w:szCs w:val="20"/>
                <w:color w:val="auto"/>
              </w:rPr>
            </w:pPr>
            <w:r>
              <w:rPr>
                <w:rFonts w:ascii="Arial" w:cs="Arial" w:eastAsia="Arial" w:hAnsi="Arial"/>
                <w:sz w:val="13"/>
                <w:szCs w:val="13"/>
                <w:b w:val="1"/>
                <w:bCs w:val="1"/>
                <w:color w:val="auto"/>
                <w:w w:val="89"/>
              </w:rPr>
              <w:t>Favorable/</w:t>
            </w:r>
          </w:p>
        </w:tc>
        <w:tc>
          <w:tcPr>
            <w:tcW w:w="900" w:type="dxa"/>
            <w:vAlign w:val="bottom"/>
          </w:tcPr>
          <w:p>
            <w:pPr>
              <w:spacing w:after="0"/>
              <w:rPr>
                <w:sz w:val="12"/>
                <w:szCs w:val="12"/>
                <w:color w:val="auto"/>
              </w:rPr>
            </w:pPr>
          </w:p>
        </w:tc>
      </w:tr>
      <w:tr>
        <w:trPr>
          <w:trHeight w:val="174"/>
        </w:trPr>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10"/>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(Unfavorable)</w:t>
            </w:r>
          </w:p>
        </w:tc>
        <w:tc>
          <w:tcPr>
            <w:tcW w:w="900" w:type="dxa"/>
            <w:vAlign w:val="bottom"/>
          </w:tcPr>
          <w:p>
            <w:pPr>
              <w:jc w:val="right"/>
              <w:ind w:right="305"/>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10"/>
              <w:spacing w:after="0"/>
              <w:rPr>
                <w:sz w:val="20"/>
                <w:szCs w:val="20"/>
                <w:color w:val="auto"/>
              </w:rPr>
            </w:pPr>
            <w:r>
              <w:rPr>
                <w:rFonts w:ascii="Arial" w:cs="Arial" w:eastAsia="Arial" w:hAnsi="Arial"/>
                <w:sz w:val="13"/>
                <w:szCs w:val="13"/>
                <w:b w:val="1"/>
                <w:bCs w:val="1"/>
                <w:color w:val="auto"/>
              </w:rPr>
              <w:t>2015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08"/>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(Unfavorable)</w:t>
            </w:r>
          </w:p>
        </w:tc>
        <w:tc>
          <w:tcPr>
            <w:tcW w:w="900" w:type="dxa"/>
            <w:vAlign w:val="bottom"/>
          </w:tcPr>
          <w:p>
            <w:pPr>
              <w:jc w:val="right"/>
              <w:ind w:right="305"/>
              <w:spacing w:after="0"/>
              <w:rPr>
                <w:sz w:val="20"/>
                <w:szCs w:val="20"/>
                <w:color w:val="auto"/>
              </w:rPr>
            </w:pPr>
            <w:r>
              <w:rPr>
                <w:rFonts w:ascii="Arial" w:cs="Arial" w:eastAsia="Arial" w:hAnsi="Arial"/>
                <w:sz w:val="13"/>
                <w:szCs w:val="13"/>
                <w:b w:val="1"/>
                <w:bCs w:val="1"/>
                <w:color w:val="auto"/>
              </w:rPr>
              <w:t>%</w:t>
            </w:r>
          </w:p>
        </w:tc>
      </w:tr>
      <w:tr>
        <w:trPr>
          <w:trHeight w:val="206"/>
        </w:trPr>
        <w:tc>
          <w:tcPr>
            <w:tcW w:w="28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Automotive selling, general and</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9"/>
        </w:trPr>
        <w:tc>
          <w:tcPr>
            <w:tcW w:w="2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administrative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6"/>
                <w:szCs w:val="16"/>
                <w:color w:val="auto"/>
              </w:rPr>
              <w:t>4,282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48"/>
              <w:spacing w:after="0"/>
              <w:rPr>
                <w:sz w:val="20"/>
                <w:szCs w:val="20"/>
                <w:color w:val="auto"/>
              </w:rPr>
            </w:pPr>
            <w:r>
              <w:rPr>
                <w:rFonts w:ascii="Arial" w:cs="Arial" w:eastAsia="Arial" w:hAnsi="Arial"/>
                <w:sz w:val="16"/>
                <w:szCs w:val="16"/>
                <w:color w:val="auto"/>
              </w:rPr>
              <w:t>2,921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6"/>
                <w:szCs w:val="16"/>
                <w:color w:val="auto"/>
              </w:rPr>
              <w:t>10,376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6"/>
                <w:szCs w:val="16"/>
                <w:color w:val="auto"/>
              </w:rPr>
              <w:t>9,205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20"/>
        </w:trPr>
        <w:tc>
          <w:tcPr>
            <w:tcW w:w="2800" w:type="dxa"/>
            <w:vAlign w:val="bottom"/>
          </w:tcPr>
          <w:p>
            <w:pPr>
              <w:ind w:left="40"/>
              <w:spacing w:after="0"/>
              <w:rPr>
                <w:sz w:val="20"/>
                <w:szCs w:val="20"/>
                <w:color w:val="auto"/>
              </w:rPr>
            </w:pPr>
            <w:r>
              <w:rPr>
                <w:rFonts w:ascii="Arial" w:cs="Arial" w:eastAsia="Arial" w:hAnsi="Arial"/>
                <w:sz w:val="16"/>
                <w:szCs w:val="16"/>
                <w:color w:val="auto"/>
                <w:w w:val="96"/>
              </w:rPr>
              <w:t>Interest income and other non-operating</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06"/>
        </w:trPr>
        <w:tc>
          <w:tcPr>
            <w:tcW w:w="2800" w:type="dxa"/>
            <w:vAlign w:val="bottom"/>
          </w:tcPr>
          <w:p>
            <w:pPr>
              <w:ind w:left="200"/>
              <w:spacing w:after="0"/>
              <w:rPr>
                <w:sz w:val="20"/>
                <w:szCs w:val="20"/>
                <w:color w:val="auto"/>
              </w:rPr>
            </w:pPr>
            <w:r>
              <w:rPr>
                <w:rFonts w:ascii="Arial" w:cs="Arial" w:eastAsia="Arial" w:hAnsi="Arial"/>
                <w:sz w:val="16"/>
                <w:szCs w:val="16"/>
                <w:color w:val="auto"/>
              </w:rPr>
              <w:t>income, net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50"/>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8"/>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0"/>
              <w:spacing w:after="0"/>
              <w:rPr>
                <w:sz w:val="20"/>
                <w:szCs w:val="20"/>
                <w:color w:val="auto"/>
              </w:rPr>
            </w:pPr>
            <w:r>
              <w:rPr>
                <w:rFonts w:ascii="Arial" w:cs="Arial" w:eastAsia="Arial" w:hAnsi="Arial"/>
                <w:sz w:val="16"/>
                <w:szCs w:val="16"/>
                <w:color w:val="auto"/>
              </w:rPr>
              <w:t>373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8"/>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(36)</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(8.8)%</w:t>
            </w:r>
          </w:p>
        </w:tc>
      </w:tr>
    </w:tbl>
    <w:p>
      <w:pPr>
        <w:spacing w:after="0" w:line="235"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three months ended September 30, 2015 Automotive selling, general and administrative expense increased due primarily to: (1) charges for various legal matters related to the ignition switch recall of approximately $1.5 billion; partially offset by (2) favorable foreign currency effect of $0.2 billion.</w:t>
      </w:r>
    </w:p>
    <w:p>
      <w:pPr>
        <w:spacing w:after="0" w:line="124"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2015 Automotive selling, general and administrative expense increased due primarily to: (1) charges for various legal matters related to the ignition switch recall of approximately $1.5 billion; (2) costs related to the change in our business model in Russia of $0.1 billion; and (3) other individually insignificant unfavorable items of $0.3 billion; partially offset by (4) favorable foreign currency effect of $0.5 billion; and (5) decreased expense related to the ignition switch compensation fund of $0.2 billion.</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and nine months ended September 30, 2015 Interest income and other non-operating income, net decreased due primarily to the foreign currency effect related to intercompany foreign currency denominated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North America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6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tcPr>
          <w:p>
            <w:pPr>
              <w:jc w:val="center"/>
              <w:ind w:left="194"/>
              <w:spacing w:after="0"/>
              <w:rPr>
                <w:sz w:val="20"/>
                <w:szCs w:val="20"/>
                <w:color w:val="auto"/>
              </w:rPr>
            </w:pPr>
            <w:r>
              <w:rPr>
                <w:rFonts w:ascii="Arial" w:cs="Arial" w:eastAsia="Arial" w:hAnsi="Arial"/>
                <w:sz w:val="14"/>
                <w:szCs w:val="14"/>
                <w:b w:val="1"/>
                <w:bCs w:val="1"/>
                <w:color w:val="auto"/>
                <w:w w:val="93"/>
              </w:rPr>
              <w:t>Three Months Ended</w:t>
            </w: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600" w:type="dxa"/>
            <w:vAlign w:val="bottom"/>
          </w:tcPr>
          <w:p>
            <w:pPr>
              <w:spacing w:after="0"/>
              <w:rPr>
                <w:sz w:val="6"/>
                <w:szCs w:val="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September 30, 2015</w:t>
            </w:r>
          </w:p>
        </w:tc>
        <w:tc>
          <w:tcPr>
            <w:tcW w:w="14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September 30, 2014</w:t>
            </w: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Volume</w:t>
            </w:r>
          </w:p>
        </w:tc>
        <w:tc>
          <w:tcPr>
            <w:tcW w:w="28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27,794</w:t>
            </w:r>
          </w:p>
        </w:tc>
        <w:tc>
          <w:tcPr>
            <w:tcW w:w="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25,816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1,978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3,293</w:t>
            </w:r>
          </w:p>
        </w:tc>
        <w:tc>
          <w:tcPr>
            <w:tcW w:w="740" w:type="dxa"/>
            <w:vAlign w:val="bottom"/>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2,452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841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w w:val="90"/>
              </w:rPr>
              <w:t>(Vehicles in thousands)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0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3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938</w:t>
            </w:r>
          </w:p>
        </w:tc>
        <w:tc>
          <w:tcPr>
            <w:tcW w:w="740" w:type="dxa"/>
            <w:vAlign w:val="bottom"/>
          </w:tcPr>
          <w:p>
            <w:pPr>
              <w:spacing w:after="0"/>
              <w:rPr>
                <w:sz w:val="23"/>
                <w:szCs w:val="23"/>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834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20" w:type="dxa"/>
            <w:vAlign w:val="bottom"/>
            <w:gridSpan w:val="2"/>
            <w:vMerge w:val="restart"/>
          </w:tcPr>
          <w:p>
            <w:pPr>
              <w:jc w:val="center"/>
              <w:ind w:left="174"/>
              <w:spacing w:after="0"/>
              <w:rPr>
                <w:sz w:val="20"/>
                <w:szCs w:val="20"/>
                <w:color w:val="auto"/>
              </w:rPr>
            </w:pPr>
            <w:r>
              <w:rPr>
                <w:rFonts w:ascii="Arial" w:cs="Arial" w:eastAsia="Arial" w:hAnsi="Arial"/>
                <w:sz w:val="14"/>
                <w:szCs w:val="14"/>
                <w:b w:val="1"/>
                <w:bCs w:val="1"/>
                <w:color w:val="auto"/>
                <w:w w:val="94"/>
              </w:rPr>
              <w:t>Nine Months Ended</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60" w:type="dxa"/>
            <w:vAlign w:val="bottom"/>
            <w:gridSpan w:val="3"/>
            <w:vMerge w:val="restart"/>
          </w:tcPr>
          <w:p>
            <w:pPr>
              <w:jc w:val="right"/>
              <w:ind w:right="296"/>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2"/>
            <w:vMerge w:val="continue"/>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600" w:type="dxa"/>
            <w:vAlign w:val="bottom"/>
          </w:tcPr>
          <w:p>
            <w:pPr>
              <w:spacing w:after="0"/>
              <w:rPr>
                <w:sz w:val="6"/>
                <w:szCs w:val="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September 30, 2015</w:t>
            </w:r>
          </w:p>
        </w:tc>
        <w:tc>
          <w:tcPr>
            <w:tcW w:w="14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September 30, 2014</w:t>
            </w: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98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vMerge w:val="restart"/>
          </w:tcPr>
          <w:p>
            <w:pPr>
              <w:jc w:val="right"/>
              <w:ind w:right="96"/>
              <w:spacing w:after="0"/>
              <w:rPr>
                <w:sz w:val="20"/>
                <w:szCs w:val="20"/>
                <w:color w:val="auto"/>
              </w:rPr>
            </w:pPr>
            <w:r>
              <w:rPr>
                <w:rFonts w:ascii="Arial" w:cs="Arial" w:eastAsia="Arial" w:hAnsi="Arial"/>
                <w:sz w:val="14"/>
                <w:szCs w:val="14"/>
                <w:b w:val="1"/>
                <w:bCs w:val="1"/>
                <w:color w:val="auto"/>
                <w:w w:val="94"/>
              </w:rPr>
              <w:t>Volume</w:t>
            </w:r>
          </w:p>
        </w:tc>
        <w:tc>
          <w:tcPr>
            <w:tcW w:w="280" w:type="dxa"/>
            <w:vAlign w:val="bottom"/>
          </w:tcPr>
          <w:p>
            <w:pPr>
              <w:spacing w:after="0"/>
              <w:rPr>
                <w:sz w:val="6"/>
                <w:szCs w:val="6"/>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6"/>
                <w:szCs w:val="6"/>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6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9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00" w:type="dxa"/>
            <w:vAlign w:val="bottom"/>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78,951</w:t>
            </w:r>
          </w:p>
        </w:tc>
        <w:tc>
          <w:tcPr>
            <w:tcW w:w="7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75,891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3,060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8,255</w:t>
            </w:r>
          </w:p>
        </w:tc>
        <w:tc>
          <w:tcPr>
            <w:tcW w:w="740" w:type="dxa"/>
            <w:vAlign w:val="bottom"/>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4,394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3,861</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87.9%</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6"/>
              <w:spacing w:after="0"/>
              <w:rPr>
                <w:sz w:val="20"/>
                <w:szCs w:val="20"/>
                <w:color w:val="auto"/>
              </w:rPr>
            </w:pPr>
            <w:r>
              <w:rPr>
                <w:rFonts w:ascii="Arial" w:cs="Arial" w:eastAsia="Arial" w:hAnsi="Arial"/>
                <w:sz w:val="18"/>
                <w:szCs w:val="18"/>
                <w:color w:val="auto"/>
              </w:rPr>
              <w:t>1.5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81"/>
              <w:spacing w:after="0"/>
              <w:rPr>
                <w:sz w:val="20"/>
                <w:szCs w:val="20"/>
                <w:color w:val="auto"/>
              </w:rPr>
            </w:pPr>
            <w:r>
              <w:rPr>
                <w:rFonts w:ascii="Arial" w:cs="Arial" w:eastAsia="Arial" w:hAnsi="Arial"/>
                <w:sz w:val="18"/>
                <w:szCs w:val="18"/>
                <w:color w:val="auto"/>
              </w:rPr>
              <w:t>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w w:val="90"/>
              </w:rPr>
              <w:t>(Vehicles in thousands)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0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38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2,645</w:t>
            </w:r>
          </w:p>
        </w:tc>
        <w:tc>
          <w:tcPr>
            <w:tcW w:w="74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Total Net Sales and Revenue</w:t>
      </w:r>
    </w:p>
    <w:p>
      <w:pPr>
        <w:spacing w:after="0" w:line="225" w:lineRule="exact"/>
        <w:rPr>
          <w:sz w:val="20"/>
          <w:szCs w:val="20"/>
          <w:color w:val="auto"/>
        </w:rPr>
      </w:pPr>
    </w:p>
    <w:p>
      <w:pPr>
        <w:jc w:val="both"/>
        <w:ind w:firstLine="162"/>
        <w:spacing w:after="0" w:line="297" w:lineRule="auto"/>
        <w:rPr>
          <w:sz w:val="20"/>
          <w:szCs w:val="20"/>
          <w:color w:val="auto"/>
        </w:rPr>
      </w:pPr>
      <w:r>
        <w:rPr>
          <w:rFonts w:ascii="Arial" w:cs="Arial" w:eastAsia="Arial" w:hAnsi="Arial"/>
          <w:sz w:val="16"/>
          <w:szCs w:val="16"/>
          <w:color w:val="auto"/>
        </w:rPr>
        <w:t>In the three months ended September 30, 2015 Total net sales and revenue increased due primarily to: (1) increased wholesale volumes associated with the Chevrolet Colorado, Impala and Trax and GMC Canyon; partially offset by (2) unfavorable mix associated with increased rental car auction volumes on the Chevrolet Impala and the U.S. launch of the Chevrolet Trax, partially offset by favorable mix on full-size SUVs; (3) unfavorable pricing primarily related to carryover vehicles including full-size pick-ups, partially offset by favorable pricing on carryover full-size SUVs; and (4) unfavorable Other of $0.3 billion due primarily to unfavorable foreign currency effect related primarily to the weakening of the Canadian Dollar and Mexican Peso against the U.S. Dollar.</w:t>
      </w:r>
    </w:p>
    <w:p>
      <w:pPr>
        <w:spacing w:after="0" w:line="15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2015 Total net sales and revenue increased due primarily to: (1) increased wholesale volumes associated with the Chevrolet Colorado, Impala and Trax and GMC Canyon, partially offset by decreases in the Chevrolet Malibu; and (2) favorable mix associated with full-size SUVs, partially offset by increased rental car auction volumes on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Chevrolet Impala and the U.S. launch of the Chevrolet Trax; partially offset by (3) unfavorable pricing primarily related to carryover vehicles including full-size pick-ups, the Chevrolet Equinox and GMC Terrain, partially offset by favorable pricing on carryover full-size SUVs; and (4) unfavorable Other of $0.9 billion due primarily to the weakening of the Canadian Dollar and Mexican Peso against the U.S. Dollar.</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GMNA EBIT-Adjusted</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September 30, 2015 EBIT-adjusted increased due primarily to: (1) increased wholesale volumes; and (2) favorable Other of $0.4 billion due primarily to non-raw material and logistics cost performance of $0.5 billion and raw material cost performance of $0.2 billion, partially offset by other costs including engineering; partially offset by (3) unfavorable pricing primarily related to carryover vehicles; and (4) unfavorable mix.</w:t>
      </w:r>
    </w:p>
    <w:p>
      <w:pPr>
        <w:spacing w:after="0" w:line="166"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2015 EBIT-adjusted increased due primarily to: (1) increased wholesale volumes; (2) favorable mix; and (3) favorable Other of $3.0 billion due primarily to a decrease in recall-related charges of $2.0 billion, non-raw material and logistics cost performance of $1.3 billion and raw material cost performance of $0.2 billion, partially offset by the GMCL hourly pension plan curtailment and restructuring charges of $0.2 billion related to a voluntary separation program, and other costs including engineering; partially offset by (4) unfavorable pricing primarily related to carryover vehicles.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Recall Campaigns</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year ended December 31, 2014 we experienced a significant increase in the number of vehicles subject to recall in North America resulting in incremental charges for the estimated costs of parts and labor to repair these vehicles and courtesy transportation for certain recalls. There were approximately 36 million vehicles subject to recalls announced in the year ended December 31, 2014. This included approximately 10 million vehicles subject to multiple recalls and reflects the results of our ongoing comprehensive safety review, additional engineering analysis and our overall commitment to customer satisfaction. We expect to complete repairs on approximately 70% of the vehicles under these recalls by the end of 2015.</w:t>
      </w:r>
    </w:p>
    <w:p>
      <w:pPr>
        <w:spacing w:after="0" w:line="173"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table summarizes the activity for customer satisfaction campaigns, safety recalls, non-compliance recalls and special coverage in GMNA, including courtesy transportation (dollars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1,333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Adjustments to prior periods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31</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1,151</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Adjustments to prior periods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691</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3,478</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Additions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163</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Adjustments to prior periods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52</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3,056</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Adjustments to prior periods relate primarily to changes in estimated costs based on new information, including claims emergence and development patterns. Adjustments to prior periods in the three months ended June 30, 2014 included the catch-up adjustment associated with the change in estimate for previously sold vehicles of $0.9 billion partially offset by adjustments of $0.2 billion for courtesy transportation and repair costs.</w:t>
      </w:r>
    </w:p>
    <w:p>
      <w:pPr>
        <w:spacing w:after="0" w:line="166"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following table summarizes the $2.4 billion of charges recorded for the approximately 32 million vehicles subject to recalls announced in the nine months ended September 30, 2014 (vehicles in millions and dollars in billions):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Repair Issue</w:t>
            </w:r>
          </w:p>
        </w:tc>
        <w:tc>
          <w:tcPr>
            <w:tcW w:w="120" w:type="dxa"/>
            <w:vAlign w:val="bottom"/>
            <w:vMerge w:val="restart"/>
          </w:tcPr>
          <w:p>
            <w:pPr>
              <w:spacing w:after="0"/>
              <w:rPr>
                <w:sz w:val="14"/>
                <w:szCs w:val="14"/>
                <w:color w:val="auto"/>
              </w:rPr>
            </w:pPr>
          </w:p>
        </w:tc>
        <w:tc>
          <w:tcPr>
            <w:tcW w:w="6040" w:type="dxa"/>
            <w:vAlign w:val="bottom"/>
            <w:vMerge w:val="restart"/>
          </w:tcPr>
          <w:p>
            <w:pPr>
              <w:ind w:left="2120"/>
              <w:spacing w:after="0"/>
              <w:rPr>
                <w:sz w:val="20"/>
                <w:szCs w:val="20"/>
                <w:color w:val="auto"/>
              </w:rPr>
            </w:pPr>
            <w:r>
              <w:rPr>
                <w:rFonts w:ascii="Arial" w:cs="Arial" w:eastAsia="Arial" w:hAnsi="Arial"/>
                <w:sz w:val="14"/>
                <w:szCs w:val="14"/>
                <w:b w:val="1"/>
                <w:bCs w:val="1"/>
                <w:color w:val="auto"/>
              </w:rPr>
              <w:t>Vehicle Makes (Model Years)</w:t>
            </w:r>
          </w:p>
        </w:tc>
        <w:tc>
          <w:tcPr>
            <w:tcW w:w="120" w:type="dxa"/>
            <w:vAlign w:val="bottom"/>
            <w:vMerge w:val="restart"/>
          </w:tcPr>
          <w:p>
            <w:pPr>
              <w:spacing w:after="0"/>
              <w:rPr>
                <w:sz w:val="14"/>
                <w:szCs w:val="14"/>
                <w:color w:val="auto"/>
              </w:rPr>
            </w:pPr>
          </w:p>
        </w:tc>
        <w:tc>
          <w:tcPr>
            <w:tcW w:w="7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Vehicles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Charges</w:t>
            </w:r>
          </w:p>
        </w:tc>
        <w:tc>
          <w:tcPr>
            <w:tcW w:w="0" w:type="dxa"/>
            <w:vAlign w:val="bottom"/>
          </w:tcPr>
          <w:p>
            <w:pPr>
              <w:spacing w:after="0"/>
              <w:rPr>
                <w:sz w:val="1"/>
                <w:szCs w:val="1"/>
                <w:color w:val="auto"/>
              </w:rPr>
            </w:pPr>
          </w:p>
        </w:tc>
      </w:tr>
      <w:tr>
        <w:trPr>
          <w:trHeight w:val="192"/>
        </w:trPr>
        <w:tc>
          <w:tcPr>
            <w:tcW w:w="3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6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9"/>
              </w:rPr>
              <w:t>Recorded</w:t>
            </w:r>
          </w:p>
        </w:tc>
        <w:tc>
          <w:tcPr>
            <w:tcW w:w="0" w:type="dxa"/>
            <w:vAlign w:val="bottom"/>
          </w:tcPr>
          <w:p>
            <w:pPr>
              <w:spacing w:after="0"/>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Ignition switch</w:t>
            </w: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Certain Chevrolet, Pontiac &amp; Saturn (2003-2011)</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Ignition lock cylinders</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Certain Chevrolet, Pontiac &amp; Saturn (2003-2011)</w:t>
            </w:r>
          </w:p>
        </w:tc>
        <w:tc>
          <w:tcPr>
            <w:tcW w:w="900" w:type="dxa"/>
            <w:vAlign w:val="bottom"/>
            <w:gridSpan w:val="2"/>
          </w:tcPr>
          <w:p>
            <w:pPr>
              <w:ind w:left="480"/>
              <w:spacing w:after="0"/>
              <w:rPr>
                <w:sz w:val="20"/>
                <w:szCs w:val="20"/>
                <w:color w:val="auto"/>
              </w:rPr>
            </w:pPr>
            <w:r>
              <w:rPr>
                <w:rFonts w:ascii="Arial" w:cs="Arial" w:eastAsia="Arial" w:hAnsi="Arial"/>
                <w:sz w:val="18"/>
                <w:szCs w:val="18"/>
                <w:color w:val="auto"/>
              </w:rPr>
              <w:t>(a)</w:t>
            </w: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Electronic power steering</w:t>
            </w: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Certain Chevrolet, Pontiac &amp; Saturn (2003-2010)</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Side mounted airbag connector</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Certain Chevrolet, Buick, GMC &amp; Saturn (2008-2013)</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Brake lamp wiring harness</w:t>
            </w: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Certain Chevrolet, Pontiac &amp; Saturn (2004-2012)</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Front safety lap belt cables</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Certain Chevrolet, Buick, GMC &amp; Saturn (2009-2014)</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Shift cable</w:t>
            </w: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Certain Chevrolet, Cadillac, Pontiac &amp; Saturn (2004-2014)</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3460" w:type="dxa"/>
            <w:vAlign w:val="bottom"/>
            <w:gridSpan w:val="2"/>
          </w:tcPr>
          <w:p>
            <w:pPr>
              <w:ind w:left="40"/>
              <w:spacing w:after="0"/>
              <w:rPr>
                <w:sz w:val="20"/>
                <w:szCs w:val="20"/>
                <w:color w:val="auto"/>
              </w:rPr>
            </w:pPr>
            <w:r>
              <w:rPr>
                <w:rFonts w:ascii="Arial" w:cs="Arial" w:eastAsia="Arial" w:hAnsi="Arial"/>
                <w:sz w:val="18"/>
                <w:szCs w:val="18"/>
                <w:color w:val="auto"/>
              </w:rPr>
              <w:t>Ignition keys</w:t>
            </w:r>
          </w:p>
        </w:tc>
        <w:tc>
          <w:tcPr>
            <w:tcW w:w="6160" w:type="dxa"/>
            <w:vAlign w:val="bottom"/>
            <w:gridSpan w:val="2"/>
          </w:tcPr>
          <w:p>
            <w:pPr>
              <w:ind w:left="20"/>
              <w:spacing w:after="0"/>
              <w:rPr>
                <w:sz w:val="20"/>
                <w:szCs w:val="20"/>
                <w:color w:val="auto"/>
              </w:rPr>
            </w:pPr>
            <w:r>
              <w:rPr>
                <w:rFonts w:ascii="Arial" w:cs="Arial" w:eastAsia="Arial" w:hAnsi="Arial"/>
                <w:sz w:val="18"/>
                <w:szCs w:val="18"/>
                <w:color w:val="auto"/>
              </w:rPr>
              <w:t>Certain Chevrolet, Buick, Cadillac, Oldsmobile &amp; Pontiac (1997-2014)</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Courtesy transportation and various</w:t>
            </w:r>
          </w:p>
        </w:tc>
        <w:tc>
          <w:tcPr>
            <w:tcW w:w="6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recalls(b)</w:t>
            </w:r>
          </w:p>
        </w:tc>
        <w:tc>
          <w:tcPr>
            <w:tcW w:w="6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Various</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334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1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6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Vehicles affected by this Repair issue are included in the 2.6 million vehicles subject to the ignition switch repair.</w:t>
      </w:r>
    </w:p>
    <w:p>
      <w:pPr>
        <w:spacing w:after="0" w:line="9" w:lineRule="exact"/>
        <w:rPr>
          <w:rFonts w:ascii="Arial" w:cs="Arial" w:eastAsia="Arial" w:hAnsi="Arial"/>
          <w:sz w:val="16"/>
          <w:szCs w:val="16"/>
          <w:color w:val="auto"/>
        </w:rPr>
      </w:pPr>
    </w:p>
    <w:p>
      <w:pPr>
        <w:ind w:left="340" w:hanging="332"/>
        <w:spacing w:after="0" w:line="257"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Charges recorded for 3.5 million vehicles subject to recalls in the three months ended September 30, 2014 were comprehended in the June 30, 2014 catch-up adjustment of $0.9 billion associated with a change in estimate for previously sold vehicles.</w:t>
      </w:r>
    </w:p>
    <w:p>
      <w:pPr>
        <w:spacing w:after="0" w:line="15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Based on the per vehicle part and labor cost, number of vehicles impacted and the expected number of vehicles to be repaired we believe the amounts recorded are adequate to cover the costs of these recall campaigns.</w:t>
      </w:r>
    </w:p>
    <w:p>
      <w:pPr>
        <w:spacing w:after="0" w:line="170"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We are actively engaging customers and servicing vehicles affected by the ignition switch recalls announced in the three months ended March 31, 2014. We notified affected customers to schedule an appointment with their dealers as replacement parts are available. We began repairing vehicles in early April 2014 using parts that have undergone end-of-line quality inspection for performance of six critical operating parameters. We have produced sufficient parts to have the ability to repair all vehicles impacted by the ignition switch and ignition cylinder recalls. Through October 19, 2015 we had repaired approximately 69% of the 2.6 million vehicles initially subject to those ignition switch and ignition cylinder recalls.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Europe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79"/>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Favorable /</w:t>
            </w:r>
          </w:p>
        </w:tc>
        <w:tc>
          <w:tcPr>
            <w:tcW w:w="10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13"/>
                <w:szCs w:val="13"/>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13"/>
                <w:szCs w:val="13"/>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6"/>
                <w:szCs w:val="16"/>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0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4,556</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5,226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(Vehicles in thousands)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276</w:t>
            </w:r>
          </w:p>
        </w:tc>
        <w:tc>
          <w:tcPr>
            <w:tcW w:w="24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gridSpan w:val="3"/>
            <w:vMerge w:val="restart"/>
          </w:tcPr>
          <w:p>
            <w:pPr>
              <w:jc w:val="right"/>
              <w:ind w:right="577"/>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79"/>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Favorable /</w:t>
            </w:r>
          </w:p>
        </w:tc>
        <w:tc>
          <w:tcPr>
            <w:tcW w:w="10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13"/>
                <w:szCs w:val="13"/>
                <w:color w:val="auto"/>
              </w:rPr>
            </w:pPr>
          </w:p>
        </w:tc>
        <w:tc>
          <w:tcPr>
            <w:tcW w:w="6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40" w:type="dxa"/>
            <w:vAlign w:val="bottom"/>
          </w:tcPr>
          <w:p>
            <w:pPr>
              <w:spacing w:after="0"/>
              <w:rPr>
                <w:sz w:val="13"/>
                <w:szCs w:val="13"/>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13"/>
                <w:szCs w:val="13"/>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6"/>
                <w:szCs w:val="16"/>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0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13,992</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16,820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(515)</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47.2 %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21"/>
              <w:spacing w:after="0"/>
              <w:rPr>
                <w:sz w:val="20"/>
                <w:szCs w:val="20"/>
                <w:color w:val="auto"/>
              </w:rPr>
            </w:pPr>
            <w:r>
              <w:rPr>
                <w:rFonts w:ascii="Arial" w:cs="Arial" w:eastAsia="Arial" w:hAnsi="Arial"/>
                <w:sz w:val="18"/>
                <w:szCs w:val="18"/>
                <w:color w:val="auto"/>
              </w:rPr>
              <w:t>(0.1)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(Vehicles in thousands)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847</w:t>
            </w:r>
          </w:p>
        </w:tc>
        <w:tc>
          <w:tcPr>
            <w:tcW w:w="2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Total Net Sales and Revenue</w:t>
      </w:r>
    </w:p>
    <w:p>
      <w:pPr>
        <w:spacing w:after="0" w:line="225" w:lineRule="exact"/>
        <w:rPr>
          <w:sz w:val="20"/>
          <w:szCs w:val="20"/>
          <w:color w:val="auto"/>
        </w:rPr>
      </w:pPr>
    </w:p>
    <w:p>
      <w:pPr>
        <w:jc w:val="both"/>
        <w:ind w:firstLine="162"/>
        <w:spacing w:after="0" w:line="302" w:lineRule="auto"/>
        <w:rPr>
          <w:sz w:val="20"/>
          <w:szCs w:val="20"/>
          <w:color w:val="auto"/>
        </w:rPr>
      </w:pPr>
      <w:r>
        <w:rPr>
          <w:rFonts w:ascii="Arial" w:cs="Arial" w:eastAsia="Arial" w:hAnsi="Arial"/>
          <w:sz w:val="16"/>
          <w:szCs w:val="16"/>
          <w:color w:val="auto"/>
        </w:rPr>
        <w:t>In the three months ended September 30, 2015 Total net sales and revenue decreased due primarily to: (1) unfavorable Other of $0.9 billion due primarily to foreign currency effect due to the weakening of the Euro, British Pound and Russian Ruble against the U.S. Dollar; partially offset by (2) favorable pricing primarily related to the recently launched next generation Corsa and Vivaro; and (3) increased net wholesale volumes associated with higher demand for the KARL, Mokka and Vivaro; partially offset by decreases across the Russian portfolio and lower demand for the Zafira across the region.</w:t>
      </w:r>
    </w:p>
    <w:p>
      <w:pPr>
        <w:sectPr>
          <w:pgSz w:w="11900" w:h="16838" w:orient="portrait"/>
          <w:cols w:equalWidth="0" w:num="1">
            <w:col w:w="11420"/>
          </w:cols>
          <w:pgMar w:left="240" w:top="341" w:right="239" w:bottom="1440" w:gutter="0" w:footer="0" w:header="0"/>
        </w:sectPr>
      </w:pP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341" w:right="23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162"/>
        <w:spacing w:after="0" w:line="288" w:lineRule="auto"/>
        <w:rPr>
          <w:sz w:val="20"/>
          <w:szCs w:val="20"/>
          <w:color w:val="auto"/>
        </w:rPr>
      </w:pPr>
      <w:r>
        <w:rPr>
          <w:rFonts w:ascii="Arial" w:cs="Arial" w:eastAsia="Arial" w:hAnsi="Arial"/>
          <w:sz w:val="16"/>
          <w:szCs w:val="16"/>
          <w:color w:val="auto"/>
        </w:rPr>
        <w:t>In the nine months ended September 30, 2015 Total net sales and revenue decreased due primarily to: (1) decreased net wholesale volumes associated with decreases across the Russian portfolio and lower demand for the Zafira across the region; partially offset by higher demand primarily for the Mokka, Corsa, Vivaro and KARL across the region; (2) unfavorable mix due to increased sales of lower priced vehicles primarily the Corsa, KARL and carryover Astra; and</w:t>
      </w:r>
    </w:p>
    <w:p>
      <w:pPr>
        <w:ind w:firstLine="8"/>
        <w:spacing w:after="0" w:line="290" w:lineRule="auto"/>
        <w:tabs>
          <w:tab w:leader="none" w:pos="257" w:val="left"/>
        </w:tabs>
        <w:numPr>
          <w:ilvl w:val="0"/>
          <w:numId w:val="13"/>
        </w:numPr>
        <w:rPr>
          <w:rFonts w:ascii="Arial" w:cs="Arial" w:eastAsia="Arial" w:hAnsi="Arial"/>
          <w:sz w:val="17"/>
          <w:szCs w:val="17"/>
          <w:color w:val="auto"/>
        </w:rPr>
      </w:pPr>
      <w:r>
        <w:rPr>
          <w:rFonts w:ascii="Arial" w:cs="Arial" w:eastAsia="Arial" w:hAnsi="Arial"/>
          <w:sz w:val="17"/>
          <w:szCs w:val="17"/>
          <w:color w:val="auto"/>
        </w:rPr>
        <w:t>unfavorable Other of $2.8 billion due primarily to unfavorable foreign currency effect due to the weakening of the Euro, British Pound and Russian Ruble against the U.S. Dollar; partially offset by (4) favorable pricing primarily related to the recently launched next generation Corsa and Vivaro.</w:t>
      </w:r>
    </w:p>
    <w:p>
      <w:pPr>
        <w:spacing w:after="0" w:line="1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GME EBIT (Loss)-Adjusted</w:t>
      </w:r>
    </w:p>
    <w:p>
      <w:pPr>
        <w:spacing w:after="0" w:line="225"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In the three months ended September 30, 2015 EBIT (loss)-adjusted decreased due primarily to: (1) favorable pricing related to the recently launched next generation Corsa and Vivaro; partially offset by (2) unfavorable mix due to increased sales of lower priced vehicles primarily the KARL, carryover Astra and Corsa; and (3) flat Other due primarily to a net decrease in restructuring related charges of $0.2 billion; offset by unfavorable material costs of $0.1 billion related to the recently launched next generation Corsa and Vivaro and unfavorable foreign currency effect of $0.1 billion.</w:t>
      </w:r>
    </w:p>
    <w:p>
      <w:pPr>
        <w:spacing w:after="0" w:line="171"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nine months ended September 30, 2015 EBIT (loss)-adjusted decreased due primarily to: (1) favorable pricing related to the recently launched next generation Corsa and Vivaro; partially offset by (2) decreased net wholesale volumes associated with decreases across the Russian portfolio and lower demand for the Zafira across the region; partially offset by higher demand primarily for the Mokka, Corsa, Vivaro and KARL across the region; (3) unfavorable mix due to increased sales of lower priced vehicles primarily the Corsa, KARL and carryover Astra; and (4) flat Other due primarily to a net decrease in restructuring related charges of $0.5 billion; offset by unfavorable material costs of $0.2 billion primarily related to the recently launched next generation Corsa and Vivaro and unfavorable foreign currency effect of $0.2 billion.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International Operations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Focus on Chinese Market</w:t>
      </w:r>
    </w:p>
    <w:p>
      <w:pPr>
        <w:spacing w:after="0" w:line="22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We view the Chinese market as important to our global growth strategy and are employing a multi-brand strategy, led by our Buick and Chevrolet brands. In the coming years we plan to increasingly leverage our global architectures to increase the number of product offerings under the Buick, Chevrolet and Cadillac brands in China and continue to grow our business under the Baojun and Wuling brands. We operate in the Chinese market through a number of joint ventures and maintaining good relations with our joint venture partners, which are affiliated with the Chinese government, is an important part of our China growth strategy.</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tables summarize certain key operational and financial data for the Automotive China JVs (dollars in millions, vehicles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w w:val="93"/>
              </w:rPr>
              <w:t>Three Months Ended</w:t>
            </w:r>
          </w:p>
        </w:tc>
        <w:tc>
          <w:tcPr>
            <w:tcW w:w="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ind w:left="440"/>
              <w:spacing w:after="0"/>
              <w:rPr>
                <w:sz w:val="20"/>
                <w:szCs w:val="20"/>
                <w:color w:val="auto"/>
              </w:rPr>
            </w:pPr>
            <w:r>
              <w:rPr>
                <w:rFonts w:ascii="Arial" w:cs="Arial" w:eastAsia="Arial" w:hAnsi="Arial"/>
                <w:sz w:val="14"/>
                <w:szCs w:val="14"/>
                <w:b w:val="1"/>
                <w:bCs w:val="1"/>
                <w:color w:val="auto"/>
                <w:w w:val="96"/>
              </w:rPr>
              <w:t>Nine Months Ended</w:t>
            </w:r>
          </w:p>
        </w:tc>
        <w:tc>
          <w:tcPr>
            <w:tcW w:w="640" w:type="dxa"/>
            <w:vAlign w:val="bottom"/>
            <w:tcBorders>
              <w:bottom w:val="single" w:sz="8" w:color="auto"/>
            </w:tcBorders>
          </w:tcPr>
          <w:p>
            <w:pPr>
              <w:spacing w:after="0"/>
              <w:rPr>
                <w:sz w:val="16"/>
                <w:szCs w:val="16"/>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2015</w:t>
            </w: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 2014</w:t>
            </w:r>
          </w:p>
        </w:tc>
        <w:tc>
          <w:tcPr>
            <w:tcW w:w="124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September 30, 2015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2014</w:t>
            </w: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Wholesale vehicles including vehicles exported to markets outside of China</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2,622</w:t>
            </w: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2,632</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Total net sales and revenue</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9,889</w:t>
            </w:r>
          </w:p>
        </w:tc>
        <w:tc>
          <w:tcPr>
            <w:tcW w:w="120" w:type="dxa"/>
            <w:vAlign w:val="bottom"/>
          </w:tcPr>
          <w:p>
            <w:pPr>
              <w:spacing w:after="0"/>
              <w:rPr>
                <w:sz w:val="21"/>
                <w:szCs w:val="21"/>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8"/>
              <w:spacing w:after="0"/>
              <w:rPr>
                <w:sz w:val="20"/>
                <w:szCs w:val="20"/>
                <w:color w:val="auto"/>
              </w:rPr>
            </w:pPr>
            <w:r>
              <w:rPr>
                <w:rFonts w:ascii="Arial" w:cs="Arial" w:eastAsia="Arial" w:hAnsi="Arial"/>
                <w:sz w:val="18"/>
                <w:szCs w:val="18"/>
                <w:color w:val="auto"/>
                <w:w w:val="90"/>
              </w:rPr>
              <w:t>10,512</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31,097</w:t>
            </w:r>
          </w:p>
        </w:tc>
        <w:tc>
          <w:tcPr>
            <w:tcW w:w="7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0"/>
              <w:spacing w:after="0"/>
              <w:rPr>
                <w:sz w:val="20"/>
                <w:szCs w:val="20"/>
                <w:color w:val="auto"/>
              </w:rPr>
            </w:pPr>
            <w:r>
              <w:rPr>
                <w:rFonts w:ascii="Arial" w:cs="Arial" w:eastAsia="Arial" w:hAnsi="Arial"/>
                <w:sz w:val="18"/>
                <w:szCs w:val="18"/>
                <w:color w:val="auto"/>
                <w:w w:val="94"/>
              </w:rPr>
              <w:t>31,542</w:t>
            </w: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3,104</w:t>
            </w:r>
          </w:p>
        </w:tc>
        <w:tc>
          <w:tcPr>
            <w:tcW w:w="7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w:t>
            </w:r>
          </w:p>
        </w:tc>
      </w:tr>
      <w:tr>
        <w:trPr>
          <w:trHeight w:val="399"/>
        </w:trPr>
        <w:tc>
          <w:tcPr>
            <w:tcW w:w="60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0" w:type="dxa"/>
            <w:vAlign w:val="bottom"/>
            <w:tcBorders>
              <w:bottom w:val="single" w:sz="8" w:color="auto"/>
            </w:tcBorders>
            <w:gridSpan w:val="4"/>
          </w:tcPr>
          <w:p>
            <w:pPr>
              <w:jc w:val="right"/>
              <w:ind w:right="113"/>
              <w:spacing w:after="0"/>
              <w:rPr>
                <w:sz w:val="20"/>
                <w:szCs w:val="20"/>
                <w:color w:val="auto"/>
              </w:rPr>
            </w:pPr>
            <w:r>
              <w:rPr>
                <w:rFonts w:ascii="Arial" w:cs="Arial" w:eastAsia="Arial" w:hAnsi="Arial"/>
                <w:sz w:val="14"/>
                <w:szCs w:val="14"/>
                <w:b w:val="1"/>
                <w:bCs w:val="1"/>
                <w:color w:val="auto"/>
              </w:rPr>
              <w:t>September 30, 2015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90"/>
              </w:rPr>
              <w:t>December 31, 2014</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6,176</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Debt</w:t>
            </w: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151</w:t>
            </w: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 and EBIT-Adjusted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5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tcPr>
          <w:p>
            <w:pPr>
              <w:jc w:val="right"/>
              <w:ind w:right="537"/>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tcPr>
          <w:p>
            <w:pPr>
              <w:jc w:val="right"/>
              <w:ind w:right="296"/>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79"/>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Favorable /</w:t>
            </w:r>
          </w:p>
        </w:tc>
        <w:tc>
          <w:tcPr>
            <w:tcW w:w="10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13"/>
                <w:szCs w:val="13"/>
                <w:color w:val="auto"/>
              </w:rPr>
            </w:pP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80" w:type="dxa"/>
            <w:vAlign w:val="bottom"/>
          </w:tcPr>
          <w:p>
            <w:pPr>
              <w:spacing w:after="0"/>
              <w:rPr>
                <w:sz w:val="13"/>
                <w:szCs w:val="13"/>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3"/>
                <w:szCs w:val="13"/>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6"/>
                <w:szCs w:val="16"/>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0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3,016</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3,716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0.1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269</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(Vehicles in thousands)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56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140" w:type="dxa"/>
            <w:vAlign w:val="bottom"/>
          </w:tcPr>
          <w:p>
            <w:pPr>
              <w:spacing w:after="0"/>
              <w:rPr>
                <w:sz w:val="23"/>
                <w:szCs w:val="23"/>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146</w:t>
            </w:r>
          </w:p>
        </w:tc>
        <w:tc>
          <w:tcPr>
            <w:tcW w:w="240" w:type="dxa"/>
            <w:vAlign w:val="bottom"/>
          </w:tcPr>
          <w:p>
            <w:pPr>
              <w:spacing w:after="0"/>
              <w:rPr>
                <w:sz w:val="23"/>
                <w:szCs w:val="23"/>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60" w:type="dxa"/>
            <w:vAlign w:val="bottom"/>
            <w:gridSpan w:val="3"/>
            <w:vMerge w:val="restart"/>
          </w:tcPr>
          <w:p>
            <w:pPr>
              <w:jc w:val="right"/>
              <w:ind w:right="577"/>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60" w:type="dxa"/>
            <w:vAlign w:val="bottom"/>
            <w:gridSpan w:val="3"/>
            <w:vMerge w:val="restart"/>
          </w:tcPr>
          <w:p>
            <w:pPr>
              <w:jc w:val="right"/>
              <w:ind w:right="296"/>
              <w:spacing w:after="0"/>
              <w:rPr>
                <w:sz w:val="20"/>
                <w:szCs w:val="20"/>
                <w:color w:val="auto"/>
              </w:rPr>
            </w:pPr>
            <w:r>
              <w:rPr>
                <w:rFonts w:ascii="Arial" w:cs="Arial" w:eastAsia="Arial" w:hAnsi="Arial"/>
                <w:sz w:val="14"/>
                <w:szCs w:val="14"/>
                <w:b w:val="1"/>
                <w:bCs w:val="1"/>
                <w:color w:val="auto"/>
              </w:rPr>
              <w:t>Variance Due To</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gridSpan w:val="3"/>
            <w:vMerge w:val="continue"/>
          </w:tcPr>
          <w:p>
            <w:pPr>
              <w:spacing w:after="0"/>
              <w:rPr>
                <w:sz w:val="22"/>
                <w:szCs w:val="22"/>
                <w:color w:val="auto"/>
              </w:rPr>
            </w:pPr>
          </w:p>
        </w:tc>
        <w:tc>
          <w:tcPr>
            <w:tcW w:w="120" w:type="dxa"/>
            <w:vAlign w:val="bottom"/>
            <w:vMerge w:val="continue"/>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3"/>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3"/>
        </w:trPr>
        <w:tc>
          <w:tcPr>
            <w:tcW w:w="2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right="79"/>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3"/>
                <w:szCs w:val="13"/>
                <w:color w:val="auto"/>
              </w:rPr>
            </w:pPr>
          </w:p>
        </w:tc>
        <w:tc>
          <w:tcPr>
            <w:tcW w:w="122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4"/>
              </w:rPr>
              <w:t>Favorable /</w:t>
            </w:r>
          </w:p>
        </w:tc>
        <w:tc>
          <w:tcPr>
            <w:tcW w:w="104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13"/>
                <w:szCs w:val="13"/>
                <w:color w:val="auto"/>
              </w:rPr>
            </w:pP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80" w:type="dxa"/>
            <w:vAlign w:val="bottom"/>
          </w:tcPr>
          <w:p>
            <w:pPr>
              <w:spacing w:after="0"/>
              <w:rPr>
                <w:sz w:val="13"/>
                <w:szCs w:val="13"/>
                <w:color w:val="auto"/>
              </w:rPr>
            </w:pPr>
          </w:p>
        </w:tc>
        <w:tc>
          <w:tcPr>
            <w:tcW w:w="6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3"/>
                <w:szCs w:val="13"/>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Pr>
          <w:p>
            <w:pPr>
              <w:spacing w:after="0"/>
              <w:rPr>
                <w:sz w:val="16"/>
                <w:szCs w:val="16"/>
                <w:color w:val="auto"/>
              </w:rPr>
            </w:pPr>
          </w:p>
        </w:tc>
        <w:tc>
          <w:tcPr>
            <w:tcW w:w="1100" w:type="dxa"/>
            <w:vAlign w:val="bottom"/>
          </w:tcPr>
          <w:p>
            <w:pPr>
              <w:jc w:val="center"/>
              <w:ind w:right="57"/>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(Unfavorable)</w:t>
            </w:r>
          </w:p>
        </w:tc>
        <w:tc>
          <w:tcPr>
            <w:tcW w:w="10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5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146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(Dollars in millions)</w:t>
            </w:r>
          </w:p>
        </w:tc>
        <w:tc>
          <w:tcPr>
            <w:tcW w:w="1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6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2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9,181</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10,548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EBIT-adjusted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989</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19.7 %</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
              <w:spacing w:after="0"/>
              <w:rPr>
                <w:sz w:val="20"/>
                <w:szCs w:val="20"/>
                <w:color w:val="auto"/>
              </w:rPr>
            </w:pPr>
            <w:r>
              <w:rPr>
                <w:rFonts w:ascii="Arial" w:cs="Arial" w:eastAsia="Arial" w:hAnsi="Arial"/>
                <w:sz w:val="18"/>
                <w:szCs w:val="18"/>
                <w:color w:val="auto"/>
              </w:rPr>
              <w:t>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76"/>
              <w:spacing w:after="0"/>
              <w:rPr>
                <w:sz w:val="20"/>
                <w:szCs w:val="20"/>
                <w:color w:val="auto"/>
              </w:rPr>
            </w:pPr>
            <w:r>
              <w:rPr>
                <w:rFonts w:ascii="Arial" w:cs="Arial" w:eastAsia="Arial" w:hAnsi="Arial"/>
                <w:sz w:val="18"/>
                <w:szCs w:val="18"/>
                <w:color w:val="auto"/>
              </w:rPr>
              <w:t>0.2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460" w:type="dxa"/>
            <w:vAlign w:val="bottom"/>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(Vehicles in thousands)</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56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21"/>
                <w:szCs w:val="21"/>
                <w:color w:val="auto"/>
              </w:rPr>
            </w:pPr>
          </w:p>
        </w:tc>
        <w:tc>
          <w:tcPr>
            <w:tcW w:w="1100" w:type="dxa"/>
            <w:vAlign w:val="bottom"/>
          </w:tcPr>
          <w:p>
            <w:pPr>
              <w:jc w:val="right"/>
              <w:ind w:right="17"/>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Total Net Sales and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The vehicle sales of our Automotive China JVs are not reflected in Total net sales and revenue. The results of our joint ventures are recorded in Equity income, which is included in EBIT-adjusted above.</w:t>
      </w:r>
    </w:p>
    <w:p>
      <w:pPr>
        <w:spacing w:after="0" w:line="170" w:lineRule="exact"/>
        <w:rPr>
          <w:sz w:val="20"/>
          <w:szCs w:val="20"/>
          <w:color w:val="auto"/>
        </w:rPr>
      </w:pPr>
    </w:p>
    <w:p>
      <w:pPr>
        <w:jc w:val="both"/>
        <w:ind w:firstLine="162"/>
        <w:spacing w:after="0" w:line="255" w:lineRule="auto"/>
        <w:rPr>
          <w:sz w:val="20"/>
          <w:szCs w:val="20"/>
          <w:color w:val="auto"/>
        </w:rPr>
      </w:pPr>
      <w:r>
        <w:rPr>
          <w:rFonts w:ascii="Arial" w:cs="Arial" w:eastAsia="Arial" w:hAnsi="Arial"/>
          <w:sz w:val="18"/>
          <w:szCs w:val="18"/>
          <w:color w:val="auto"/>
        </w:rPr>
        <w:t>In the three months ended September 30, 2015 Total net sales and revenue decreased due primarily to: (1) decreased net wholesale volumes associated with decreased sales of the Spark, Sail, Tavera and Enjoy in India, decreased sales of the Aveo and Spin in Southeast Asia and decreased wholesale volumes of the Chevrolet Cruze in the Middle East, partially offset by increased sales of Chevrolet vehicles in the Korea domestic market and increased sales of the Antara in Australia; and (2) unfavorable Other of $0.5 billion due primarily to unfavorable foreign currency effect due to the weakening of the Australian Dollar, Korean Won and South African Rand against the U.S. Dollar of $0.3 billion and decreased sales of components, parts and accessories of $0.1 billion; partially offset by (3) favorable mix primarily in the Middle East due to a higher proportion of higher priced full-size trucks and lower proportion of lower priced vehicles.</w:t>
      </w:r>
    </w:p>
    <w:p>
      <w:pPr>
        <w:spacing w:after="0" w:line="189"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8"/>
          <w:szCs w:val="18"/>
          <w:color w:val="auto"/>
        </w:rPr>
        <w:t>In the nine months ended September 30, 2015 Total net sales and revenue decreased due primarily to: (1) decreased net wholesale volumes associated with the withdrawal of the Chevrolet brand from Europe, decreased sales of the Colorado, Spin and Aveo in Southeast Asia, decreased sales of the Spark, Sail, Enjoy and Tavera in India, decreased sales of the Spark and Aveo in South Africa and decreased sales of the Chevrolet Cruze in Australia, partially offset by increased wholesale volumes of full-size trucks in the Middle East; and (2) unfavorable Other of $1.1 billion due primarily to unfavorable net foreign currency effect due to the weakening of the Australian Dollar, Korean Won and South African Rand against the U.S. Dollar of $0.7 billion and decreased sales of components, parts and accessories of $0.4 billion; partially offset by (3) favorable mix primarily in the Middle East due to a higher proportion of higher priced full-size trucks and lower proportion of lower priced vehicles; and (4) favorable pricing due primarily to the sale of full-size trucks in the Middle East.</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GMIO EBIT-Adjusted</w:t>
      </w:r>
    </w:p>
    <w:p>
      <w:pPr>
        <w:spacing w:after="0" w:line="225"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In the three months ended September 30, 2015 EBIT-adjusted remained flat due primarily to: (1) favorable mix in the Middle East; offset by (2) lower net wholesale volumes.</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2015 EBIT-adjusted increased due primarily to: (1) favorable mix and pricing in the Middle East due primarily to sales of new full-size trucks; partially offset by (2) lower net wholesale volumes; and (3) unfavorable Other of $0.1 billion due primarily to unfavorable net foreign currency effect of $0.2 billion.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South America</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 and EBIT (Loss)-Adjusted</w:t>
      </w:r>
    </w:p>
    <w:p>
      <w:pPr>
        <w:sectPr>
          <w:pgSz w:w="11900" w:h="16838" w:orient="portrait"/>
          <w:cols w:equalWidth="0" w:num="1">
            <w:col w:w="11420"/>
          </w:cols>
          <w:pgMar w:left="240" w:top="34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341" w:right="239" w:bottom="1440" w:gutter="0" w:footer="0" w:header="0"/>
          <w:type w:val="continuous"/>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4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tcPr>
          <w:p>
            <w:pPr>
              <w:jc w:val="center"/>
              <w:ind w:left="114"/>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11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40" w:type="dxa"/>
            <w:vAlign w:val="bottom"/>
          </w:tcPr>
          <w:p>
            <w:pPr>
              <w:spacing w:after="0"/>
              <w:rPr>
                <w:sz w:val="6"/>
                <w:szCs w:val="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September 30, 2015</w:t>
            </w:r>
          </w:p>
        </w:tc>
        <w:tc>
          <w:tcPr>
            <w:tcW w:w="14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September 30, 2014</w:t>
            </w: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80" w:type="dxa"/>
            <w:vAlign w:val="bottom"/>
          </w:tcPr>
          <w:p>
            <w:pPr>
              <w:spacing w:after="0"/>
              <w:rPr>
                <w:sz w:val="6"/>
                <w:szCs w:val="6"/>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1,738</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c>
          <w:tcPr>
            <w:tcW w:w="78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(578.1)%</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w w:val="90"/>
              </w:rPr>
              <w:t>(Vehicles in thousands)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4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4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w:t>
            </w:r>
          </w:p>
        </w:tc>
        <w:tc>
          <w:tcPr>
            <w:tcW w:w="780" w:type="dxa"/>
            <w:vAlign w:val="bottom"/>
          </w:tcPr>
          <w:p>
            <w:pPr>
              <w:spacing w:after="0"/>
              <w:rPr>
                <w:sz w:val="23"/>
                <w:szCs w:val="23"/>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righ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40" w:type="dxa"/>
            <w:vAlign w:val="bottom"/>
            <w:gridSpan w:val="2"/>
            <w:vMerge w:val="restart"/>
          </w:tcPr>
          <w:p>
            <w:pPr>
              <w:jc w:val="center"/>
              <w:ind w:left="114"/>
              <w:spacing w:after="0"/>
              <w:rPr>
                <w:sz w:val="20"/>
                <w:szCs w:val="20"/>
                <w:color w:val="auto"/>
              </w:rPr>
            </w:pPr>
            <w:r>
              <w:rPr>
                <w:rFonts w:ascii="Arial" w:cs="Arial" w:eastAsia="Arial" w:hAnsi="Arial"/>
                <w:sz w:val="14"/>
                <w:szCs w:val="14"/>
                <w:b w:val="1"/>
                <w:bCs w:val="1"/>
                <w:color w:val="auto"/>
                <w:w w:val="94"/>
              </w:rPr>
              <w:t>Nine Months Ended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Favorable /</w:t>
            </w: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gridSpan w:val="3"/>
            <w:vMerge w:val="restart"/>
          </w:tcPr>
          <w:p>
            <w:pPr>
              <w:jc w:val="right"/>
              <w:ind w:right="256"/>
              <w:spacing w:after="0"/>
              <w:rPr>
                <w:sz w:val="20"/>
                <w:szCs w:val="20"/>
                <w:color w:val="auto"/>
              </w:rPr>
            </w:pPr>
            <w:r>
              <w:rPr>
                <w:rFonts w:ascii="Arial" w:cs="Arial" w:eastAsia="Arial" w:hAnsi="Arial"/>
                <w:sz w:val="14"/>
                <w:szCs w:val="14"/>
                <w:b w:val="1"/>
                <w:bCs w:val="1"/>
                <w:color w:val="auto"/>
              </w:rPr>
              <w:t>Variance Due To</w:t>
            </w: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2"/>
            <w:vMerge w:val="continue"/>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continue"/>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2440" w:type="dxa"/>
            <w:vAlign w:val="bottom"/>
          </w:tcPr>
          <w:p>
            <w:pPr>
              <w:spacing w:after="0"/>
              <w:rPr>
                <w:sz w:val="6"/>
                <w:szCs w:val="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September 30, 2015</w:t>
            </w:r>
          </w:p>
        </w:tc>
        <w:tc>
          <w:tcPr>
            <w:tcW w:w="14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September 30, 2014</w:t>
            </w: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4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w w:val="94"/>
              </w:rPr>
              <w:t>Volume</w:t>
            </w:r>
          </w:p>
        </w:tc>
        <w:tc>
          <w:tcPr>
            <w:tcW w:w="260" w:type="dxa"/>
            <w:vAlign w:val="bottom"/>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Mix</w:t>
            </w:r>
          </w:p>
        </w:tc>
        <w:tc>
          <w:tcPr>
            <w:tcW w:w="280" w:type="dxa"/>
            <w:vAlign w:val="bottom"/>
          </w:tcPr>
          <w:p>
            <w:pPr>
              <w:spacing w:after="0"/>
              <w:rPr>
                <w:sz w:val="6"/>
                <w:szCs w:val="6"/>
                <w:color w:val="auto"/>
              </w:rPr>
            </w:pPr>
          </w:p>
        </w:tc>
        <w:tc>
          <w:tcPr>
            <w:tcW w:w="62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Price</w:t>
            </w:r>
          </w:p>
        </w:tc>
        <w:tc>
          <w:tcPr>
            <w:tcW w:w="260" w:type="dxa"/>
            <w:vAlign w:val="bottom"/>
          </w:tcPr>
          <w:p>
            <w:pPr>
              <w:spacing w:after="0"/>
              <w:rPr>
                <w:sz w:val="6"/>
                <w:szCs w:val="6"/>
                <w:color w:val="auto"/>
              </w:rPr>
            </w:pPr>
          </w:p>
        </w:tc>
        <w:tc>
          <w:tcPr>
            <w:tcW w:w="64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92"/>
        </w:trPr>
        <w:tc>
          <w:tcPr>
            <w:tcW w:w="24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(Unfavorable)</w:t>
            </w:r>
          </w:p>
        </w:tc>
        <w:tc>
          <w:tcPr>
            <w:tcW w:w="114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4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480" w:type="dxa"/>
            <w:vAlign w:val="bottom"/>
            <w:tcBorders>
              <w:top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4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(Dollars in billions)</w:t>
            </w:r>
          </w:p>
        </w:tc>
        <w:tc>
          <w:tcPr>
            <w:tcW w:w="260" w:type="dxa"/>
            <w:vAlign w:val="bottom"/>
            <w:tcBorders>
              <w:top w:val="single" w:sz="8" w:color="auto"/>
            </w:tcBorders>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sales and revenue</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5,939</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right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0.4</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EBIT (loss)-adjusted</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(575)</w:t>
            </w:r>
          </w:p>
        </w:tc>
        <w:tc>
          <w:tcPr>
            <w:tcW w:w="780" w:type="dxa"/>
            <w:vAlign w:val="bottom"/>
          </w:tcPr>
          <w:p>
            <w:pPr>
              <w:ind w:left="1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(113.8)%</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6"/>
              <w:spacing w:after="0"/>
              <w:rPr>
                <w:sz w:val="20"/>
                <w:szCs w:val="20"/>
                <w:color w:val="auto"/>
              </w:rPr>
            </w:pPr>
            <w:r>
              <w:rPr>
                <w:rFonts w:ascii="Arial" w:cs="Arial" w:eastAsia="Arial" w:hAnsi="Arial"/>
                <w:sz w:val="18"/>
                <w:szCs w:val="18"/>
                <w:color w:val="auto"/>
              </w:rPr>
              <w:t>0.8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w w:val="90"/>
              </w:rPr>
              <w:t>(Vehicles in thousands)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440" w:type="dxa"/>
            <w:vAlign w:val="bottom"/>
          </w:tcPr>
          <w:p>
            <w:pPr>
              <w:ind w:left="40"/>
              <w:spacing w:after="0"/>
              <w:rPr>
                <w:sz w:val="20"/>
                <w:szCs w:val="20"/>
                <w:color w:val="auto"/>
              </w:rPr>
            </w:pPr>
            <w:r>
              <w:rPr>
                <w:rFonts w:ascii="Arial" w:cs="Arial" w:eastAsia="Arial" w:hAnsi="Arial"/>
                <w:sz w:val="18"/>
                <w:szCs w:val="18"/>
                <w:color w:val="auto"/>
              </w:rPr>
              <w:t>Wholesale vehicle sales</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435</w:t>
            </w:r>
          </w:p>
        </w:tc>
        <w:tc>
          <w:tcPr>
            <w:tcW w:w="78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Total Net Sales and Revenue</w:t>
      </w:r>
    </w:p>
    <w:p>
      <w:pPr>
        <w:spacing w:after="0" w:line="225" w:lineRule="exact"/>
        <w:rPr>
          <w:sz w:val="20"/>
          <w:szCs w:val="20"/>
          <w:color w:val="auto"/>
        </w:rPr>
      </w:pPr>
    </w:p>
    <w:p>
      <w:pPr>
        <w:jc w:val="both"/>
        <w:ind w:firstLine="162"/>
        <w:spacing w:after="0" w:line="276" w:lineRule="auto"/>
        <w:rPr>
          <w:sz w:val="20"/>
          <w:szCs w:val="20"/>
          <w:color w:val="auto"/>
        </w:rPr>
      </w:pPr>
      <w:r>
        <w:rPr>
          <w:rFonts w:ascii="Arial" w:cs="Arial" w:eastAsia="Arial" w:hAnsi="Arial"/>
          <w:sz w:val="17"/>
          <w:szCs w:val="17"/>
          <w:color w:val="auto"/>
        </w:rPr>
        <w:t>In the three months ended September 30, 2015 Total net sales and revenue decreased due primarily to: (1) decreased net wholesale volumes across the portfolios in Brazil, Chile and Colombia caused by difficult economic conditions; and (2) unfavorable Other of $0.9 billion due primarily to unfavorable foreign currency effect due to the weakening of all currencies across the region against the U.S. Dollar; partially offset by (3) favorable vehicle mix due to increased sales of the Chevrolet Tracker in Brazil and the Chevrolet Silverado in Venezuela, partially offset by decreased sales of the Chevrolet Prisma, Cobalt, Onix and Classic in Brazil; and (4) favorable pricing due primarily to high inflation in Venezuela and Argentina.</w:t>
      </w:r>
    </w:p>
    <w:p>
      <w:pPr>
        <w:spacing w:after="0" w:line="173"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2015 Total net sales and revenue decreased due primarily to: (1) decreased net wholesale volumes across the portfolios in Brazil, Chile and Colombia caused by difficult economic conditions; and (2) unfavorable Other of $1.9 billion due primarily to unfavorable foreign currency effect due to the weakening of all currencies across the region against the U.S. Dollar; partially offset by (3) favorable pricing due primarily to high inflation in Venezuela and Argentina; and (4) favorable product and country mix.</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GMSA EBIT (Loss)-Adjusted</w:t>
      </w:r>
    </w:p>
    <w:p>
      <w:pPr>
        <w:spacing w:after="0" w:line="225"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In the three months ended September 30, 2015 EBIT (loss)-adjusted increased due primarily to: (1) decreased net wholesale volumes; and (2) unfavorable Other of $0.3 billion due to unfavorable foreign currency effect of $0.2 billion due to the weakening of all currencies across the region against the U.S. Dollar and unfavorable restructuring charges of $0.1 billion; partially offset by (3) favorable pricing; and (4) favorable product mix.</w:t>
      </w:r>
    </w:p>
    <w:p>
      <w:pPr>
        <w:spacing w:after="0" w:line="166"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2015 EBIT (loss)-adjusted increased due primarily to: (1) decreased net wholesale volumes; and (2) unfavorable Other of $0.6 billion due primarily to unfavorable foreign currency effect of $0.4 billion due to the weakening of all currencies across the region against the U.S. Dollar and unfavorable fixed costs of $0.2 billion; partially offset by (3) favorable pricing.</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Venezuelan Operations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Venezuelan subsidiaries' functional currency is the U.S. Dollar because of the hyperinflationary status of the Venezuelan economy.</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Effective March 31, 2014 we changed the exchange rate for remeasuring our Venezuelan subsidiaries’ non-U.S. Dollar denominated monetary assets and liabilities from the Venezuela official exchange rate to the rate determined by an auction process conducted by Venezuela’s SICAD. The devaluation resulted in a charge of $0.4 billion recorded in Automotive cost of sales in the three months ended March 31, 2014 that was treated as an adjustment for EBIT-adjusted reporting purposes.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firstLine="162"/>
        <w:spacing w:after="0" w:line="273" w:lineRule="auto"/>
        <w:rPr>
          <w:sz w:val="20"/>
          <w:szCs w:val="20"/>
          <w:color w:val="auto"/>
        </w:rPr>
      </w:pPr>
      <w:r>
        <w:rPr>
          <w:rFonts w:ascii="Arial" w:cs="Arial" w:eastAsia="Arial" w:hAnsi="Arial"/>
          <w:sz w:val="17"/>
          <w:szCs w:val="17"/>
          <w:color w:val="auto"/>
        </w:rPr>
        <w:t>In the three months ended June 30, 2015 we changed the exchange rate for remeasuring these net assets from the SICAD rate to the SIMADI rate, which was BsF 198 to $1.00 at June 30, 2015. This devaluation resulted in a charge of $0.6 billion recorded in Automotive cost of sales in the three months ended June 30, 2015 that was treated as an adjustment for EBIT-adjusted reporting purposes. SIMADI is a third currency exchange mechanism announced by the Venezuelan government in 2015. It is an open system of supply and demand expected to be limited to a small percentage of total U.S. Dollar transactions using official mechanisms. We believe the SIMADI rate is the most representative rate to be used for remeasurement, because it is more reflective of economic reality in Venezuela and future transactions, including dividends, at the SICAD rate appear unlikely.</w:t>
      </w:r>
    </w:p>
    <w:p>
      <w:pPr>
        <w:spacing w:after="0" w:line="178"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Due to the adverse movements in the foreign currency exchange rate and the continued weakness in the Venezuelan market we performed recoverability tests of certain assets, including our real and personal property assets, in the three months ended June 30, 2015. As a result we recorded asset impairment charges of $0.1 billion in Automotive cost of sales, which were treated as an adjustment for EBIT-adjusted reporting purposes.</w:t>
      </w:r>
    </w:p>
    <w:p>
      <w:pPr>
        <w:spacing w:after="0" w:line="166"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8"/>
          <w:szCs w:val="18"/>
          <w:color w:val="auto"/>
        </w:rPr>
        <w:t>At September 30, 2015 we continued to consolidate our Venezuelan subsidiaries because of recent developments, including participation in SICAD auctions in June 2015 and November 2014, settlements of preexisting debt in October and November 2014, execution of a labor agreement in November 2014 and vehicle production in the nine months ended September 30, 2015. Additionally we have the ability to continue vehicle production in a limited manner during the remainder of 2015. Absent ongoing vehicle production beyond 2015, our Venezuelan subsidiaries may require additional financial support beginning in 2016. At this time no decision has been made whether we will provide further financial support in 2016 if required. Despite the significant challenges in Venezuela this market continues to be important to us. We continue to monitor developments in Venezuela to assess whether government restrictions and exchange rate controls when considered with the economic environment in Venezuela evolve such that we no longer maintain a controlling financial interest. If a determination is made in the future that we no longer maintain control we may incur a charge based on exchange rates at September 30, 2015 of up to $0.1 billion primarily related to unsecured U.S. Dollar denominated receivables from our Venezuelan subsidiaries recorded at other consolidated entities.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Financial</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4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w w:val="90"/>
              </w:rPr>
              <w:t>Three Months Ended</w:t>
            </w:r>
          </w:p>
        </w:tc>
        <w:tc>
          <w:tcPr>
            <w:tcW w:w="5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w w:val="92"/>
              </w:rPr>
              <w:t>Nine Months Ended</w:t>
            </w:r>
          </w:p>
        </w:tc>
        <w:tc>
          <w:tcPr>
            <w:tcW w:w="5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vMerge w:val="restart"/>
          </w:tcPr>
          <w:p>
            <w:pPr>
              <w:jc w:val="right"/>
              <w:ind w:right="324"/>
              <w:spacing w:after="0"/>
              <w:rPr>
                <w:sz w:val="20"/>
                <w:szCs w:val="20"/>
                <w:color w:val="auto"/>
              </w:rPr>
            </w:pPr>
            <w:r>
              <w:rPr>
                <w:rFonts w:ascii="Arial" w:cs="Arial" w:eastAsia="Arial" w:hAnsi="Arial"/>
                <w:sz w:val="13"/>
                <w:szCs w:val="13"/>
                <w:b w:val="1"/>
                <w:bCs w:val="1"/>
                <w:color w:val="auto"/>
                <w:w w:val="92"/>
              </w:rPr>
              <w:t>Increase/</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4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460" w:type="dxa"/>
            <w:vAlign w:val="bottom"/>
          </w:tcPr>
          <w:p>
            <w:pPr>
              <w:spacing w:after="0"/>
              <w:rPr>
                <w:sz w:val="15"/>
                <w:szCs w:val="15"/>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2"/>
              </w:rPr>
              <w:t>September 30, 2015</w:t>
            </w: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87"/>
              </w:rPr>
              <w:t>September 30, 2014</w:t>
            </w:r>
          </w:p>
        </w:tc>
        <w:tc>
          <w:tcPr>
            <w:tcW w:w="142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3"/>
                <w:szCs w:val="13"/>
                <w:b w:val="1"/>
                <w:bCs w:val="1"/>
                <w:color w:val="auto"/>
                <w:w w:val="97"/>
              </w:rPr>
              <w:t>Increase/(Decrease)</w:t>
            </w:r>
          </w:p>
        </w:tc>
        <w:tc>
          <w:tcPr>
            <w:tcW w:w="90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2"/>
              </w:rPr>
              <w:t>September 30, 2015</w:t>
            </w: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88"/>
              </w:rPr>
              <w:t>September 30, 2014</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84"/>
              <w:spacing w:after="0"/>
              <w:rPr>
                <w:sz w:val="20"/>
                <w:szCs w:val="20"/>
                <w:color w:val="auto"/>
              </w:rPr>
            </w:pPr>
            <w:r>
              <w:rPr>
                <w:rFonts w:ascii="Arial" w:cs="Arial" w:eastAsia="Arial" w:hAnsi="Arial"/>
                <w:sz w:val="13"/>
                <w:szCs w:val="13"/>
                <w:b w:val="1"/>
                <w:bCs w:val="1"/>
                <w:color w:val="auto"/>
                <w:w w:val="84"/>
              </w:rPr>
              <w:t>(Decrease)</w:t>
            </w:r>
          </w:p>
        </w:tc>
        <w:tc>
          <w:tcPr>
            <w:tcW w:w="72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9"/>
        </w:trPr>
        <w:tc>
          <w:tcPr>
            <w:tcW w:w="2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80" w:type="dxa"/>
            <w:vAlign w:val="bottom"/>
            <w:gridSpan w:val="2"/>
          </w:tcPr>
          <w:p>
            <w:pPr>
              <w:ind w:left="180"/>
              <w:spacing w:after="0"/>
              <w:rPr>
                <w:sz w:val="20"/>
                <w:szCs w:val="20"/>
                <w:color w:val="auto"/>
              </w:rPr>
            </w:pPr>
            <w:r>
              <w:rPr>
                <w:rFonts w:ascii="Arial" w:cs="Arial" w:eastAsia="Arial" w:hAnsi="Arial"/>
                <w:sz w:val="13"/>
                <w:szCs w:val="13"/>
                <w:b w:val="1"/>
                <w:bCs w:val="1"/>
                <w:color w:val="auto"/>
                <w:w w:val="97"/>
              </w:rPr>
              <w:t>(Dollars in millions)</w:t>
            </w:r>
          </w:p>
        </w:tc>
        <w:tc>
          <w:tcPr>
            <w:tcW w:w="7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1,707</w:t>
            </w:r>
          </w:p>
        </w:tc>
        <w:tc>
          <w:tcPr>
            <w:tcW w:w="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4"/>
              </w:rPr>
              <w:t>1,261</w:t>
            </w:r>
          </w:p>
        </w:tc>
        <w:tc>
          <w:tcPr>
            <w:tcW w:w="50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446</w:t>
            </w:r>
          </w:p>
        </w:tc>
        <w:tc>
          <w:tcPr>
            <w:tcW w:w="9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6"/>
                <w:szCs w:val="16"/>
                <w:color w:val="auto"/>
              </w:rPr>
              <w:t>35.4 %</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4,576</w:t>
            </w:r>
          </w:p>
        </w:tc>
        <w:tc>
          <w:tcPr>
            <w:tcW w:w="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99"/>
              </w:rPr>
              <w:t>3,549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44"/>
              <w:spacing w:after="0"/>
              <w:rPr>
                <w:sz w:val="20"/>
                <w:szCs w:val="20"/>
                <w:color w:val="auto"/>
              </w:rPr>
            </w:pPr>
            <w:r>
              <w:rPr>
                <w:rFonts w:ascii="Arial" w:cs="Arial" w:eastAsia="Arial" w:hAnsi="Arial"/>
                <w:sz w:val="16"/>
                <w:szCs w:val="16"/>
                <w:color w:val="auto"/>
              </w:rPr>
              <w:t>1,027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28.9 %</w:t>
            </w:r>
          </w:p>
        </w:tc>
        <w:tc>
          <w:tcPr>
            <w:tcW w:w="0" w:type="dxa"/>
            <w:vAlign w:val="bottom"/>
          </w:tcPr>
          <w:p>
            <w:pPr>
              <w:spacing w:after="0"/>
              <w:rPr>
                <w:sz w:val="1"/>
                <w:szCs w:val="1"/>
                <w:color w:val="auto"/>
              </w:rPr>
            </w:pPr>
          </w:p>
        </w:tc>
      </w:tr>
      <w:tr>
        <w:trPr>
          <w:trHeight w:val="237"/>
        </w:trPr>
        <w:tc>
          <w:tcPr>
            <w:tcW w:w="2460" w:type="dxa"/>
            <w:vAlign w:val="bottom"/>
          </w:tcPr>
          <w:p>
            <w:pPr>
              <w:ind w:left="40"/>
              <w:spacing w:after="0"/>
              <w:rPr>
                <w:sz w:val="20"/>
                <w:szCs w:val="20"/>
                <w:color w:val="auto"/>
              </w:rPr>
            </w:pPr>
            <w:r>
              <w:rPr>
                <w:rFonts w:ascii="Arial" w:cs="Arial" w:eastAsia="Arial" w:hAnsi="Arial"/>
                <w:sz w:val="16"/>
                <w:szCs w:val="16"/>
                <w:color w:val="auto"/>
              </w:rPr>
              <w:t>Provision for loan losses</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42"/>
              <w:spacing w:after="0"/>
              <w:rPr>
                <w:sz w:val="20"/>
                <w:szCs w:val="20"/>
                <w:color w:val="auto"/>
              </w:rPr>
            </w:pPr>
            <w:r>
              <w:rPr>
                <w:rFonts w:ascii="Arial" w:cs="Arial" w:eastAsia="Arial" w:hAnsi="Arial"/>
                <w:sz w:val="16"/>
                <w:szCs w:val="16"/>
                <w:color w:val="auto"/>
              </w:rPr>
              <w:t>144</w:t>
            </w:r>
          </w:p>
        </w:tc>
        <w:tc>
          <w:tcPr>
            <w:tcW w:w="620" w:type="dxa"/>
            <w:vAlign w:val="bottom"/>
          </w:tcPr>
          <w:p>
            <w:pPr>
              <w:ind w:left="8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79"/>
              <w:spacing w:after="0"/>
              <w:rPr>
                <w:sz w:val="20"/>
                <w:szCs w:val="20"/>
                <w:color w:val="auto"/>
              </w:rPr>
            </w:pPr>
            <w:r>
              <w:rPr>
                <w:rFonts w:ascii="Arial" w:cs="Arial" w:eastAsia="Arial" w:hAnsi="Arial"/>
                <w:sz w:val="16"/>
                <w:szCs w:val="16"/>
                <w:color w:val="auto"/>
              </w:rPr>
              <w:t>160</w:t>
            </w:r>
          </w:p>
        </w:tc>
        <w:tc>
          <w:tcPr>
            <w:tcW w:w="500" w:type="dxa"/>
            <w:vAlign w:val="bottom"/>
          </w:tcPr>
          <w:p>
            <w:pPr>
              <w:jc w:val="right"/>
              <w:ind w:right="203"/>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(16)</w:t>
            </w:r>
          </w:p>
        </w:tc>
        <w:tc>
          <w:tcPr>
            <w:tcW w:w="900" w:type="dxa"/>
            <w:vAlign w:val="bottom"/>
          </w:tcPr>
          <w:p>
            <w:pPr>
              <w:jc w:val="right"/>
              <w:ind w:right="67"/>
              <w:spacing w:after="0"/>
              <w:rPr>
                <w:sz w:val="20"/>
                <w:szCs w:val="20"/>
                <w:color w:val="auto"/>
              </w:rPr>
            </w:pPr>
            <w:r>
              <w:rPr>
                <w:rFonts w:ascii="Arial" w:cs="Arial" w:eastAsia="Arial" w:hAnsi="Arial"/>
                <w:sz w:val="16"/>
                <w:szCs w:val="16"/>
                <w:color w:val="auto"/>
              </w:rPr>
              <w:t>(10.0)%</w:t>
            </w: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22"/>
              <w:spacing w:after="0"/>
              <w:rPr>
                <w:sz w:val="20"/>
                <w:szCs w:val="20"/>
                <w:color w:val="auto"/>
              </w:rPr>
            </w:pPr>
            <w:r>
              <w:rPr>
                <w:rFonts w:ascii="Arial" w:cs="Arial" w:eastAsia="Arial" w:hAnsi="Arial"/>
                <w:sz w:val="16"/>
                <w:szCs w:val="16"/>
                <w:color w:val="auto"/>
              </w:rPr>
              <w:t>440</w:t>
            </w:r>
          </w:p>
        </w:tc>
        <w:tc>
          <w:tcPr>
            <w:tcW w:w="620" w:type="dxa"/>
            <w:vAlign w:val="bottom"/>
          </w:tcPr>
          <w:p>
            <w:pPr>
              <w:ind w:left="8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408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44"/>
              <w:spacing w:after="0"/>
              <w:rPr>
                <w:sz w:val="20"/>
                <w:szCs w:val="20"/>
                <w:color w:val="auto"/>
              </w:rPr>
            </w:pPr>
            <w:r>
              <w:rPr>
                <w:rFonts w:ascii="Arial" w:cs="Arial" w:eastAsia="Arial" w:hAnsi="Arial"/>
                <w:sz w:val="16"/>
                <w:szCs w:val="16"/>
                <w:color w:val="auto"/>
              </w:rPr>
              <w:t>32</w:t>
            </w:r>
          </w:p>
        </w:tc>
        <w:tc>
          <w:tcPr>
            <w:tcW w:w="720" w:type="dxa"/>
            <w:vAlign w:val="bottom"/>
          </w:tcPr>
          <w:p>
            <w:pPr>
              <w:jc w:val="right"/>
              <w:spacing w:after="0"/>
              <w:rPr>
                <w:sz w:val="20"/>
                <w:szCs w:val="20"/>
                <w:color w:val="auto"/>
              </w:rPr>
            </w:pPr>
            <w:r>
              <w:rPr>
                <w:rFonts w:ascii="Arial" w:cs="Arial" w:eastAsia="Arial" w:hAnsi="Arial"/>
                <w:sz w:val="16"/>
                <w:szCs w:val="16"/>
                <w:color w:val="auto"/>
              </w:rPr>
              <w:t>7.8 %</w:t>
            </w:r>
          </w:p>
        </w:tc>
        <w:tc>
          <w:tcPr>
            <w:tcW w:w="0" w:type="dxa"/>
            <w:vAlign w:val="bottom"/>
          </w:tcPr>
          <w:p>
            <w:pPr>
              <w:spacing w:after="0"/>
              <w:rPr>
                <w:sz w:val="1"/>
                <w:szCs w:val="1"/>
                <w:color w:val="auto"/>
              </w:rPr>
            </w:pPr>
          </w:p>
        </w:tc>
      </w:tr>
      <w:tr>
        <w:trPr>
          <w:trHeight w:val="33"/>
        </w:trPr>
        <w:tc>
          <w:tcPr>
            <w:tcW w:w="2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adjusted</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231</w:t>
            </w:r>
          </w:p>
        </w:tc>
        <w:tc>
          <w:tcPr>
            <w:tcW w:w="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205</w:t>
            </w:r>
          </w:p>
        </w:tc>
        <w:tc>
          <w:tcPr>
            <w:tcW w:w="50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26</w:t>
            </w:r>
          </w:p>
        </w:tc>
        <w:tc>
          <w:tcPr>
            <w:tcW w:w="9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6"/>
                <w:szCs w:val="16"/>
                <w:color w:val="auto"/>
              </w:rPr>
              <w:t>12.7 %</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670</w:t>
            </w:r>
          </w:p>
        </w:tc>
        <w:tc>
          <w:tcPr>
            <w:tcW w:w="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684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04"/>
              <w:spacing w:after="0"/>
              <w:rPr>
                <w:sz w:val="20"/>
                <w:szCs w:val="20"/>
                <w:color w:val="auto"/>
              </w:rPr>
            </w:pPr>
            <w:r>
              <w:rPr>
                <w:rFonts w:ascii="Arial" w:cs="Arial" w:eastAsia="Arial" w:hAnsi="Arial"/>
                <w:sz w:val="16"/>
                <w:szCs w:val="16"/>
                <w:color w:val="auto"/>
              </w:rPr>
              <w:t>(14)</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62"/>
        </w:trPr>
        <w:tc>
          <w:tcPr>
            <w:tcW w:w="2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80" w:type="dxa"/>
            <w:vAlign w:val="bottom"/>
            <w:gridSpan w:val="2"/>
          </w:tcPr>
          <w:p>
            <w:pPr>
              <w:ind w:left="200"/>
              <w:spacing w:after="0"/>
              <w:rPr>
                <w:sz w:val="20"/>
                <w:szCs w:val="20"/>
                <w:color w:val="auto"/>
              </w:rPr>
            </w:pPr>
            <w:r>
              <w:rPr>
                <w:rFonts w:ascii="Arial" w:cs="Arial" w:eastAsia="Arial" w:hAnsi="Arial"/>
                <w:sz w:val="13"/>
                <w:szCs w:val="13"/>
                <w:b w:val="1"/>
                <w:bCs w:val="1"/>
                <w:color w:val="auto"/>
                <w:w w:val="99"/>
              </w:rPr>
              <w:t>(Dollars in billions)</w:t>
            </w: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2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Average debt outstanding</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46.7</w:t>
            </w:r>
          </w:p>
        </w:tc>
        <w:tc>
          <w:tcPr>
            <w:tcW w:w="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33.2</w:t>
            </w:r>
          </w:p>
        </w:tc>
        <w:tc>
          <w:tcPr>
            <w:tcW w:w="500" w:type="dxa"/>
            <w:vAlign w:val="bottom"/>
            <w:tcBorders>
              <w:bottom w:val="single" w:sz="8" w:color="CCEEFF"/>
            </w:tcBorders>
            <w:shd w:val="clear" w:color="auto" w:fill="CCEEFF"/>
          </w:tcPr>
          <w:p>
            <w:pPr>
              <w:jc w:val="right"/>
              <w:ind w:right="203"/>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13.5</w:t>
            </w:r>
          </w:p>
        </w:tc>
        <w:tc>
          <w:tcPr>
            <w:tcW w:w="900" w:type="dxa"/>
            <w:vAlign w:val="bottom"/>
            <w:tcBorders>
              <w:bottom w:val="single" w:sz="8" w:color="CCEEFF"/>
            </w:tcBorders>
            <w:shd w:val="clear" w:color="auto" w:fill="CCEEFF"/>
          </w:tcPr>
          <w:p>
            <w:pPr>
              <w:jc w:val="right"/>
              <w:ind w:right="67"/>
              <w:spacing w:after="0"/>
              <w:rPr>
                <w:sz w:val="20"/>
                <w:szCs w:val="20"/>
                <w:color w:val="auto"/>
              </w:rPr>
            </w:pPr>
            <w:r>
              <w:rPr>
                <w:rFonts w:ascii="Arial" w:cs="Arial" w:eastAsia="Arial" w:hAnsi="Arial"/>
                <w:sz w:val="16"/>
                <w:szCs w:val="16"/>
                <w:color w:val="auto"/>
              </w:rPr>
              <w:t>40.7 %</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22"/>
              <w:spacing w:after="0"/>
              <w:rPr>
                <w:sz w:val="20"/>
                <w:szCs w:val="20"/>
                <w:color w:val="auto"/>
              </w:rPr>
            </w:pPr>
            <w:r>
              <w:rPr>
                <w:rFonts w:ascii="Arial" w:cs="Arial" w:eastAsia="Arial" w:hAnsi="Arial"/>
                <w:sz w:val="16"/>
                <w:szCs w:val="16"/>
                <w:color w:val="auto"/>
              </w:rPr>
              <w:t>42.1</w:t>
            </w:r>
          </w:p>
        </w:tc>
        <w:tc>
          <w:tcPr>
            <w:tcW w:w="6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344"/>
              <w:spacing w:after="0"/>
              <w:rPr>
                <w:sz w:val="20"/>
                <w:szCs w:val="20"/>
                <w:color w:val="auto"/>
              </w:rPr>
            </w:pPr>
            <w:r>
              <w:rPr>
                <w:rFonts w:ascii="Arial" w:cs="Arial" w:eastAsia="Arial" w:hAnsi="Arial"/>
                <w:sz w:val="16"/>
                <w:szCs w:val="16"/>
                <w:color w:val="auto"/>
              </w:rPr>
              <w:t>10.8</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34.5 %</w:t>
            </w:r>
          </w:p>
        </w:tc>
        <w:tc>
          <w:tcPr>
            <w:tcW w:w="0" w:type="dxa"/>
            <w:vAlign w:val="bottom"/>
          </w:tcPr>
          <w:p>
            <w:pPr>
              <w:spacing w:after="0"/>
              <w:rPr>
                <w:sz w:val="1"/>
                <w:szCs w:val="1"/>
                <w:color w:val="auto"/>
              </w:rPr>
            </w:pPr>
          </w:p>
        </w:tc>
      </w:tr>
      <w:tr>
        <w:trPr>
          <w:trHeight w:val="237"/>
        </w:trPr>
        <w:tc>
          <w:tcPr>
            <w:tcW w:w="2460" w:type="dxa"/>
            <w:vAlign w:val="bottom"/>
          </w:tcPr>
          <w:p>
            <w:pPr>
              <w:ind w:left="40"/>
              <w:spacing w:after="0"/>
              <w:rPr>
                <w:sz w:val="20"/>
                <w:szCs w:val="20"/>
                <w:color w:val="auto"/>
              </w:rPr>
            </w:pPr>
            <w:r>
              <w:rPr>
                <w:rFonts w:ascii="Arial" w:cs="Arial" w:eastAsia="Arial" w:hAnsi="Arial"/>
                <w:sz w:val="16"/>
                <w:szCs w:val="16"/>
                <w:color w:val="auto"/>
              </w:rPr>
              <w:t>Effective rate of interest paid</w:t>
            </w:r>
          </w:p>
        </w:tc>
        <w:tc>
          <w:tcPr>
            <w:tcW w:w="360" w:type="dxa"/>
            <w:vAlign w:val="bottom"/>
          </w:tcPr>
          <w:p>
            <w:pPr>
              <w:spacing w:after="0"/>
              <w:rPr>
                <w:sz w:val="20"/>
                <w:szCs w:val="20"/>
                <w:color w:val="auto"/>
              </w:rPr>
            </w:pPr>
          </w:p>
        </w:tc>
        <w:tc>
          <w:tcPr>
            <w:tcW w:w="820" w:type="dxa"/>
            <w:vAlign w:val="bottom"/>
          </w:tcPr>
          <w:p>
            <w:pPr>
              <w:jc w:val="right"/>
              <w:ind w:right="2"/>
              <w:spacing w:after="0"/>
              <w:rPr>
                <w:sz w:val="20"/>
                <w:szCs w:val="20"/>
                <w:color w:val="auto"/>
              </w:rPr>
            </w:pPr>
            <w:r>
              <w:rPr>
                <w:rFonts w:ascii="Arial" w:cs="Arial" w:eastAsia="Arial" w:hAnsi="Arial"/>
                <w:sz w:val="16"/>
                <w:szCs w:val="16"/>
                <w:color w:val="auto"/>
              </w:rPr>
              <w:t>3.5%</w:t>
            </w:r>
          </w:p>
        </w:tc>
        <w:tc>
          <w:tcPr>
            <w:tcW w:w="6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4.4%</w:t>
            </w:r>
          </w:p>
        </w:tc>
        <w:tc>
          <w:tcPr>
            <w:tcW w:w="500" w:type="dxa"/>
            <w:vAlign w:val="bottom"/>
          </w:tcPr>
          <w:p>
            <w:pPr>
              <w:spacing w:after="0"/>
              <w:rPr>
                <w:sz w:val="20"/>
                <w:szCs w:val="20"/>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(0.9)%</w:t>
            </w: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00" w:type="dxa"/>
            <w:vAlign w:val="bottom"/>
          </w:tcPr>
          <w:p>
            <w:pPr>
              <w:jc w:val="right"/>
              <w:ind w:right="2"/>
              <w:spacing w:after="0"/>
              <w:rPr>
                <w:sz w:val="20"/>
                <w:szCs w:val="20"/>
                <w:color w:val="auto"/>
              </w:rPr>
            </w:pPr>
            <w:r>
              <w:rPr>
                <w:rFonts w:ascii="Arial" w:cs="Arial" w:eastAsia="Arial" w:hAnsi="Arial"/>
                <w:sz w:val="16"/>
                <w:szCs w:val="16"/>
                <w:color w:val="auto"/>
              </w:rPr>
              <w:t>3.8%</w:t>
            </w:r>
          </w:p>
        </w:tc>
        <w:tc>
          <w:tcPr>
            <w:tcW w:w="6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4.4%</w:t>
            </w:r>
          </w:p>
        </w:tc>
        <w:tc>
          <w:tcPr>
            <w:tcW w:w="240" w:type="dxa"/>
            <w:vAlign w:val="bottom"/>
          </w:tcPr>
          <w:p>
            <w:pPr>
              <w:spacing w:after="0"/>
              <w:rPr>
                <w:sz w:val="20"/>
                <w:szCs w:val="20"/>
                <w:color w:val="auto"/>
              </w:rPr>
            </w:pPr>
          </w:p>
        </w:tc>
        <w:tc>
          <w:tcPr>
            <w:tcW w:w="940" w:type="dxa"/>
            <w:vAlign w:val="bottom"/>
          </w:tcPr>
          <w:p>
            <w:pPr>
              <w:jc w:val="right"/>
              <w:ind w:right="164"/>
              <w:spacing w:after="0"/>
              <w:rPr>
                <w:sz w:val="20"/>
                <w:szCs w:val="20"/>
                <w:color w:val="auto"/>
              </w:rPr>
            </w:pPr>
            <w:r>
              <w:rPr>
                <w:rFonts w:ascii="Arial" w:cs="Arial" w:eastAsia="Arial" w:hAnsi="Arial"/>
                <w:sz w:val="16"/>
                <w:szCs w:val="16"/>
                <w:color w:val="auto"/>
              </w:rPr>
              <w:t>(0.6)%</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Revenue</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2015 GM Financial revenue increased due primarily to: (1) increased leased vehicle income of $0.5 billion due to a larger lease portfolio; partially offset by (2) decreased finance charge income and other income totaling $0.1 billion.</w:t>
      </w:r>
    </w:p>
    <w:p>
      <w:pPr>
        <w:spacing w:after="0" w:line="170"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2015 GM Financial revenue increased due primarily to: (1) increased leased vehicle income of $1.1 billion due to a larger lease portfolio; partially offset by (2) decreased finance charge income and other income totaling $0.1 billion.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GM Financial Income Before Income Taxes-Adjusted</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three months ended September 30, 2015 Income before income taxes-adjusted remained flat due primarily to: (1) increased revenue of $0.4 billion; offset by (2) increased leased vehicles expenses of $0.4 billion due to a larger lease portfolio.</w:t>
      </w:r>
    </w:p>
    <w:p>
      <w:pPr>
        <w:spacing w:after="0" w:line="170"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2015 Income before income taxes-adjusted remained flat due primarily to: (1) increased revenue of $1.0 billion; offset by (2) increased leased vehicles expenses of $0.9 billion due to a larger lease portfolio; and (3) increased interest expense of $0.1 billion due to an increase in average debt outstanding.</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4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Liquidity Overview</w:t>
      </w:r>
    </w:p>
    <w:p>
      <w:pPr>
        <w:spacing w:after="0" w:line="225"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We believe that our current level of cash and cash equivalents, marketable securities and availability under our revolving credit facilities will be sufficient to meet our liquidity needs. We expect to have substantial cash requirements going forward which we plan to fund through total available liquidity and cash flows generated from operations. We also maintain access to the capital markets, which may provide an additional source of liquidity. Our future uses of cash, which may vary from time to time based on market conditions and other factors, are focused on three objectives: (1) reinvest in our business; (2) maintain an investment-grade balance sheet; and (3) return cash to stockholders. Our known future material uses of cash include, among other possible demands: (1) capital expenditures as well as payments for engineering and product development activities; (2) payments associated with previously announced vehicle recalls, the settlements of the Shareholder Class Action and the multidistrict litigation and any other recall-related contingencies; (3) payments to service debt and other long-term obligations, including contributions to non-U.S. pension plans and U.S. non-qualified plans; (4) payments for previously announced restructuring activities; (5) dividend payments on our common stock that are declared by our Board of Directors; and (6) payments to purchase shares of our common stock under programs authorized by our Board of Directors.</w:t>
      </w:r>
    </w:p>
    <w:p>
      <w:pPr>
        <w:spacing w:after="0" w:line="178"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Our liquidity plans are subject to a number of risks and uncertainties, including those described in the “Risk Factors” section of our 2014 Form 10-K, some of which are outside our control. Macroeconomic conditions could limit our ability to successfully execute our business plans and therefore adversely affect our liquidity plans and compliance with certain covenants.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Recent Management Initiatives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continue to monitor and evaluate opportunities to strengthen our competitive position over the long term while maintaining an investment-grade balance sheet. These actions may include opportunistic payments to reduce our long-term obligations as well as the possibility of acquisitions, dispositions, investments with joint venture partners and strategic alliances that we believe would generate significant advantages and substantially strengthen our business. These actions may negatively impact our liquidity in the short term.</w:t>
      </w:r>
    </w:p>
    <w:p>
      <w:pPr>
        <w:spacing w:after="0" w:line="187"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March 2015 management announced its plan to return all available free cash flow to stockholders while maintaining an investment-grade balance sheet. Management's capital allocation framework includes a combined cash and marketable securities balance target of $20 billion and plans to reinvest in the business at an average target ROIC rate of 20% or more. In connection with this plan we announced a program which authorized the initial purchase of $5 billion of our common stock that began in March 2015 and that we intend to conclude before the end of 2016. At October 19, 2015 we had purchased 86 million shares of our outstanding common stock for $2.9 billion.</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 Liquidity</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Total available liquidity includes cash, cash equivalents, marketable securities and funds available under credit facilities. The amount of available liquidity is subject to intra-month and seasonal fluctuations and includes balances held by various business units and subsidiaries worldwide that are needed to fund their operations.</w:t>
      </w:r>
    </w:p>
    <w:p>
      <w:pPr>
        <w:spacing w:after="0" w:line="181"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There have been no significant changes in the management of our liquidity including the allocation of our available liquidity, the composition of our portfolio and our investment guidelines since December 31, 2014. Refer to the “Liquidity and Capital Resources” section of MD&amp;A in our 2014 Form 10-K.</w:t>
      </w:r>
    </w:p>
    <w:p>
      <w:pPr>
        <w:spacing w:after="0" w:line="124" w:lineRule="exact"/>
        <w:rPr>
          <w:sz w:val="20"/>
          <w:szCs w:val="20"/>
          <w:color w:val="auto"/>
        </w:rPr>
      </w:pPr>
    </w:p>
    <w:p>
      <w:pPr>
        <w:jc w:val="both"/>
        <w:ind w:firstLine="162"/>
        <w:spacing w:after="0" w:line="279" w:lineRule="auto"/>
        <w:rPr>
          <w:sz w:val="20"/>
          <w:szCs w:val="20"/>
          <w:color w:val="auto"/>
        </w:rPr>
      </w:pPr>
      <w:r>
        <w:rPr>
          <w:rFonts w:ascii="Arial" w:cs="Arial" w:eastAsia="Arial" w:hAnsi="Arial"/>
          <w:sz w:val="17"/>
          <w:szCs w:val="17"/>
          <w:color w:val="auto"/>
        </w:rPr>
        <w:t>We use credit facilities as a mechanism to provide additional flexibility in managing our global liquidity and to fund working capital needs at certain of our subsidiaries. The total size of our credit facilities was $12.6 billion at September 30, 2015 and December 31, 2014, which consisted principally of our two primary revolving credit facilities. We did not borrow against our primary facilities, but had amounts in use under the letter of credit sub-facility of $0.4 billion at September 30, 2015. GM Financial had access to our primary facilities but did not borrow against them.</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automotive liquidity (dollars in billions):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4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September 30, 2015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under credit facilities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available liquidity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180"/>
              <w:spacing w:after="0"/>
              <w:rPr>
                <w:sz w:val="20"/>
                <w:szCs w:val="20"/>
                <w:color w:val="auto"/>
              </w:rPr>
            </w:pPr>
            <w:r>
              <w:rPr>
                <w:rFonts w:ascii="Arial" w:cs="Arial" w:eastAsia="Arial" w:hAnsi="Arial"/>
                <w:sz w:val="18"/>
                <w:szCs w:val="18"/>
                <w:color w:val="auto"/>
                <w:w w:val="99"/>
              </w:rPr>
              <w:t>The following table summarizes the changes in our automotive available liquidity (dollars in billions):</w:t>
            </w: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2"/>
        </w:trPr>
        <w:tc>
          <w:tcPr>
            <w:tcW w:w="8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154"/>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3"/>
              </w:rPr>
              <w:t>September 30, 2015</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to purchase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 change in available liquidity</w:t>
            </w:r>
          </w:p>
        </w:tc>
        <w:tc>
          <w:tcPr>
            <w:tcW w:w="1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automotive cash flows from operating, investing and financing activities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September 30, 2015</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2014</w:t>
            </w:r>
          </w:p>
        </w:tc>
        <w:tc>
          <w:tcPr>
            <w:tcW w:w="200" w:type="dxa"/>
            <w:vAlign w:val="bottom"/>
          </w:tcPr>
          <w:p>
            <w:pPr>
              <w:spacing w:after="0"/>
              <w:rPr>
                <w:sz w:val="22"/>
                <w:szCs w:val="22"/>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amortization and impairments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Pension and OPEB activities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Equipment on operating leases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0.7</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 and other liabilities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Undistributed earnings of nonconsolidated affiliates and gains on investments</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0.7</w:t>
            </w:r>
          </w:p>
        </w:tc>
      </w:tr>
      <w:tr>
        <w:trPr>
          <w:trHeight w:val="27"/>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In the nine months ended September 30, 2015 the change in Working capital was due primarily to increased accounts payable of $1.6 billion due to increased production volumes and decreased accounts receivable of $0.7 billion due to an increase in collections. The change in Equipment on operating leases was due primarily to the reduction of units provided to rental car companies. The changes in Accrued liabilities and other liabilities and Income taxes were due primarily to an increase in accruals related to announced recalls in the nine months ended September 30, 2014. The change in Other was related primarily to changes in foreign currency remeasurements.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4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September 30, 2015</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2014</w:t>
            </w:r>
          </w:p>
        </w:tc>
        <w:tc>
          <w:tcPr>
            <w:tcW w:w="2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and liquidations of marketable securities, net</w:t>
            </w: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6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342" w:lineRule="auto"/>
        <w:rPr>
          <w:sz w:val="20"/>
          <w:szCs w:val="20"/>
          <w:color w:val="auto"/>
        </w:rPr>
      </w:pPr>
      <w:r>
        <w:rPr>
          <w:rFonts w:ascii="Arial" w:cs="Arial" w:eastAsia="Arial" w:hAnsi="Arial"/>
          <w:sz w:val="16"/>
          <w:szCs w:val="16"/>
          <w:color w:val="auto"/>
        </w:rPr>
        <w:t>In the nine months ended September 30, 2015 the change in Acquisitions and liquidations of marketable securities, net was due primarily to the rebalancing of our investment portfolio between marketable securities and cash and cash equivalents as part of liquidity management in the normal course of business.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660" w:type="dxa"/>
            <w:vAlign w:val="bottom"/>
          </w:tcPr>
          <w:p>
            <w:pPr>
              <w:spacing w:after="0"/>
              <w:rPr>
                <w:sz w:val="22"/>
                <w:szCs w:val="22"/>
                <w:color w:val="auto"/>
              </w:rPr>
            </w:pPr>
          </w:p>
        </w:tc>
        <w:tc>
          <w:tcPr>
            <w:tcW w:w="136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September 30, 2015</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 2014</w:t>
            </w:r>
          </w:p>
        </w:tc>
        <w:tc>
          <w:tcPr>
            <w:tcW w:w="200" w:type="dxa"/>
            <w:vAlign w:val="bottom"/>
          </w:tcPr>
          <w:p>
            <w:pPr>
              <w:spacing w:after="0"/>
              <w:rPr>
                <w:sz w:val="22"/>
                <w:szCs w:val="22"/>
                <w:color w:val="auto"/>
              </w:rPr>
            </w:pPr>
          </w:p>
        </w:tc>
        <w:tc>
          <w:tcPr>
            <w:tcW w:w="820" w:type="dxa"/>
            <w:vAlign w:val="bottom"/>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Payments to purchase common stock</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w:t>
            </w: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76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2015 the change in cash flows from financing activities was due primarily to the purchase of common stock as part of the common stock repurchase program.</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Adjusted Free 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automotive adjusted free cash flow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6"/>
                <w:szCs w:val="16"/>
                <w:color w:val="auto"/>
              </w:rPr>
            </w:pPr>
          </w:p>
        </w:tc>
      </w:tr>
      <w:tr>
        <w:trPr>
          <w:trHeight w:val="264"/>
        </w:trPr>
        <w:tc>
          <w:tcPr>
            <w:tcW w:w="8800" w:type="dxa"/>
            <w:vAlign w:val="bottom"/>
          </w:tcPr>
          <w:p>
            <w:pPr>
              <w:spacing w:after="0"/>
              <w:rPr>
                <w:sz w:val="22"/>
                <w:szCs w:val="22"/>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2015</w:t>
            </w:r>
          </w:p>
        </w:tc>
        <w:tc>
          <w:tcPr>
            <w:tcW w:w="126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September 30, 2014</w:t>
            </w:r>
          </w:p>
        </w:tc>
      </w:tr>
      <w:tr>
        <w:trPr>
          <w:trHeight w:val="250"/>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capital expenditures</w:t>
            </w:r>
          </w:p>
        </w:tc>
        <w:tc>
          <w:tcPr>
            <w:tcW w:w="4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8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Adjusted free cash flow</w:t>
            </w:r>
          </w:p>
        </w:tc>
        <w:tc>
          <w:tcPr>
            <w:tcW w:w="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r>
      <w:tr>
        <w:trPr>
          <w:trHeight w:val="20"/>
        </w:trPr>
        <w:tc>
          <w:tcPr>
            <w:tcW w:w="8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Adjustments to free cash flow included pension contributions of $0.1 billion related to the previously announced annuitization of the U.S. salaried pension plan in the nine months ended September 30, 2014.</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Status of Credit Ratings</w:t>
      </w:r>
    </w:p>
    <w:p>
      <w:pPr>
        <w:spacing w:after="0" w:line="225" w:lineRule="exact"/>
        <w:rPr>
          <w:sz w:val="20"/>
          <w:szCs w:val="20"/>
          <w:color w:val="auto"/>
        </w:rPr>
      </w:pPr>
    </w:p>
    <w:p>
      <w:pPr>
        <w:jc w:val="both"/>
        <w:ind w:firstLine="162"/>
        <w:spacing w:after="0" w:line="312" w:lineRule="auto"/>
        <w:rPr>
          <w:sz w:val="20"/>
          <w:szCs w:val="20"/>
          <w:color w:val="auto"/>
        </w:rPr>
      </w:pPr>
      <w:r>
        <w:rPr>
          <w:rFonts w:ascii="Arial" w:cs="Arial" w:eastAsia="Arial" w:hAnsi="Arial"/>
          <w:sz w:val="16"/>
          <w:szCs w:val="16"/>
          <w:color w:val="auto"/>
        </w:rPr>
        <w:t>We receive ratings from four independent credit rating agencies: DBRS Limited, Fitch Ratings (Fitch), Moody's Investor Service and Standard &amp; Poor's. In June 2015 Fitch upgraded our corporate rating, revolving credit facilities rating and senior unsecured rating to an investment grade rating of BBB- from BB+ and revised their outlook to Stable from Positive. As a result all four of the credit rating agencies currently rate our corporate credit at investment grade.</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Automotive Financing – GM Financial</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Liquidity Overview</w:t>
      </w:r>
    </w:p>
    <w:p>
      <w:pPr>
        <w:spacing w:after="0" w:line="225"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GM Financial's primary sources of cash are finance charge income, leasing income, servicing fees, net distributions from secured debt, secured and unsecured debt borrowings and collections and recoveries on finance receivables. GM Financial's primary uses of cash are purchases of consumer finance receivables and leased vehicles, funding of commercial finance receivables, repayment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4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secured and unsecured debt, funding credit enhancement requirements for secured debt, operating expenses, interest costs and business acquisitions. GM Financial continues to monitor and evaluate opportunities to optimize its liquidity position and the mix of its debt.</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Available Liquidity</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Financial's available liquidity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6"/>
                <w:szCs w:val="16"/>
                <w:color w:val="auto"/>
              </w:rPr>
            </w:pPr>
          </w:p>
        </w:tc>
        <w:tc>
          <w:tcPr>
            <w:tcW w:w="1420" w:type="dxa"/>
            <w:vAlign w:val="bottom"/>
          </w:tcPr>
          <w:p>
            <w:pPr>
              <w:jc w:val="right"/>
              <w:ind w:right="134"/>
              <w:spacing w:after="0"/>
              <w:rPr>
                <w:sz w:val="20"/>
                <w:szCs w:val="20"/>
                <w:color w:val="auto"/>
              </w:rPr>
            </w:pPr>
            <w:r>
              <w:rPr>
                <w:rFonts w:ascii="Arial" w:cs="Arial" w:eastAsia="Arial" w:hAnsi="Arial"/>
                <w:sz w:val="14"/>
                <w:szCs w:val="14"/>
                <w:b w:val="1"/>
                <w:bCs w:val="1"/>
                <w:color w:val="auto"/>
                <w:w w:val="93"/>
              </w:rPr>
              <w:t>December 31, 2014</w:t>
            </w: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Borrowing capacity on unpledged eligible assets</w:t>
            </w:r>
          </w:p>
        </w:tc>
        <w:tc>
          <w:tcPr>
            <w:tcW w:w="200" w:type="dxa"/>
            <w:vAlign w:val="bottom"/>
          </w:tcPr>
          <w:p>
            <w:pPr>
              <w:spacing w:after="0"/>
              <w:rPr>
                <w:sz w:val="21"/>
                <w:szCs w:val="21"/>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4.8</w:t>
            </w:r>
          </w:p>
        </w:tc>
      </w:tr>
      <w:tr>
        <w:trPr>
          <w:trHeight w:val="27"/>
        </w:trPr>
        <w:tc>
          <w:tcPr>
            <w:tcW w:w="8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 capacity on committed unsecured lines of credit</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57"/>
        </w:trPr>
        <w:tc>
          <w:tcPr>
            <w:tcW w:w="8000" w:type="dxa"/>
            <w:vAlign w:val="bottom"/>
          </w:tcPr>
          <w:p>
            <w:pPr>
              <w:ind w:left="40"/>
              <w:spacing w:after="0"/>
              <w:rPr>
                <w:sz w:val="20"/>
                <w:szCs w:val="20"/>
                <w:color w:val="auto"/>
              </w:rPr>
            </w:pPr>
            <w:r>
              <w:rPr>
                <w:rFonts w:ascii="Arial" w:cs="Arial" w:eastAsia="Arial" w:hAnsi="Arial"/>
                <w:sz w:val="18"/>
                <w:szCs w:val="18"/>
                <w:color w:val="auto"/>
              </w:rPr>
              <w:t>Available liquidity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w:t>
            </w:r>
          </w:p>
        </w:tc>
      </w:tr>
      <w:tr>
        <w:trPr>
          <w:trHeight w:val="20"/>
        </w:trPr>
        <w:tc>
          <w:tcPr>
            <w:tcW w:w="8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In the nine months ended September 30, 2015 available liquidity increased due primarily to: (1) increased borrowing capacity on unpledged eligible assets primarily due to decreased usage of secured debt facilities as a result of the issuance of senior unsecured notes; partially offset by (2) cash used for the acquisition of the equity interest in SAIC-GMAC.</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Cash Flow</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GM Financial cash flows from operating, investing and financing activities (dollars in billions):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Nine Months Ended</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4"/>
        </w:trPr>
        <w:tc>
          <w:tcPr>
            <w:tcW w:w="76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2015</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30, 2014</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Change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3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tcPr>
          <w:p>
            <w:pPr>
              <w:ind w:left="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7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7.7</w:t>
            </w:r>
          </w:p>
        </w:tc>
      </w:tr>
      <w:tr>
        <w:trPr>
          <w:trHeight w:val="27"/>
        </w:trPr>
        <w:tc>
          <w:tcPr>
            <w:tcW w:w="7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2015 Net cash provided by operating activities increased due primarily to an increase in leased vehicle income, partially offset by increased operating expenses and interest expense.</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In the nine months ended September 30, 2015 Net cash used in investing activities increased due primarily to: (1) an increase in purchases of leased vehicles of $7.9 billion; (2) an increase in finance receivables purchases and funding, net of collections of $1.3 billion; and (3) cash used for the acquisition of the equity interest in SAIC-GMAC of $1.0 billion; partially offset by (4) increased proceeds from the termination of leases of $0.3 billion; and (5) proceeds from the sale of an equity interest in SAIC-GMAC of $0.1 billion.</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color w:val="auto"/>
        </w:rPr>
        <w:t>In the nine months ended September 30, 2015 Net cash provided by financing activities increased due primarily to a net increase in borrowings of $7.7 billion.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The condensed consolidated financial statements are prepared in conformity with U.S. GAAP, which requires the use of estimates, judgments and assumptions that affect the reported amounts of assets and liabilities, the disclosure of contingent assets and liabilities at the date of the financial statements, and the reported amounts of revenues and expenses in the periods presented. We believe that the accounting estimates employed are appropriate and resulting balances are reasonable; however, due to inherent uncertainties in making estimates, actual results could differ from the original estimates requiring adjustments to these balances in future periods.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34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critical accounting estimates that affect the condensed consolidated financial statements and the judgments and assumptions used are consistent with those described in the MD&amp;A section in our 2014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In this report and in reports we subsequently file and have previously filed with the SEC on Forms 10-K and 10-Q and file or furnish on Form 8-K, and in related comments by our management, we use words like “anticipate,” “appears,” “approximately,” “believe,” “continue,” “could,” “designed,” “effect,” “estimate,” “evaluate,” “expect,” “forecast,” “goal,” “initiative,” “intend,” “may,” “objective,” “outlook,” “plan,” “potential,” “priorities,” “project,” “pursue,” “seek,” “will,” “should,” “target,” “when,” “would,” or the negative of any of those words or similar expressions to identify forward-looking statements that represent our current judgment about possible future events. In making these statements we rely on assumptions and analyses based on our experience and perception of historical trends, current conditions and expected future developments as well as other factors we consider appropriate under the circumstances. We believe these judgments are reasonable, but these statements are not guarantees of any events or financial results, and our actual results may differ materially due to a variety of important factors, both positive and negative. These factors, which may be revised or supplemented in subsequent reports on SEC Forms 10-Q and 8-K, include among others the following:</w:t>
      </w:r>
    </w:p>
    <w:p>
      <w:pPr>
        <w:spacing w:after="0" w:line="182" w:lineRule="exact"/>
        <w:rPr>
          <w:sz w:val="20"/>
          <w:szCs w:val="20"/>
          <w:color w:val="auto"/>
        </w:rPr>
      </w:pPr>
    </w:p>
    <w:p>
      <w:pPr>
        <w:ind w:left="660" w:hanging="490"/>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realize production efficiencies and to achieve reductions in costs as a result of our restructuring initiatives and labor modifications;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maintain quality control over our vehicles and avoid material vehicle recalls and the cost and effect on our reputation and products;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maintain adequate liquidity and financing sources including as required to fund our planned significant investment in new technology;</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realize successful vehicle applications of new technology;</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Shortages of and increases or volatility in the price of oil, including as a result of political instability in the Middle East and African nations;</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continue to attract customers, particularly for our new products, including cars and crossover vehicles;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adequate financing on acceptable terms to our customers, dealers, distributors and suppliers to enable them to continue their business relationships with us;</w:t>
      </w:r>
    </w:p>
    <w:p>
      <w:pPr>
        <w:spacing w:after="0" w:line="62" w:lineRule="exact"/>
        <w:rPr>
          <w:rFonts w:ascii="Arial" w:cs="Arial" w:eastAsia="Arial" w:hAnsi="Arial"/>
          <w:sz w:val="18"/>
          <w:szCs w:val="18"/>
          <w:color w:val="auto"/>
        </w:rPr>
      </w:pPr>
    </w:p>
    <w:p>
      <w:pPr>
        <w:ind w:left="660" w:hanging="490"/>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ability of our suppliers to deliver parts, systems and components without disruption and at such times to allow us to meet production schedules;</w:t>
      </w:r>
    </w:p>
    <w:p>
      <w:pPr>
        <w:spacing w:after="0" w:line="140" w:lineRule="exact"/>
        <w:rPr>
          <w:rFonts w:ascii="Arial" w:cs="Arial" w:eastAsia="Arial" w:hAnsi="Arial"/>
          <w:sz w:val="16"/>
          <w:szCs w:val="16"/>
          <w:color w:val="auto"/>
        </w:rPr>
      </w:pPr>
    </w:p>
    <w:p>
      <w:pPr>
        <w:ind w:left="660" w:hanging="49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manage the distribution channels for our products;</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successfully restructure our European and consolidated international operations and the health of the European economy;</w:t>
      </w:r>
    </w:p>
    <w:p>
      <w:pPr>
        <w:spacing w:after="0" w:line="128" w:lineRule="exact"/>
        <w:rPr>
          <w:rFonts w:ascii="Arial" w:cs="Arial" w:eastAsia="Arial" w:hAnsi="Arial"/>
          <w:sz w:val="17"/>
          <w:szCs w:val="17"/>
          <w:color w:val="auto"/>
        </w:rPr>
      </w:pPr>
    </w:p>
    <w:p>
      <w:pPr>
        <w:ind w:left="660" w:hanging="49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negotiate a new collective bargaining agreement with the UAW and avoid any costly work stoppage;</w:t>
      </w:r>
    </w:p>
    <w:p>
      <w:pPr>
        <w:spacing w:after="0" w:line="117" w:lineRule="exact"/>
        <w:rPr>
          <w:rFonts w:ascii="Arial" w:cs="Arial" w:eastAsia="Arial" w:hAnsi="Arial"/>
          <w:sz w:val="18"/>
          <w:szCs w:val="18"/>
          <w:color w:val="auto"/>
        </w:rPr>
      </w:pPr>
    </w:p>
    <w:p>
      <w:pPr>
        <w:ind w:left="660" w:hanging="490"/>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continued availability of both wholesale and retail financing from finance companies in markets in which we operate to support our ability to sell vehicles, which is dependent on those entities' ability to obtain funding and their continued willingness to provide financing;</w:t>
      </w:r>
    </w:p>
    <w:p>
      <w:pPr>
        <w:spacing w:after="0" w:line="38" w:lineRule="exact"/>
        <w:rPr>
          <w:rFonts w:ascii="Arial" w:cs="Arial" w:eastAsia="Arial" w:hAnsi="Arial"/>
          <w:sz w:val="17"/>
          <w:szCs w:val="17"/>
          <w:color w:val="auto"/>
        </w:rPr>
      </w:pPr>
    </w:p>
    <w:p>
      <w:pPr>
        <w:ind w:left="660" w:hanging="49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continued ability to develop captive financing capability through GM Financial;</w:t>
      </w:r>
    </w:p>
    <w:p>
      <w:pPr>
        <w:spacing w:after="0" w:line="117" w:lineRule="exact"/>
        <w:rPr>
          <w:rFonts w:ascii="Arial" w:cs="Arial" w:eastAsia="Arial" w:hAnsi="Arial"/>
          <w:sz w:val="18"/>
          <w:szCs w:val="18"/>
          <w:color w:val="auto"/>
        </w:rPr>
      </w:pPr>
    </w:p>
    <w:p>
      <w:pPr>
        <w:ind w:left="660" w:hanging="490"/>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Overall strength and stability of the automotive industry, both in the U.S. and in global markets;</w:t>
      </w:r>
    </w:p>
    <w:p>
      <w:pPr>
        <w:spacing w:after="0" w:line="117"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economic conditions, commodity prices, housing prices, foreign currency exchange rates or political stability in the markets in which we operate;</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changes in the competitive environment, including the effect of competition and excess manufacturing capacity in our markets, on our pricing policies or use of incentives and the introduction of new and improved vehicle models by our competitors;</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changes in economic, political and market conditions in China, including the effect of competition from new market entrants, on our vehicle sales and market position in China;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4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jc w:val="both"/>
        <w:ind w:left="660" w:hanging="490"/>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the existing, or the adoption of new, laws, regulations, policies or other activities of governments, agencies and similar organizations particularly laws, regulations and policies relating to vehicle safety including recalls, and including where such actions may affect the production, licensing, distribution or sale of our products, the cost thereof or applicable tax rates;</w:t>
      </w:r>
    </w:p>
    <w:p>
      <w:pPr>
        <w:spacing w:after="0" w:line="73" w:lineRule="exact"/>
        <w:rPr>
          <w:rFonts w:ascii="Arial" w:cs="Arial" w:eastAsia="Arial" w:hAnsi="Arial"/>
          <w:sz w:val="18"/>
          <w:szCs w:val="18"/>
          <w:color w:val="auto"/>
        </w:rPr>
      </w:pPr>
    </w:p>
    <w:p>
      <w:pPr>
        <w:jc w:val="both"/>
        <w:ind w:left="660" w:hanging="490"/>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and risks associated with litigation and government investigations including the potential imposition of damages, substantial fines, civil lawsuits and criminal penalties, interruptions of business, modification of business practices, equitable remedies and other sanctions against us in connection with various legal proceedings and investigations relating to our various recalls;</w:t>
      </w:r>
    </w:p>
    <w:p>
      <w:pPr>
        <w:spacing w:after="0" w:line="73" w:lineRule="exact"/>
        <w:rPr>
          <w:rFonts w:ascii="Arial" w:cs="Arial" w:eastAsia="Arial" w:hAnsi="Arial"/>
          <w:sz w:val="18"/>
          <w:szCs w:val="18"/>
          <w:color w:val="auto"/>
        </w:rPr>
      </w:pPr>
    </w:p>
    <w:p>
      <w:pPr>
        <w:ind w:left="660" w:hanging="490"/>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comply with the terms of the DPA;</w:t>
      </w:r>
    </w:p>
    <w:p>
      <w:pPr>
        <w:spacing w:after="0" w:line="117"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increases in our pension expense or projected pension contributions resulting from changes in the value of plan assets, the discount rate applied to value the pension liabilities or mortality or other assumption changes; and</w:t>
      </w:r>
    </w:p>
    <w:p>
      <w:pPr>
        <w:spacing w:after="0" w:line="62"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principles, or their application or interpretation, and our ability to make estimates and the assumptions underlying the estimates, which could have an effect on earnings.</w:t>
      </w:r>
    </w:p>
    <w:p>
      <w:pPr>
        <w:spacing w:after="0" w:line="170"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caution readers not to place undue reliance on forward-looking statements. We undertake no obligation to update publicly or otherwise revise any forward-looking statements, whether as a result of new information, future events or other factors that affect the subject of these statements, except where we are expressly required to do so by law.</w:t>
      </w:r>
    </w:p>
    <w:p>
      <w:pPr>
        <w:spacing w:after="0" w:line="18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have been no significant changes in our exposure to market risk since December 31, 2014. Refer to Item 7A of our 2014 Form 10-K.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16"/>
        <w:spacing w:after="0" w:line="259" w:lineRule="auto"/>
        <w:rPr>
          <w:sz w:val="20"/>
          <w:szCs w:val="20"/>
          <w:color w:val="auto"/>
        </w:rPr>
      </w:pPr>
      <w:r>
        <w:rPr>
          <w:rFonts w:ascii="Arial" w:cs="Arial" w:eastAsia="Arial" w:hAnsi="Arial"/>
          <w:sz w:val="18"/>
          <w:szCs w:val="18"/>
          <w:color w:val="auto"/>
        </w:rPr>
        <w:t>We maintain disclosure controls and procedures designed to provide reasonable assurance that information required to be disclosed in reports filed under the Securities Exchange Act of 1934, as amended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w:t>
      </w:r>
    </w:p>
    <w:p>
      <w:pPr>
        <w:spacing w:after="0" w:line="187" w:lineRule="exact"/>
        <w:rPr>
          <w:sz w:val="20"/>
          <w:szCs w:val="20"/>
          <w:color w:val="auto"/>
        </w:rPr>
      </w:pPr>
    </w:p>
    <w:p>
      <w:pPr>
        <w:jc w:val="both"/>
        <w:ind w:firstLine="216"/>
        <w:spacing w:after="0" w:line="312" w:lineRule="auto"/>
        <w:rPr>
          <w:sz w:val="20"/>
          <w:szCs w:val="20"/>
          <w:color w:val="auto"/>
        </w:rPr>
      </w:pPr>
      <w:r>
        <w:rPr>
          <w:rFonts w:ascii="Arial" w:cs="Arial" w:eastAsia="Arial" w:hAnsi="Arial"/>
          <w:sz w:val="16"/>
          <w:szCs w:val="16"/>
          <w:color w:val="auto"/>
        </w:rPr>
        <w:t>Our management, with the participation of our CEO and Executive Vice President and CFO, evaluated the effectiveness of our disclosure controls and procedures (as defined in Rules 13a-15(e) or 15d-15(e) promulgated under the Exchange Act) at September 30, 2015. Based on this evaluation required by paragraph (b) of Rules 13a-15 or 15d-15, our CEO and CFO concluded that our disclosure controls and procedures were effective as of September 30,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We have commenced several initiatives to centralize and simplify our business processes and systems. These are long-term initiatives which we believe will enhance our internal controls over financial reporting due to increased automation and further integration of related processes. We will continue to monitor our internal controls over financial reporting throughout this transformation.</w:t>
      </w:r>
    </w:p>
    <w:p>
      <w:pPr>
        <w:spacing w:after="0" w:line="181"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There have not been any other changes in internal controls over financial reporting during the three months ended September 30, 2015 that have materially affected, or are reasonably likely to materially affect, our internal controls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34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Refer to Note 10 to our condensed consolidated financial statements and the 2014 Form 10-K for information relating to legal proceedings.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We face a number of significant risks and uncertainties in connection with our operations. Our business, results of operations and financial condition could be materially adversely affected by these risk factors. Other than as subsequently discussed, there have been no material changes to the Risk Factors disclosed in our 2014 Form 10-K. While we describe each risk separately, some of these risks are interrelated and certain risks can trigger the applicability of risks subsequently described.</w:t>
      </w:r>
    </w:p>
    <w:p>
      <w:pPr>
        <w:spacing w:after="0" w:line="187" w:lineRule="exact"/>
        <w:rPr>
          <w:sz w:val="20"/>
          <w:szCs w:val="20"/>
          <w:color w:val="auto"/>
        </w:rPr>
      </w:pPr>
    </w:p>
    <w:p>
      <w:pPr>
        <w:jc w:val="both"/>
        <w:ind w:firstLine="162"/>
        <w:spacing w:after="0" w:line="277" w:lineRule="auto"/>
        <w:rPr>
          <w:sz w:val="20"/>
          <w:szCs w:val="20"/>
          <w:color w:val="auto"/>
        </w:rPr>
      </w:pPr>
      <w:r>
        <w:rPr>
          <w:rFonts w:ascii="Arial" w:cs="Arial" w:eastAsia="Arial" w:hAnsi="Arial"/>
          <w:sz w:val="18"/>
          <w:szCs w:val="18"/>
          <w:b w:val="1"/>
          <w:bCs w:val="1"/>
          <w:i w:val="1"/>
          <w:iCs w:val="1"/>
          <w:color w:val="auto"/>
        </w:rPr>
        <w:t>If, in the discretion of the Office, we do not comply with the terms of the DPA, the Office may prosecute us for charges alleged by the Office including those relating to faulty ignition switches.</w:t>
      </w:r>
    </w:p>
    <w:p>
      <w:pPr>
        <w:spacing w:after="0" w:line="170" w:lineRule="exact"/>
        <w:rPr>
          <w:sz w:val="20"/>
          <w:szCs w:val="20"/>
          <w:color w:val="auto"/>
        </w:rPr>
      </w:pPr>
    </w:p>
    <w:p>
      <w:pPr>
        <w:jc w:val="both"/>
        <w:ind w:firstLine="162"/>
        <w:spacing w:after="0" w:line="270" w:lineRule="auto"/>
        <w:rPr>
          <w:sz w:val="20"/>
          <w:szCs w:val="20"/>
          <w:color w:val="auto"/>
        </w:rPr>
      </w:pPr>
      <w:r>
        <w:rPr>
          <w:rFonts w:ascii="Arial" w:cs="Arial" w:eastAsia="Arial" w:hAnsi="Arial"/>
          <w:sz w:val="17"/>
          <w:szCs w:val="17"/>
          <w:color w:val="auto"/>
        </w:rPr>
        <w:t>On September 17, 2015 we announced that we entered into the DPA with the Office regarding its investigation of the events leading up to certain recalls announced in February and March 2014 relating to faulty ignition switches. Under the DPA, we consented to, among other things, the filing of the Information in the U.S. District Court for the Southern District of New York charging GM with a scheme to conceal material facts from a government regulator and wire fraud. We pled not guilty to the charges alleged in the Information. The DPA further provides that, in the event the Office determines during the period of deferral of prosecution (or any extensions thereof) that we have violated any provision of the DPA, including violating any federal law or agreements by us regarding the Monitor, the Office may, in its discretion, either prosecute us on the charges alleged in the Information or impose an extension of the period of deferral of prosecution of up to one additional year. Under such circumstance, the Office would be permitted to rely upon the admissions we made in the DPA and would benefit from our waiver of certain procedural and evidentiary defenses. Such a criminal prosecution could subject us to penalties that could have material adverse effect on our business, financial position, results of operations or cash flows.</w:t>
      </w:r>
    </w:p>
    <w:p>
      <w:pPr>
        <w:spacing w:after="0" w:line="18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 * * *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purchases of common stock in the three months ended September 30, 2015: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Approximate Dollar Value of Shares</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Price Paid</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Announced</w:t>
            </w:r>
          </w:p>
        </w:tc>
        <w:tc>
          <w:tcPr>
            <w:tcW w:w="10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4"/>
              </w:rPr>
              <w:t>Shares Purchased</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5"/>
              </w:rPr>
              <w:t>per Share</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Announced Programs</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2015 through July 31, 2015</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13,103,600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34.06</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3,828,446</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$2.9 billion</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August 1, 2015 through August 31, 2015</w:t>
            </w: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13,285,011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30.20</w:t>
            </w:r>
          </w:p>
        </w:tc>
        <w:tc>
          <w:tcPr>
            <w:tcW w:w="12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8"/>
              </w:rPr>
              <w:t>13,006,314</w:t>
            </w:r>
          </w:p>
        </w:tc>
        <w:tc>
          <w:tcPr>
            <w:tcW w:w="100" w:type="dxa"/>
            <w:vAlign w:val="bottom"/>
          </w:tcPr>
          <w:p>
            <w:pPr>
              <w:spacing w:after="0"/>
              <w:rPr>
                <w:sz w:val="21"/>
                <w:szCs w:val="21"/>
                <w:color w:val="auto"/>
              </w:rPr>
            </w:pPr>
          </w:p>
        </w:tc>
        <w:tc>
          <w:tcPr>
            <w:tcW w:w="2400" w:type="dxa"/>
            <w:vAlign w:val="bottom"/>
          </w:tcPr>
          <w:p>
            <w:pPr>
              <w:ind w:left="820"/>
              <w:spacing w:after="0"/>
              <w:rPr>
                <w:sz w:val="20"/>
                <w:szCs w:val="20"/>
                <w:color w:val="auto"/>
              </w:rPr>
            </w:pPr>
            <w:r>
              <w:rPr>
                <w:rFonts w:ascii="Arial" w:cs="Arial" w:eastAsia="Arial" w:hAnsi="Arial"/>
                <w:sz w:val="18"/>
                <w:szCs w:val="18"/>
                <w:color w:val="auto"/>
              </w:rPr>
              <w:t>$2.5 billion</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September 1, 2015 through September 30, 2015</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12,611,235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29.90</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12,590,082</w:t>
            </w:r>
          </w:p>
        </w:tc>
        <w:tc>
          <w:tcPr>
            <w:tcW w:w="10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$2.1 billion</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Total</w:t>
            </w:r>
          </w:p>
        </w:tc>
        <w:tc>
          <w:tcPr>
            <w:tcW w:w="12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38,999,846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8"/>
              <w:spacing w:after="0"/>
              <w:rPr>
                <w:sz w:val="20"/>
                <w:szCs w:val="20"/>
                <w:color w:val="auto"/>
              </w:rPr>
            </w:pPr>
            <w:r>
              <w:rPr>
                <w:rFonts w:ascii="Arial" w:cs="Arial" w:eastAsia="Arial" w:hAnsi="Arial"/>
                <w:sz w:val="18"/>
                <w:szCs w:val="18"/>
                <w:color w:val="auto"/>
              </w:rPr>
              <w:t>31.40</w:t>
            </w:r>
          </w:p>
        </w:tc>
        <w:tc>
          <w:tcPr>
            <w:tcW w:w="120" w:type="dxa"/>
            <w:vAlign w:val="bottom"/>
          </w:tcPr>
          <w:p>
            <w:pPr>
              <w:spacing w:after="0"/>
              <w:rPr>
                <w:sz w:val="22"/>
                <w:szCs w:val="22"/>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29,424,842</w:t>
            </w: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162"/>
        <w:spacing w:after="0" w:line="257" w:lineRule="auto"/>
        <w:rPr>
          <w:sz w:val="20"/>
          <w:szCs w:val="20"/>
          <w:color w:val="auto"/>
        </w:rPr>
      </w:pPr>
      <w:r>
        <w:rPr>
          <w:rFonts w:ascii="Arial" w:cs="Arial" w:eastAsia="Arial" w:hAnsi="Arial"/>
          <w:sz w:val="18"/>
          <w:szCs w:val="18"/>
          <w:color w:val="auto"/>
        </w:rPr>
        <w:t>Shares purchased consist of: (1) shares purchased under the common stock repurchase program announced in March 2015 to purchase up to $5 billion of our common stock; (2) shares retained by us for the payment of the exercise price upon the exercise of warrants; and (3) shares delivered by employees or directors back to us for the payment of taxes resulting from the issuance of common stock upon the vesting of RSUs and Restricted Stock Awards relating to compensation plans. Refer to Notes 21 and 23 to our consolidated financial statements in our 2014 Form 10-K for additional details on warrants issued and employee stock incentive plans.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34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3900" w:type="dxa"/>
            <w:vAlign w:val="bottom"/>
          </w:tcPr>
          <w:p>
            <w:pPr>
              <w:spacing w:after="0"/>
              <w:rPr>
                <w:sz w:val="14"/>
                <w:szCs w:val="14"/>
                <w:color w:val="auto"/>
              </w:rPr>
            </w:pPr>
          </w:p>
        </w:tc>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Exhibit Name</w:t>
            </w:r>
          </w:p>
        </w:tc>
        <w:tc>
          <w:tcPr>
            <w:tcW w:w="166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9"/>
        </w:trPr>
        <w:tc>
          <w:tcPr>
            <w:tcW w:w="1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180" w:type="dxa"/>
            <w:vAlign w:val="bottom"/>
            <w:shd w:val="clear" w:color="auto" w:fill="CCEEFF"/>
          </w:tcPr>
          <w:p>
            <w:pPr>
              <w:spacing w:after="0"/>
              <w:rPr>
                <w:sz w:val="19"/>
                <w:szCs w:val="19"/>
                <w:color w:val="auto"/>
              </w:rPr>
            </w:pPr>
          </w:p>
        </w:tc>
        <w:tc>
          <w:tcPr>
            <w:tcW w:w="85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2"/>
              </w:rPr>
              <w:t>Form of Award Agreement, incorporated herein by reference to Exhibit 10.1 to the Current Report on Form 8-K of</w:t>
            </w:r>
          </w:p>
        </w:tc>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Incorporated by</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General Motors Company filed July 30, 2015</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Reference</w:t>
            </w:r>
          </w:p>
        </w:tc>
      </w:tr>
      <w:tr>
        <w:trPr>
          <w:trHeight w:val="243"/>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1"/>
                <w:szCs w:val="21"/>
                <w:color w:val="auto"/>
              </w:rPr>
            </w:pPr>
          </w:p>
        </w:tc>
        <w:tc>
          <w:tcPr>
            <w:tcW w:w="8540" w:type="dxa"/>
            <w:vAlign w:val="bottom"/>
            <w:gridSpan w:val="3"/>
          </w:tcPr>
          <w:p>
            <w:pPr>
              <w:ind w:left="200"/>
              <w:spacing w:after="0"/>
              <w:rPr>
                <w:sz w:val="20"/>
                <w:szCs w:val="20"/>
                <w:color w:val="auto"/>
              </w:rPr>
            </w:pPr>
            <w:r>
              <w:rPr>
                <w:rFonts w:ascii="Arial" w:cs="Arial" w:eastAsia="Arial" w:hAnsi="Arial"/>
                <w:sz w:val="18"/>
                <w:szCs w:val="18"/>
                <w:color w:val="auto"/>
              </w:rPr>
              <w:t>Section 302 Certification of the Chief Executive Officer</w:t>
            </w:r>
          </w:p>
        </w:tc>
        <w:tc>
          <w:tcPr>
            <w:tcW w:w="1660" w:type="dxa"/>
            <w:vAlign w:val="bottom"/>
          </w:tcPr>
          <w:p>
            <w:pPr>
              <w:ind w:left="100"/>
              <w:spacing w:after="0"/>
              <w:rPr>
                <w:sz w:val="20"/>
                <w:szCs w:val="20"/>
                <w:color w:val="auto"/>
              </w:rPr>
            </w:pPr>
            <w:r>
              <w:rPr>
                <w:rFonts w:ascii="Arial" w:cs="Arial" w:eastAsia="Arial" w:hAnsi="Arial"/>
                <w:sz w:val="18"/>
                <w:szCs w:val="18"/>
                <w:color w:val="auto"/>
              </w:rPr>
              <w:t>Filed Herewith</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31.2</w:t>
            </w:r>
          </w:p>
        </w:tc>
        <w:tc>
          <w:tcPr>
            <w:tcW w:w="180" w:type="dxa"/>
            <w:vAlign w:val="bottom"/>
            <w:tcBorders>
              <w:bottom w:val="single" w:sz="8" w:color="CCEEFF"/>
            </w:tcBorders>
            <w:shd w:val="clear" w:color="auto" w:fill="CCEEFF"/>
          </w:tcPr>
          <w:p>
            <w:pPr>
              <w:spacing w:after="0"/>
              <w:rPr>
                <w:sz w:val="21"/>
                <w:szCs w:val="21"/>
                <w:color w:val="auto"/>
              </w:rPr>
            </w:pPr>
          </w:p>
        </w:tc>
        <w:tc>
          <w:tcPr>
            <w:tcW w:w="854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Section 302 Certification of the Chief Financial Officer</w:t>
            </w:r>
          </w:p>
        </w:tc>
        <w:tc>
          <w:tcPr>
            <w:tcW w:w="1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Filed Herewith</w:t>
            </w:r>
          </w:p>
        </w:tc>
      </w:tr>
      <w:tr>
        <w:trPr>
          <w:trHeight w:val="229"/>
        </w:trPr>
        <w:tc>
          <w:tcPr>
            <w:tcW w:w="1040" w:type="dxa"/>
            <w:vAlign w:val="bottom"/>
            <w:gridSpan w:val="2"/>
          </w:tcPr>
          <w:p>
            <w:pPr>
              <w:ind w:left="4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8540" w:type="dxa"/>
            <w:vAlign w:val="bottom"/>
            <w:gridSpan w:val="3"/>
          </w:tcPr>
          <w:p>
            <w:pPr>
              <w:ind w:left="200"/>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 Sarbanes-Oxley Act</w:t>
            </w:r>
          </w:p>
        </w:tc>
        <w:tc>
          <w:tcPr>
            <w:tcW w:w="1660" w:type="dxa"/>
            <w:vAlign w:val="bottom"/>
          </w:tcPr>
          <w:p>
            <w:pPr>
              <w:ind w:left="100"/>
              <w:spacing w:after="0"/>
              <w:rPr>
                <w:sz w:val="20"/>
                <w:szCs w:val="20"/>
                <w:color w:val="auto"/>
              </w:rPr>
            </w:pPr>
            <w:r>
              <w:rPr>
                <w:rFonts w:ascii="Arial" w:cs="Arial" w:eastAsia="Arial" w:hAnsi="Arial"/>
                <w:sz w:val="18"/>
                <w:szCs w:val="18"/>
                <w:color w:val="auto"/>
              </w:rPr>
              <w:t>Furnished with this</w:t>
            </w: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540" w:type="dxa"/>
            <w:vAlign w:val="bottom"/>
            <w:gridSpan w:val="3"/>
          </w:tcPr>
          <w:p>
            <w:pPr>
              <w:ind w:left="200"/>
              <w:spacing w:after="0"/>
              <w:rPr>
                <w:sz w:val="20"/>
                <w:szCs w:val="20"/>
                <w:color w:val="auto"/>
              </w:rPr>
            </w:pPr>
            <w:r>
              <w:rPr>
                <w:rFonts w:ascii="Arial" w:cs="Arial" w:eastAsia="Arial" w:hAnsi="Arial"/>
                <w:sz w:val="18"/>
                <w:szCs w:val="18"/>
                <w:color w:val="auto"/>
              </w:rPr>
              <w:t>of 2002</w:t>
            </w:r>
          </w:p>
        </w:tc>
        <w:tc>
          <w:tcPr>
            <w:tcW w:w="1660" w:type="dxa"/>
            <w:vAlign w:val="bottom"/>
          </w:tcPr>
          <w:p>
            <w:pPr>
              <w:ind w:left="100"/>
              <w:spacing w:after="0"/>
              <w:rPr>
                <w:sz w:val="20"/>
                <w:szCs w:val="20"/>
                <w:color w:val="auto"/>
              </w:rPr>
            </w:pPr>
            <w:r>
              <w:rPr>
                <w:rFonts w:ascii="Arial" w:cs="Arial" w:eastAsia="Arial" w:hAnsi="Arial"/>
                <w:sz w:val="18"/>
                <w:szCs w:val="18"/>
                <w:color w:val="auto"/>
              </w:rPr>
              <w:t>Report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101.INS*</w:t>
            </w:r>
          </w:p>
        </w:tc>
        <w:tc>
          <w:tcPr>
            <w:tcW w:w="85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XBRL Instance Document</w:t>
            </w:r>
          </w:p>
        </w:tc>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Furnished with this</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Report</w:t>
            </w:r>
          </w:p>
        </w:tc>
      </w:tr>
      <w:tr>
        <w:trPr>
          <w:trHeight w:val="229"/>
        </w:trPr>
        <w:tc>
          <w:tcPr>
            <w:tcW w:w="122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854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Schema Document</w:t>
            </w:r>
          </w:p>
        </w:tc>
        <w:tc>
          <w:tcPr>
            <w:tcW w:w="1660" w:type="dxa"/>
            <w:vAlign w:val="bottom"/>
          </w:tcPr>
          <w:p>
            <w:pPr>
              <w:ind w:left="100"/>
              <w:spacing w:after="0"/>
              <w:rPr>
                <w:sz w:val="20"/>
                <w:szCs w:val="20"/>
                <w:color w:val="auto"/>
              </w:rPr>
            </w:pPr>
            <w:r>
              <w:rPr>
                <w:rFonts w:ascii="Arial" w:cs="Arial" w:eastAsia="Arial" w:hAnsi="Arial"/>
                <w:sz w:val="18"/>
                <w:szCs w:val="18"/>
                <w:color w:val="auto"/>
              </w:rPr>
              <w:t>Furnished with this</w:t>
            </w: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60" w:type="dxa"/>
            <w:vAlign w:val="bottom"/>
          </w:tcPr>
          <w:p>
            <w:pPr>
              <w:ind w:left="100"/>
              <w:spacing w:after="0"/>
              <w:rPr>
                <w:sz w:val="20"/>
                <w:szCs w:val="20"/>
                <w:color w:val="auto"/>
              </w:rPr>
            </w:pPr>
            <w:r>
              <w:rPr>
                <w:rFonts w:ascii="Arial" w:cs="Arial" w:eastAsia="Arial" w:hAnsi="Arial"/>
                <w:sz w:val="18"/>
                <w:szCs w:val="18"/>
                <w:color w:val="auto"/>
              </w:rPr>
              <w:t>Report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101.CAL*</w:t>
            </w:r>
          </w:p>
        </w:tc>
        <w:tc>
          <w:tcPr>
            <w:tcW w:w="85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Calculation Linkbase Document</w:t>
            </w:r>
          </w:p>
        </w:tc>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Furnished with this</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Report</w:t>
            </w:r>
          </w:p>
        </w:tc>
      </w:tr>
      <w:tr>
        <w:trPr>
          <w:trHeight w:val="229"/>
        </w:trPr>
        <w:tc>
          <w:tcPr>
            <w:tcW w:w="122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854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Definition Linkbase Document</w:t>
            </w:r>
          </w:p>
        </w:tc>
        <w:tc>
          <w:tcPr>
            <w:tcW w:w="1660" w:type="dxa"/>
            <w:vAlign w:val="bottom"/>
          </w:tcPr>
          <w:p>
            <w:pPr>
              <w:ind w:left="100"/>
              <w:spacing w:after="0"/>
              <w:rPr>
                <w:sz w:val="20"/>
                <w:szCs w:val="20"/>
                <w:color w:val="auto"/>
              </w:rPr>
            </w:pPr>
            <w:r>
              <w:rPr>
                <w:rFonts w:ascii="Arial" w:cs="Arial" w:eastAsia="Arial" w:hAnsi="Arial"/>
                <w:sz w:val="18"/>
                <w:szCs w:val="18"/>
                <w:color w:val="auto"/>
              </w:rPr>
              <w:t>Furnished with this</w:t>
            </w: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60" w:type="dxa"/>
            <w:vAlign w:val="bottom"/>
          </w:tcPr>
          <w:p>
            <w:pPr>
              <w:ind w:left="100"/>
              <w:spacing w:after="0"/>
              <w:rPr>
                <w:sz w:val="20"/>
                <w:szCs w:val="20"/>
                <w:color w:val="auto"/>
              </w:rPr>
            </w:pPr>
            <w:r>
              <w:rPr>
                <w:rFonts w:ascii="Arial" w:cs="Arial" w:eastAsia="Arial" w:hAnsi="Arial"/>
                <w:sz w:val="18"/>
                <w:szCs w:val="18"/>
                <w:color w:val="auto"/>
              </w:rPr>
              <w:t>Report</w:t>
            </w:r>
          </w:p>
        </w:tc>
      </w:tr>
      <w:tr>
        <w:trPr>
          <w:trHeight w:val="27"/>
        </w:trPr>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12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101.LAB*</w:t>
            </w:r>
          </w:p>
        </w:tc>
        <w:tc>
          <w:tcPr>
            <w:tcW w:w="85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16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Furnished with this</w:t>
            </w: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39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7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Report</w:t>
            </w:r>
          </w:p>
        </w:tc>
      </w:tr>
      <w:tr>
        <w:trPr>
          <w:trHeight w:val="229"/>
        </w:trPr>
        <w:tc>
          <w:tcPr>
            <w:tcW w:w="122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8540" w:type="dxa"/>
            <w:vAlign w:val="bottom"/>
            <w:gridSpan w:val="3"/>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c>
          <w:tcPr>
            <w:tcW w:w="1660" w:type="dxa"/>
            <w:vAlign w:val="bottom"/>
          </w:tcPr>
          <w:p>
            <w:pPr>
              <w:ind w:left="100"/>
              <w:spacing w:after="0"/>
              <w:rPr>
                <w:sz w:val="20"/>
                <w:szCs w:val="20"/>
                <w:color w:val="auto"/>
              </w:rPr>
            </w:pPr>
            <w:r>
              <w:rPr>
                <w:rFonts w:ascii="Arial" w:cs="Arial" w:eastAsia="Arial" w:hAnsi="Arial"/>
                <w:sz w:val="18"/>
                <w:szCs w:val="18"/>
                <w:color w:val="auto"/>
              </w:rPr>
              <w:t>Furnished with this</w:t>
            </w:r>
          </w:p>
        </w:tc>
      </w:tr>
      <w:tr>
        <w:trPr>
          <w:trHeight w:val="23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660" w:type="dxa"/>
            <w:vAlign w:val="bottom"/>
          </w:tcPr>
          <w:p>
            <w:pPr>
              <w:ind w:left="100"/>
              <w:spacing w:after="0"/>
              <w:rPr>
                <w:sz w:val="20"/>
                <w:szCs w:val="20"/>
                <w:color w:val="auto"/>
              </w:rPr>
            </w:pPr>
            <w:r>
              <w:rPr>
                <w:rFonts w:ascii="Arial" w:cs="Arial" w:eastAsia="Arial" w:hAnsi="Arial"/>
                <w:sz w:val="18"/>
                <w:szCs w:val="18"/>
                <w:color w:val="auto"/>
              </w:rPr>
              <w:t>Report</w:t>
            </w:r>
          </w:p>
        </w:tc>
      </w:tr>
      <w:tr>
        <w:trPr>
          <w:trHeight w:val="220"/>
        </w:trPr>
        <w:tc>
          <w:tcPr>
            <w:tcW w:w="1040" w:type="dxa"/>
            <w:vAlign w:val="bottom"/>
            <w:gridSpan w:val="2"/>
          </w:tcPr>
          <w:p>
            <w:pPr>
              <w:spacing w:after="0"/>
              <w:rPr>
                <w:sz w:val="20"/>
                <w:szCs w:val="20"/>
                <w:color w:val="auto"/>
              </w:rPr>
            </w:pPr>
            <w:r>
              <w:rPr>
                <w:rFonts w:ascii="Arial" w:cs="Arial" w:eastAsia="Arial" w:hAnsi="Arial"/>
                <w:sz w:val="16"/>
                <w:szCs w:val="16"/>
                <w:color w:val="auto"/>
              </w:rPr>
              <w:t>________</w:t>
            </w:r>
          </w:p>
        </w:tc>
        <w:tc>
          <w:tcPr>
            <w:tcW w:w="18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660" w:type="dxa"/>
            <w:vAlign w:val="bottom"/>
          </w:tcPr>
          <w:p>
            <w:pPr>
              <w:spacing w:after="0"/>
              <w:rPr>
                <w:sz w:val="19"/>
                <w:szCs w:val="19"/>
                <w:color w:val="auto"/>
              </w:rPr>
            </w:pPr>
          </w:p>
        </w:tc>
      </w:tr>
    </w:tbl>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Submitted electronically with this Report.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34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00" w:lineRule="exact"/>
        <w:rPr>
          <w:sz w:val="20"/>
          <w:szCs w:val="20"/>
          <w:color w:val="auto"/>
        </w:rPr>
      </w:pPr>
    </w:p>
    <w:p>
      <w:pPr>
        <w:spacing w:after="0" w:line="254"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SIGNATURE</w:t>
      </w:r>
    </w:p>
    <w:p>
      <w:pPr>
        <w:spacing w:after="0" w:line="126"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GENERAL MOTORS COMPANY (Registrant)</w:t>
      </w:r>
    </w:p>
    <w:p>
      <w:pPr>
        <w:spacing w:after="0" w:line="200" w:lineRule="exact"/>
        <w:rPr>
          <w:sz w:val="20"/>
          <w:szCs w:val="20"/>
          <w:color w:val="auto"/>
        </w:rPr>
      </w:pPr>
    </w:p>
    <w:p>
      <w:pPr>
        <w:spacing w:after="0" w:line="295"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8"/>
          <w:szCs w:val="18"/>
          <w:color w:val="auto"/>
        </w:rPr>
        <w:t>By:</w:t>
        <w:tab/>
        <w:t>/s/ 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31750</wp:posOffset>
            </wp:positionV>
            <wp:extent cx="28213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Thomas S. Timko, Vice President, Controller and Chief</w:t>
      </w:r>
    </w:p>
    <w:p>
      <w:pPr>
        <w:spacing w:after="0" w:line="3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Accounting Officer</w:t>
      </w:r>
    </w:p>
    <w:p>
      <w:pPr>
        <w:spacing w:after="0" w:line="4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21, 2015</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500"/>
          </w:cols>
          <w:pgMar w:left="240" w:top="341" w:right="11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Mary T. Barra, certify that:</w:t>
      </w:r>
    </w:p>
    <w:p>
      <w:pPr>
        <w:spacing w:after="0" w:line="225" w:lineRule="exact"/>
        <w:rPr>
          <w:sz w:val="20"/>
          <w:szCs w:val="20"/>
          <w:color w:val="auto"/>
        </w:rPr>
      </w:pPr>
    </w:p>
    <w:p>
      <w:pPr>
        <w:ind w:left="380" w:hanging="183"/>
        <w:spacing w:after="0"/>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21, 2015</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Charles K. Stevens III, certify that:</w:t>
      </w:r>
    </w:p>
    <w:p>
      <w:pPr>
        <w:spacing w:after="0" w:line="225" w:lineRule="exact"/>
        <w:rPr>
          <w:sz w:val="20"/>
          <w:szCs w:val="20"/>
          <w:color w:val="auto"/>
        </w:rPr>
      </w:pPr>
    </w:p>
    <w:p>
      <w:pPr>
        <w:ind w:left="380" w:hanging="183"/>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General Motors Company;</w:t>
      </w:r>
    </w:p>
    <w:p>
      <w:pPr>
        <w:spacing w:after="0" w:line="225" w:lineRule="exact"/>
        <w:rPr>
          <w:rFonts w:ascii="Arial" w:cs="Arial" w:eastAsia="Arial" w:hAnsi="Arial"/>
          <w:sz w:val="18"/>
          <w:szCs w:val="18"/>
          <w:color w:val="auto"/>
        </w:rPr>
      </w:pPr>
    </w:p>
    <w:p>
      <w:pPr>
        <w:ind w:firstLine="197"/>
        <w:spacing w:after="0" w:line="342" w:lineRule="auto"/>
        <w:tabs>
          <w:tab w:leader="none" w:pos="39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97"/>
        <w:spacing w:after="0" w:line="277" w:lineRule="auto"/>
        <w:tabs>
          <w:tab w:leader="none" w:pos="3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97"/>
        <w:spacing w:after="0" w:line="264" w:lineRule="auto"/>
        <w:tabs>
          <w:tab w:leader="none" w:pos="37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5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360" w:firstLine="188"/>
        <w:spacing w:after="0" w:line="264" w:lineRule="auto"/>
        <w:tabs>
          <w:tab w:leader="none" w:pos="787"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60" w:firstLine="188"/>
        <w:spacing w:after="0" w:line="308" w:lineRule="auto"/>
        <w:tabs>
          <w:tab w:leader="none" w:pos="735"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360" w:firstLine="188"/>
        <w:spacing w:after="0" w:line="264" w:lineRule="auto"/>
        <w:tabs>
          <w:tab w:leader="none" w:pos="74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197"/>
        <w:spacing w:after="0" w:line="308" w:lineRule="auto"/>
        <w:tabs>
          <w:tab w:leader="none" w:pos="39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60" w:right="20" w:firstLine="188"/>
        <w:spacing w:after="0" w:line="277" w:lineRule="auto"/>
        <w:tabs>
          <w:tab w:leader="none" w:pos="752"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60" w:firstLine="188"/>
        <w:spacing w:after="0" w:line="277" w:lineRule="auto"/>
        <w:tabs>
          <w:tab w:leader="none" w:pos="759"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21, 2015</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189"/>
        <w:spacing w:after="0" w:line="286" w:lineRule="auto"/>
        <w:rPr>
          <w:sz w:val="20"/>
          <w:szCs w:val="20"/>
          <w:color w:val="auto"/>
        </w:rPr>
      </w:pPr>
      <w:r>
        <w:rPr>
          <w:rFonts w:ascii="Arial" w:cs="Arial" w:eastAsia="Arial" w:hAnsi="Arial"/>
          <w:sz w:val="17"/>
          <w:szCs w:val="17"/>
          <w:color w:val="auto"/>
        </w:rPr>
        <w:t>In connection with the Quarterly Report of General Motors Company (the “Company”) on Form 10-Q for the period ended September 30, 2015 as filed with the Securities and Exchange Commission on the date hereof (the “Report”), each of the undersigned officers of the Company, certify, pursuant to 18 U.S.C. § 1350, as adopted pursuant to § 906 of the Sarbanes-Oxley Act of 2002, that to the best of such officer's knowledge:</w:t>
      </w:r>
    </w:p>
    <w:p>
      <w:pPr>
        <w:spacing w:after="0" w:line="166" w:lineRule="exact"/>
        <w:rPr>
          <w:sz w:val="20"/>
          <w:szCs w:val="20"/>
          <w:color w:val="auto"/>
        </w:rPr>
      </w:pPr>
    </w:p>
    <w:p>
      <w:pPr>
        <w:ind w:left="720" w:hanging="172"/>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20" w:hanging="172"/>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Mary T. Barra</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4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112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Charles K. Stevens III</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4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October 21,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Letter"/>
      <w:start w:val="1"/>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decimal"/>
      <w:start w:val="3"/>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2019-12-29T14:50:55Z</dcterms:created>
  <dcterms:modified xsi:type="dcterms:W3CDTF">2019-12-29T14:50:55Z</dcterms:modified>
</cp:coreProperties>
</file>