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572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57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Arial" w:cs="Arial" w:eastAsia="Arial" w:hAnsi="Arial"/>
                <w:sz w:val="17"/>
                <w:szCs w:val="17"/>
                <w:color w:val="0000EE"/>
                <w:w w:val="84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84"/>
                </w:rPr>
                <w:t>Jacobson Paul A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83" w:lineRule="exact"/>
              <w:rPr>
                <w:rFonts w:ascii="Arial" w:cs="Arial" w:eastAsia="Arial" w:hAnsi="Arial"/>
                <w:sz w:val="9"/>
                <w:szCs w:val="9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9"/>
                  <w:szCs w:val="9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[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GM</w:t>
            </w:r>
            <w:r>
              <w:rPr>
                <w:rFonts w:ascii="Arial" w:cs="Arial" w:eastAsia="Arial" w:hAnsi="Arial"/>
                <w:sz w:val="9"/>
                <w:szCs w:val="9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below)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Executive Vice President &amp; CFO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300 RENAISSANCE CENTER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02/08/2022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M/C: 482-C24-A68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808080"/>
            </w:tcBorders>
            <w:gridSpan w:val="5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</w:tcPr>
          <w:p>
            <w:pPr>
              <w:ind w:left="20"/>
              <w:spacing w:after="0" w:line="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2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Employee Stock 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49.46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02/08/2022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102,027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02/08/2032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102,027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102,027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(Right to Buy)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1. These Stock Options were granted on February 8, 2022. One-third will vest on February 8, 2023; one-third will vest on February 8, 2024; and one-third will vest on February 8, 2025.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/s/ Tia Y. Turk, attorney-in-fact for Mr.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  <w:vertAlign w:val="subscript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-13970</wp:posOffset>
            </wp:positionV>
            <wp:extent cx="13296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Jacobson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-11430</wp:posOffset>
            </wp:positionV>
            <wp:extent cx="3136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5600700</wp:posOffset>
            </wp:positionH>
            <wp:positionV relativeFrom="paragraph">
              <wp:posOffset>-64135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620"/>
        <w:spacing w:after="0"/>
        <w:tabs>
          <w:tab w:leader="none" w:pos="8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3655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2022-02-11T23:51:00Z</dcterms:created>
  <dcterms:modified xsi:type="dcterms:W3CDTF">2022-02-11T23:51:00Z</dcterms:modified>
</cp:coreProperties>
</file>