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7,894</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03/31/2013</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5" w:lineRule="exact"/>
              <w:rPr>
                <w:sz w:val="20"/>
                <w:szCs w:val="20"/>
                <w:color w:val="auto"/>
              </w:rPr>
            </w:pPr>
            <w:r>
              <w:rPr>
                <w:rFonts w:ascii="Arial" w:cs="Arial" w:eastAsia="Arial" w:hAnsi="Arial"/>
                <w:sz w:val="13"/>
                <w:szCs w:val="13"/>
                <w:color w:val="0000FF"/>
              </w:rPr>
              <w:t>7,894</w:t>
            </w:r>
          </w:p>
        </w:tc>
        <w:tc>
          <w:tcPr>
            <w:tcW w:w="340" w:type="dxa"/>
            <w:vAlign w:val="bottom"/>
          </w:tcPr>
          <w:p>
            <w:pPr>
              <w:spacing w:after="0"/>
              <w:rPr>
                <w:sz w:val="7"/>
                <w:szCs w:val="7"/>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7,894</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53,822</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04/01/2013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0000FF"/>
              </w:rPr>
              <w:t>53,822</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(4)</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0000FF"/>
              </w:rPr>
              <w:t>53,822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granted on March 31, 2013 pursuant to the Company's Salary Stock Plan (the "GMSSP") and will be settled in three equal, annual installments beginning March 31, 2014.</w:t>
      </w:r>
    </w:p>
    <w:p>
      <w:pPr>
        <w:spacing w:after="0" w:line="10" w:lineRule="exact"/>
        <w:rPr>
          <w:rFonts w:ascii="Arial" w:cs="Arial" w:eastAsia="Arial" w:hAnsi="Arial"/>
          <w:sz w:val="13"/>
          <w:szCs w:val="13"/>
          <w:color w:val="008000"/>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1" w:lineRule="exact"/>
        <w:rPr>
          <w:rFonts w:ascii="Arial" w:cs="Arial" w:eastAsia="Arial" w:hAnsi="Arial"/>
          <w:sz w:val="13"/>
          <w:szCs w:val="13"/>
          <w:color w:val="008000"/>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April 1, 2013, pursuant to the Company's 2009 Long-Term Incentive Plan (the "GMLTP"). One half of the RSUs will vest on April 1, 2014, and the remaining half will vest on April 1, 2015, provided that the reporting person remains continuously employed through the vesting date. Each RSU represents a right to receive one shares of the Company's common stock upon settlement. RSUs will be settled when they vest provided that the conditions in the GMLTP have been satisfied. The RSUs do not have an expiration or exercise date or carry a conversion or exercise price.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04/02/2013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Dr. Neumann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2019-12-18T16:18:55Z</dcterms:created>
  <dcterms:modified xsi:type="dcterms:W3CDTF">2019-12-18T16:18:55Z</dcterms:modified>
</cp:coreProperties>
</file>