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44,299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57,160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57,160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("RSUs") were awarded on February 13, 2014, pursuant to the Company's 2009 Long-Term Incentive Plan (the "GMLTIP"). Two-thirds of the RSUs will vest on February 13, 2016 and the remaining one-third will vest on February 13, 2017. Each RSU represents a right to receive one share of the Company's common stock upon settlement. RSUs will be settled when they vest.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has determined that 25% of this award will not vest because the terms set forth in the GMLTIP will not be satified.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RSUs will vest on February 13, 2017 provided that the reporting person is employed by the Company on the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2019-12-18T15:48:57Z</dcterms:created>
  <dcterms:modified xsi:type="dcterms:W3CDTF">2019-12-18T15:48:57Z</dcterms:modified>
</cp:coreProperties>
</file>