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1306830</wp:posOffset>
            </wp:positionH>
            <wp:positionV relativeFrom="page">
              <wp:posOffset>200660</wp:posOffset>
            </wp:positionV>
            <wp:extent cx="4956810"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956810" cy="7372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November 15, 2010</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80"/>
          </w:cols>
          <w:pgMar w:left="240" w:top="1440" w:right="279" w:bottom="1440" w:gutter="0" w:footer="0" w:header="0"/>
        </w:sectPr>
      </w:pP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Max A. Webb</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Justin T. Dobbie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J. Nolan McWilliams</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Juan Migone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David R. Humphrey</w:t>
      </w:r>
    </w:p>
    <w:p>
      <w:pPr>
        <w:spacing w:after="0" w:line="200" w:lineRule="exact"/>
        <w:rPr>
          <w:sz w:val="24"/>
          <w:szCs w:val="24"/>
          <w:color w:val="auto"/>
        </w:rPr>
      </w:pPr>
    </w:p>
    <w:p>
      <w:pPr>
        <w:sectPr>
          <w:pgSz w:w="11900" w:h="16838" w:orient="portrait"/>
          <w:cols w:equalWidth="0" w:num="2">
            <w:col w:w="760" w:space="720"/>
            <w:col w:w="9900"/>
          </w:cols>
          <w:pgMar w:left="240" w:top="1440" w:right="279" w:bottom="1440" w:gutter="0" w:footer="0" w:header="0"/>
          <w:type w:val="continuous"/>
        </w:sectPr>
      </w:pPr>
    </w:p>
    <w:p>
      <w:pPr>
        <w:spacing w:after="0" w:line="22" w:lineRule="exact"/>
        <w:rPr>
          <w:sz w:val="24"/>
          <w:szCs w:val="24"/>
          <w:color w:val="auto"/>
        </w:rPr>
      </w:pPr>
    </w:p>
    <w:p>
      <w:pPr>
        <w:ind w:left="80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General Motors Company</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Statement on Form S-1</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333-168919</w:t>
      </w:r>
    </w:p>
    <w:p>
      <w:pPr>
        <w:spacing w:after="0" w:line="165" w:lineRule="exact"/>
        <w:rPr>
          <w:sz w:val="24"/>
          <w:szCs w:val="24"/>
          <w:color w:val="auto"/>
        </w:rPr>
      </w:pPr>
    </w:p>
    <w:p>
      <w:pPr>
        <w:sectPr>
          <w:pgSz w:w="11900" w:h="16838" w:orient="portrait"/>
          <w:cols w:equalWidth="0" w:num="2">
            <w:col w:w="1060" w:space="420"/>
            <w:col w:w="9900"/>
          </w:cols>
          <w:pgMar w:left="240" w:top="1440" w:right="27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4"/>
          <w:szCs w:val="24"/>
          <w:color w:val="auto"/>
        </w:rPr>
      </w:pPr>
    </w:p>
    <w:p>
      <w:pPr>
        <w:ind w:firstLine="456"/>
        <w:spacing w:after="0" w:line="256" w:lineRule="auto"/>
        <w:rPr>
          <w:sz w:val="20"/>
          <w:szCs w:val="20"/>
          <w:color w:val="auto"/>
        </w:rPr>
      </w:pPr>
      <w:r>
        <w:rPr>
          <w:rFonts w:ascii="Arial" w:cs="Arial" w:eastAsia="Arial" w:hAnsi="Arial"/>
          <w:sz w:val="18"/>
          <w:szCs w:val="18"/>
          <w:color w:val="auto"/>
        </w:rPr>
        <w:t>General Motors Company, a Delaware corporation (the Company), hereby requests that the effectiveness of the above-referenced Registration Statement, as amended, be accelerated to 12:00 p.m. Eastern Time on November 17, 2010, or as soon thereafter as practicable. The Company hereby acknowledges its responsibilities under the Securities Act of 1933 and the Securities Exchange Act of 1934 as they relate to the proposed public offerings of the securities specified in the above-referenced Registration Statement.</w:t>
      </w:r>
    </w:p>
    <w:p>
      <w:pPr>
        <w:spacing w:after="0" w:line="14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Company hereby acknowledges that:</w:t>
      </w:r>
    </w:p>
    <w:p>
      <w:pPr>
        <w:spacing w:after="0" w:line="90" w:lineRule="exact"/>
        <w:rPr>
          <w:sz w:val="24"/>
          <w:szCs w:val="24"/>
          <w:color w:val="auto"/>
        </w:rPr>
      </w:pPr>
    </w:p>
    <w:p>
      <w:pPr>
        <w:ind w:left="900" w:right="10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acting pursuant to delegated authority, declare the filing effective, it does not foreclose the Commission from taking any action with respect to the filing;</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32" w:lineRule="exact"/>
        <w:rPr>
          <w:sz w:val="24"/>
          <w:szCs w:val="24"/>
          <w:color w:val="auto"/>
        </w:rPr>
      </w:pPr>
    </w:p>
    <w:p>
      <w:pPr>
        <w:ind w:right="180" w:firstLine="456"/>
        <w:spacing w:after="0" w:line="268" w:lineRule="auto"/>
        <w:rPr>
          <w:sz w:val="20"/>
          <w:szCs w:val="20"/>
          <w:color w:val="auto"/>
        </w:rPr>
      </w:pPr>
      <w:r>
        <w:rPr>
          <w:rFonts w:ascii="Arial" w:cs="Arial" w:eastAsia="Arial" w:hAnsi="Arial"/>
          <w:sz w:val="18"/>
          <w:szCs w:val="18"/>
          <w:color w:val="auto"/>
        </w:rPr>
        <w:t>Please contact William L. Tolbert, Jr. of Jenner &amp; Block LLP, counsel to the Company, at (740) 633-9500 as soon as the Registration Statement has been declared effective, or if you have any other questions or concerns regarding this matter.</w:t>
      </w:r>
    </w:p>
    <w:p>
      <w:pPr>
        <w:spacing w:after="0" w:line="132"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380"/>
          </w:cols>
          <w:pgMar w:left="240" w:top="1440" w:right="279" w:bottom="1440" w:gutter="0" w:footer="0" w:header="0"/>
          <w:type w:val="continuous"/>
        </w:sectPr>
      </w:pPr>
    </w:p>
    <w:bookmarkStart w:id="1" w:name="page2"/>
    <w:bookmarkEnd w:id="1"/>
    <w:p>
      <w:pPr>
        <w:ind w:left="68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Sincerely,</w:t>
      </w:r>
    </w:p>
    <w:p>
      <w:pPr>
        <w:spacing w:after="0" w:line="212" w:lineRule="exact"/>
        <w:rPr>
          <w:sz w:val="20"/>
          <w:szCs w:val="20"/>
          <w:color w:val="auto"/>
        </w:rPr>
      </w:pPr>
    </w:p>
    <w:p>
      <w:pPr>
        <w:ind w:left="6852"/>
        <w:spacing w:after="0"/>
        <w:rPr>
          <w:sz w:val="20"/>
          <w:szCs w:val="20"/>
          <w:color w:val="auto"/>
        </w:rPr>
      </w:pPr>
      <w:r>
        <w:rPr>
          <w:rFonts w:ascii="Arial" w:cs="Arial" w:eastAsia="Arial" w:hAnsi="Arial"/>
          <w:sz w:val="16"/>
          <w:szCs w:val="16"/>
          <w:color w:val="auto"/>
        </w:rPr>
        <w:t>GENERAL MOTORS COMPANY</w:t>
      </w:r>
    </w:p>
    <w:p>
      <w:pPr>
        <w:spacing w:after="0" w:line="262"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By:  /s/ Anne T. Larin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10795</wp:posOffset>
            </wp:positionV>
            <wp:extent cx="27184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32"/>
        <w:spacing w:after="0"/>
        <w:rPr>
          <w:sz w:val="20"/>
          <w:szCs w:val="20"/>
          <w:color w:val="auto"/>
        </w:rPr>
      </w:pPr>
      <w:r>
        <w:rPr>
          <w:rFonts w:ascii="Arial" w:cs="Arial" w:eastAsia="Arial" w:hAnsi="Arial"/>
          <w:sz w:val="18"/>
          <w:szCs w:val="18"/>
          <w:color w:val="auto"/>
        </w:rPr>
        <w:t>Anne T. Larin</w:t>
      </w:r>
    </w:p>
    <w:p>
      <w:pPr>
        <w:spacing w:after="0" w:line="15" w:lineRule="exact"/>
        <w:rPr>
          <w:sz w:val="20"/>
          <w:szCs w:val="20"/>
          <w:color w:val="auto"/>
        </w:rPr>
      </w:pPr>
    </w:p>
    <w:p>
      <w:pPr>
        <w:ind w:left="7232"/>
        <w:spacing w:after="0"/>
        <w:rPr>
          <w:sz w:val="20"/>
          <w:szCs w:val="20"/>
          <w:color w:val="auto"/>
        </w:rPr>
      </w:pPr>
      <w:r>
        <w:rPr>
          <w:rFonts w:ascii="Arial" w:cs="Arial" w:eastAsia="Arial" w:hAnsi="Arial"/>
          <w:sz w:val="18"/>
          <w:szCs w:val="18"/>
          <w:color w:val="auto"/>
        </w:rPr>
        <w:t>Secretary</w:t>
      </w:r>
    </w:p>
    <w:p>
      <w:pPr>
        <w:spacing w:after="0" w:line="205" w:lineRule="exact"/>
        <w:rPr>
          <w:sz w:val="20"/>
          <w:szCs w:val="20"/>
          <w:color w:val="auto"/>
        </w:rPr>
      </w:pPr>
    </w:p>
    <w:p>
      <w:pPr>
        <w:ind w:left="572" w:hanging="572"/>
        <w:spacing w:after="0"/>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Nick S. Cyprus</w:t>
      </w:r>
    </w:p>
    <w:p>
      <w:pPr>
        <w:spacing w:after="0" w:line="15"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Vice President, Controller and Chief Accounting Officer</w:t>
      </w:r>
    </w:p>
    <w:p>
      <w:pPr>
        <w:spacing w:after="0" w:line="9"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b w:val="1"/>
          <w:bCs w:val="1"/>
          <w:color w:val="auto"/>
        </w:rPr>
        <w:t>General Motors Company</w:t>
      </w:r>
    </w:p>
    <w:p>
      <w:pPr>
        <w:spacing w:after="0" w:line="205"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Robert C. Shrosbree, Esq.</w:t>
      </w:r>
    </w:p>
    <w:p>
      <w:pPr>
        <w:spacing w:after="0" w:line="15"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b w:val="1"/>
          <w:bCs w:val="1"/>
          <w:color w:val="auto"/>
        </w:rPr>
        <w:t>General Motors Company</w:t>
      </w:r>
    </w:p>
    <w:p>
      <w:pPr>
        <w:spacing w:after="0" w:line="205" w:lineRule="exact"/>
        <w:rPr>
          <w:rFonts w:ascii="Arial" w:cs="Arial" w:eastAsia="Arial" w:hAnsi="Arial"/>
          <w:sz w:val="18"/>
          <w:szCs w:val="18"/>
          <w:color w:val="auto"/>
        </w:rPr>
      </w:pPr>
    </w:p>
    <w:p>
      <w:pPr>
        <w:ind w:left="572" w:right="7859"/>
        <w:spacing w:after="0" w:line="286" w:lineRule="auto"/>
        <w:rPr>
          <w:rFonts w:ascii="Arial" w:cs="Arial" w:eastAsia="Arial" w:hAnsi="Arial"/>
          <w:sz w:val="18"/>
          <w:szCs w:val="18"/>
          <w:color w:val="auto"/>
        </w:rPr>
      </w:pPr>
      <w:r>
        <w:rPr>
          <w:rFonts w:ascii="Arial" w:cs="Arial" w:eastAsia="Arial" w:hAnsi="Arial"/>
          <w:sz w:val="16"/>
          <w:szCs w:val="16"/>
          <w:color w:val="auto"/>
        </w:rPr>
        <w:t>Joseph P. Gromacki, Esq. Brian R. Boch, Esq.</w:t>
      </w:r>
    </w:p>
    <w:p>
      <w:pPr>
        <w:ind w:left="572"/>
        <w:spacing w:after="0"/>
        <w:rPr>
          <w:rFonts w:ascii="Arial" w:cs="Arial" w:eastAsia="Arial" w:hAnsi="Arial"/>
          <w:sz w:val="18"/>
          <w:szCs w:val="18"/>
          <w:color w:val="auto"/>
        </w:rPr>
      </w:pPr>
      <w:r>
        <w:rPr>
          <w:rFonts w:ascii="Arial" w:cs="Arial" w:eastAsia="Arial" w:hAnsi="Arial"/>
          <w:sz w:val="18"/>
          <w:szCs w:val="18"/>
          <w:b w:val="1"/>
          <w:bCs w:val="1"/>
          <w:color w:val="auto"/>
        </w:rPr>
        <w:t>Jenner &amp; Block LLP</w:t>
      </w:r>
    </w:p>
    <w:p>
      <w:pPr>
        <w:spacing w:after="0" w:line="205" w:lineRule="exact"/>
        <w:rPr>
          <w:rFonts w:ascii="Arial" w:cs="Arial" w:eastAsia="Arial" w:hAnsi="Arial"/>
          <w:sz w:val="18"/>
          <w:szCs w:val="18"/>
          <w:color w:val="auto"/>
        </w:rPr>
      </w:pPr>
    </w:p>
    <w:p>
      <w:pPr>
        <w:ind w:left="572" w:right="7859"/>
        <w:spacing w:after="0" w:line="286" w:lineRule="auto"/>
        <w:rPr>
          <w:rFonts w:ascii="Arial" w:cs="Arial" w:eastAsia="Arial" w:hAnsi="Arial"/>
          <w:sz w:val="18"/>
          <w:szCs w:val="18"/>
          <w:color w:val="auto"/>
        </w:rPr>
      </w:pPr>
      <w:r>
        <w:rPr>
          <w:rFonts w:ascii="Arial" w:cs="Arial" w:eastAsia="Arial" w:hAnsi="Arial"/>
          <w:sz w:val="16"/>
          <w:szCs w:val="16"/>
          <w:color w:val="auto"/>
        </w:rPr>
        <w:t>Richard A. Drucker, Esq. Sarah E. Beshar, Esq.</w:t>
      </w:r>
    </w:p>
    <w:p>
      <w:pPr>
        <w:ind w:left="572"/>
        <w:spacing w:after="0"/>
        <w:rPr>
          <w:rFonts w:ascii="Arial" w:cs="Arial" w:eastAsia="Arial" w:hAnsi="Arial"/>
          <w:sz w:val="18"/>
          <w:szCs w:val="18"/>
          <w:color w:val="auto"/>
        </w:rPr>
      </w:pPr>
      <w:r>
        <w:rPr>
          <w:rFonts w:ascii="Arial" w:cs="Arial" w:eastAsia="Arial" w:hAnsi="Arial"/>
          <w:sz w:val="18"/>
          <w:szCs w:val="18"/>
          <w:b w:val="1"/>
          <w:bCs w:val="1"/>
          <w:color w:val="auto"/>
        </w:rPr>
        <w:t>Davis Polk &amp; Wardwell LLP</w:t>
      </w:r>
    </w:p>
    <w:sectPr>
      <w:pgSz w:w="11900" w:h="16838" w:orient="portrait"/>
      <w:cols w:equalWidth="0" w:num="1">
        <w:col w:w="10211"/>
      </w:cols>
      <w:pgMar w:left="248" w:top="3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2019-12-11T07:49:05Z</dcterms:created>
  <dcterms:modified xsi:type="dcterms:W3CDTF">2019-12-11T07:49:05Z</dcterms:modified>
</cp:coreProperties>
</file>