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General Motors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04-3276558</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54,717,596</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64,929,418</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64,929,418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Inc.</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04-3276549</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54,717,596</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64,929,418</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64,929,418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jc w:val="both"/>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General Motors</w:t>
      </w:r>
    </w:p>
    <w:p>
      <w:pPr>
        <w:spacing w:after="0" w:line="11" w:lineRule="exact"/>
        <w:rPr>
          <w:rFonts w:ascii="Arial" w:cs="Arial" w:eastAsia="Arial" w:hAnsi="Arial"/>
          <w:sz w:val="19"/>
          <w:szCs w:val="19"/>
          <w:b w:val="1"/>
          <w:bCs w:val="1"/>
          <w:color w:val="auto"/>
        </w:rPr>
      </w:pPr>
    </w:p>
    <w:p>
      <w:pPr>
        <w:ind w:left="1780" w:right="49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300 Renaissance Center, Suite L1, Detroit MI 48226</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780" w:right="338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37045V100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64,929,418</w:t>
      </w:r>
    </w:p>
    <w:p>
      <w:pPr>
        <w:spacing w:after="0" w:line="200" w:lineRule="exact"/>
        <w:rPr>
          <w:rFonts w:ascii="Arial" w:cs="Arial" w:eastAsia="Arial" w:hAnsi="Arial"/>
          <w:sz w:val="22"/>
          <w:szCs w:val="22"/>
          <w:color w:val="auto"/>
        </w:rPr>
      </w:pPr>
    </w:p>
    <w:p>
      <w:pPr>
        <w:ind w:left="1780" w:right="300"/>
        <w:spacing w:after="0" w:line="238" w:lineRule="auto"/>
        <w:rPr>
          <w:rFonts w:ascii="Arial" w:cs="Arial" w:eastAsia="Arial" w:hAnsi="Arial"/>
          <w:sz w:val="22"/>
          <w:szCs w:val="22"/>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03"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4.3%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0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480" w:type="dxa"/>
            <w:vAlign w:val="bottom"/>
          </w:tcPr>
          <w:p>
            <w:pPr>
              <w:ind w:left="1500"/>
              <w:spacing w:after="0"/>
              <w:rPr>
                <w:sz w:val="20"/>
                <w:szCs w:val="20"/>
                <w:color w:val="auto"/>
              </w:rPr>
            </w:pPr>
            <w:r>
              <w:rPr>
                <w:rFonts w:ascii="Arial" w:cs="Arial" w:eastAsia="Arial" w:hAnsi="Arial"/>
                <w:sz w:val="22"/>
                <w:szCs w:val="22"/>
                <w:color w:val="auto"/>
                <w:w w:val="87"/>
              </w:rPr>
              <w:t>54,717,596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0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480" w:type="dxa"/>
            <w:vAlign w:val="bottom"/>
          </w:tcPr>
          <w:p>
            <w:pPr>
              <w:ind w:left="150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0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480" w:type="dxa"/>
            <w:vAlign w:val="bottom"/>
          </w:tcPr>
          <w:p>
            <w:pPr>
              <w:ind w:left="1500"/>
              <w:spacing w:after="0"/>
              <w:rPr>
                <w:sz w:val="20"/>
                <w:szCs w:val="20"/>
                <w:color w:val="auto"/>
              </w:rPr>
            </w:pPr>
            <w:r>
              <w:rPr>
                <w:rFonts w:ascii="Arial" w:cs="Arial" w:eastAsia="Arial" w:hAnsi="Arial"/>
                <w:sz w:val="22"/>
                <w:szCs w:val="22"/>
                <w:color w:val="auto"/>
                <w:w w:val="87"/>
              </w:rPr>
              <w:t>64,929,418</w:t>
            </w:r>
          </w:p>
        </w:tc>
      </w:tr>
    </w:tbl>
    <w:p>
      <w:pPr>
        <w:sectPr>
          <w:pgSz w:w="11900" w:h="16838" w:orient="portrait"/>
          <w:cols w:equalWidth="0" w:num="1">
            <w:col w:w="11260"/>
          </w:cols>
          <w:pgMar w:left="320" w:top="423" w:right="319" w:bottom="0" w:gutter="0" w:footer="0" w:header="0"/>
          <w:type w:val="continuous"/>
        </w:sectPr>
      </w:pPr>
    </w:p>
    <w:bookmarkStart w:id="4" w:name="page5"/>
    <w:bookmarkEnd w:id="4"/>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6500" w:type="dxa"/>
            <w:vAlign w:val="bottom"/>
          </w:tcPr>
          <w:p>
            <w:pPr>
              <w:spacing w:after="0"/>
              <w:rPr>
                <w:sz w:val="20"/>
                <w:szCs w:val="20"/>
                <w:color w:val="auto"/>
              </w:rPr>
            </w:pPr>
            <w:r>
              <w:rPr>
                <w:rFonts w:ascii="Arial" w:cs="Arial" w:eastAsia="Arial" w:hAnsi="Arial"/>
                <w:sz w:val="22"/>
                <w:szCs w:val="22"/>
                <w:color w:val="auto"/>
              </w:rPr>
              <w:t>(iv)  shared power to dispose or to direct the disposition of</w:t>
            </w:r>
          </w:p>
        </w:tc>
        <w:tc>
          <w:tcPr>
            <w:tcW w:w="150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right="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Harris Associates L.P.</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Kristi L. Rowsell</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Date: February 14, 2017</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Name: Kristi L. Rowsell</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Title: President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2019-12-07T11:24:17Z</dcterms:created>
  <dcterms:modified xsi:type="dcterms:W3CDTF">2019-12-07T11:24:17Z</dcterms:modified>
</cp:coreProperties>
</file>